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5939e10vq.htm"/>
        <w:bookmarkStart w:id="1" w:name="ksh45939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March 31, 2007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1-14569</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Delaware</w:t>
            </w:r>
            <w:r>
              <w:rPr/>
              <w:br/>
              <w:t xml:space="preserve">(State or other jurisdiction of </w:t>
              <w:br/>
              <w:t xml:space="preserve">incorporation or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76-0582150</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 646-4100</w:t>
      </w:r>
      <w:r>
        <w:rPr>
          <w:rFonts w:ascii="Times New Roman;Times;serif" w:hAnsi="Times New Roman;Times;serif"/>
          <w:sz w:val="17"/>
        </w:rPr>
        <w:br/>
        <w:t>(Registrants telephone number, including area code)</w:t>
      </w:r>
    </w:p>
    <w:p>
      <w:pPr>
        <w:pStyle w:val="TextBody"/>
        <w:spacing w:before="120" w:after="283"/>
        <w:jc w:val="left"/>
        <w:rPr/>
      </w:pPr>
      <w:r>
        <w:rPr/>
        <w:t>     </w:t>
      </w: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          Accelerated Filer </w:t>
      </w:r>
      <w:r>
        <w:rPr>
          <w:rFonts w:ascii="Wingdings" w:hAnsi="Wingdings"/>
          <w:sz w:val="17"/>
        </w:rPr>
        <w:t>o</w:t>
      </w:r>
      <w:r>
        <w:rPr>
          <w:rFonts w:ascii="Times New Roman;Times;serif" w:hAnsi="Times New Roman;Times;serif"/>
          <w:sz w:val="17"/>
        </w:rPr>
        <w:t xml:space="preserve">          Non-Accelerated Filer </w:t>
      </w:r>
      <w:r>
        <w:rPr>
          <w:rFonts w:ascii="Wingdings" w:hAnsi="Wingdings"/>
          <w:sz w:val="17"/>
        </w:rPr>
        <w:t>o</w:t>
      </w:r>
    </w:p>
    <w:p>
      <w:pPr>
        <w:pStyle w:val="TextBody"/>
        <w:spacing w:before="120" w:after="283"/>
        <w:jc w:val="left"/>
        <w:rPr/>
      </w:pPr>
      <w:r>
        <w:rPr/>
        <w:t>     </w:t>
      </w:r>
      <w:r>
        <w:rPr>
          <w:rFonts w:ascii="Times New Roman;Times;serif" w:hAnsi="Times New Roman;Times;serif"/>
          <w:sz w:val="17"/>
        </w:rPr>
        <w:t xml:space="preserve">Indicate by check mark whether the registrant is a shell company (as defined in Rule 12b-2 of the Exchange Act). </w:t>
      </w:r>
      <w:r>
        <w:rPr>
          <w:rFonts w:ascii="Wingdings" w:hAnsi="Wingdings"/>
          <w:sz w:val="17"/>
        </w:rPr>
        <w:t>o</w:t>
      </w:r>
      <w:r>
        <w:rPr>
          <w:rFonts w:ascii="Times New Roman;Times;serif" w:hAnsi="Times New Roman;Times;serif"/>
          <w:sz w:val="17"/>
        </w:rPr>
        <w:t xml:space="preserve"> Yes ☑ No </w:t>
      </w:r>
    </w:p>
    <w:p>
      <w:pPr>
        <w:pStyle w:val="TextBody"/>
        <w:spacing w:before="120" w:after="283"/>
        <w:jc w:val="left"/>
        <w:rPr/>
      </w:pPr>
      <w:r>
        <w:rPr/>
        <w:t>     </w:t>
      </w:r>
      <w:r>
        <w:rPr>
          <w:rFonts w:ascii="Times New Roman;Times;serif" w:hAnsi="Times New Roman;Times;serif"/>
          <w:sz w:val="17"/>
        </w:rPr>
        <w:t xml:space="preserve">At May 1, 2007, there were outstanding 109,405,178 Common Units.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p>
      <w:pPr>
        <w:pStyle w:val="Normal"/>
        <w:spacing w:before="0" w:after="0"/>
        <w:rPr>
          <w:sz w:val="4"/>
          <w:szCs w:val="4"/>
        </w:rPr>
      </w:pPr>
      <w:r>
        <w:rPr>
          <w:sz w:val="4"/>
          <w:szCs w:val="4"/>
        </w:rPr>
      </w:r>
      <w:bookmarkStart w:id="2" w:name="tocpage"/>
      <w:bookmarkStart w:id="3" w:name="tocpage"/>
      <w:bookmarkEnd w:id="3"/>
    </w:p>
    <w:tbl>
      <w:tblPr>
        <w:tblW w:w="5000" w:type="pct"/>
        <w:jc w:val="center"/>
        <w:tblInd w:w="0" w:type="dxa"/>
        <w:tblCellMar>
          <w:top w:w="0" w:type="dxa"/>
          <w:left w:w="0" w:type="dxa"/>
          <w:bottom w:w="0" w:type="dxa"/>
          <w:right w:w="0" w:type="dxa"/>
        </w:tblCellMar>
      </w:tblPr>
      <w:tblGrid>
        <w:gridCol w:w="8961"/>
        <w:gridCol w:w="508"/>
        <w:gridCol w:w="102"/>
        <w:gridCol w:w="508"/>
        <w:gridCol w:w="102"/>
        <w:gridCol w:w="24"/>
      </w:tblGrid>
      <w:tr>
        <w:trPr/>
        <w:tc>
          <w:tcPr>
            <w:tcW w:w="896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02">
              <w:r>
                <w:rPr>
                  <w:rStyle w:val="InternetLink"/>
                </w:rPr>
                <w:t>Item 1. UNAUDITED CONSOLIDATED FINANCIAL STATEMENTS: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3">
              <w:r>
                <w:rPr>
                  <w:rStyle w:val="InternetLink"/>
                </w:rPr>
                <w:t>Consolidated Balance Sheets: March 31, 2007 and December 31,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4">
              <w:r>
                <w:rPr>
                  <w:rStyle w:val="InternetLink"/>
                </w:rPr>
                <w:t>Consolidated Statements of Operations: For the three months ended March 31,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5">
              <w:r>
                <w:rPr>
                  <w:rStyle w:val="InternetLink"/>
                </w:rPr>
                <w:t>Consolidated Statements of Cash Flows: For the three months ended March 31,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5</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6">
              <w:r>
                <w:rPr>
                  <w:rStyle w:val="InternetLink"/>
                </w:rPr>
                <w:t>Consolidated Statement of Partners Capital: For the three months ended March 31, 2007</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7">
              <w:r>
                <w:rPr>
                  <w:rStyle w:val="InternetLink"/>
                </w:rPr>
                <w:t>Consolidated Statements of Comprehensive Income: For the three months ended March 31,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8">
              <w:r>
                <w:rPr>
                  <w:rStyle w:val="InternetLink"/>
                </w:rPr>
                <w:t>Consolidated Statement of Changes in Accumulated Other Comprehensive Income: For the three months ended March 31, 2007</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9">
              <w:r>
                <w:rPr>
                  <w:rStyle w:val="InternetLink"/>
                </w:rPr>
                <w:t>Notes to the Consolidated Financial Statements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0">
              <w:r>
                <w:rPr>
                  <w:rStyle w:val="InternetLink"/>
                </w:rPr>
                <w:t>Item 2. MANAGEMENTS DISCUSSION AND ANALYSIS OF FINANCIAL CONDITION AND RESULTS OF OPERATIONS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23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1">
              <w:r>
                <w:rPr>
                  <w:rStyle w:val="InternetLink"/>
                </w:rPr>
                <w:t>Item 3. QUANTITATIVE AND QUALITATIVE DISCLOSURES ABOUT MARKET RISK</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2">
              <w:r>
                <w:rPr>
                  <w:rStyle w:val="InternetLink"/>
                </w:rPr>
                <w:t>Item 4. CONTROLS AND PROCEDURES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38</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3">
              <w:r>
                <w:rPr>
                  <w:rStyle w:val="InternetLink"/>
                  <w:b/>
                </w:rPr>
                <w:t>PART II. OTHER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4">
              <w:r>
                <w:rPr>
                  <w:rStyle w:val="InternetLink"/>
                </w:rPr>
                <w:t>Item 1. LEGAL PROCEEDINGS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5">
              <w:r>
                <w:rPr>
                  <w:rStyle w:val="InternetLink"/>
                </w:rPr>
                <w:t>Item 1A. RISK FACTORS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6">
              <w:r>
                <w:rPr>
                  <w:rStyle w:val="InternetLink"/>
                </w:rPr>
                <w:t>Item 2. UNREGISTERED SALES OF EQUITY SECURITIES AND USE OF PROCEEDS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7">
              <w:r>
                <w:rPr>
                  <w:rStyle w:val="InternetLink"/>
                </w:rPr>
                <w:t>Item 3. DEFAULTS UPON SENIOR SECURITIES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8">
              <w:r>
                <w:rPr>
                  <w:rStyle w:val="InternetLink"/>
                </w:rPr>
                <w:t>Item 4. SUBMISSION OF MATTERS TO A VOTE OF SECURITY HOLDERS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9">
              <w:r>
                <w:rPr>
                  <w:rStyle w:val="InternetLink"/>
                </w:rPr>
                <w:t>Item 5. OTHER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20">
              <w:r>
                <w:rPr>
                  <w:rStyle w:val="InternetLink"/>
                </w:rPr>
                <w:t>Item 6. EXHIBITS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40</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21">
              <w:r>
                <w:rPr>
                  <w:rStyle w:val="InternetLink"/>
                </w:rPr>
                <w:t>SIGNATURES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h45939exv10w1.htm">
              <w:r>
                <w:rPr>
                  <w:rStyle w:val="InternetLink"/>
                  <w:sz w:val="20"/>
                </w:rPr>
                <w:t>Form of LTIP Grant Letters</w:t>
              </w:r>
            </w:hyperlink>
          </w:p>
        </w:tc>
      </w:tr>
      <w:tr>
        <w:trPr/>
        <w:tc>
          <w:tcPr>
            <w:tcW w:w="10205" w:type="dxa"/>
            <w:gridSpan w:val="6"/>
            <w:tcBorders/>
            <w:shd w:fill="auto" w:val="clear"/>
            <w:vAlign w:val="center"/>
          </w:tcPr>
          <w:p>
            <w:pPr>
              <w:pStyle w:val="TableContents"/>
              <w:spacing w:before="0" w:after="283"/>
              <w:rPr/>
            </w:pPr>
            <w:r>
              <w:rPr/>
              <w:t> </w:t>
            </w:r>
            <w:hyperlink w:anchor="h45939exv31w1.htm">
              <w:r>
                <w:rPr>
                  <w:rStyle w:val="InternetLink"/>
                  <w:sz w:val="20"/>
                </w:rPr>
                <w:t>Certification of PEO Pursuant to Rule 13a-14(a)</w:t>
              </w:r>
            </w:hyperlink>
          </w:p>
        </w:tc>
      </w:tr>
      <w:tr>
        <w:trPr/>
        <w:tc>
          <w:tcPr>
            <w:tcW w:w="10205" w:type="dxa"/>
            <w:gridSpan w:val="6"/>
            <w:tcBorders/>
            <w:shd w:fill="auto" w:val="clear"/>
            <w:vAlign w:val="center"/>
          </w:tcPr>
          <w:p>
            <w:pPr>
              <w:pStyle w:val="TableContents"/>
              <w:spacing w:before="0" w:after="283"/>
              <w:rPr/>
            </w:pPr>
            <w:r>
              <w:rPr/>
              <w:t> </w:t>
            </w:r>
            <w:hyperlink w:anchor="h45939exv31w2.htm">
              <w:r>
                <w:rPr>
                  <w:rStyle w:val="InternetLink"/>
                  <w:sz w:val="20"/>
                </w:rPr>
                <w:t>Certification of PFO Pursuant to Rule 13a-14(a)</w:t>
              </w:r>
            </w:hyperlink>
          </w:p>
        </w:tc>
      </w:tr>
      <w:tr>
        <w:trPr/>
        <w:tc>
          <w:tcPr>
            <w:tcW w:w="10205" w:type="dxa"/>
            <w:gridSpan w:val="6"/>
            <w:tcBorders/>
            <w:shd w:fill="auto" w:val="clear"/>
            <w:vAlign w:val="center"/>
          </w:tcPr>
          <w:p>
            <w:pPr>
              <w:pStyle w:val="TableContents"/>
              <w:spacing w:before="0" w:after="283"/>
              <w:rPr/>
            </w:pPr>
            <w:r>
              <w:rPr/>
              <w:t> </w:t>
            </w:r>
            <w:hyperlink w:anchor="h45939exv32w1.htm">
              <w:r>
                <w:rPr>
                  <w:rStyle w:val="InternetLink"/>
                  <w:sz w:val="20"/>
                </w:rPr>
                <w:t>Certification of PEO Pursuant to Section 1350</w:t>
              </w:r>
            </w:hyperlink>
          </w:p>
        </w:tc>
      </w:tr>
      <w:tr>
        <w:trPr/>
        <w:tc>
          <w:tcPr>
            <w:tcW w:w="10205" w:type="dxa"/>
            <w:gridSpan w:val="6"/>
            <w:tcBorders/>
            <w:shd w:fill="auto" w:val="clear"/>
            <w:vAlign w:val="center"/>
          </w:tcPr>
          <w:p>
            <w:pPr>
              <w:pStyle w:val="TableContents"/>
              <w:spacing w:before="0" w:after="283"/>
              <w:rPr/>
            </w:pPr>
            <w:r>
              <w:rPr/>
              <w:t> </w:t>
            </w:r>
            <w:hyperlink w:anchor="h45939exv32w2.htm">
              <w:r>
                <w:rPr>
                  <w:rStyle w:val="InternetLink"/>
                  <w:sz w:val="20"/>
                </w:rPr>
                <w:t>Certification of PFO Pursuant to Section 1350</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4" w:name="101"/>
      <w:bookmarkEnd w:id="4"/>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5" w:name="102"/>
      <w:bookmarkEnd w:id="5"/>
      <w:r>
        <w:rPr>
          <w:rFonts w:ascii="Times New Roman;Times;serif" w:hAnsi="Times New Roman;Times;serif"/>
          <w:b/>
          <w:sz w:val="17"/>
        </w:rPr>
        <w:t>Item 1. UNAUDITED CONSOLIDATED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6" w:name="103"/>
      <w:bookmarkEnd w:id="6"/>
      <w:r>
        <w:rPr>
          <w:rFonts w:ascii="Times New Roman;Times;serif" w:hAnsi="Times New Roman;Times;serif"/>
          <w:b/>
          <w:sz w:val="17"/>
        </w:rPr>
        <w:t>CONSOLIDATED BALANCE SHEETS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 except units)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546"/>
        <w:gridCol w:w="385"/>
        <w:gridCol w:w="190"/>
        <w:gridCol w:w="991"/>
        <w:gridCol w:w="136"/>
        <w:gridCol w:w="385"/>
        <w:gridCol w:w="230"/>
        <w:gridCol w:w="1200"/>
        <w:gridCol w:w="142"/>
      </w:tblGrid>
      <w:tr>
        <w:trPr/>
        <w:tc>
          <w:tcPr>
            <w:tcW w:w="654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181" w:type="dxa"/>
            <w:gridSpan w:val="2"/>
            <w:tcBorders/>
            <w:shd w:fill="auto" w:val="clear"/>
            <w:vAlign w:val="bottom"/>
          </w:tcPr>
          <w:p>
            <w:pPr>
              <w:pStyle w:val="TableContents"/>
              <w:spacing w:before="0" w:after="283"/>
              <w:jc w:val="center"/>
              <w:rPr>
                <w:b/>
              </w:rPr>
            </w:pPr>
            <w:r>
              <w:rPr>
                <w:b/>
              </w:rPr>
              <w:t>March 31,</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jc w:val="center"/>
              <w:rPr>
                <w:b/>
              </w:rPr>
            </w:pPr>
            <w:r>
              <w:rPr>
                <w:b/>
              </w:rPr>
              <w:t>December 31,</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1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132" w:type="dxa"/>
            <w:gridSpan w:val="6"/>
            <w:tcBorders/>
            <w:shd w:fill="auto" w:val="clear"/>
            <w:vAlign w:val="bottom"/>
          </w:tcPr>
          <w:p>
            <w:pPr>
              <w:pStyle w:val="TableContents"/>
              <w:spacing w:before="0" w:after="283"/>
              <w:jc w:val="center"/>
              <w:rPr>
                <w:b/>
              </w:rPr>
            </w:pPr>
            <w:r>
              <w:rPr>
                <w:b/>
              </w:rPr>
              <w:t>(unaudited)</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10205" w:type="dxa"/>
            <w:gridSpan w:val="9"/>
            <w:tcBorders/>
            <w:shd w:fill="CCEEFF" w:val="clear"/>
            <w:vAlign w:val="bottom"/>
          </w:tcPr>
          <w:p>
            <w:pPr>
              <w:pStyle w:val="TableContents"/>
              <w:spacing w:before="0" w:after="283"/>
              <w:jc w:val="center"/>
              <w:rPr>
                <w:b/>
              </w:rPr>
            </w:pPr>
            <w:r>
              <w:rPr>
                <w:b/>
              </w:rPr>
              <w:t>ASSETS</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b/>
              </w:rPr>
            </w:pPr>
            <w:r>
              <w:rPr>
                <w:b/>
              </w:rPr>
              <w:t>CURRENT ASSETS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Cash and cash equivalents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91" w:type="dxa"/>
            <w:tcBorders/>
            <w:shd w:fill="CCEEFF" w:val="clear"/>
            <w:vAlign w:val="bottom"/>
          </w:tcPr>
          <w:p>
            <w:pPr>
              <w:pStyle w:val="TableContents"/>
              <w:spacing w:before="0" w:after="283"/>
              <w:jc w:val="right"/>
              <w:rPr/>
            </w:pPr>
            <w:r>
              <w:rPr/>
              <w:t>16.6</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200" w:type="dxa"/>
            <w:tcBorders/>
            <w:shd w:fill="CCEEFF" w:val="clear"/>
            <w:vAlign w:val="bottom"/>
          </w:tcPr>
          <w:p>
            <w:pPr>
              <w:pStyle w:val="TableContents"/>
              <w:spacing w:before="0" w:after="283"/>
              <w:jc w:val="right"/>
              <w:rPr/>
            </w:pPr>
            <w:r>
              <w:rPr/>
              <w:t>11.3</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Trade accounts receivable and other receivables, net</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1,665.3</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1,725.4</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Inventory</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968.2</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1,290.0</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Other current assets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159.4</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130.9</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450" w:right="0" w:hanging="225"/>
              <w:rPr/>
            </w:pPr>
            <w:r>
              <w:rPr/>
              <w:t>Total current assets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2,809.5</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3,157.6</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b/>
              </w:rPr>
            </w:pPr>
            <w:r>
              <w:rPr>
                <w:b/>
              </w:rPr>
              <w:t>PROPERTY AND EQUIPMENT</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4,343.5</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4,190.1</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Accumulated depreciation</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pPr>
            <w:r>
              <w:rPr/>
              <w:t>(384.8</w:t>
            </w:r>
          </w:p>
        </w:tc>
        <w:tc>
          <w:tcPr>
            <w:tcW w:w="136" w:type="dxa"/>
            <w:tcBorders/>
            <w:shd w:fill="CCEEFF" w:val="clear"/>
            <w:vAlign w:val="bottom"/>
          </w:tcPr>
          <w:p>
            <w:pPr>
              <w:pStyle w:val="TableContents"/>
              <w:spacing w:before="0" w:after="283"/>
              <w:rPr/>
            </w:pPr>
            <w:r>
              <w:rPr/>
              <w:t>)</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200" w:type="dxa"/>
            <w:tcBorders/>
            <w:shd w:fill="CCEEFF" w:val="clear"/>
            <w:vAlign w:val="bottom"/>
          </w:tcPr>
          <w:p>
            <w:pPr>
              <w:pStyle w:val="TableContents"/>
              <w:spacing w:before="0" w:after="283"/>
              <w:jc w:val="right"/>
              <w:rPr/>
            </w:pPr>
            <w:r>
              <w:rPr/>
              <w:t>(348.1</w:t>
            </w:r>
          </w:p>
        </w:tc>
        <w:tc>
          <w:tcPr>
            <w:tcW w:w="142" w:type="dxa"/>
            <w:tcBorders/>
            <w:shd w:fill="CCEEFF" w:val="clear"/>
            <w:vAlign w:val="bottom"/>
          </w:tcPr>
          <w:p>
            <w:pPr>
              <w:pStyle w:val="TableContents"/>
              <w:spacing w:before="0" w:after="283"/>
              <w:rPr/>
            </w:pPr>
            <w:r>
              <w:rPr/>
              <w:t>)</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3,958.7</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3,842.0</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b/>
              </w:rPr>
            </w:pPr>
            <w:r>
              <w:rPr>
                <w:b/>
              </w:rPr>
              <w:t>OTHER ASSETS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Pipeline linefill in owned assets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271.0</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265.5</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Inventory in third-party assets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76.0</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75.7</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Investment in unconsolidated entities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195.7</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183.0</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Goodwill</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1,035.1</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1,026.2</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Other, net</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167.0</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164.9</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450" w:right="0" w:hanging="225"/>
              <w:rPr/>
            </w:pPr>
            <w:r>
              <w:rPr/>
              <w:t>Total assets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91" w:type="dxa"/>
            <w:tcBorders/>
            <w:shd w:fill="CCEEFF" w:val="clear"/>
            <w:vAlign w:val="bottom"/>
          </w:tcPr>
          <w:p>
            <w:pPr>
              <w:pStyle w:val="TableContents"/>
              <w:spacing w:before="0" w:after="283"/>
              <w:jc w:val="right"/>
              <w:rPr/>
            </w:pPr>
            <w:r>
              <w:rPr/>
              <w:t>8,513.0</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200" w:type="dxa"/>
            <w:tcBorders/>
            <w:shd w:fill="CCEEFF" w:val="clear"/>
            <w:vAlign w:val="bottom"/>
          </w:tcPr>
          <w:p>
            <w:pPr>
              <w:pStyle w:val="TableContents"/>
              <w:spacing w:before="0" w:after="283"/>
              <w:jc w:val="right"/>
              <w:rPr/>
            </w:pPr>
            <w:r>
              <w:rPr/>
              <w:t>8,714.9</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10205" w:type="dxa"/>
            <w:gridSpan w:val="9"/>
            <w:tcBorders/>
            <w:shd w:fill="auto" w:val="clear"/>
            <w:vAlign w:val="bottom"/>
          </w:tcPr>
          <w:p>
            <w:pPr>
              <w:pStyle w:val="TableContents"/>
              <w:spacing w:before="0" w:after="283"/>
              <w:jc w:val="center"/>
              <w:rPr>
                <w:b/>
              </w:rPr>
            </w:pPr>
            <w:r>
              <w:rPr>
                <w:b/>
              </w:rPr>
              <w:t>LIABILITIES AND PARTNERS CAPITAL</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b/>
              </w:rPr>
            </w:pPr>
            <w:r>
              <w:rPr>
                <w:b/>
              </w:rPr>
              <w:t>CURRENT LIABILITIES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Accounts payable and accrued liabilities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91" w:type="dxa"/>
            <w:tcBorders/>
            <w:shd w:fill="auto" w:val="clear"/>
            <w:vAlign w:val="bottom"/>
          </w:tcPr>
          <w:p>
            <w:pPr>
              <w:pStyle w:val="TableContents"/>
              <w:spacing w:before="0" w:after="283"/>
              <w:jc w:val="right"/>
              <w:rPr/>
            </w:pPr>
            <w:r>
              <w:rPr/>
              <w:t>1,723.3</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00" w:type="dxa"/>
            <w:tcBorders/>
            <w:shd w:fill="auto" w:val="clear"/>
            <w:vAlign w:val="bottom"/>
          </w:tcPr>
          <w:p>
            <w:pPr>
              <w:pStyle w:val="TableContents"/>
              <w:spacing w:before="0" w:after="283"/>
              <w:jc w:val="right"/>
              <w:rPr/>
            </w:pPr>
            <w:r>
              <w:rPr/>
              <w:t>1,846.6</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Short-term debt</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900.9</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1,001.2</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Other current liabilities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226.4</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176.9</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450" w:right="0" w:hanging="225"/>
              <w:rPr/>
            </w:pPr>
            <w:r>
              <w:rPr/>
              <w:t>Total current liabilities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2,850.6</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3,024.7</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b/>
              </w:rPr>
            </w:pPr>
            <w:r>
              <w:rPr>
                <w:b/>
              </w:rPr>
              <w:t>LONG-TERM LIABILITIES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Long-term debt under credit facilities and other</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pPr>
            <w:r>
              <w:rPr/>
              <w:t>3.0</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3.1</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Senior notes, net of unamortized net discount of $1.9 and $1.8, respectively</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2,623.1</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2,623.2</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Other long-term liabilities and deferred credits</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92.7</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87.1</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450" w:right="0" w:hanging="225"/>
              <w:rPr/>
            </w:pPr>
            <w:r>
              <w:rPr/>
              <w:t>Total long-term liabilities</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2,718.8</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2,713.4</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b/>
              </w:rPr>
            </w:pPr>
            <w:r>
              <w:rPr>
                <w:b/>
              </w:rPr>
              <w:t>COMMITMENTS AND CONTINGENCIES (NOTE 12)</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 </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b/>
              </w:rPr>
            </w:pPr>
            <w:r>
              <w:rPr>
                <w:b/>
              </w:rPr>
              <w:t>PARTNERS CAPITAL</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225" w:right="0" w:hanging="225"/>
              <w:rPr/>
            </w:pPr>
            <w:r>
              <w:rPr/>
              <w:t>Common unitholders (109,405,178 units outstanding at March 31, 2007 and December 31, 2006)</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2,873.5</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2,906.1</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bottom"/>
          </w:tcPr>
          <w:p>
            <w:pPr>
              <w:pStyle w:val="TableContents"/>
              <w:spacing w:before="0" w:after="0"/>
              <w:ind w:left="225" w:right="0" w:hanging="225"/>
              <w:rPr/>
            </w:pPr>
            <w:r>
              <w:rPr/>
              <w:t>General partner</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70.1</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70.7</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CCEEFF" w:val="clear"/>
            <w:vAlign w:val="bottom"/>
          </w:tcPr>
          <w:p>
            <w:pPr>
              <w:pStyle w:val="TableContents"/>
              <w:spacing w:before="0" w:after="0"/>
              <w:ind w:left="450" w:right="0" w:hanging="225"/>
              <w:rPr/>
            </w:pPr>
            <w:r>
              <w:rPr/>
              <w:t>Total partners capital</w:t>
            </w:r>
          </w:p>
        </w:tc>
        <w:tc>
          <w:tcPr>
            <w:tcW w:w="38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2,943.6</w:t>
            </w:r>
          </w:p>
        </w:tc>
        <w:tc>
          <w:tcPr>
            <w:tcW w:w="13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2,976.8</w:t>
            </w:r>
          </w:p>
        </w:tc>
        <w:tc>
          <w:tcPr>
            <w:tcW w:w="142" w:type="dxa"/>
            <w:tcBorders/>
            <w:shd w:fill="CCEEFF"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546" w:type="dxa"/>
            <w:tcBorders/>
            <w:shd w:fill="auto" w:val="clear"/>
            <w:vAlign w:val="bottom"/>
          </w:tcPr>
          <w:p>
            <w:pPr>
              <w:pStyle w:val="TableContents"/>
              <w:spacing w:before="0" w:after="0"/>
              <w:ind w:left="450" w:right="0" w:hanging="225"/>
              <w:rPr/>
            </w:pPr>
            <w:r>
              <w:rPr/>
              <w:t>Total liabilities and partners capital</w:t>
            </w:r>
          </w:p>
        </w:tc>
        <w:tc>
          <w:tcPr>
            <w:tcW w:w="38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91" w:type="dxa"/>
            <w:tcBorders/>
            <w:shd w:fill="auto" w:val="clear"/>
            <w:vAlign w:val="bottom"/>
          </w:tcPr>
          <w:p>
            <w:pPr>
              <w:pStyle w:val="TableContents"/>
              <w:spacing w:before="0" w:after="283"/>
              <w:jc w:val="right"/>
              <w:rPr/>
            </w:pPr>
            <w:r>
              <w:rPr/>
              <w:t>8,513.0</w:t>
            </w:r>
          </w:p>
        </w:tc>
        <w:tc>
          <w:tcPr>
            <w:tcW w:w="13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00" w:type="dxa"/>
            <w:tcBorders/>
            <w:shd w:fill="auto" w:val="clear"/>
            <w:vAlign w:val="bottom"/>
          </w:tcPr>
          <w:p>
            <w:pPr>
              <w:pStyle w:val="TableContents"/>
              <w:spacing w:before="0" w:after="283"/>
              <w:jc w:val="right"/>
              <w:rPr/>
            </w:pPr>
            <w:r>
              <w:rPr/>
              <w:t>8,714.9</w:t>
            </w:r>
          </w:p>
        </w:tc>
        <w:tc>
          <w:tcPr>
            <w:tcW w:w="142" w:type="dxa"/>
            <w:tcBorders/>
            <w:shd w:fill="auto" w:val="clear"/>
            <w:vAlign w:val="bottom"/>
          </w:tcPr>
          <w:p>
            <w:pPr>
              <w:pStyle w:val="TableContents"/>
              <w:spacing w:before="0" w:after="283"/>
              <w:rPr/>
            </w:pPr>
            <w:r>
              <w:rPr/>
              <w:t> </w:t>
            </w:r>
          </w:p>
        </w:tc>
      </w:tr>
      <w:tr>
        <w:trPr/>
        <w:tc>
          <w:tcPr>
            <w:tcW w:w="6546"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11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4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7" w:name="104"/>
      <w:bookmarkEnd w:id="7"/>
      <w:r>
        <w:rPr>
          <w:rFonts w:ascii="Times New Roman;Times;serif" w:hAnsi="Times New Roman;Times;serif"/>
          <w:b/>
          <w:sz w:val="17"/>
        </w:rPr>
        <w:t>CONSOLIDATED STATEMENTS OF OPERATIONS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47"/>
        <w:gridCol w:w="420"/>
        <w:gridCol w:w="165"/>
        <w:gridCol w:w="855"/>
        <w:gridCol w:w="136"/>
        <w:gridCol w:w="425"/>
        <w:gridCol w:w="165"/>
        <w:gridCol w:w="857"/>
        <w:gridCol w:w="135"/>
      </w:tblGrid>
      <w:tr>
        <w:trPr/>
        <w:tc>
          <w:tcPr>
            <w:tcW w:w="704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603" w:type="dxa"/>
            <w:gridSpan w:val="6"/>
            <w:tcBorders/>
            <w:shd w:fill="auto" w:val="clear"/>
            <w:vAlign w:val="bottom"/>
          </w:tcPr>
          <w:p>
            <w:pPr>
              <w:pStyle w:val="TableContents"/>
              <w:spacing w:before="0" w:after="283"/>
              <w:jc w:val="center"/>
              <w:rPr>
                <w:b/>
              </w:rPr>
            </w:pPr>
            <w:r>
              <w:rPr>
                <w:b/>
              </w:rPr>
              <w:t>Three Months Ended</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60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603" w:type="dxa"/>
            <w:gridSpan w:val="6"/>
            <w:tcBorders/>
            <w:shd w:fill="auto" w:val="clear"/>
            <w:vAlign w:val="bottom"/>
          </w:tcPr>
          <w:p>
            <w:pPr>
              <w:pStyle w:val="TableContents"/>
              <w:spacing w:before="0" w:after="283"/>
              <w:jc w:val="center"/>
              <w:rPr>
                <w:b/>
              </w:rPr>
            </w:pPr>
            <w:r>
              <w:rPr>
                <w:b/>
              </w:rPr>
              <w:t>(unaudited)</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b/>
              </w:rPr>
            </w:pPr>
            <w:r>
              <w:rPr>
                <w:b/>
              </w:rPr>
              <w:t>REVENUES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Crude oil, refined products and LPG sales and related revenues (includes buy/sell transactions of $4,761.9 in the first quarter of 2006)</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4,116.7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8,575.3</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Pipeline tariff activities revenues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86.7</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57.4</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Other revenues</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26.1</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2.4</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450" w:right="0" w:hanging="225"/>
              <w:rPr/>
            </w:pPr>
            <w:r>
              <w:rPr/>
              <w:t>Total revenues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4,229.5</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8,635.1</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b/>
              </w:rPr>
            </w:pPr>
            <w:r>
              <w:rPr>
                <w:b/>
              </w:rPr>
              <w:t>COSTS AND EXPENSES</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Crude oil, refined products and LPG purchases and related costs (includes buy/sell transactions of $4,795.1 in the first quarter of 2006)</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3,899.6</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8,424.5</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Field operating costs</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125.7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85.2</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General and administrative expenses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46.8</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31.8</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Depreciation and amortization</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39.9</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21.6</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450" w:right="0" w:hanging="225"/>
              <w:rPr/>
            </w:pPr>
            <w:r>
              <w:rPr/>
              <w:t>Total costs and expenses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4,112.0</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8,563.1</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b/>
              </w:rPr>
            </w:pPr>
            <w:r>
              <w:rPr>
                <w:b/>
              </w:rPr>
              <w:t>OPERATING INCOME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117.5</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72.0</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b/>
              </w:rPr>
            </w:pPr>
            <w:r>
              <w:rPr>
                <w:b/>
              </w:rPr>
              <w:t>OTHER INCOME/(EXPENSE)</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Equity earnings in unconsolidated entities</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3.6</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0.1</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Interest expense (net of capitalized interest of $2.8 and $0.6)</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283"/>
              <w:jc w:val="right"/>
              <w:rPr/>
            </w:pPr>
            <w:r>
              <w:rPr/>
              <w:t>(41.1</w:t>
            </w:r>
          </w:p>
        </w:tc>
        <w:tc>
          <w:tcPr>
            <w:tcW w:w="136"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57" w:type="dxa"/>
            <w:tcBorders/>
            <w:shd w:fill="CCEEFF" w:val="clear"/>
            <w:vAlign w:val="bottom"/>
          </w:tcPr>
          <w:p>
            <w:pPr>
              <w:pStyle w:val="TableContents"/>
              <w:spacing w:before="0" w:after="283"/>
              <w:jc w:val="right"/>
              <w:rPr/>
            </w:pPr>
            <w:r>
              <w:rPr/>
              <w:t>(15.3</w:t>
            </w:r>
          </w:p>
        </w:tc>
        <w:tc>
          <w:tcPr>
            <w:tcW w:w="135" w:type="dxa"/>
            <w:tcBorders/>
            <w:shd w:fill="CCEEFF" w:val="clear"/>
            <w:vAlign w:val="bottom"/>
          </w:tcPr>
          <w:p>
            <w:pPr>
              <w:pStyle w:val="TableContents"/>
              <w:spacing w:before="0" w:after="283"/>
              <w:rPr/>
            </w:pPr>
            <w:r>
              <w:rPr/>
              <w:t>)</w:t>
            </w:r>
          </w:p>
        </w:tc>
      </w:tr>
      <w:tr>
        <w:trPr/>
        <w:tc>
          <w:tcPr>
            <w:tcW w:w="7047" w:type="dxa"/>
            <w:tcBorders/>
            <w:shd w:fill="auto" w:val="clear"/>
            <w:vAlign w:val="bottom"/>
          </w:tcPr>
          <w:p>
            <w:pPr>
              <w:pStyle w:val="TableContents"/>
              <w:spacing w:before="0" w:after="0"/>
              <w:ind w:left="225" w:right="0" w:hanging="225"/>
              <w:rPr/>
            </w:pPr>
            <w:r>
              <w:rPr/>
              <w:t>Interest income and other income (expense), net</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4.8</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0.3</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Income tax expense</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283"/>
              <w:jc w:val="right"/>
              <w:rPr/>
            </w:pPr>
            <w:r>
              <w:rPr/>
              <w:t>(0.1</w:t>
            </w:r>
          </w:p>
        </w:tc>
        <w:tc>
          <w:tcPr>
            <w:tcW w:w="136"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84.7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57.1</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Cumulative effect of change in accounting principle</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6.3</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b/>
              </w:rPr>
            </w:pPr>
            <w:r>
              <w:rPr>
                <w:b/>
              </w:rPr>
              <w:t>NET INCOME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84.7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63.4</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b/>
              </w:rPr>
            </w:pPr>
            <w:r>
              <w:rPr>
                <w:b/>
              </w:rPr>
              <w:t>NET INCOME-LIMITED PARTNERS</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55" w:type="dxa"/>
            <w:tcBorders/>
            <w:shd w:fill="CCEEFF" w:val="clear"/>
            <w:vAlign w:val="bottom"/>
          </w:tcPr>
          <w:p>
            <w:pPr>
              <w:pStyle w:val="TableContents"/>
              <w:spacing w:before="0" w:after="283"/>
              <w:jc w:val="right"/>
              <w:rPr/>
            </w:pPr>
            <w:r>
              <w:rPr/>
              <w:t>67.9</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57" w:type="dxa"/>
            <w:tcBorders/>
            <w:shd w:fill="CCEEFF" w:val="clear"/>
            <w:vAlign w:val="bottom"/>
          </w:tcPr>
          <w:p>
            <w:pPr>
              <w:pStyle w:val="TableContents"/>
              <w:spacing w:before="0" w:after="283"/>
              <w:jc w:val="right"/>
              <w:rPr/>
            </w:pPr>
            <w:r>
              <w:rPr/>
              <w:t>56.7</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b/>
              </w:rPr>
            </w:pPr>
            <w:r>
              <w:rPr>
                <w:b/>
              </w:rPr>
              <w:t>NET INCOME-GENERAL PARTNER</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16.8</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6.7</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b/>
              </w:rPr>
            </w:pPr>
            <w:r>
              <w:rPr>
                <w:b/>
              </w:rPr>
              <w:t>BASIC NET INCOME PER LIMITED PARTNER UNIT</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0.62</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0.65</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Cumulative effect of change in accounting principle</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0.08</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Net income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0.62</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0.73</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b/>
              </w:rPr>
            </w:pPr>
            <w:r>
              <w:rPr>
                <w:b/>
              </w:rPr>
              <w:t>DILUTED NET INCOME PER LIMITED PARTNER UNIT</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0.61</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0.63</w:t>
            </w:r>
          </w:p>
        </w:tc>
        <w:tc>
          <w:tcPr>
            <w:tcW w:w="135" w:type="dxa"/>
            <w:tcBorders/>
            <w:shd w:fill="auto" w:val="clear"/>
            <w:vAlign w:val="bottom"/>
          </w:tcPr>
          <w:p>
            <w:pPr>
              <w:pStyle w:val="TableContents"/>
              <w:spacing w:before="0" w:after="283"/>
              <w:rPr/>
            </w:pPr>
            <w:r>
              <w:rPr/>
              <w:t> </w:t>
            </w:r>
          </w:p>
        </w:tc>
      </w:tr>
      <w:tr>
        <w:trPr/>
        <w:tc>
          <w:tcPr>
            <w:tcW w:w="7047" w:type="dxa"/>
            <w:tcBorders/>
            <w:shd w:fill="CCEEFF" w:val="clear"/>
            <w:vAlign w:val="bottom"/>
          </w:tcPr>
          <w:p>
            <w:pPr>
              <w:pStyle w:val="TableContents"/>
              <w:spacing w:before="0" w:after="0"/>
              <w:ind w:left="225" w:right="0" w:hanging="225"/>
              <w:rPr/>
            </w:pPr>
            <w:r>
              <w:rPr/>
              <w:t>Cumulative effect of change in accounting principle</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0.08</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bottom"/>
          </w:tcPr>
          <w:p>
            <w:pPr>
              <w:pStyle w:val="TableContents"/>
              <w:spacing w:before="0" w:after="0"/>
              <w:ind w:left="225" w:right="0" w:hanging="225"/>
              <w:rPr/>
            </w:pPr>
            <w:r>
              <w:rPr/>
              <w:t>Net income</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0.61</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0.71</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center"/>
          </w:tcPr>
          <w:p>
            <w:pPr>
              <w:pStyle w:val="TableContents"/>
              <w:spacing w:before="0" w:after="283"/>
              <w:rPr/>
            </w:pPr>
            <w:r>
              <w:rPr/>
              <w:t> </w:t>
            </w:r>
          </w:p>
        </w:tc>
        <w:tc>
          <w:tcPr>
            <w:tcW w:w="3158" w:type="dxa"/>
            <w:gridSpan w:val="8"/>
            <w:tcBorders/>
            <w:shd w:fill="auto" w:val="clear"/>
          </w:tcPr>
          <w:p>
            <w:pPr>
              <w:pStyle w:val="TableContents"/>
              <w:spacing w:before="0" w:after="283"/>
              <w:rPr>
                <w:sz w:val="4"/>
                <w:szCs w:val="4"/>
              </w:rPr>
            </w:pPr>
            <w:r>
              <w:rPr>
                <w:sz w:val="4"/>
                <w:szCs w:val="4"/>
              </w:rPr>
            </w:r>
          </w:p>
        </w:tc>
      </w:tr>
      <w:tr>
        <w:trPr/>
        <w:tc>
          <w:tcPr>
            <w:tcW w:w="7047" w:type="dxa"/>
            <w:tcBorders/>
            <w:shd w:fill="CCEEFF" w:val="clear"/>
            <w:vAlign w:val="bottom"/>
          </w:tcPr>
          <w:p>
            <w:pPr>
              <w:pStyle w:val="TableContents"/>
              <w:spacing w:before="0" w:after="0"/>
              <w:ind w:left="225" w:right="0" w:hanging="225"/>
              <w:rPr>
                <w:b/>
              </w:rPr>
            </w:pPr>
            <w:r>
              <w:rPr>
                <w:b/>
              </w:rPr>
              <w:t>BASIC WEIGHTED AVERAGE UNITS OUTSTANDING</w:t>
            </w:r>
          </w:p>
        </w:tc>
        <w:tc>
          <w:tcPr>
            <w:tcW w:w="4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sz w:val="4"/>
                <w:szCs w:val="4"/>
              </w:rPr>
            </w:pPr>
            <w:r>
              <w:rPr>
                <w:sz w:val="4"/>
                <w:szCs w:val="4"/>
              </w:rPr>
            </w:r>
          </w:p>
        </w:tc>
        <w:tc>
          <w:tcPr>
            <w:tcW w:w="855" w:type="dxa"/>
            <w:tcBorders/>
            <w:shd w:fill="CCEEFF" w:val="clear"/>
            <w:vAlign w:val="bottom"/>
          </w:tcPr>
          <w:p>
            <w:pPr>
              <w:pStyle w:val="TableContents"/>
              <w:spacing w:before="0" w:after="283"/>
              <w:jc w:val="right"/>
              <w:rPr/>
            </w:pPr>
            <w:r>
              <w:rPr/>
              <w:t>109.4</w:t>
            </w:r>
          </w:p>
        </w:tc>
        <w:tc>
          <w:tcPr>
            <w:tcW w:w="13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sz w:val="4"/>
                <w:szCs w:val="4"/>
              </w:rPr>
            </w:pPr>
            <w:r>
              <w:rPr>
                <w:sz w:val="4"/>
                <w:szCs w:val="4"/>
              </w:rPr>
            </w:r>
          </w:p>
        </w:tc>
        <w:tc>
          <w:tcPr>
            <w:tcW w:w="857" w:type="dxa"/>
            <w:tcBorders/>
            <w:shd w:fill="CCEEFF" w:val="clear"/>
            <w:vAlign w:val="bottom"/>
          </w:tcPr>
          <w:p>
            <w:pPr>
              <w:pStyle w:val="TableContents"/>
              <w:spacing w:before="0" w:after="283"/>
              <w:jc w:val="right"/>
              <w:rPr/>
            </w:pPr>
            <w:r>
              <w:rPr/>
              <w:t>74.0</w:t>
            </w:r>
          </w:p>
        </w:tc>
        <w:tc>
          <w:tcPr>
            <w:tcW w:w="135" w:type="dxa"/>
            <w:tcBorders/>
            <w:shd w:fill="CCEEFF"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047" w:type="dxa"/>
            <w:tcBorders/>
            <w:shd w:fill="auto" w:val="clear"/>
            <w:vAlign w:val="center"/>
          </w:tcPr>
          <w:p>
            <w:pPr>
              <w:pStyle w:val="TableContents"/>
              <w:spacing w:before="0" w:after="283"/>
              <w:rPr/>
            </w:pPr>
            <w:r>
              <w:rPr/>
              <w:t> </w:t>
            </w:r>
          </w:p>
        </w:tc>
        <w:tc>
          <w:tcPr>
            <w:tcW w:w="3158" w:type="dxa"/>
            <w:gridSpan w:val="8"/>
            <w:tcBorders/>
            <w:shd w:fill="auto" w:val="clear"/>
          </w:tcPr>
          <w:p>
            <w:pPr>
              <w:pStyle w:val="TableContents"/>
              <w:spacing w:before="0" w:after="283"/>
              <w:rPr>
                <w:sz w:val="4"/>
                <w:szCs w:val="4"/>
              </w:rPr>
            </w:pPr>
            <w:r>
              <w:rPr>
                <w:sz w:val="4"/>
                <w:szCs w:val="4"/>
              </w:rPr>
            </w:r>
          </w:p>
        </w:tc>
      </w:tr>
      <w:tr>
        <w:trPr/>
        <w:tc>
          <w:tcPr>
            <w:tcW w:w="7047" w:type="dxa"/>
            <w:tcBorders/>
            <w:shd w:fill="auto" w:val="clear"/>
            <w:vAlign w:val="bottom"/>
          </w:tcPr>
          <w:p>
            <w:pPr>
              <w:pStyle w:val="TableContents"/>
              <w:spacing w:before="0" w:after="0"/>
              <w:ind w:left="225" w:right="0" w:hanging="225"/>
              <w:rPr>
                <w:b/>
              </w:rPr>
            </w:pPr>
            <w:r>
              <w:rPr>
                <w:b/>
              </w:rPr>
              <w:t>DILUTED WEIGHTED AVERAGE UNITS OUTSTANDING</w:t>
            </w:r>
          </w:p>
        </w:tc>
        <w:tc>
          <w:tcPr>
            <w:tcW w:w="4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sz w:val="4"/>
                <w:szCs w:val="4"/>
              </w:rPr>
            </w:pPr>
            <w:r>
              <w:rPr>
                <w:sz w:val="4"/>
                <w:szCs w:val="4"/>
              </w:rPr>
            </w:r>
          </w:p>
        </w:tc>
        <w:tc>
          <w:tcPr>
            <w:tcW w:w="855" w:type="dxa"/>
            <w:tcBorders/>
            <w:shd w:fill="auto" w:val="clear"/>
            <w:vAlign w:val="bottom"/>
          </w:tcPr>
          <w:p>
            <w:pPr>
              <w:pStyle w:val="TableContents"/>
              <w:spacing w:before="0" w:after="283"/>
              <w:jc w:val="right"/>
              <w:rPr/>
            </w:pPr>
            <w:r>
              <w:rPr/>
              <w:t>110.7</w:t>
            </w:r>
          </w:p>
        </w:tc>
        <w:tc>
          <w:tcPr>
            <w:tcW w:w="13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sz w:val="4"/>
                <w:szCs w:val="4"/>
              </w:rPr>
            </w:pPr>
            <w:r>
              <w:rPr>
                <w:sz w:val="4"/>
                <w:szCs w:val="4"/>
              </w:rPr>
            </w:r>
          </w:p>
        </w:tc>
        <w:tc>
          <w:tcPr>
            <w:tcW w:w="857" w:type="dxa"/>
            <w:tcBorders/>
            <w:shd w:fill="auto" w:val="clear"/>
            <w:vAlign w:val="bottom"/>
          </w:tcPr>
          <w:p>
            <w:pPr>
              <w:pStyle w:val="TableContents"/>
              <w:spacing w:before="0" w:after="283"/>
              <w:jc w:val="right"/>
              <w:rPr/>
            </w:pPr>
            <w:r>
              <w:rPr/>
              <w:t>75.7</w:t>
            </w:r>
          </w:p>
        </w:tc>
        <w:tc>
          <w:tcPr>
            <w:tcW w:w="135" w:type="dxa"/>
            <w:tcBorders/>
            <w:shd w:fill="auto" w:val="clear"/>
            <w:vAlign w:val="bottom"/>
          </w:tcPr>
          <w:p>
            <w:pPr>
              <w:pStyle w:val="TableContents"/>
              <w:spacing w:before="0" w:after="283"/>
              <w:rPr/>
            </w:pPr>
            <w:r>
              <w:rPr/>
              <w:t> </w:t>
            </w:r>
          </w:p>
        </w:tc>
      </w:tr>
      <w:tr>
        <w:trPr/>
        <w:tc>
          <w:tcPr>
            <w:tcW w:w="7047"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8" w:name="105"/>
      <w:bookmarkEnd w:id="8"/>
      <w:r>
        <w:rPr>
          <w:rFonts w:ascii="Times New Roman;Times;serif" w:hAnsi="Times New Roman;Times;serif"/>
          <w:b/>
          <w:sz w:val="17"/>
        </w:rPr>
        <w:t>CONSOLIDATED STATEMENTS OF CASH FLOWS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938"/>
        <w:gridCol w:w="443"/>
        <w:gridCol w:w="181"/>
        <w:gridCol w:w="861"/>
        <w:gridCol w:w="149"/>
        <w:gridCol w:w="452"/>
        <w:gridCol w:w="181"/>
        <w:gridCol w:w="862"/>
        <w:gridCol w:w="138"/>
      </w:tblGrid>
      <w:tr>
        <w:trPr/>
        <w:tc>
          <w:tcPr>
            <w:tcW w:w="6938"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686" w:type="dxa"/>
            <w:gridSpan w:val="6"/>
            <w:tcBorders/>
            <w:shd w:fill="auto" w:val="clear"/>
            <w:vAlign w:val="bottom"/>
          </w:tcPr>
          <w:p>
            <w:pPr>
              <w:pStyle w:val="TableContents"/>
              <w:spacing w:before="0" w:after="283"/>
              <w:jc w:val="center"/>
              <w:rPr>
                <w:b/>
              </w:rPr>
            </w:pPr>
            <w:r>
              <w:rPr>
                <w:b/>
              </w:rPr>
              <w:t>Three Months Ended</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68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0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686" w:type="dxa"/>
            <w:gridSpan w:val="6"/>
            <w:tcBorders/>
            <w:shd w:fill="auto" w:val="clear"/>
            <w:vAlign w:val="bottom"/>
          </w:tcPr>
          <w:p>
            <w:pPr>
              <w:pStyle w:val="TableContents"/>
              <w:spacing w:before="0" w:after="283"/>
              <w:jc w:val="center"/>
              <w:rPr>
                <w:b/>
              </w:rPr>
            </w:pPr>
            <w:r>
              <w:rPr>
                <w:b/>
              </w:rPr>
              <w:t>(unaudited)</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b/>
              </w:rPr>
            </w:pPr>
            <w:r>
              <w:rPr>
                <w:b/>
              </w:rPr>
              <w:t>CASH FLOWS FROM OPERATING ACTIVITIES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Net income</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84.7</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63.4</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450" w:right="0" w:hanging="225"/>
              <w:rPr/>
            </w:pPr>
            <w:r>
              <w:rPr/>
              <w:t>Depreciation and amortization</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39.9</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21.6</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450" w:right="0" w:hanging="225"/>
              <w:rPr/>
            </w:pPr>
            <w:r>
              <w:rPr/>
              <w:t>Cumulative effect of change in accounting principle</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(6.3</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bottom"/>
          </w:tcPr>
          <w:p>
            <w:pPr>
              <w:pStyle w:val="TableContents"/>
              <w:spacing w:before="0" w:after="0"/>
              <w:ind w:left="450" w:right="0" w:hanging="225"/>
              <w:rPr/>
            </w:pPr>
            <w:r>
              <w:rPr/>
              <w:t>SFAS 133 mark-to-market adjustment</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17.0</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0.7</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450" w:right="0" w:hanging="225"/>
              <w:rPr/>
            </w:pPr>
            <w:r>
              <w:rPr/>
              <w:t>Inventory valuation adjustment</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1.0</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450" w:right="0" w:hanging="225"/>
              <w:rPr/>
            </w:pPr>
            <w:r>
              <w:rPr/>
              <w:t>Gain on sale of investment assets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(3.9</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450" w:right="0" w:hanging="225"/>
              <w:rPr/>
            </w:pPr>
            <w:r>
              <w:rPr/>
              <w:t>Long-Term Incentive Plan charge</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18.6</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10.6</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450" w:right="0" w:hanging="225"/>
              <w:rPr/>
            </w:pPr>
            <w:r>
              <w:rPr/>
              <w:t>Noncash amortization of terminated interest rate hedging instruments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0.2</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0.4</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450" w:right="0" w:hanging="225"/>
              <w:rPr/>
            </w:pPr>
            <w:r>
              <w:rPr/>
              <w:t>(Gain)/loss on foreign currency revaluation</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(0.2</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0.9</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450" w:right="0" w:hanging="225"/>
              <w:rPr/>
            </w:pPr>
            <w:r>
              <w:rPr/>
              <w:t>Equity earnings in unconsolidated entities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(3.6</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(0.1</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225" w:right="0" w:hanging="225"/>
              <w:rPr/>
            </w:pPr>
            <w:r>
              <w:rPr/>
              <w:t>Changes in assets and liabilities, net of acquisitions: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450" w:right="0" w:hanging="225"/>
              <w:rPr/>
            </w:pPr>
            <w:r>
              <w:rPr/>
              <w:t>Trade accounts receivable and other</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60.7</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(430.9</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450" w:right="0" w:hanging="225"/>
              <w:rPr/>
            </w:pPr>
            <w:r>
              <w:rPr/>
              <w:t>Inventory</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323.3</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(116.0</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bottom"/>
          </w:tcPr>
          <w:p>
            <w:pPr>
              <w:pStyle w:val="TableContents"/>
              <w:spacing w:before="0" w:after="0"/>
              <w:ind w:left="450" w:right="0" w:hanging="225"/>
              <w:rPr/>
            </w:pPr>
            <w:r>
              <w:rPr/>
              <w:t>Accounts payable and other liabilities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(173.1</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(3.2</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450" w:right="0" w:hanging="225"/>
              <w:rPr/>
            </w:pPr>
            <w:r>
              <w:rPr/>
              <w:t>Due to related parties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7.1</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1.3</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675" w:right="0" w:hanging="225"/>
              <w:rPr/>
            </w:pPr>
            <w:r>
              <w:rPr/>
              <w:t>Net cash provided by (used in) operating activities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371.7</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(457.6</w:t>
            </w:r>
          </w:p>
        </w:tc>
        <w:tc>
          <w:tcPr>
            <w:tcW w:w="138" w:type="dxa"/>
            <w:tcBorders/>
            <w:shd w:fill="auto" w:val="clear"/>
            <w:vAlign w:val="bottom"/>
          </w:tcPr>
          <w:p>
            <w:pPr>
              <w:pStyle w:val="TableContents"/>
              <w:spacing w:before="0" w:after="283"/>
              <w:rPr/>
            </w:pPr>
            <w:r>
              <w:rPr/>
              <w:t>)</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 </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b/>
              </w:rPr>
            </w:pPr>
            <w:r>
              <w:rPr>
                <w:b/>
              </w:rPr>
              <w:t>CASH FLOWS FROM INVESTING ACTIVITIES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Cash paid in connection with acquisitions (Note 3)</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(17.3</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(17.5</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225" w:right="0" w:hanging="225"/>
              <w:rPr/>
            </w:pPr>
            <w:r>
              <w:rPr/>
              <w:t>Additions to property and equipment</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(134.1</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(62.7</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bottom"/>
          </w:tcPr>
          <w:p>
            <w:pPr>
              <w:pStyle w:val="TableContents"/>
              <w:spacing w:before="0" w:after="0"/>
              <w:ind w:left="225" w:right="0" w:hanging="225"/>
              <w:rPr/>
            </w:pPr>
            <w:r>
              <w:rPr/>
              <w:t>Investment in unconsolidated entities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(9.1</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Cash paid for linefill in assets owned</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(4.5</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(4.3</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bottom"/>
          </w:tcPr>
          <w:p>
            <w:pPr>
              <w:pStyle w:val="TableContents"/>
              <w:spacing w:before="0" w:after="0"/>
              <w:ind w:left="225" w:right="0" w:hanging="225"/>
              <w:rPr/>
            </w:pPr>
            <w:r>
              <w:rPr/>
              <w:t>Proceeds from sales of assets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4.3</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0.2</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675" w:right="0" w:hanging="225"/>
              <w:rPr/>
            </w:pPr>
            <w:r>
              <w:rPr/>
              <w:t>Net cash used in investing activities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(160.7</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(84.3</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 </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b/>
              </w:rPr>
            </w:pPr>
            <w:r>
              <w:rPr>
                <w:b/>
              </w:rPr>
              <w:t>CASH FLOWS FROM FINANCING ACTIVITIES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Net repayments on working capital revolving credit facility</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(69.9</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(5.1</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bottom"/>
          </w:tcPr>
          <w:p>
            <w:pPr>
              <w:pStyle w:val="TableContents"/>
              <w:spacing w:before="0" w:after="0"/>
              <w:ind w:left="225" w:right="0" w:hanging="225"/>
              <w:rPr/>
            </w:pPr>
            <w:r>
              <w:rPr/>
              <w:t>Net borrowings/(repayments) on short-term letter of credit and hedged inventory facility</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(32.1</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503.4</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Net proceeds from the issuance of common units (Note 7)</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101.4</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Distributions paid to unitholders and general partner (Note 7)</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(104.6</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(57.3</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225" w:right="0" w:hanging="225"/>
              <w:rPr/>
            </w:pPr>
            <w:r>
              <w:rPr/>
              <w:t>Other financing activities</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(0.2</w:t>
            </w:r>
          </w:p>
        </w:tc>
        <w:tc>
          <w:tcPr>
            <w:tcW w:w="149"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(0.9</w:t>
            </w:r>
          </w:p>
        </w:tc>
        <w:tc>
          <w:tcPr>
            <w:tcW w:w="138" w:type="dxa"/>
            <w:tcBorders/>
            <w:shd w:fill="CCEEFF" w:val="clear"/>
            <w:vAlign w:val="bottom"/>
          </w:tcPr>
          <w:p>
            <w:pPr>
              <w:pStyle w:val="TableContents"/>
              <w:spacing w:before="0" w:after="283"/>
              <w:rPr/>
            </w:pPr>
            <w:r>
              <w:rPr/>
              <w:t>)</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675" w:right="0" w:hanging="225"/>
              <w:rPr/>
            </w:pPr>
            <w:r>
              <w:rPr/>
              <w:t>Net cash provided by (used in) financing activities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(206.8</w:t>
            </w:r>
          </w:p>
        </w:tc>
        <w:tc>
          <w:tcPr>
            <w:tcW w:w="149"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541.5</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 </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Effect of translation adjustment on cash</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1.1</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0.1</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Net increase (decrease) in cash and cash equivalents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5.3</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(0.3</w:t>
            </w:r>
          </w:p>
        </w:tc>
        <w:tc>
          <w:tcPr>
            <w:tcW w:w="138" w:type="dxa"/>
            <w:tcBorders/>
            <w:shd w:fill="auto" w:val="clear"/>
            <w:vAlign w:val="bottom"/>
          </w:tcPr>
          <w:p>
            <w:pPr>
              <w:pStyle w:val="TableContents"/>
              <w:spacing w:before="0" w:after="283"/>
              <w:rPr/>
            </w:pPr>
            <w:r>
              <w:rPr/>
              <w:t>)</w:t>
            </w:r>
          </w:p>
        </w:tc>
      </w:tr>
      <w:tr>
        <w:trPr/>
        <w:tc>
          <w:tcPr>
            <w:tcW w:w="6938" w:type="dxa"/>
            <w:tcBorders/>
            <w:shd w:fill="CCEEFF" w:val="clear"/>
            <w:vAlign w:val="bottom"/>
          </w:tcPr>
          <w:p>
            <w:pPr>
              <w:pStyle w:val="TableContents"/>
              <w:spacing w:before="0" w:after="0"/>
              <w:ind w:left="225" w:right="0" w:hanging="225"/>
              <w:rPr/>
            </w:pPr>
            <w:r>
              <w:rPr/>
              <w:t>Cash and cash equivalents, beginning of period</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11.3</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9.6</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Cash and cash equivalents, end of period</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16.6</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9.3</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 </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Cash paid for interest, net of amounts capitalized</w:t>
            </w:r>
          </w:p>
        </w:tc>
        <w:tc>
          <w:tcPr>
            <w:tcW w:w="44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26.3</w:t>
            </w:r>
          </w:p>
        </w:tc>
        <w:tc>
          <w:tcPr>
            <w:tcW w:w="14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17.5</w:t>
            </w:r>
          </w:p>
        </w:tc>
        <w:tc>
          <w:tcPr>
            <w:tcW w:w="138" w:type="dxa"/>
            <w:tcBorders/>
            <w:shd w:fill="CCEEFF"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Cash paid for income taxes</w:t>
            </w:r>
          </w:p>
        </w:tc>
        <w:tc>
          <w:tcPr>
            <w:tcW w:w="44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1.6</w:t>
            </w:r>
          </w:p>
        </w:tc>
        <w:tc>
          <w:tcPr>
            <w:tcW w:w="14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9" w:name="106"/>
      <w:bookmarkEnd w:id="9"/>
      <w:r>
        <w:rPr>
          <w:rFonts w:ascii="Times New Roman;Times;serif" w:hAnsi="Times New Roman;Times;serif"/>
          <w:b/>
          <w:sz w:val="17"/>
        </w:rPr>
        <w:t>CONSOLIDATED STATEMENT OF PARTNERS CAPITAL</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215"/>
        <w:gridCol w:w="341"/>
        <w:gridCol w:w="107"/>
        <w:gridCol w:w="747"/>
        <w:gridCol w:w="107"/>
        <w:gridCol w:w="341"/>
        <w:gridCol w:w="172"/>
        <w:gridCol w:w="894"/>
        <w:gridCol w:w="135"/>
        <w:gridCol w:w="341"/>
        <w:gridCol w:w="207"/>
        <w:gridCol w:w="842"/>
        <w:gridCol w:w="134"/>
        <w:gridCol w:w="341"/>
        <w:gridCol w:w="198"/>
        <w:gridCol w:w="917"/>
        <w:gridCol w:w="95"/>
        <w:gridCol w:w="71"/>
      </w:tblGrid>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jc w:val="center"/>
              <w:rPr>
                <w:b/>
              </w:rPr>
            </w:pPr>
            <w:r>
              <w:rPr>
                <w:b/>
              </w:rPr>
              <w:t>General</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b/>
              </w:rPr>
            </w:pPr>
            <w:r>
              <w:rPr>
                <w:b/>
              </w:rPr>
              <w:t>Partners</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36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Units</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jc w:val="center"/>
              <w:rPr>
                <w:b/>
              </w:rPr>
            </w:pPr>
            <w:r>
              <w:rPr>
                <w:b/>
              </w:rPr>
              <w:t>Partner</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b/>
              </w:rPr>
            </w:pPr>
            <w:r>
              <w:rPr>
                <w:b/>
              </w:rPr>
              <w:t>Capital</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578" w:type="dxa"/>
            <w:gridSpan w:val="15"/>
            <w:tcBorders/>
            <w:shd w:fill="auto" w:val="clear"/>
            <w:vAlign w:val="bottom"/>
          </w:tcPr>
          <w:p>
            <w:pPr>
              <w:pStyle w:val="TableContents"/>
              <w:spacing w:before="0" w:after="283"/>
              <w:jc w:val="center"/>
              <w:rPr>
                <w:b/>
              </w:rPr>
            </w:pPr>
            <w:r>
              <w:rPr>
                <w:b/>
              </w:rPr>
              <w:t>(unaudited)</w:t>
            </w:r>
          </w:p>
        </w:tc>
        <w:tc>
          <w:tcPr>
            <w:tcW w:w="71" w:type="dxa"/>
            <w:tcBorders/>
            <w:shd w:fill="auto" w:val="clear"/>
            <w:vAlign w:val="bottom"/>
          </w:tcPr>
          <w:p>
            <w:pPr>
              <w:pStyle w:val="TableContents"/>
              <w:spacing w:before="0" w:after="283"/>
              <w:rPr/>
            </w:pPr>
            <w:r>
              <w:rPr/>
              <w:t> </w:t>
            </w:r>
          </w:p>
        </w:tc>
      </w:tr>
      <w:tr>
        <w:trPr/>
        <w:tc>
          <w:tcPr>
            <w:tcW w:w="4215" w:type="dxa"/>
            <w:tcBorders/>
            <w:shd w:fill="CCEEFF" w:val="clear"/>
            <w:vAlign w:val="bottom"/>
          </w:tcPr>
          <w:p>
            <w:pPr>
              <w:pStyle w:val="TableContents"/>
              <w:spacing w:before="0" w:after="0"/>
              <w:ind w:left="225" w:right="0" w:hanging="225"/>
              <w:rPr/>
            </w:pPr>
            <w:r>
              <w:rPr/>
              <w:t>Balance at December 31, 2006</w:t>
            </w:r>
          </w:p>
        </w:tc>
        <w:tc>
          <w:tcPr>
            <w:tcW w:w="34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b/>
              </w:rPr>
            </w:pPr>
            <w:r>
              <w:rPr>
                <w:b/>
              </w:rPr>
              <w:t>109.4</w:t>
            </w:r>
          </w:p>
        </w:tc>
        <w:tc>
          <w:tcPr>
            <w:tcW w:w="10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b/>
              </w:rPr>
            </w:pPr>
            <w:r>
              <w:rPr>
                <w:b/>
              </w:rPr>
              <w:t>$</w:t>
            </w:r>
          </w:p>
        </w:tc>
        <w:tc>
          <w:tcPr>
            <w:tcW w:w="894" w:type="dxa"/>
            <w:tcBorders/>
            <w:shd w:fill="CCEEFF" w:val="clear"/>
            <w:vAlign w:val="bottom"/>
          </w:tcPr>
          <w:p>
            <w:pPr>
              <w:pStyle w:val="TableContents"/>
              <w:spacing w:before="0" w:after="283"/>
              <w:jc w:val="right"/>
              <w:rPr>
                <w:b/>
              </w:rPr>
            </w:pPr>
            <w:r>
              <w:rPr>
                <w:b/>
              </w:rPr>
              <w:t>2,906.1</w:t>
            </w:r>
          </w:p>
        </w:tc>
        <w:tc>
          <w:tcPr>
            <w:tcW w:w="13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b/>
              </w:rPr>
            </w:pPr>
            <w:r>
              <w:rPr>
                <w:b/>
              </w:rPr>
              <w:t>$</w:t>
            </w:r>
          </w:p>
        </w:tc>
        <w:tc>
          <w:tcPr>
            <w:tcW w:w="842" w:type="dxa"/>
            <w:tcBorders/>
            <w:shd w:fill="CCEEFF" w:val="clear"/>
            <w:vAlign w:val="bottom"/>
          </w:tcPr>
          <w:p>
            <w:pPr>
              <w:pStyle w:val="TableContents"/>
              <w:spacing w:before="0" w:after="283"/>
              <w:jc w:val="right"/>
              <w:rPr>
                <w:b/>
              </w:rPr>
            </w:pPr>
            <w:r>
              <w:rPr>
                <w:b/>
              </w:rPr>
              <w:t>70.7</w:t>
            </w:r>
          </w:p>
        </w:tc>
        <w:tc>
          <w:tcPr>
            <w:tcW w:w="13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b/>
              </w:rPr>
            </w:pPr>
            <w:r>
              <w:rPr>
                <w:b/>
              </w:rPr>
              <w:t>$</w:t>
            </w:r>
          </w:p>
        </w:tc>
        <w:tc>
          <w:tcPr>
            <w:tcW w:w="917" w:type="dxa"/>
            <w:tcBorders/>
            <w:shd w:fill="CCEEFF" w:val="clear"/>
            <w:vAlign w:val="bottom"/>
          </w:tcPr>
          <w:p>
            <w:pPr>
              <w:pStyle w:val="TableContents"/>
              <w:spacing w:before="0" w:after="283"/>
              <w:jc w:val="right"/>
              <w:rPr>
                <w:b/>
              </w:rPr>
            </w:pPr>
            <w:r>
              <w:rPr>
                <w:b/>
              </w:rPr>
              <w:t>2,976.8</w:t>
            </w:r>
          </w:p>
        </w:tc>
        <w:tc>
          <w:tcPr>
            <w:tcW w:w="95" w:type="dxa"/>
            <w:tcBorders/>
            <w:shd w:fill="CCEEFF" w:val="clear"/>
            <w:vAlign w:val="bottom"/>
          </w:tcPr>
          <w:p>
            <w:pPr>
              <w:pStyle w:val="TableContents"/>
              <w:spacing w:before="0" w:after="283"/>
              <w:rPr/>
            </w:pPr>
            <w:r>
              <w:rPr/>
              <w:t> </w:t>
            </w:r>
          </w:p>
        </w:tc>
        <w:tc>
          <w:tcPr>
            <w:tcW w:w="71" w:type="dxa"/>
            <w:tcBorders/>
            <w:shd w:fill="CCEEFF"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0"/>
              <w:ind w:left="225" w:right="0" w:hanging="225"/>
              <w:rPr/>
            </w:pPr>
            <w:r>
              <w:rPr/>
              <w:t>Net income</w:t>
            </w:r>
          </w:p>
        </w:tc>
        <w:tc>
          <w:tcPr>
            <w:tcW w:w="3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67.9</w:t>
            </w:r>
          </w:p>
        </w:tc>
        <w:tc>
          <w:tcPr>
            <w:tcW w:w="13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16.8</w:t>
            </w:r>
          </w:p>
        </w:tc>
        <w:tc>
          <w:tcPr>
            <w:tcW w:w="1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b/>
              </w:rPr>
            </w:pPr>
            <w:r>
              <w:rPr>
                <w:b/>
              </w:rPr>
              <w:t>$</w:t>
            </w:r>
          </w:p>
        </w:tc>
        <w:tc>
          <w:tcPr>
            <w:tcW w:w="917" w:type="dxa"/>
            <w:tcBorders/>
            <w:shd w:fill="auto" w:val="clear"/>
            <w:vAlign w:val="bottom"/>
          </w:tcPr>
          <w:p>
            <w:pPr>
              <w:pStyle w:val="TableContents"/>
              <w:spacing w:before="0" w:after="283"/>
              <w:jc w:val="right"/>
              <w:rPr>
                <w:b/>
              </w:rPr>
            </w:pPr>
            <w:r>
              <w:rPr>
                <w:b/>
              </w:rPr>
              <w:t>84.7</w:t>
            </w:r>
          </w:p>
        </w:tc>
        <w:tc>
          <w:tcPr>
            <w:tcW w:w="95"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CCEEFF" w:val="clear"/>
            <w:vAlign w:val="bottom"/>
          </w:tcPr>
          <w:p>
            <w:pPr>
              <w:pStyle w:val="TableContents"/>
              <w:spacing w:before="0" w:after="0"/>
              <w:ind w:left="225" w:right="0" w:hanging="225"/>
              <w:rPr/>
            </w:pPr>
            <w:r>
              <w:rPr/>
              <w:t>Distributions</w:t>
            </w:r>
          </w:p>
        </w:tc>
        <w:tc>
          <w:tcPr>
            <w:tcW w:w="34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(87.5</w:t>
            </w:r>
          </w:p>
        </w:tc>
        <w:tc>
          <w:tcPr>
            <w:tcW w:w="135"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283"/>
              <w:jc w:val="right"/>
              <w:rPr/>
            </w:pPr>
            <w:r>
              <w:rPr/>
              <w:t>(17.1</w:t>
            </w:r>
          </w:p>
        </w:tc>
        <w:tc>
          <w:tcPr>
            <w:tcW w:w="134"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b/>
              </w:rPr>
            </w:pPr>
            <w:r>
              <w:rPr>
                <w:b/>
              </w:rPr>
              <w:t>$</w:t>
            </w:r>
          </w:p>
        </w:tc>
        <w:tc>
          <w:tcPr>
            <w:tcW w:w="917" w:type="dxa"/>
            <w:tcBorders/>
            <w:shd w:fill="CCEEFF" w:val="clear"/>
            <w:vAlign w:val="bottom"/>
          </w:tcPr>
          <w:p>
            <w:pPr>
              <w:pStyle w:val="TableContents"/>
              <w:spacing w:before="0" w:after="283"/>
              <w:jc w:val="right"/>
              <w:rPr>
                <w:b/>
              </w:rPr>
            </w:pPr>
            <w:r>
              <w:rPr>
                <w:b/>
              </w:rPr>
              <w:t>(104.6</w:t>
            </w:r>
          </w:p>
        </w:tc>
        <w:tc>
          <w:tcPr>
            <w:tcW w:w="95" w:type="dxa"/>
            <w:tcBorders/>
            <w:shd w:fill="CCEEFF" w:val="clear"/>
            <w:vAlign w:val="bottom"/>
          </w:tcPr>
          <w:p>
            <w:pPr>
              <w:pStyle w:val="TableContents"/>
              <w:spacing w:before="0" w:after="283"/>
              <w:rPr>
                <w:b/>
              </w:rPr>
            </w:pPr>
            <w:r>
              <w:rPr>
                <w:b/>
              </w:rPr>
              <w:t>)</w:t>
            </w:r>
          </w:p>
        </w:tc>
        <w:tc>
          <w:tcPr>
            <w:tcW w:w="71" w:type="dxa"/>
            <w:tcBorders/>
            <w:shd w:fill="CCEEFF" w:val="clea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0"/>
              <w:ind w:left="225" w:right="0" w:hanging="225"/>
              <w:rPr/>
            </w:pPr>
            <w:r>
              <w:rPr/>
              <w:t>Other comprehensive income</w:t>
            </w:r>
          </w:p>
        </w:tc>
        <w:tc>
          <w:tcPr>
            <w:tcW w:w="3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(13.0</w:t>
            </w:r>
          </w:p>
        </w:tc>
        <w:tc>
          <w:tcPr>
            <w:tcW w:w="135"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(0.3</w:t>
            </w:r>
          </w:p>
        </w:tc>
        <w:tc>
          <w:tcPr>
            <w:tcW w:w="134"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b/>
              </w:rPr>
            </w:pPr>
            <w:r>
              <w:rPr>
                <w:b/>
              </w:rPr>
              <w:t>$</w:t>
            </w:r>
          </w:p>
        </w:tc>
        <w:tc>
          <w:tcPr>
            <w:tcW w:w="917" w:type="dxa"/>
            <w:tcBorders/>
            <w:shd w:fill="auto" w:val="clear"/>
            <w:vAlign w:val="bottom"/>
          </w:tcPr>
          <w:p>
            <w:pPr>
              <w:pStyle w:val="TableContents"/>
              <w:spacing w:before="0" w:after="283"/>
              <w:jc w:val="right"/>
              <w:rPr>
                <w:b/>
              </w:rPr>
            </w:pPr>
            <w:r>
              <w:rPr>
                <w:b/>
              </w:rPr>
              <w:t>(13.3</w:t>
            </w:r>
          </w:p>
        </w:tc>
        <w:tc>
          <w:tcPr>
            <w:tcW w:w="95" w:type="dxa"/>
            <w:tcBorders/>
            <w:shd w:fill="auto" w:val="clear"/>
            <w:vAlign w:val="bottom"/>
          </w:tcPr>
          <w:p>
            <w:pPr>
              <w:pStyle w:val="TableContents"/>
              <w:spacing w:before="0" w:after="283"/>
              <w:rPr>
                <w:b/>
              </w:rPr>
            </w:pPr>
            <w:r>
              <w:rPr>
                <w:b/>
              </w:rPr>
              <w:t>)</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auto" w:val="clear"/>
            <w:vAlign w:val="center"/>
          </w:tcPr>
          <w:p>
            <w:pPr>
              <w:pStyle w:val="TableContents"/>
              <w:spacing w:before="0" w:after="0"/>
              <w:ind w:left="225" w:right="0" w:hanging="225"/>
              <w:rPr/>
            </w:pPr>
            <w:r>
              <w:rPr/>
              <w:t> </w:t>
            </w:r>
          </w:p>
        </w:tc>
        <w:tc>
          <w:tcPr>
            <w:tcW w:w="341" w:type="dxa"/>
            <w:tcBorders/>
            <w:shd w:fill="auto" w:val="clear"/>
            <w:vAlign w:val="center"/>
          </w:tcPr>
          <w:p>
            <w:pPr>
              <w:pStyle w:val="TableContents"/>
              <w:spacing w:before="0" w:after="283"/>
              <w:rPr/>
            </w:pPr>
            <w:r>
              <w:rPr/>
              <w:t> </w:t>
            </w:r>
          </w:p>
        </w:tc>
        <w:tc>
          <w:tcPr>
            <w:tcW w:w="8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r>
        <w:trPr/>
        <w:tc>
          <w:tcPr>
            <w:tcW w:w="4215" w:type="dxa"/>
            <w:tcBorders/>
            <w:shd w:fill="CCEEFF" w:val="clear"/>
            <w:vAlign w:val="bottom"/>
          </w:tcPr>
          <w:p>
            <w:pPr>
              <w:pStyle w:val="TableContents"/>
              <w:spacing w:before="0" w:after="0"/>
              <w:ind w:left="225" w:right="0" w:hanging="225"/>
              <w:rPr/>
            </w:pPr>
            <w:r>
              <w:rPr/>
              <w:t>Balance at March 31, 2007</w:t>
            </w:r>
          </w:p>
        </w:tc>
        <w:tc>
          <w:tcPr>
            <w:tcW w:w="34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b/>
              </w:rPr>
            </w:pPr>
            <w:r>
              <w:rPr>
                <w:b/>
              </w:rPr>
              <w:t>109.4</w:t>
            </w:r>
          </w:p>
        </w:tc>
        <w:tc>
          <w:tcPr>
            <w:tcW w:w="10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b/>
              </w:rPr>
            </w:pPr>
            <w:r>
              <w:rPr>
                <w:b/>
              </w:rPr>
              <w:t>$</w:t>
            </w:r>
          </w:p>
        </w:tc>
        <w:tc>
          <w:tcPr>
            <w:tcW w:w="894" w:type="dxa"/>
            <w:tcBorders/>
            <w:shd w:fill="CCEEFF" w:val="clear"/>
            <w:vAlign w:val="bottom"/>
          </w:tcPr>
          <w:p>
            <w:pPr>
              <w:pStyle w:val="TableContents"/>
              <w:spacing w:before="0" w:after="283"/>
              <w:jc w:val="right"/>
              <w:rPr>
                <w:b/>
              </w:rPr>
            </w:pPr>
            <w:r>
              <w:rPr>
                <w:b/>
              </w:rPr>
              <w:t>2,873.5</w:t>
            </w:r>
          </w:p>
        </w:tc>
        <w:tc>
          <w:tcPr>
            <w:tcW w:w="13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b/>
              </w:rPr>
            </w:pPr>
            <w:r>
              <w:rPr>
                <w:b/>
              </w:rPr>
              <w:t>$</w:t>
            </w:r>
          </w:p>
        </w:tc>
        <w:tc>
          <w:tcPr>
            <w:tcW w:w="842" w:type="dxa"/>
            <w:tcBorders/>
            <w:shd w:fill="CCEEFF" w:val="clear"/>
            <w:vAlign w:val="bottom"/>
          </w:tcPr>
          <w:p>
            <w:pPr>
              <w:pStyle w:val="TableContents"/>
              <w:spacing w:before="0" w:after="283"/>
              <w:jc w:val="right"/>
              <w:rPr>
                <w:b/>
              </w:rPr>
            </w:pPr>
            <w:r>
              <w:rPr>
                <w:b/>
              </w:rPr>
              <w:t>70.1</w:t>
            </w:r>
          </w:p>
        </w:tc>
        <w:tc>
          <w:tcPr>
            <w:tcW w:w="13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b/>
              </w:rPr>
            </w:pPr>
            <w:r>
              <w:rPr>
                <w:b/>
              </w:rPr>
              <w:t>$</w:t>
            </w:r>
          </w:p>
        </w:tc>
        <w:tc>
          <w:tcPr>
            <w:tcW w:w="917" w:type="dxa"/>
            <w:tcBorders/>
            <w:shd w:fill="CCEEFF" w:val="clear"/>
            <w:vAlign w:val="bottom"/>
          </w:tcPr>
          <w:p>
            <w:pPr>
              <w:pStyle w:val="TableContents"/>
              <w:spacing w:before="0" w:after="283"/>
              <w:jc w:val="right"/>
              <w:rPr>
                <w:b/>
              </w:rPr>
            </w:pPr>
            <w:r>
              <w:rPr>
                <w:b/>
              </w:rPr>
              <w:t>2,943.6</w:t>
            </w:r>
          </w:p>
        </w:tc>
        <w:tc>
          <w:tcPr>
            <w:tcW w:w="95" w:type="dxa"/>
            <w:tcBorders/>
            <w:shd w:fill="CCEEFF" w:val="clear"/>
            <w:vAlign w:val="bottom"/>
          </w:tcPr>
          <w:p>
            <w:pPr>
              <w:pStyle w:val="TableContents"/>
              <w:spacing w:before="0" w:after="283"/>
              <w:rPr/>
            </w:pPr>
            <w:r>
              <w:rPr/>
              <w:t> </w:t>
            </w:r>
          </w:p>
        </w:tc>
        <w:tc>
          <w:tcPr>
            <w:tcW w:w="71" w:type="dxa"/>
            <w:tcBorders/>
            <w:shd w:fill="CCEEFF" w:val="clear"/>
          </w:tcPr>
          <w:p>
            <w:pPr>
              <w:pStyle w:val="TableContents"/>
              <w:spacing w:before="0" w:after="283"/>
              <w:rPr>
                <w:sz w:val="4"/>
                <w:szCs w:val="4"/>
              </w:rPr>
            </w:pPr>
            <w:r>
              <w:rPr>
                <w:sz w:val="4"/>
                <w:szCs w:val="4"/>
              </w:rPr>
            </w:r>
          </w:p>
        </w:tc>
      </w:tr>
      <w:tr>
        <w:trPr/>
        <w:tc>
          <w:tcPr>
            <w:tcW w:w="4215" w:type="dxa"/>
            <w:tcBorders/>
            <w:shd w:fill="auto" w:val="clear"/>
            <w:vAlign w:val="center"/>
          </w:tcPr>
          <w:p>
            <w:pPr>
              <w:pStyle w:val="TableContents"/>
              <w:spacing w:before="0" w:after="0"/>
              <w:ind w:left="225" w:right="0" w:hanging="225"/>
              <w:rPr/>
            </w:pPr>
            <w:r>
              <w:rPr/>
              <w:t> </w:t>
            </w:r>
          </w:p>
        </w:tc>
        <w:tc>
          <w:tcPr>
            <w:tcW w:w="341" w:type="dxa"/>
            <w:tcBorders/>
            <w:shd w:fill="auto" w:val="clear"/>
            <w:vAlign w:val="center"/>
          </w:tcPr>
          <w:p>
            <w:pPr>
              <w:pStyle w:val="TableContents"/>
              <w:spacing w:before="0" w:after="283"/>
              <w:rPr/>
            </w:pPr>
            <w:r>
              <w:rPr/>
              <w:t> </w:t>
            </w:r>
          </w:p>
        </w:tc>
        <w:tc>
          <w:tcPr>
            <w:tcW w:w="8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71" w:type="dxa"/>
            <w:tcBorders/>
            <w:shd w:fill="auto" w:val="clear"/>
          </w:tcPr>
          <w:p>
            <w:pPr>
              <w:pStyle w:val="TableContents"/>
              <w:spacing w:before="0" w:after="283"/>
              <w:rPr>
                <w:sz w:val="4"/>
                <w:szCs w:val="4"/>
              </w:rPr>
            </w:pPr>
            <w:r>
              <w:rPr>
                <w:sz w:val="4"/>
                <w:szCs w:val="4"/>
              </w:rPr>
            </w:r>
          </w:p>
        </w:tc>
      </w:tr>
    </w:tbl>
    <w:p>
      <w:pPr>
        <w:pStyle w:val="TextBody"/>
        <w:spacing w:before="120" w:after="283"/>
        <w:jc w:val="center"/>
        <w:rPr>
          <w:rFonts w:ascii="Times New Roman;Times;serif" w:hAnsi="Times New Roman;Times;serif"/>
          <w:sz w:val="17"/>
        </w:rPr>
      </w:pPr>
      <w:bookmarkStart w:id="10" w:name="107"/>
      <w:bookmarkEnd w:id="10"/>
      <w:r>
        <w:rPr>
          <w:rFonts w:ascii="Times New Roman;Times;serif" w:hAnsi="Times New Roman;Times;serif"/>
          <w:b/>
          <w:sz w:val="17"/>
        </w:rPr>
        <w:t>CONSOLIDATED STATEMENTS OF COMPREHENSIVE INCOME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801"/>
        <w:gridCol w:w="431"/>
        <w:gridCol w:w="223"/>
        <w:gridCol w:w="925"/>
        <w:gridCol w:w="176"/>
        <w:gridCol w:w="454"/>
        <w:gridCol w:w="223"/>
        <w:gridCol w:w="850"/>
        <w:gridCol w:w="122"/>
      </w:tblGrid>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851" w:type="dxa"/>
            <w:gridSpan w:val="6"/>
            <w:tcBorders/>
            <w:shd w:fill="auto" w:val="clear"/>
            <w:vAlign w:val="bottom"/>
          </w:tcPr>
          <w:p>
            <w:pPr>
              <w:pStyle w:val="TableContents"/>
              <w:spacing w:before="0" w:after="283"/>
              <w:jc w:val="center"/>
              <w:rPr>
                <w:b/>
              </w:rPr>
            </w:pPr>
            <w:r>
              <w:rPr>
                <w:b/>
              </w:rPr>
              <w:t>Three Months Ended</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85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1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851" w:type="dxa"/>
            <w:gridSpan w:val="6"/>
            <w:tcBorders/>
            <w:shd w:fill="auto" w:val="clear"/>
            <w:vAlign w:val="bottom"/>
          </w:tcPr>
          <w:p>
            <w:pPr>
              <w:pStyle w:val="TableContents"/>
              <w:spacing w:before="0" w:after="283"/>
              <w:jc w:val="center"/>
              <w:rPr>
                <w:b/>
              </w:rPr>
            </w:pPr>
            <w:r>
              <w:rPr>
                <w:b/>
              </w:rPr>
              <w:t>(unaudited)</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Net income</w:t>
            </w:r>
          </w:p>
        </w:tc>
        <w:tc>
          <w:tcPr>
            <w:tcW w:w="43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84.7</w:t>
            </w:r>
          </w:p>
        </w:tc>
        <w:tc>
          <w:tcPr>
            <w:tcW w:w="176"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63.4</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Other comprehensive income/(loss)</w:t>
            </w:r>
          </w:p>
        </w:tc>
        <w:tc>
          <w:tcPr>
            <w:tcW w:w="43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25" w:type="dxa"/>
            <w:tcBorders/>
            <w:shd w:fill="auto" w:val="clear"/>
            <w:vAlign w:val="bottom"/>
          </w:tcPr>
          <w:p>
            <w:pPr>
              <w:pStyle w:val="TableContents"/>
              <w:spacing w:before="0" w:after="283"/>
              <w:jc w:val="right"/>
              <w:rPr/>
            </w:pPr>
            <w:r>
              <w:rPr/>
              <w:t>(13.3</w:t>
            </w:r>
          </w:p>
        </w:tc>
        <w:tc>
          <w:tcPr>
            <w:tcW w:w="176"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0.5</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1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Comprehensive income</w:t>
            </w:r>
          </w:p>
        </w:tc>
        <w:tc>
          <w:tcPr>
            <w:tcW w:w="43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71.4</w:t>
            </w:r>
          </w:p>
        </w:tc>
        <w:tc>
          <w:tcPr>
            <w:tcW w:w="176"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63.9</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1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CONSOLIDATED STATEMENT OF</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11" w:name="108"/>
      <w:bookmarkEnd w:id="11"/>
      <w:r>
        <w:rPr>
          <w:rFonts w:ascii="Times New Roman;Times;serif" w:hAnsi="Times New Roman;Times;serif"/>
          <w:b/>
          <w:sz w:val="17"/>
        </w:rPr>
        <w:t>CHANGES IN ACCUMULATED OTHER COMPREHENSIVE INCOME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72"/>
        <w:gridCol w:w="347"/>
        <w:gridCol w:w="320"/>
        <w:gridCol w:w="1265"/>
        <w:gridCol w:w="137"/>
        <w:gridCol w:w="347"/>
        <w:gridCol w:w="315"/>
        <w:gridCol w:w="1110"/>
        <w:gridCol w:w="108"/>
        <w:gridCol w:w="347"/>
        <w:gridCol w:w="172"/>
        <w:gridCol w:w="718"/>
        <w:gridCol w:w="147"/>
      </w:tblGrid>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Net Deferred</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Gain/(Loss) on</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jc w:val="center"/>
              <w:rPr>
                <w:b/>
              </w:rPr>
            </w:pPr>
            <w:r>
              <w:rPr>
                <w:b/>
              </w:rPr>
              <w:t>Currency</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Derivative</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jc w:val="center"/>
              <w:rPr>
                <w:b/>
              </w:rPr>
            </w:pPr>
            <w:r>
              <w:rPr>
                <w:b/>
              </w:rPr>
              <w:t>Translation</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Instruments</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4839" w:type="dxa"/>
            <w:gridSpan w:val="10"/>
            <w:tcBorders/>
            <w:shd w:fill="auto" w:val="clear"/>
            <w:vAlign w:val="bottom"/>
          </w:tcPr>
          <w:p>
            <w:pPr>
              <w:pStyle w:val="TableContents"/>
              <w:spacing w:before="0" w:after="283"/>
              <w:jc w:val="center"/>
              <w:rPr>
                <w:b/>
              </w:rPr>
            </w:pPr>
            <w:r>
              <w:rPr>
                <w:b/>
              </w:rPr>
              <w:t>(unaudited)</w:t>
            </w:r>
          </w:p>
        </w:tc>
        <w:tc>
          <w:tcPr>
            <w:tcW w:w="147" w:type="dxa"/>
            <w:tcBorders/>
            <w:shd w:fill="auto" w:val="clear"/>
            <w:vAlign w:val="bottom"/>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225" w:right="0" w:hanging="225"/>
              <w:rPr/>
            </w:pPr>
            <w:r>
              <w:rPr/>
              <w:t>Balance at December 31, 2006</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1265" w:type="dxa"/>
            <w:tcBorders/>
            <w:shd w:fill="CCEEFF" w:val="clear"/>
            <w:vAlign w:val="bottom"/>
          </w:tcPr>
          <w:p>
            <w:pPr>
              <w:pStyle w:val="TableContents"/>
              <w:spacing w:before="0" w:after="283"/>
              <w:jc w:val="right"/>
              <w:rPr/>
            </w:pPr>
            <w:r>
              <w:rPr/>
              <w:t>(19.8</w:t>
            </w:r>
          </w:p>
        </w:tc>
        <w:tc>
          <w:tcPr>
            <w:tcW w:w="137"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jc w:val="left"/>
              <w:rPr/>
            </w:pPr>
            <w:r>
              <w:rPr/>
              <w:t>$</w:t>
            </w:r>
          </w:p>
        </w:tc>
        <w:tc>
          <w:tcPr>
            <w:tcW w:w="1110" w:type="dxa"/>
            <w:tcBorders/>
            <w:shd w:fill="CCEEFF" w:val="clear"/>
            <w:vAlign w:val="bottom"/>
          </w:tcPr>
          <w:p>
            <w:pPr>
              <w:pStyle w:val="TableContents"/>
              <w:spacing w:before="0" w:after="283"/>
              <w:jc w:val="right"/>
              <w:rPr/>
            </w:pPr>
            <w:r>
              <w:rPr/>
              <w:t>69.5</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718" w:type="dxa"/>
            <w:tcBorders/>
            <w:shd w:fill="CCEEFF" w:val="clear"/>
            <w:vAlign w:val="bottom"/>
          </w:tcPr>
          <w:p>
            <w:pPr>
              <w:pStyle w:val="TableContents"/>
              <w:spacing w:before="0" w:after="283"/>
              <w:jc w:val="right"/>
              <w:rPr/>
            </w:pPr>
            <w:r>
              <w:rPr/>
              <w:t>49.7</w:t>
            </w:r>
          </w:p>
        </w:tc>
        <w:tc>
          <w:tcPr>
            <w:tcW w:w="147" w:type="dxa"/>
            <w:tcBorders/>
            <w:shd w:fill="CCEEFF"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0"/>
              <w:ind w:left="225" w:right="0" w:hanging="225"/>
              <w:rPr/>
            </w:pPr>
            <w:r>
              <w:rPr/>
              <w:t>Reclassification adjustments for settled contracts</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1265" w:type="dxa"/>
            <w:tcBorders/>
            <w:shd w:fill="auto" w:val="clear"/>
            <w:vAlign w:val="bottom"/>
          </w:tcPr>
          <w:p>
            <w:pPr>
              <w:pStyle w:val="TableContents"/>
              <w:spacing w:before="0" w:after="283"/>
              <w:jc w:val="right"/>
              <w:rPr/>
            </w:pPr>
            <w:r>
              <w:rPr/>
              <w:t>(23.5</w:t>
            </w:r>
          </w:p>
        </w:tc>
        <w:tc>
          <w:tcPr>
            <w:tcW w:w="137" w:type="dxa"/>
            <w:tcBorders/>
            <w:shd w:fill="auto" w:val="clear"/>
            <w:vAlign w:val="bottom"/>
          </w:tcPr>
          <w:p>
            <w:pPr>
              <w:pStyle w:val="TableContents"/>
              <w:spacing w:before="0" w:after="283"/>
              <w:rPr/>
            </w:pPr>
            <w:r>
              <w:rPr/>
              <w:t>)</w:t>
            </w:r>
          </w:p>
        </w:tc>
        <w:tc>
          <w:tcPr>
            <w:tcW w:w="34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718" w:type="dxa"/>
            <w:tcBorders/>
            <w:shd w:fill="auto" w:val="clear"/>
            <w:vAlign w:val="bottom"/>
          </w:tcPr>
          <w:p>
            <w:pPr>
              <w:pStyle w:val="TableContents"/>
              <w:spacing w:before="0" w:after="283"/>
              <w:jc w:val="right"/>
              <w:rPr/>
            </w:pPr>
            <w:r>
              <w:rPr/>
              <w:t>(23.5</w:t>
            </w:r>
          </w:p>
        </w:tc>
        <w:tc>
          <w:tcPr>
            <w:tcW w:w="147" w:type="dxa"/>
            <w:tcBorders/>
            <w:shd w:fill="auto" w:val="clear"/>
            <w:vAlign w:val="bottom"/>
          </w:tcPr>
          <w:p>
            <w:pPr>
              <w:pStyle w:val="TableContents"/>
              <w:spacing w:before="0" w:after="283"/>
              <w:rPr/>
            </w:pPr>
            <w:r>
              <w:rPr/>
              <w:t>)</w:t>
            </w:r>
          </w:p>
        </w:tc>
      </w:tr>
      <w:tr>
        <w:trPr/>
        <w:tc>
          <w:tcPr>
            <w:tcW w:w="4872" w:type="dxa"/>
            <w:tcBorders/>
            <w:shd w:fill="CCEEFF" w:val="clear"/>
            <w:vAlign w:val="bottom"/>
          </w:tcPr>
          <w:p>
            <w:pPr>
              <w:pStyle w:val="TableContents"/>
              <w:spacing w:before="0" w:after="0"/>
              <w:ind w:left="225" w:right="0" w:hanging="225"/>
              <w:rPr/>
            </w:pPr>
            <w:r>
              <w:rPr/>
              <w:t>Changes in fair value of outstanding hedge positions</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265" w:type="dxa"/>
            <w:tcBorders/>
            <w:shd w:fill="CCEEFF" w:val="clear"/>
            <w:vAlign w:val="bottom"/>
          </w:tcPr>
          <w:p>
            <w:pPr>
              <w:pStyle w:val="TableContents"/>
              <w:spacing w:before="0" w:after="283"/>
              <w:jc w:val="right"/>
              <w:rPr/>
            </w:pPr>
            <w:r>
              <w:rPr/>
              <w:t>4.6</w:t>
            </w:r>
          </w:p>
        </w:tc>
        <w:tc>
          <w:tcPr>
            <w:tcW w:w="13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pPr>
            <w:r>
              <w:rPr/>
              <w:t>4.6</w:t>
            </w:r>
          </w:p>
        </w:tc>
        <w:tc>
          <w:tcPr>
            <w:tcW w:w="147" w:type="dxa"/>
            <w:tcBorders/>
            <w:shd w:fill="CCEEFF"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0"/>
              <w:ind w:left="225" w:right="0" w:hanging="225"/>
              <w:rPr/>
            </w:pPr>
            <w:r>
              <w:rPr/>
              <w:t>Currency translation adjustment</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pPr>
            <w:r>
              <w:rPr/>
              <w:t>5.6</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pPr>
            <w:r>
              <w:rPr/>
              <w:t>5.6</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450" w:right="0" w:hanging="225"/>
              <w:rPr/>
            </w:pPr>
            <w:r>
              <w:rPr/>
              <w:t>Total period activity</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(18.9</w:t>
            </w:r>
          </w:p>
        </w:tc>
        <w:tc>
          <w:tcPr>
            <w:tcW w:w="137"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5.6</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718" w:type="dxa"/>
            <w:tcBorders/>
            <w:shd w:fill="CCEEFF" w:val="clear"/>
            <w:vAlign w:val="bottom"/>
          </w:tcPr>
          <w:p>
            <w:pPr>
              <w:pStyle w:val="TableContents"/>
              <w:spacing w:before="0" w:after="283"/>
              <w:jc w:val="right"/>
              <w:rPr/>
            </w:pPr>
            <w:r>
              <w:rPr/>
              <w:t>(13.3</w:t>
            </w:r>
          </w:p>
        </w:tc>
        <w:tc>
          <w:tcPr>
            <w:tcW w:w="147" w:type="dxa"/>
            <w:tcBorders/>
            <w:shd w:fill="CCEEFF" w:val="clear"/>
            <w:vAlign w:val="bottom"/>
          </w:tcPr>
          <w:p>
            <w:pPr>
              <w:pStyle w:val="TableContents"/>
              <w:spacing w:before="0" w:after="283"/>
              <w:rPr/>
            </w:pPr>
            <w:r>
              <w:rPr/>
              <w:t>)</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4872" w:type="dxa"/>
            <w:tcBorders/>
            <w:shd w:fill="auto" w:val="clear"/>
            <w:vAlign w:val="bottom"/>
          </w:tcPr>
          <w:p>
            <w:pPr>
              <w:pStyle w:val="TableContents"/>
              <w:spacing w:before="0" w:after="0"/>
              <w:ind w:left="225" w:right="0" w:hanging="225"/>
              <w:rPr/>
            </w:pPr>
            <w:r>
              <w:rPr/>
              <w:t>Balance at March 31, 2007</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1265" w:type="dxa"/>
            <w:tcBorders/>
            <w:shd w:fill="auto" w:val="clear"/>
            <w:vAlign w:val="bottom"/>
          </w:tcPr>
          <w:p>
            <w:pPr>
              <w:pStyle w:val="TableContents"/>
              <w:spacing w:before="0" w:after="283"/>
              <w:jc w:val="right"/>
              <w:rPr/>
            </w:pPr>
            <w:r>
              <w:rPr/>
              <w:t>(38.7</w:t>
            </w:r>
          </w:p>
        </w:tc>
        <w:tc>
          <w:tcPr>
            <w:tcW w:w="137" w:type="dxa"/>
            <w:tcBorders/>
            <w:shd w:fill="auto" w:val="clear"/>
            <w:vAlign w:val="bottom"/>
          </w:tcPr>
          <w:p>
            <w:pPr>
              <w:pStyle w:val="TableContents"/>
              <w:spacing w:before="0" w:after="283"/>
              <w:rPr/>
            </w:pPr>
            <w:r>
              <w:rPr/>
              <w:t>)</w:t>
            </w:r>
          </w:p>
        </w:tc>
        <w:tc>
          <w:tcPr>
            <w:tcW w:w="34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left"/>
              <w:rPr/>
            </w:pPr>
            <w:r>
              <w:rPr/>
              <w:t>$</w:t>
            </w:r>
          </w:p>
        </w:tc>
        <w:tc>
          <w:tcPr>
            <w:tcW w:w="1110" w:type="dxa"/>
            <w:tcBorders/>
            <w:shd w:fill="auto" w:val="clear"/>
            <w:vAlign w:val="bottom"/>
          </w:tcPr>
          <w:p>
            <w:pPr>
              <w:pStyle w:val="TableContents"/>
              <w:spacing w:before="0" w:after="283"/>
              <w:jc w:val="right"/>
              <w:rPr/>
            </w:pPr>
            <w:r>
              <w:rPr/>
              <w:t>75.1</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718" w:type="dxa"/>
            <w:tcBorders/>
            <w:shd w:fill="auto" w:val="clear"/>
            <w:vAlign w:val="bottom"/>
          </w:tcPr>
          <w:p>
            <w:pPr>
              <w:pStyle w:val="TableContents"/>
              <w:spacing w:before="0" w:after="283"/>
              <w:jc w:val="right"/>
              <w:rPr/>
            </w:pPr>
            <w:r>
              <w:rPr/>
              <w:t>36.4</w:t>
            </w:r>
          </w:p>
        </w:tc>
        <w:tc>
          <w:tcPr>
            <w:tcW w:w="147" w:type="dxa"/>
            <w:tcBorders/>
            <w:shd w:fill="auto" w:val="clear"/>
            <w:vAlign w:val="bottom"/>
          </w:tcPr>
          <w:p>
            <w:pPr>
              <w:pStyle w:val="TableContents"/>
              <w:spacing w:before="0" w:after="283"/>
              <w:rPr/>
            </w:pPr>
            <w:r>
              <w:rPr/>
              <w:t> </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12" w:name="109"/>
      <w:bookmarkEnd w:id="12"/>
      <w:r>
        <w:rPr>
          <w:rFonts w:ascii="Times New Roman;Times;serif" w:hAnsi="Times New Roman;Times;serif"/>
          <w:b/>
          <w:sz w:val="17"/>
        </w:rPr>
        <w:t>NOTES TO THE CONSOLIDATED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is a Delaware limited partnership formed in September 1998. Our operations are conducted directly and indirectly through our primary operating subsidiaries. As used in this Form 10-Q, the terms Partnership, Plains, we, us, our, ours and similar terms refer to Plains All American Pipeline, L.P. and its subsidiaries, unless the context indicates otherwise. </w:t>
      </w:r>
    </w:p>
    <w:p>
      <w:pPr>
        <w:pStyle w:val="TextBody"/>
        <w:spacing w:before="120" w:after="283"/>
        <w:jc w:val="left"/>
        <w:rPr/>
      </w:pPr>
      <w:r>
        <w:rPr/>
        <w:t>     </w:t>
      </w:r>
      <w:r>
        <w:rPr>
          <w:rFonts w:ascii="Times New Roman;Times;serif" w:hAnsi="Times New Roman;Times;serif"/>
          <w:sz w:val="17"/>
        </w:rPr>
        <w:t xml:space="preserve">We are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our 50% equity ownership in PAA/Vulcan Gas Storage, LLC (PAA/Vulcan), we develop and operate natural gas storage facilities. </w:t>
      </w:r>
    </w:p>
    <w:p>
      <w:pPr>
        <w:pStyle w:val="TextBody"/>
        <w:spacing w:before="120" w:after="283"/>
        <w:jc w:val="left"/>
        <w:rPr/>
      </w:pPr>
      <w:r>
        <w:rPr/>
        <w:t>     </w:t>
      </w:r>
      <w:r>
        <w:rPr>
          <w:rFonts w:ascii="Times New Roman;Times;serif" w:hAnsi="Times New Roman;Times;serif"/>
          <w:sz w:val="17"/>
        </w:rPr>
        <w:t xml:space="preserve">Our 2% general partner interest is held by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employees are employed by our subsidiary PMC (Nova Scotia) Company, the general partner of Plains Marketing Canada, L.P. Unless the context otherwise requires, we use the term general partner to refer to both Plains AAP, L.P. and Plains All American GP LLC. Plains AAP, L.P. and Plains All American GP LLC are essentially held by seven owners with interests ranging from 54.3% to 1.2%. </w:t>
      </w:r>
    </w:p>
    <w:p>
      <w:pPr>
        <w:pStyle w:val="TextBody"/>
        <w:spacing w:before="120" w:after="283"/>
        <w:jc w:val="left"/>
        <w:rPr/>
      </w:pPr>
      <w:r>
        <w:rPr/>
        <w:t>     </w:t>
      </w:r>
      <w:r>
        <w:rPr>
          <w:rFonts w:ascii="Times New Roman;Times;serif" w:hAnsi="Times New Roman;Times;serif"/>
          <w:sz w:val="17"/>
        </w:rPr>
        <w:t xml:space="preserve">The consolidated interim financial statements should be read in conjunction with our consolidated financial statements and notes thereto presented in our 2006 Annual Report on Form 10-K. The accompanying financial statements and related notes present (i) our consolidated financial position as of March 31, 2007 and December 31, 2006, (ii) the results of our consolidated operations for the three months ended March 31, 2007 and 2006, (iii) our consolidated cash flows for the three months ended March 31, 2007 and 2006, (iv) our consolidated changes in partners capital for the three months ended March 31, 2007, (v) our consolidated comprehensive income for the three months ended March 31, 2007 and 2006, and (vi) our changes in consolidated accumulated other comprehensive income for the three months ended March 31, 2007.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three months ended March 31, 2007 should not be taken as indicative of the results to be expected for the full year. </w:t>
      </w:r>
    </w:p>
    <w:p>
      <w:pPr>
        <w:pStyle w:val="TextBody"/>
        <w:spacing w:before="120" w:after="283"/>
        <w:jc w:val="left"/>
        <w:rPr/>
      </w:pPr>
      <w:r>
        <w:rPr/>
        <w:t>     </w:t>
      </w:r>
      <w:r>
        <w:rPr>
          <w:rFonts w:ascii="Times New Roman;Times;serif" w:hAnsi="Times New Roman;Times;serif"/>
          <w:sz w:val="17"/>
        </w:rPr>
        <w:t xml:space="preserve">The accompanying consolidated financial statements of PAA include PAA and all of its subsidiaries, which are wholly owned. Investments in 50% or less owned entities over which we have significant influence but not control are accounted for by the equity method. During the first quarter of 2007 we made an additional contribution of approximately $9 million to PAA/Vulcan. We evaluate our equity investments for impairment in accordance with Accounting Principles Board (APB) 18: </w:t>
      </w:r>
      <w:r>
        <w:rPr>
          <w:rFonts w:ascii="Times New Roman;Times;serif" w:hAnsi="Times New Roman;Times;serif"/>
          <w:i/>
          <w:sz w:val="17"/>
        </w:rPr>
        <w:t xml:space="preserve">The Equity Method of Accounting for Investments in Common Stock. </w:t>
      </w:r>
      <w:r>
        <w:rPr>
          <w:rFonts w:ascii="Times New Roman;Times;serif" w:hAnsi="Times New Roman;Times;serif"/>
          <w:sz w:val="17"/>
        </w:rPr>
        <w:t xml:space="preserve">An impairment of an equity investment results when factors indicate that the investments fair value is less than its carrying value and the reduction in value is other than temporary in nature.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2Trade Accounts Receivable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accounts receivable are primarily from purchasers and shippers of crude oil and, to a lesser extent, purchasers of LPG. The majority of our accounts receivable relate to our marketing activities, which can generally be described as high volume and low margin activities, in many cases involving exchanges of crude oil volumes. We make a determination of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March 31, 2007 and December 31, 2006, we had received approximately $16.8 million and $28.3 million, respectively, of advance cash payments and prepayments from third parties to mitigate credit risk. In addition, we enter into netting arrangements with our counterparties. These arrangements cover a significant part of our transactions and also serve to mitigate credit risk.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review all outstanding accounts receivable balances on a monthly basis and record a reserve for amounts that we expect will not be fully recovered. Actual balances are not applied against the reserve until substantially all collection efforts have been exhausted. At March 31, 2007 and December 31, 2006, substantially all of our net accounts receivable classified as current were less than 60 days past their scheduled invoice date. Although we consider our allowance for doubtful trade accounts receivable to be adequate, there is no assurance that actual amounts will not vary significantly from estimated amounts. Our allowance for doubtful accounts balance was $0.7 million at March 31, 2007 and at December 31, 2006.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first quarter of 2007, we acquired (i) certain commercial refined products supply and marketing businesses (which is reflected in our marketing segment) for approximately $8 million in cash (including approximately $7 million of goodwill) and (ii) a trucking business (which is reflected in our transportation segment) for approximately $9 million in cash (including approximately $4 million of goodwill). Also, during the first quarter of 2007, we signed an agreement to acquire the Bumstead LPG storage facility located near Phoenix, Arizona for approximately $52 million. The acquisition is expected to close early in the second half of 2007 and will be reflected in our facilities segment.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4Inventory and Linefill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Inventory primarily consists of crude oil, refined products and LPG in pipelines, storage tanks and rail cars that is valued at the lower of cost or market, with cost determined using an average cost method. Linefill and minimum working inventory requirements in assets we own are recorded at historical cost and consist of crude oil and LPG used to pack the pipeline such that when an incremental barrel enters a pipeline it forces a barrel out at another location, as well as the minimum amount of crude oil necessary to operate our storage and terminalling facilities. </w:t>
      </w:r>
    </w:p>
    <w:p>
      <w:pPr>
        <w:pStyle w:val="TextBody"/>
        <w:spacing w:before="120" w:after="283"/>
        <w:jc w:val="left"/>
        <w:rPr/>
      </w:pPr>
      <w:r>
        <w:rPr/>
        <w:t>     </w:t>
      </w:r>
      <w:r>
        <w:rPr>
          <w:rFonts w:ascii="Times New Roman;Times;serif" w:hAnsi="Times New Roman;Times;serif"/>
          <w:sz w:val="17"/>
        </w:rPr>
        <w:t xml:space="preserve">Minimum working inventory requirements in third-party assets are included in Inventory (a current asset) in determining the average cost of operating inventory and applying the lower of cost or market analysis. At the end of each period, we reclassify the inventory in third party assets not expected to be liquidated within the succeeding twelve months out of Inventory, at average cost, and into Inventory in third-party assets (a long-term asset), which is reflected as a separate line item within other assets on the consolidated balance sheet.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At March 31, 2007 and December 31, 2006, inventory and linefill consisted of : </w:t>
      </w:r>
    </w:p>
    <w:tbl>
      <w:tblPr>
        <w:tblW w:w="5000" w:type="pct"/>
        <w:jc w:val="center"/>
        <w:tblInd w:w="0" w:type="dxa"/>
        <w:tblCellMar>
          <w:top w:w="0" w:type="dxa"/>
          <w:left w:w="0" w:type="dxa"/>
          <w:bottom w:w="0" w:type="dxa"/>
          <w:right w:w="0" w:type="dxa"/>
        </w:tblCellMar>
      </w:tblPr>
      <w:tblGrid>
        <w:gridCol w:w="2403"/>
        <w:gridCol w:w="370"/>
        <w:gridCol w:w="100"/>
        <w:gridCol w:w="711"/>
        <w:gridCol w:w="100"/>
        <w:gridCol w:w="370"/>
        <w:gridCol w:w="144"/>
        <w:gridCol w:w="744"/>
        <w:gridCol w:w="100"/>
        <w:gridCol w:w="370"/>
        <w:gridCol w:w="144"/>
        <w:gridCol w:w="645"/>
        <w:gridCol w:w="100"/>
        <w:gridCol w:w="370"/>
        <w:gridCol w:w="100"/>
        <w:gridCol w:w="711"/>
        <w:gridCol w:w="100"/>
        <w:gridCol w:w="370"/>
        <w:gridCol w:w="143"/>
        <w:gridCol w:w="744"/>
        <w:gridCol w:w="100"/>
        <w:gridCol w:w="370"/>
        <w:gridCol w:w="144"/>
        <w:gridCol w:w="645"/>
        <w:gridCol w:w="107"/>
      </w:tblGrid>
      <w:tr>
        <w:trPr/>
        <w:tc>
          <w:tcPr>
            <w:tcW w:w="240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42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42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89" w:type="dxa"/>
            <w:gridSpan w:val="2"/>
            <w:tcBorders/>
            <w:shd w:fill="auto" w:val="clear"/>
            <w:vAlign w:val="bottom"/>
          </w:tcPr>
          <w:p>
            <w:pPr>
              <w:pStyle w:val="TableContents"/>
              <w:spacing w:before="0" w:after="283"/>
              <w:jc w:val="center"/>
              <w:rPr/>
            </w:pPr>
            <w:r>
              <w:rPr/>
              <w:t>Dollar/</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89" w:type="dxa"/>
            <w:gridSpan w:val="2"/>
            <w:tcBorders/>
            <w:shd w:fill="auto" w:val="clear"/>
            <w:vAlign w:val="bottom"/>
          </w:tcPr>
          <w:p>
            <w:pPr>
              <w:pStyle w:val="TableContents"/>
              <w:spacing w:before="0" w:after="283"/>
              <w:jc w:val="center"/>
              <w:rPr/>
            </w:pPr>
            <w:r>
              <w:rPr/>
              <w:t>Dollar/</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11"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Barrels</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pPr>
            <w:r>
              <w:rPr/>
              <w:t>Dollars</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11"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Barrels</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pPr>
            <w:r>
              <w:rPr/>
              <w:t>Dollars</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325" w:type="dxa"/>
            <w:gridSpan w:val="22"/>
            <w:tcBorders/>
            <w:shd w:fill="auto" w:val="clear"/>
            <w:vAlign w:val="bottom"/>
          </w:tcPr>
          <w:p>
            <w:pPr>
              <w:pStyle w:val="TableContents"/>
              <w:spacing w:before="0" w:after="283"/>
              <w:jc w:val="center"/>
              <w:rPr/>
            </w:pPr>
            <w:r>
              <w:rPr/>
              <w:t>(Barrels in thousands and dollars in millions)</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b/>
              </w:rPr>
            </w:pPr>
            <w:r>
              <w:rPr>
                <w:b/>
              </w:rPr>
              <w:t>Inventory (1)</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Crude oil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15,470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44" w:type="dxa"/>
            <w:tcBorders/>
            <w:shd w:fill="auto" w:val="clear"/>
            <w:vAlign w:val="bottom"/>
          </w:tcPr>
          <w:p>
            <w:pPr>
              <w:pStyle w:val="TableContents"/>
              <w:spacing w:before="0" w:after="283"/>
              <w:jc w:val="right"/>
              <w:rPr/>
            </w:pPr>
            <w:r>
              <w:rPr/>
              <w:t>871.0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56.30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18,331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44" w:type="dxa"/>
            <w:tcBorders/>
            <w:shd w:fill="auto" w:val="clear"/>
            <w:vAlign w:val="bottom"/>
          </w:tcPr>
          <w:p>
            <w:pPr>
              <w:pStyle w:val="TableContents"/>
              <w:spacing w:before="0" w:after="283"/>
              <w:jc w:val="right"/>
              <w:rPr/>
            </w:pPr>
            <w:r>
              <w:rPr/>
              <w:t>1,029.1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56.14</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pPr>
            <w:r>
              <w:rPr/>
              <w:t>LPG</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1,919</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81.9</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42.68</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5,818</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250.7</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43.09</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Refined products</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84</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6.1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72.62</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81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3.8</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46.91</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pPr>
            <w:r>
              <w:rPr/>
              <w:t>Parts and supplies</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N/A</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9.2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pPr>
            <w:r>
              <w:rPr/>
              <w:t>N/A</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N/A</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6.4</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pPr>
            <w:r>
              <w:rPr/>
              <w:t>N/A</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0"/>
              <w:rPr/>
            </w:pPr>
            <w:r>
              <w:rPr/>
              <w:t>Inventory subtotal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17,473</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968.2</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24,230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1,290.0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b/>
              </w:rPr>
            </w:pPr>
            <w:r>
              <w:rPr>
                <w:b/>
              </w:rPr>
              <w:t>Inventory in third-party assets</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Crude oil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1,241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63.0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50.77</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1,212</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62.5</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51.57</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pPr>
            <w:r>
              <w:rPr/>
              <w:t>LPG</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318</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13.0</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40.88</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318</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13.2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41.51</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450" w:right="0" w:hanging="225"/>
              <w:rPr/>
            </w:pPr>
            <w:r>
              <w:rPr/>
              <w:t>Inventory in third-party assets subtotal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1,559</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76.0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1,530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75.7</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b/>
              </w:rPr>
            </w:pPr>
            <w:r>
              <w:rPr>
                <w:b/>
              </w:rPr>
              <w:t>Pipeline linefill in owned assets</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Crude oil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7,867</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269.0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34.19</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7,831</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264.4</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645" w:type="dxa"/>
            <w:tcBorders/>
            <w:shd w:fill="auto" w:val="clear"/>
            <w:vAlign w:val="bottom"/>
          </w:tcPr>
          <w:p>
            <w:pPr>
              <w:pStyle w:val="TableContents"/>
              <w:spacing w:before="0" w:after="283"/>
              <w:jc w:val="right"/>
              <w:rPr/>
            </w:pPr>
            <w:r>
              <w:rPr/>
              <w:t>33.76</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pPr>
            <w:r>
              <w:rPr/>
              <w:t>LPG</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53</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2.0</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37.74</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31</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1.1</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645" w:type="dxa"/>
            <w:tcBorders/>
            <w:shd w:fill="CCEEFF" w:val="clear"/>
            <w:vAlign w:val="bottom"/>
          </w:tcPr>
          <w:p>
            <w:pPr>
              <w:pStyle w:val="TableContents"/>
              <w:spacing w:before="0" w:after="283"/>
              <w:jc w:val="right"/>
              <w:rPr/>
            </w:pPr>
            <w:r>
              <w:rPr/>
              <w:t>35.48</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450" w:right="0" w:hanging="225"/>
              <w:rPr/>
            </w:pPr>
            <w:r>
              <w:rPr/>
              <w:t>Pipeline linefill in owned assets subtotal</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7,920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271.0</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7,862</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265.5</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r>
        <w:trPr/>
        <w:tc>
          <w:tcPr>
            <w:tcW w:w="2403"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403" w:type="dxa"/>
            <w:tcBorders/>
            <w:shd w:fill="CCEEFF" w:val="clear"/>
            <w:vAlign w:val="bottom"/>
          </w:tcPr>
          <w:p>
            <w:pPr>
              <w:pStyle w:val="TableContents"/>
              <w:spacing w:before="0" w:after="0"/>
              <w:ind w:left="225" w:right="0" w:hanging="225"/>
              <w:rPr>
                <w:b/>
              </w:rPr>
            </w:pPr>
            <w:r>
              <w:rPr>
                <w:b/>
              </w:rPr>
              <w:t>Total</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26,952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44" w:type="dxa"/>
            <w:tcBorders/>
            <w:shd w:fill="CCEEFF" w:val="clear"/>
            <w:vAlign w:val="bottom"/>
          </w:tcPr>
          <w:p>
            <w:pPr>
              <w:pStyle w:val="TableContents"/>
              <w:spacing w:before="0" w:after="283"/>
              <w:jc w:val="right"/>
              <w:rPr/>
            </w:pPr>
            <w:r>
              <w:rPr/>
              <w:t>1,315.2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33,622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44" w:type="dxa"/>
            <w:tcBorders/>
            <w:shd w:fill="CCEEFF" w:val="clear"/>
            <w:vAlign w:val="bottom"/>
          </w:tcPr>
          <w:p>
            <w:pPr>
              <w:pStyle w:val="TableContents"/>
              <w:spacing w:before="0" w:after="283"/>
              <w:jc w:val="right"/>
              <w:rPr/>
            </w:pPr>
            <w:r>
              <w:rPr/>
              <w:t>1,631.2</w:t>
            </w:r>
          </w:p>
        </w:tc>
        <w:tc>
          <w:tcPr>
            <w:tcW w:w="10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40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doub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8" w:type="dxa"/>
            <w:gridSpan w:val="2"/>
            <w:tcBorders>
              <w:top w:val="doub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11" w:type="dxa"/>
            <w:gridSpan w:val="2"/>
            <w:tcBorders>
              <w:top w:val="doub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87" w:type="dxa"/>
            <w:gridSpan w:val="2"/>
            <w:tcBorders>
              <w:top w:val="doub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75"/>
        <w:gridCol w:w="2309"/>
        <w:gridCol w:w="921"/>
      </w:tblGrid>
      <w:tr>
        <w:trPr/>
        <w:tc>
          <w:tcPr>
            <w:tcW w:w="6975"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6975" w:type="dxa"/>
            <w:tcBorders/>
            <w:shd w:fill="auto" w:val="clear"/>
          </w:tcPr>
          <w:p>
            <w:pPr>
              <w:pStyle w:val="TableContents"/>
              <w:spacing w:before="0" w:after="283"/>
              <w:jc w:val="left"/>
              <w:rPr/>
            </w:pPr>
            <w:r>
              <w:rPr/>
              <w:t>(1)</w:t>
            </w:r>
          </w:p>
        </w:tc>
        <w:tc>
          <w:tcPr>
            <w:tcW w:w="2309" w:type="dxa"/>
            <w:tcBorders/>
            <w:shd w:fill="auto" w:val="clear"/>
          </w:tcPr>
          <w:p>
            <w:pPr>
              <w:pStyle w:val="TableContents"/>
              <w:spacing w:before="0" w:after="283"/>
              <w:rPr/>
            </w:pPr>
            <w:r>
              <w:rPr/>
              <w:t> </w:t>
            </w:r>
          </w:p>
        </w:tc>
        <w:tc>
          <w:tcPr>
            <w:tcW w:w="921" w:type="dxa"/>
            <w:tcBorders/>
            <w:shd w:fill="auto" w:val="clear"/>
          </w:tcPr>
          <w:p>
            <w:pPr>
              <w:pStyle w:val="TableContents"/>
              <w:spacing w:before="0" w:after="283"/>
              <w:rPr/>
            </w:pPr>
            <w:r>
              <w:rPr/>
              <w:t>Includes the impact of inventory hedges on a portion of our volumes.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5Debt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Below is a description of our debt as of March 31, 2007: </w:t>
      </w:r>
    </w:p>
    <w:tbl>
      <w:tblPr>
        <w:tblW w:w="5000" w:type="pct"/>
        <w:jc w:val="center"/>
        <w:tblInd w:w="0" w:type="dxa"/>
        <w:tblCellMar>
          <w:top w:w="0" w:type="dxa"/>
          <w:left w:w="0" w:type="dxa"/>
          <w:bottom w:w="0" w:type="dxa"/>
          <w:right w:w="0" w:type="dxa"/>
        </w:tblCellMar>
      </w:tblPr>
      <w:tblGrid>
        <w:gridCol w:w="6544"/>
        <w:gridCol w:w="408"/>
        <w:gridCol w:w="191"/>
        <w:gridCol w:w="994"/>
        <w:gridCol w:w="114"/>
        <w:gridCol w:w="408"/>
        <w:gridCol w:w="230"/>
        <w:gridCol w:w="1196"/>
        <w:gridCol w:w="120"/>
      </w:tblGrid>
      <w:tr>
        <w:trPr/>
        <w:tc>
          <w:tcPr>
            <w:tcW w:w="654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185" w:type="dxa"/>
            <w:gridSpan w:val="2"/>
            <w:tcBorders/>
            <w:shd w:fill="auto" w:val="clear"/>
            <w:vAlign w:val="bottom"/>
          </w:tcPr>
          <w:p>
            <w:pPr>
              <w:pStyle w:val="TableContents"/>
              <w:spacing w:before="0" w:after="283"/>
              <w:jc w:val="center"/>
              <w:rPr>
                <w:b/>
              </w:rPr>
            </w:pPr>
            <w:r>
              <w:rPr>
                <w:b/>
              </w:rPr>
              <w:t>March 31,</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b/>
              </w:rPr>
            </w:pPr>
            <w:r>
              <w:rPr>
                <w:b/>
              </w:rPr>
              <w:t>December 31,</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1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133" w:type="dxa"/>
            <w:gridSpan w:val="6"/>
            <w:tcBorders/>
            <w:shd w:fill="auto" w:val="clear"/>
            <w:vAlign w:val="bottom"/>
          </w:tcPr>
          <w:p>
            <w:pPr>
              <w:pStyle w:val="TableContents"/>
              <w:spacing w:before="0" w:after="283"/>
              <w:jc w:val="center"/>
              <w:rPr>
                <w:b/>
              </w:rPr>
            </w:pPr>
            <w:r>
              <w:rPr>
                <w:b/>
              </w:rPr>
              <w:t>(in millions)</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i/>
              </w:rPr>
            </w:pPr>
            <w:r>
              <w:rPr>
                <w:i/>
              </w:rPr>
              <w:t>Short-term debt:</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Senior secured hedged inventory facility bearing interest at a rate of 5.8% and 5.8%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94" w:type="dxa"/>
            <w:tcBorders/>
            <w:shd w:fill="auto" w:val="clear"/>
            <w:vAlign w:val="bottom"/>
          </w:tcPr>
          <w:p>
            <w:pPr>
              <w:pStyle w:val="TableContents"/>
              <w:spacing w:before="0" w:after="283"/>
              <w:jc w:val="right"/>
              <w:rPr/>
            </w:pPr>
            <w:r>
              <w:rPr/>
              <w:t>803.2</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835.3</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Working capital borrowings, bearing interest at a rate of 6.0% and 5.9% at March 31, 2007 and December 31, 2006, respectively (1)</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90.2</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158.2</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Other</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7.5</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7.7</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1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450" w:right="0" w:hanging="225"/>
              <w:rPr/>
            </w:pPr>
            <w:r>
              <w:rPr/>
              <w:t>Total short-term debt</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900.9</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1,001.2</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i/>
              </w:rPr>
            </w:pPr>
            <w:r>
              <w:rPr>
                <w:i/>
              </w:rPr>
              <w:t>Long-term debt:</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4.75% senior notes due August 2009, net of unamortized discount of $0.4 million and $0.4 million at March 31, 2007 and December 31, 2006, respectively</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174.6</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174.6</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7.75% senior notes due October 2012, net of unamortized discount of $0.2 million and $0.2 million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199.8</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199.8</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5.63% senior notes due December 2013, net of unamortized discount of $0.4 million and $0.5 million at March 31, 2007 and December 31, 2006, respectively</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249.6</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249.5</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7.13% senior notes due June 2014, net of unamortized premium of $8.4 million and $8.8 million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258.4</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258.8</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5.25% senior notes due June 2015, net of unamortized discount of $0.6 million and $0.6 million at March 31, 2007 and December 31, 2006, respectively</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149.4</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149.4</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6.25% senior notes due September 2015, net of unamortized discount of $0.8 million and $0.8 million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174.2</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174.2</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5.88% senior notes due August 2016, net of unamortized discount of $0.9 million and $0.9 million at March 31, 2007 and December 31, 2006, respectively</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174.1</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174.1</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6.13% senior notes due January 2017, net of unamortized discount of $1.7 million and $1.8 million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398.3</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398.2</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6.70% senior notes due May 2036, net of unamortized discount of $0.4 million and $0.4 million at March 31, 2007 and December 31, 2006, respectively</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249.6</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249.6</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6.65% senior notes due January 2037, net of unamortized discount of $4.9 million and $5.0 million at March 31, 2007 and December 31, 2006, respectively</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595.1</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595.0</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1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225" w:right="0" w:hanging="225"/>
              <w:rPr/>
            </w:pPr>
            <w:r>
              <w:rPr/>
              <w:t>Senior notes, net of unamortized discount (2)</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2,623.1</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2,623.2</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Long-term debt under credit facilities and other</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3.0</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3.1</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1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CCEEFF" w:val="clear"/>
            <w:vAlign w:val="bottom"/>
          </w:tcPr>
          <w:p>
            <w:pPr>
              <w:pStyle w:val="TableContents"/>
              <w:spacing w:before="0" w:after="0"/>
              <w:ind w:left="450" w:right="0" w:hanging="225"/>
              <w:rPr/>
            </w:pPr>
            <w:r>
              <w:rPr/>
              <w:t>Total long-term debt (1)(2)</w:t>
            </w:r>
          </w:p>
        </w:tc>
        <w:tc>
          <w:tcPr>
            <w:tcW w:w="40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2,626.1</w:t>
            </w:r>
          </w:p>
        </w:tc>
        <w:tc>
          <w:tcPr>
            <w:tcW w:w="11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2,626.3</w:t>
            </w:r>
          </w:p>
        </w:tc>
        <w:tc>
          <w:tcPr>
            <w:tcW w:w="120" w:type="dxa"/>
            <w:tcBorders/>
            <w:shd w:fill="CCEEFF" w:val="clear"/>
            <w:vAlign w:val="bottom"/>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1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544" w:type="dxa"/>
            <w:tcBorders/>
            <w:shd w:fill="auto" w:val="clear"/>
            <w:vAlign w:val="bottom"/>
          </w:tcPr>
          <w:p>
            <w:pPr>
              <w:pStyle w:val="TableContents"/>
              <w:spacing w:before="0" w:after="0"/>
              <w:ind w:left="225" w:right="0" w:hanging="225"/>
              <w:rPr/>
            </w:pPr>
            <w:r>
              <w:rPr/>
              <w:t>Total debt</w:t>
            </w:r>
          </w:p>
        </w:tc>
        <w:tc>
          <w:tcPr>
            <w:tcW w:w="40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94" w:type="dxa"/>
            <w:tcBorders/>
            <w:shd w:fill="auto" w:val="clear"/>
            <w:vAlign w:val="bottom"/>
          </w:tcPr>
          <w:p>
            <w:pPr>
              <w:pStyle w:val="TableContents"/>
              <w:spacing w:before="0" w:after="283"/>
              <w:jc w:val="right"/>
              <w:rPr/>
            </w:pPr>
            <w:r>
              <w:rPr/>
              <w:t>3,527.0</w:t>
            </w:r>
          </w:p>
        </w:tc>
        <w:tc>
          <w:tcPr>
            <w:tcW w:w="11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3,627.5</w:t>
            </w:r>
          </w:p>
        </w:tc>
        <w:tc>
          <w:tcPr>
            <w:tcW w:w="120" w:type="dxa"/>
            <w:tcBorders/>
            <w:shd w:fill="auto" w:val="clear"/>
            <w:vAlign w:val="bottom"/>
          </w:tcPr>
          <w:p>
            <w:pPr>
              <w:pStyle w:val="TableContents"/>
              <w:spacing w:before="0" w:after="283"/>
              <w:rPr/>
            </w:pPr>
            <w:r>
              <w:rPr/>
              <w:t> </w:t>
            </w:r>
          </w:p>
        </w:tc>
      </w:tr>
      <w:tr>
        <w:trPr/>
        <w:tc>
          <w:tcPr>
            <w:tcW w:w="6544"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1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832"/>
        <w:gridCol w:w="1937"/>
        <w:gridCol w:w="2436"/>
      </w:tblGrid>
      <w:tr>
        <w:trPr/>
        <w:tc>
          <w:tcPr>
            <w:tcW w:w="5832"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r>
      <w:tr>
        <w:trPr/>
        <w:tc>
          <w:tcPr>
            <w:tcW w:w="5832" w:type="dxa"/>
            <w:tcBorders/>
            <w:shd w:fill="auto" w:val="clear"/>
          </w:tcPr>
          <w:p>
            <w:pPr>
              <w:pStyle w:val="TableContents"/>
              <w:spacing w:before="0" w:after="283"/>
              <w:jc w:val="left"/>
              <w:rPr/>
            </w:pPr>
            <w:r>
              <w:rPr/>
              <w:t>(1)</w:t>
            </w:r>
          </w:p>
        </w:tc>
        <w:tc>
          <w:tcPr>
            <w:tcW w:w="1937" w:type="dxa"/>
            <w:tcBorders/>
            <w:shd w:fill="auto" w:val="clear"/>
          </w:tcPr>
          <w:p>
            <w:pPr>
              <w:pStyle w:val="TableContents"/>
              <w:spacing w:before="0" w:after="283"/>
              <w:rPr/>
            </w:pPr>
            <w:r>
              <w:rPr/>
              <w:t> </w:t>
            </w:r>
          </w:p>
        </w:tc>
        <w:tc>
          <w:tcPr>
            <w:tcW w:w="2436" w:type="dxa"/>
            <w:tcBorders/>
            <w:shd w:fill="auto" w:val="clear"/>
          </w:tcPr>
          <w:p>
            <w:pPr>
              <w:pStyle w:val="TableContents"/>
              <w:spacing w:before="0" w:after="283"/>
              <w:rPr/>
            </w:pPr>
            <w:r>
              <w:rPr/>
              <w:t>At March 31, 2007 and December 31, 2006, we have classified $90.2 million and $158.2 million, respectively, of borrowings under our senior unsecured revolving credit facility as short-term. These borrowings are designated as working capital borrowings, must be repaid within one year, and are primarily for hedged inventory and New York Mercantile Exchange (NYMEX) and IntercontinentalExchange (ICE) margin deposits.</w:t>
            </w:r>
          </w:p>
        </w:tc>
      </w:tr>
      <w:tr>
        <w:trPr/>
        <w:tc>
          <w:tcPr>
            <w:tcW w:w="5832" w:type="dxa"/>
            <w:tcBorders/>
            <w:shd w:fill="auto" w:val="clear"/>
            <w:vAlign w:val="center"/>
          </w:tcPr>
          <w:p>
            <w:pPr>
              <w:pStyle w:val="TableContents"/>
              <w:spacing w:before="0" w:after="283"/>
              <w:rPr/>
            </w:pPr>
            <w:r>
              <w:rPr/>
              <w:t> </w:t>
            </w:r>
          </w:p>
        </w:tc>
        <w:tc>
          <w:tcPr>
            <w:tcW w:w="4373" w:type="dxa"/>
            <w:gridSpan w:val="2"/>
            <w:tcBorders/>
            <w:shd w:fill="auto" w:val="clear"/>
          </w:tcPr>
          <w:p>
            <w:pPr>
              <w:pStyle w:val="TableContents"/>
              <w:spacing w:before="0" w:after="283"/>
              <w:rPr>
                <w:sz w:val="4"/>
                <w:szCs w:val="4"/>
              </w:rPr>
            </w:pPr>
            <w:r>
              <w:rPr>
                <w:sz w:val="4"/>
                <w:szCs w:val="4"/>
              </w:rPr>
            </w:r>
          </w:p>
        </w:tc>
      </w:tr>
      <w:tr>
        <w:trPr/>
        <w:tc>
          <w:tcPr>
            <w:tcW w:w="5832" w:type="dxa"/>
            <w:tcBorders/>
            <w:shd w:fill="auto" w:val="clear"/>
          </w:tcPr>
          <w:p>
            <w:pPr>
              <w:pStyle w:val="TableContents"/>
              <w:spacing w:before="0" w:after="283"/>
              <w:jc w:val="left"/>
              <w:rPr/>
            </w:pPr>
            <w:r>
              <w:rPr/>
              <w:t>(2)</w:t>
            </w:r>
          </w:p>
        </w:tc>
        <w:tc>
          <w:tcPr>
            <w:tcW w:w="1937" w:type="dxa"/>
            <w:tcBorders/>
            <w:shd w:fill="auto" w:val="clear"/>
          </w:tcPr>
          <w:p>
            <w:pPr>
              <w:pStyle w:val="TableContents"/>
              <w:spacing w:before="0" w:after="283"/>
              <w:rPr/>
            </w:pPr>
            <w:r>
              <w:rPr/>
              <w:t> </w:t>
            </w:r>
          </w:p>
        </w:tc>
        <w:tc>
          <w:tcPr>
            <w:tcW w:w="2436" w:type="dxa"/>
            <w:tcBorders/>
            <w:shd w:fill="auto" w:val="clear"/>
          </w:tcPr>
          <w:p>
            <w:pPr>
              <w:pStyle w:val="TableContents"/>
              <w:spacing w:before="0" w:after="283"/>
              <w:rPr/>
            </w:pPr>
            <w:r>
              <w:rPr/>
              <w:t>At March 31, 2007, the aggregate fair value of our fixed rate senior notes is estimated to be approximately $2,689.1 million. The carrying values of the variable rate instruments in our credit facilities approximate fair value primarily because interest rates fluctuate with prevailing market rates, and the credit spread on outstanding borrowings reflects market.</w:t>
            </w:r>
          </w:p>
        </w:tc>
      </w:tr>
    </w:tbl>
    <w:p>
      <w:pPr>
        <w:pStyle w:val="TextBody"/>
        <w:spacing w:before="120" w:after="283"/>
        <w:jc w:val="left"/>
        <w:rPr/>
      </w:pPr>
      <w:r>
        <w:rPr/>
        <w:t>     </w:t>
      </w:r>
      <w:r>
        <w:rPr>
          <w:rFonts w:ascii="Times New Roman;Times;serif" w:hAnsi="Times New Roman;Times;serif"/>
          <w:i/>
          <w:sz w:val="17"/>
        </w:rPr>
        <w:t xml:space="preserve">Letters of Credit. </w:t>
      </w:r>
      <w:r>
        <w:rPr>
          <w:rFonts w:ascii="Times New Roman;Times;serif" w:hAnsi="Times New Roman;Times;serif"/>
          <w:sz w:val="17"/>
        </w:rPr>
        <w:t xml:space="preserve">In connection with our crude oil marketing business and as is customary in our industry,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March 31, 2007, approximately $120.0 million of letters of credit under our credit facility were outstanding.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6Earnings Per Limited Partner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Except as discussed in the following paragraph, basic and diluted net income per limited partner unit is determined by dividing net income after deducting the amount allocated to the general partner interest (including its incentive distribution in excess of its 2% interest) by the weighted average number of outstanding limited partner units during the period. Subject to applicability of Emerging Issues Task Force Issue No. 03-06 (EITF 03-06), Participating Securities and the Two-Class Method under Financial Accounting Standards Board (FASB) Statement No. 128, as discussed below, Partnership income is first allocated to the general partner based on the amount of incentive distributions. The remainder is then allocated between the limited partners and general partner based on percentage ownership in the Partnership. </w:t>
      </w:r>
    </w:p>
    <w:p>
      <w:pPr>
        <w:pStyle w:val="TextBody"/>
        <w:spacing w:before="120" w:after="283"/>
        <w:jc w:val="left"/>
        <w:rPr/>
      </w:pPr>
      <w:r>
        <w:rPr/>
        <w:t>     </w:t>
      </w:r>
      <w:r>
        <w:rPr>
          <w:rFonts w:ascii="Times New Roman;Times;serif" w:hAnsi="Times New Roman;Times;serif"/>
          <w:sz w:val="17"/>
        </w:rPr>
        <w:t xml:space="preserve">EITF 03-06 addresses the computation of earnings per share by entities that have issued securities other than common stock that contractually entitle the holder to participate in dividends and earnings of the entity when, and if, it declares dividends on its common stock (or partnership distributions to unitholders). EITF 03-06 provides that in any accounting period where our aggregate net income exceeds our aggregate distribution for such period, we are required to present earnings per unit as if all of the earnings for the periods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(as if distributed) to our general partner, even though we make cash distributions on the basis of cash available for distributions, not earnings, in any given accounting period. In accounting periods where aggregate net income does not exceed our aggregate distributions for such period, EITF 03-06 does not have any impact on our earnings per unit calculation.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following sets forth the computation of basic and diluted earnings per limited partner unit. </w:t>
      </w:r>
    </w:p>
    <w:tbl>
      <w:tblPr>
        <w:tblW w:w="5000" w:type="pct"/>
        <w:jc w:val="center"/>
        <w:tblInd w:w="0" w:type="dxa"/>
        <w:tblCellMar>
          <w:top w:w="0" w:type="dxa"/>
          <w:left w:w="0" w:type="dxa"/>
          <w:bottom w:w="0" w:type="dxa"/>
          <w:right w:w="0" w:type="dxa"/>
        </w:tblCellMar>
      </w:tblPr>
      <w:tblGrid>
        <w:gridCol w:w="6752"/>
        <w:gridCol w:w="438"/>
        <w:gridCol w:w="219"/>
        <w:gridCol w:w="958"/>
        <w:gridCol w:w="174"/>
        <w:gridCol w:w="459"/>
        <w:gridCol w:w="219"/>
        <w:gridCol w:w="840"/>
        <w:gridCol w:w="146"/>
      </w:tblGrid>
      <w:tr>
        <w:trPr/>
        <w:tc>
          <w:tcPr>
            <w:tcW w:w="675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869" w:type="dxa"/>
            <w:gridSpan w:val="6"/>
            <w:tcBorders/>
            <w:shd w:fill="auto" w:val="clear"/>
            <w:vAlign w:val="bottom"/>
          </w:tcPr>
          <w:p>
            <w:pPr>
              <w:pStyle w:val="TableContents"/>
              <w:spacing w:before="0" w:after="283"/>
              <w:jc w:val="center"/>
              <w:rPr>
                <w:b/>
              </w:rPr>
            </w:pPr>
            <w:r>
              <w:rPr>
                <w:b/>
              </w:rPr>
              <w:t>Three Months Ended</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86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1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225" w:right="0" w:hanging="225"/>
              <w:rPr/>
            </w:pPr>
            <w:r>
              <w:rPr/>
              <w:t>Numerator:</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0"/>
              <w:ind w:left="225" w:right="0" w:hanging="225"/>
              <w:rPr/>
            </w:pPr>
            <w:r>
              <w:rPr/>
              <w:t>Net income</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84.7</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63.4</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Less: General partners incentive distribution paid</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(15.3</w:t>
            </w:r>
          </w:p>
        </w:tc>
        <w:tc>
          <w:tcPr>
            <w:tcW w:w="174" w:type="dxa"/>
            <w:tcBorders/>
            <w:shd w:fill="CCEEFF" w:val="clear"/>
            <w:vAlign w:val="bottom"/>
          </w:tcPr>
          <w:p>
            <w:pPr>
              <w:pStyle w:val="TableContents"/>
              <w:spacing w:before="0" w:after="283"/>
              <w:rPr/>
            </w:pPr>
            <w:r>
              <w:rPr/>
              <w:t>)</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(5.5</w:t>
            </w:r>
          </w:p>
        </w:tc>
        <w:tc>
          <w:tcPr>
            <w:tcW w:w="146" w:type="dxa"/>
            <w:tcBorders/>
            <w:shd w:fill="CCEEFF" w:val="clear"/>
            <w:vAlign w:val="bottom"/>
          </w:tcPr>
          <w:p>
            <w:pPr>
              <w:pStyle w:val="TableContents"/>
              <w:spacing w:before="0" w:after="283"/>
              <w:rPr/>
            </w:pPr>
            <w:r>
              <w:rPr/>
              <w:t>)</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450" w:right="0" w:hanging="225"/>
              <w:rPr/>
            </w:pPr>
            <w:r>
              <w:rPr/>
              <w:t>Subtotal</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69.4</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57.9</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Less: General partner 2% ownership</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(1.5</w:t>
            </w:r>
          </w:p>
        </w:tc>
        <w:tc>
          <w:tcPr>
            <w:tcW w:w="174" w:type="dxa"/>
            <w:tcBorders/>
            <w:shd w:fill="CCEEFF" w:val="clear"/>
            <w:vAlign w:val="bottom"/>
          </w:tcPr>
          <w:p>
            <w:pPr>
              <w:pStyle w:val="TableContents"/>
              <w:spacing w:before="0" w:after="283"/>
              <w:rPr/>
            </w:pPr>
            <w:r>
              <w:rPr/>
              <w:t>)</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(1.2</w:t>
            </w:r>
          </w:p>
        </w:tc>
        <w:tc>
          <w:tcPr>
            <w:tcW w:w="146" w:type="dxa"/>
            <w:tcBorders/>
            <w:shd w:fill="CCEEFF" w:val="clear"/>
            <w:vAlign w:val="bottom"/>
          </w:tcPr>
          <w:p>
            <w:pPr>
              <w:pStyle w:val="TableContents"/>
              <w:spacing w:before="0" w:after="283"/>
              <w:rPr/>
            </w:pPr>
            <w:r>
              <w:rPr/>
              <w:t>)</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450" w:right="0" w:hanging="225"/>
              <w:rPr/>
            </w:pPr>
            <w:r>
              <w:rPr/>
              <w:t>Net income available to limited partners</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67.9</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56.7</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Less: EITF 03-06 additional general partners distribution</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(2.9</w:t>
            </w:r>
          </w:p>
        </w:tc>
        <w:tc>
          <w:tcPr>
            <w:tcW w:w="146" w:type="dxa"/>
            <w:tcBorders/>
            <w:shd w:fill="CCEEFF" w:val="clear"/>
            <w:vAlign w:val="bottom"/>
          </w:tcPr>
          <w:p>
            <w:pPr>
              <w:pStyle w:val="TableContents"/>
              <w:spacing w:before="0" w:after="283"/>
              <w:rPr/>
            </w:pPr>
            <w:r>
              <w:rPr/>
              <w:t>)</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450" w:right="0" w:hanging="225"/>
              <w:rPr/>
            </w:pPr>
            <w:r>
              <w:rPr/>
              <w:t>Net income available to limited partners under EITF 03-06</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67.9</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53.8</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Less: Limited partner 98% portion of cumulative effect of change in accounting principle</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(6.2</w:t>
            </w:r>
          </w:p>
        </w:tc>
        <w:tc>
          <w:tcPr>
            <w:tcW w:w="146" w:type="dxa"/>
            <w:tcBorders/>
            <w:shd w:fill="CCEEFF" w:val="clear"/>
            <w:vAlign w:val="bottom"/>
          </w:tcPr>
          <w:p>
            <w:pPr>
              <w:pStyle w:val="TableContents"/>
              <w:spacing w:before="0" w:after="283"/>
              <w:rPr/>
            </w:pPr>
            <w:r>
              <w:rPr/>
              <w:t>)</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450" w:right="0" w:hanging="225"/>
              <w:rPr/>
            </w:pPr>
            <w:r>
              <w:rPr/>
              <w:t>Limited partner net income before cumulative effect of change in accounting principle</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67.9</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47.6</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225" w:right="0" w:hanging="225"/>
              <w:rPr/>
            </w:pPr>
            <w:r>
              <w:rPr/>
              <w:t>Denominator:</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0"/>
              <w:ind w:left="450" w:right="0" w:hanging="225"/>
              <w:rPr/>
            </w:pPr>
            <w:r>
              <w:rPr/>
              <w:t>Basic earnings per limited partner unit (weighted average number of limited partner units outstanding)</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109.4</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74.0</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Effect of dilutive securities:</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0"/>
              <w:ind w:left="675" w:right="0" w:hanging="225"/>
              <w:rPr/>
            </w:pPr>
            <w:r>
              <w:rPr/>
              <w:t>LTIP units outstanding (1)</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1.3</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1.7</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450" w:right="0" w:hanging="225"/>
              <w:rPr/>
            </w:pPr>
            <w:r>
              <w:rPr/>
              <w:t>Diluted earnings per limited partner unit (weighted average number of limited partner units outstanding)</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110.7</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75.7</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225" w:right="0" w:hanging="225"/>
              <w:rPr/>
            </w:pPr>
            <w:r>
              <w:rPr/>
              <w:t>Basic net income per limited partner unit before cumulative effect of change in accounting principle</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0.62</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0.65</w:t>
            </w:r>
          </w:p>
        </w:tc>
        <w:tc>
          <w:tcPr>
            <w:tcW w:w="146" w:type="dxa"/>
            <w:tcBorders/>
            <w:shd w:fill="auto" w:val="clear"/>
            <w:vAlign w:val="bottom"/>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0.08</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auto" w:val="clear"/>
            <w:vAlign w:val="bottom"/>
          </w:tcPr>
          <w:p>
            <w:pPr>
              <w:pStyle w:val="TableContents"/>
              <w:spacing w:before="0" w:after="0"/>
              <w:ind w:left="225" w:right="0" w:hanging="225"/>
              <w:rPr/>
            </w:pPr>
            <w:r>
              <w:rPr/>
              <w:t>Basic net income per limited partner unit</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0.62</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0.73</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225" w:right="0" w:hanging="225"/>
              <w:rPr/>
            </w:pPr>
            <w:r>
              <w:rPr/>
              <w:t>Diluted net income per limited partner unit before cumulative effect of change in accounting principle</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0.61</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0.63</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bottom"/>
          </w:tcPr>
          <w:p>
            <w:pPr>
              <w:pStyle w:val="TableContents"/>
              <w:spacing w:before="0" w:after="0"/>
              <w:ind w:left="225" w:right="0" w:hanging="225"/>
              <w:rPr/>
            </w:pPr>
            <w:r>
              <w:rPr/>
              <w:t>Cumulative effect of change in accounting principle per limited partner unit</w:t>
            </w:r>
          </w:p>
        </w:tc>
        <w:tc>
          <w:tcPr>
            <w:tcW w:w="43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w:t>
            </w:r>
          </w:p>
        </w:tc>
        <w:tc>
          <w:tcPr>
            <w:tcW w:w="17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0.08</w:t>
            </w:r>
          </w:p>
        </w:tc>
        <w:tc>
          <w:tcPr>
            <w:tcW w:w="146" w:type="dxa"/>
            <w:tcBorders/>
            <w:shd w:fill="auto"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52" w:type="dxa"/>
            <w:tcBorders/>
            <w:shd w:fill="CCEEFF" w:val="clear"/>
            <w:vAlign w:val="bottom"/>
          </w:tcPr>
          <w:p>
            <w:pPr>
              <w:pStyle w:val="TableContents"/>
              <w:spacing w:before="0" w:after="0"/>
              <w:ind w:left="225" w:right="0" w:hanging="225"/>
              <w:rPr/>
            </w:pPr>
            <w:r>
              <w:rPr/>
              <w:t>Diluted net income per limited partner unit</w:t>
            </w:r>
          </w:p>
        </w:tc>
        <w:tc>
          <w:tcPr>
            <w:tcW w:w="43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0.61</w:t>
            </w:r>
          </w:p>
        </w:tc>
        <w:tc>
          <w:tcPr>
            <w:tcW w:w="174"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0.71</w:t>
            </w:r>
          </w:p>
        </w:tc>
        <w:tc>
          <w:tcPr>
            <w:tcW w:w="146" w:type="dxa"/>
            <w:tcBorders/>
            <w:shd w:fill="CCEEFF" w:val="clear"/>
            <w:vAlign w:val="bottom"/>
          </w:tcPr>
          <w:p>
            <w:pPr>
              <w:pStyle w:val="TableContents"/>
              <w:spacing w:before="0" w:after="283"/>
              <w:rPr/>
            </w:pPr>
            <w:r>
              <w:rPr/>
              <w:t> </w:t>
            </w:r>
          </w:p>
        </w:tc>
      </w:tr>
      <w:tr>
        <w:trPr/>
        <w:tc>
          <w:tcPr>
            <w:tcW w:w="6752" w:type="dxa"/>
            <w:tcBorders/>
            <w:shd w:fill="auto" w:val="clear"/>
            <w:vAlign w:val="center"/>
          </w:tcPr>
          <w:p>
            <w:pPr>
              <w:pStyle w:val="TableContents"/>
              <w:spacing w:before="0" w:after="0"/>
              <w:ind w:left="225" w:right="0" w:hanging="225"/>
              <w:rPr/>
            </w:pPr>
            <w:r>
              <w:rPr/>
              <w:t> </w:t>
            </w:r>
          </w:p>
        </w:tc>
        <w:tc>
          <w:tcPr>
            <w:tcW w:w="438" w:type="dxa"/>
            <w:tcBorders/>
            <w:shd w:fill="auto" w:val="clear"/>
            <w:vAlign w:val="center"/>
          </w:tcPr>
          <w:p>
            <w:pPr>
              <w:pStyle w:val="TableContents"/>
              <w:spacing w:before="0" w:after="283"/>
              <w:rPr/>
            </w:pPr>
            <w:r>
              <w:rPr/>
              <w:t> </w:t>
            </w:r>
          </w:p>
        </w:tc>
        <w:tc>
          <w:tcPr>
            <w:tcW w:w="11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Our LTIP awards that contemplate the issuance of common units described in Note 8 are considered dilutive securities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Statement of Financial Accounting Standards (SFAS) No. 128, Earnings per Share.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7Partners Capital and Distributions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April 17, 2007, we declared a cash distribution of $0.8125 per unit on our outstanding common units. The distribution is payable on May 15, 2007, to unitholders of record on May 4, 2007, for the period January 1, 2007 through March 31, 2007. The total distribution to be paid is approximately $107.4 million, with approximately $88.9 million to be paid to our common unitholders and approximately $1.8 million and $16.7 million to be paid to our general partner for its general partner and incentive distribution interests, respectively.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On January 16, 2007, we declared a cash distribution of $0.80 per unit on our outstanding common units. The distribution was paid on February 14, 2007 to unitholders of record on February 2, 2007, for the period October 1, 2006 through December 31, 2006. The total distribution paid was approximately $104.6 million, with approximately $87.5 million paid to our common unitholders and $1.8 million and $15.3 million paid to our general partner for its general partner and incentive distribution interests, respectively. </w:t>
      </w:r>
    </w:p>
    <w:p>
      <w:pPr>
        <w:pStyle w:val="TextBody"/>
        <w:spacing w:before="120" w:after="283"/>
        <w:jc w:val="left"/>
        <w:rPr/>
      </w:pPr>
      <w:r>
        <w:rPr/>
        <w:t>     </w:t>
      </w:r>
      <w:r>
        <w:rPr>
          <w:rFonts w:ascii="Times New Roman;Times;serif" w:hAnsi="Times New Roman;Times;serif"/>
          <w:sz w:val="17"/>
        </w:rPr>
        <w:t xml:space="preserve">Upon closing of the acquisition of Pacific Energy Partners L.P. (Pacific) in November 2006, our general partner agreed to reduce the amount of its incentive distributions as follows: (i) $5 million per quarter for the first four quarters, (ii) $3.75 million per quarter for the next eight quarters, (iii) $2.5 million per quarter for the next four quarters, and (iv) $1.25 million per quarter for the final four quarters. Pursuant to this agreement, the first quarterly reduction of $5 million occurred with the incentive distribution paid to the general partner on February 14, 2007. The incentive distribution to be paid in May 2007 also reflects a reduction of $5 million. The total reduction in incentive distributions will be $65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8Long-Term Incentive Plans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general partner has adopted the Plains All American GP LLC 1998 Long-Term Incentive Plan, the 2005 Long-Term Incentive Plan and the PPX Successor Long-Term Incentive Plan for employees and directors and the Plains All American GP LLC 2006 Long-Term Incentive Tracking Unit Plan for non-officer employees, collectively referred to as Long-Term Incentive Plans (LTIP).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vesting criteria, a DER entitles the grantee to a cash payment equal to cash distributions paid on an outstanding common unit prior to the vesting date of the underlying award. The 2006 Plan authorizes the grant of approximately 1.4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 </w:t>
      </w:r>
    </w:p>
    <w:p>
      <w:pPr>
        <w:pStyle w:val="TextBody"/>
        <w:spacing w:before="120" w:after="283"/>
        <w:jc w:val="left"/>
        <w:rPr/>
      </w:pPr>
      <w:r>
        <w:rPr/>
        <w:t>     </w:t>
      </w:r>
      <w:r>
        <w:rPr>
          <w:rFonts w:ascii="Times New Roman;Times;serif" w:hAnsi="Times New Roman;Times;serif"/>
          <w:sz w:val="17"/>
        </w:rPr>
        <w:t xml:space="preserve">We adopted SFAS 123(R) on January 1, 2006. Under SFAS 123(R) the fair value of the awards, which are subject to liability classification, is calculated based on the market price of our units at the balance sheet date adjusted for (i) the present value of any distributions that are estimated to occur on the underlying units over the vesting period that will not be received by the award recipients and (ii) an estimated forfeiture rate when appropriate. This fair value is then recognized as compensation expense over the period the awards are earned. For awards with performance conditions, we recognize LTIP compensation expense only if the achievement of the performance condition is considered probable. When awards with performance conditions that were previously considered improbable of occurring become probable of occurring, we incur additional LTIP compensation expense necessary to adjust the life-to-date accrued liability associated with these awards. In addition, we recognize compensation expense for DER payments in the period the payment is earned. </w:t>
      </w:r>
    </w:p>
    <w:p>
      <w:pPr>
        <w:pStyle w:val="TextBody"/>
        <w:spacing w:before="120" w:after="283"/>
        <w:jc w:val="left"/>
        <w:rPr/>
      </w:pPr>
      <w:r>
        <w:rPr/>
        <w:t>     </w:t>
      </w:r>
      <w:r>
        <w:rPr>
          <w:rFonts w:ascii="Times New Roman;Times;serif" w:hAnsi="Times New Roman;Times;serif"/>
          <w:sz w:val="17"/>
        </w:rPr>
        <w:t xml:space="preserve">As of March 31, 2007, there were outstanding awards of approximately 4.4 million phantom units and tracking units with a weighted average grant-date fair value of approximately $36.92 per unit. Our LTIP awards typically contain performance conditions relative to our annualized distribution level and vest upon the latter of a certain date or upon the attainment of a certain annualized distribution level. Upon our February 2007 annualized distribution of $3.20, approximately 2.2 million of our outstanding awards satisfied all performance conditions necessary for vesting and will vest in various increments over the next 5 years. Approximately 0.7 million of these awards will vest in May 2007. Approximately 2.2 million of our remaining outstanding awards have performance conditions requiring the attainment of an annualized distribution of between $3.50 and $4.00, which is not yet considered probable of occurring. Provided the performance conditions associated with these awards are ultimately attained, these awards will vest in various increments between 2010 and 2014. However, subject to continued employment, approximately 0.4 million of these awards still outstanding in 2012 will vest regardless of whether or not the performance condition is attained. Approximately 3.0 million of our outstanding awards include DERs, of which 1.6 million are currently vested. Our DER awards typically contain performance conditions relative to our annualized distribution level and vest upon the earlier of a certain date or a certain annualized distribution level. The DERs terminate with the vesting or forfeiture of the underlying award. </w:t>
      </w:r>
    </w:p>
    <w:p>
      <w:pPr>
        <w:pStyle w:val="TextBody"/>
        <w:spacing w:before="120" w:after="283"/>
        <w:jc w:val="left"/>
        <w:rPr/>
      </w:pPr>
      <w:r>
        <w:rPr/>
        <w:t>     </w:t>
      </w:r>
      <w:r>
        <w:rPr>
          <w:rFonts w:ascii="Times New Roman;Times;serif" w:hAnsi="Times New Roman;Times;serif"/>
          <w:sz w:val="17"/>
        </w:rPr>
        <w:t xml:space="preserve">Our LTIP activity is summarized in the following table (in millions except weighted average grant date fair values per unit): </w:t>
      </w:r>
    </w:p>
    <w:tbl>
      <w:tblPr>
        <w:tblW w:w="5000" w:type="pct"/>
        <w:jc w:val="center"/>
        <w:tblInd w:w="0" w:type="dxa"/>
        <w:tblCellMar>
          <w:top w:w="0" w:type="dxa"/>
          <w:left w:w="0" w:type="dxa"/>
          <w:bottom w:w="0" w:type="dxa"/>
          <w:right w:w="0" w:type="dxa"/>
        </w:tblCellMar>
      </w:tblPr>
      <w:tblGrid>
        <w:gridCol w:w="6202"/>
        <w:gridCol w:w="396"/>
        <w:gridCol w:w="143"/>
        <w:gridCol w:w="742"/>
        <w:gridCol w:w="119"/>
        <w:gridCol w:w="396"/>
        <w:gridCol w:w="403"/>
        <w:gridCol w:w="1681"/>
        <w:gridCol w:w="123"/>
      </w:tblGrid>
      <w:tr>
        <w:trPr/>
        <w:tc>
          <w:tcPr>
            <w:tcW w:w="620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084" w:type="dxa"/>
            <w:gridSpan w:val="2"/>
            <w:tcBorders/>
            <w:shd w:fill="auto" w:val="clear"/>
            <w:vAlign w:val="bottom"/>
          </w:tcPr>
          <w:p>
            <w:pPr>
              <w:pStyle w:val="TableContents"/>
              <w:spacing w:before="0" w:after="283"/>
              <w:jc w:val="center"/>
              <w:rPr>
                <w:b/>
              </w:rPr>
            </w:pPr>
            <w:r>
              <w:rPr>
                <w:b/>
              </w:rPr>
              <w:t>Weighted</w:t>
            </w:r>
          </w:p>
        </w:tc>
        <w:tc>
          <w:tcPr>
            <w:tcW w:w="123" w:type="dxa"/>
            <w:tcBorders/>
            <w:shd w:fill="auto"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084" w:type="dxa"/>
            <w:gridSpan w:val="2"/>
            <w:tcBorders/>
            <w:shd w:fill="auto" w:val="clear"/>
            <w:vAlign w:val="bottom"/>
          </w:tcPr>
          <w:p>
            <w:pPr>
              <w:pStyle w:val="TableContents"/>
              <w:spacing w:before="0" w:after="283"/>
              <w:jc w:val="center"/>
              <w:rPr>
                <w:b/>
              </w:rPr>
            </w:pPr>
            <w:r>
              <w:rPr>
                <w:b/>
              </w:rPr>
              <w:t>Average</w:t>
            </w:r>
          </w:p>
        </w:tc>
        <w:tc>
          <w:tcPr>
            <w:tcW w:w="123" w:type="dxa"/>
            <w:tcBorders/>
            <w:shd w:fill="auto"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084" w:type="dxa"/>
            <w:gridSpan w:val="2"/>
            <w:tcBorders/>
            <w:shd w:fill="auto" w:val="clear"/>
            <w:vAlign w:val="bottom"/>
          </w:tcPr>
          <w:p>
            <w:pPr>
              <w:pStyle w:val="TableContents"/>
              <w:spacing w:before="0" w:after="283"/>
              <w:jc w:val="center"/>
              <w:rPr>
                <w:b/>
              </w:rPr>
            </w:pPr>
            <w:r>
              <w:rPr>
                <w:b/>
              </w:rPr>
              <w:t>Grant Date</w:t>
            </w:r>
          </w:p>
        </w:tc>
        <w:tc>
          <w:tcPr>
            <w:tcW w:w="123" w:type="dxa"/>
            <w:tcBorders/>
            <w:shd w:fill="auto"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0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Fair Value per unit</w:t>
            </w:r>
          </w:p>
        </w:tc>
        <w:tc>
          <w:tcPr>
            <w:tcW w:w="123" w:type="dxa"/>
            <w:tcBorders/>
            <w:shd w:fill="auto" w:val="clear"/>
            <w:vAlign w:val="bottom"/>
          </w:tcPr>
          <w:p>
            <w:pPr>
              <w:pStyle w:val="TableContents"/>
              <w:spacing w:before="0" w:after="283"/>
              <w:rPr/>
            </w:pPr>
            <w:r>
              <w:rPr/>
              <w:t> </w:t>
            </w:r>
          </w:p>
        </w:tc>
      </w:tr>
      <w:tr>
        <w:trPr/>
        <w:tc>
          <w:tcPr>
            <w:tcW w:w="6202" w:type="dxa"/>
            <w:tcBorders/>
            <w:shd w:fill="CCEEFF" w:val="clear"/>
            <w:vAlign w:val="bottom"/>
          </w:tcPr>
          <w:p>
            <w:pPr>
              <w:pStyle w:val="TableContents"/>
              <w:spacing w:before="0" w:after="0"/>
              <w:ind w:left="225" w:right="0" w:hanging="225"/>
              <w:rPr/>
            </w:pPr>
            <w:r>
              <w:rPr/>
              <w:t>Outstanding at December 31, 2006</w:t>
            </w:r>
          </w:p>
        </w:tc>
        <w:tc>
          <w:tcPr>
            <w:tcW w:w="39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3.0</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left"/>
              <w:rPr/>
            </w:pPr>
            <w:r>
              <w:rPr/>
              <w:t>$</w:t>
            </w:r>
          </w:p>
        </w:tc>
        <w:tc>
          <w:tcPr>
            <w:tcW w:w="1681" w:type="dxa"/>
            <w:tcBorders/>
            <w:shd w:fill="CCEEFF" w:val="clear"/>
            <w:vAlign w:val="bottom"/>
          </w:tcPr>
          <w:p>
            <w:pPr>
              <w:pStyle w:val="TableContents"/>
              <w:spacing w:before="0" w:after="283"/>
              <w:jc w:val="right"/>
              <w:rPr/>
            </w:pPr>
            <w:r>
              <w:rPr/>
              <w:t>31.94</w:t>
            </w:r>
          </w:p>
        </w:tc>
        <w:tc>
          <w:tcPr>
            <w:tcW w:w="123" w:type="dxa"/>
            <w:tcBorders/>
            <w:shd w:fill="CCEEFF"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0"/>
              <w:ind w:left="450" w:right="0" w:hanging="225"/>
              <w:rPr/>
            </w:pPr>
            <w:r>
              <w:rPr/>
              <w:t>Granted</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pPr>
            <w:r>
              <w:rPr/>
              <w:t>1.4</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left"/>
              <w:rPr/>
            </w:pPr>
            <w:r>
              <w:rPr/>
              <w:t>$</w:t>
            </w:r>
          </w:p>
        </w:tc>
        <w:tc>
          <w:tcPr>
            <w:tcW w:w="1681" w:type="dxa"/>
            <w:tcBorders/>
            <w:shd w:fill="auto" w:val="clear"/>
            <w:vAlign w:val="bottom"/>
          </w:tcPr>
          <w:p>
            <w:pPr>
              <w:pStyle w:val="TableContents"/>
              <w:spacing w:before="0" w:after="283"/>
              <w:jc w:val="right"/>
              <w:rPr/>
            </w:pPr>
            <w:r>
              <w:rPr/>
              <w:t>47.42</w:t>
            </w:r>
          </w:p>
        </w:tc>
        <w:tc>
          <w:tcPr>
            <w:tcW w:w="123" w:type="dxa"/>
            <w:tcBorders/>
            <w:shd w:fill="auto" w:val="clear"/>
            <w:vAlign w:val="bottom"/>
          </w:tcPr>
          <w:p>
            <w:pPr>
              <w:pStyle w:val="TableContents"/>
              <w:spacing w:before="0" w:after="283"/>
              <w:rPr/>
            </w:pPr>
            <w:r>
              <w:rPr/>
              <w:t> </w:t>
            </w:r>
          </w:p>
        </w:tc>
      </w:tr>
      <w:tr>
        <w:trPr/>
        <w:tc>
          <w:tcPr>
            <w:tcW w:w="6202" w:type="dxa"/>
            <w:tcBorders/>
            <w:shd w:fill="CCEEFF" w:val="clear"/>
            <w:vAlign w:val="bottom"/>
          </w:tcPr>
          <w:p>
            <w:pPr>
              <w:pStyle w:val="TableContents"/>
              <w:spacing w:before="0" w:after="0"/>
              <w:ind w:left="450" w:right="0" w:hanging="225"/>
              <w:rPr/>
            </w:pPr>
            <w:r>
              <w:rPr/>
              <w:t>Vested</w:t>
            </w:r>
          </w:p>
        </w:tc>
        <w:tc>
          <w:tcPr>
            <w:tcW w:w="39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left"/>
              <w:rPr/>
            </w:pPr>
            <w:r>
              <w:rPr/>
              <w:t>$</w:t>
            </w:r>
          </w:p>
        </w:tc>
        <w:tc>
          <w:tcPr>
            <w:tcW w:w="1681"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6202" w:type="dxa"/>
            <w:tcBorders/>
            <w:shd w:fill="auto" w:val="clear"/>
            <w:vAlign w:val="bottom"/>
          </w:tcPr>
          <w:p>
            <w:pPr>
              <w:pStyle w:val="TableContents"/>
              <w:spacing w:before="0" w:after="0"/>
              <w:ind w:left="450" w:right="0" w:hanging="225"/>
              <w:rPr/>
            </w:pPr>
            <w:r>
              <w:rPr/>
              <w:t>Cancelled or forfeited</w:t>
            </w:r>
          </w:p>
        </w:tc>
        <w:tc>
          <w:tcPr>
            <w:tcW w:w="3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left"/>
              <w:rPr/>
            </w:pPr>
            <w:r>
              <w:rPr/>
              <w:t>$</w:t>
            </w:r>
          </w:p>
        </w:tc>
        <w:tc>
          <w:tcPr>
            <w:tcW w:w="1681"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6202"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8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2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202" w:type="dxa"/>
            <w:tcBorders/>
            <w:shd w:fill="CCEEFF" w:val="clear"/>
            <w:vAlign w:val="bottom"/>
          </w:tcPr>
          <w:p>
            <w:pPr>
              <w:pStyle w:val="TableContents"/>
              <w:spacing w:before="0" w:after="0"/>
              <w:ind w:left="225" w:right="0" w:hanging="225"/>
              <w:rPr/>
            </w:pPr>
            <w:r>
              <w:rPr/>
              <w:t>Outstanding at March 31, 2007</w:t>
            </w:r>
          </w:p>
        </w:tc>
        <w:tc>
          <w:tcPr>
            <w:tcW w:w="39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4.4</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left"/>
              <w:rPr/>
            </w:pPr>
            <w:r>
              <w:rPr/>
              <w:t>$</w:t>
            </w:r>
          </w:p>
        </w:tc>
        <w:tc>
          <w:tcPr>
            <w:tcW w:w="1681" w:type="dxa"/>
            <w:tcBorders/>
            <w:shd w:fill="CCEEFF" w:val="clear"/>
            <w:vAlign w:val="bottom"/>
          </w:tcPr>
          <w:p>
            <w:pPr>
              <w:pStyle w:val="TableContents"/>
              <w:spacing w:before="0" w:after="283"/>
              <w:jc w:val="right"/>
              <w:rPr/>
            </w:pPr>
            <w:r>
              <w:rPr/>
              <w:t>36.92</w:t>
            </w:r>
          </w:p>
        </w:tc>
        <w:tc>
          <w:tcPr>
            <w:tcW w:w="123" w:type="dxa"/>
            <w:tcBorders/>
            <w:shd w:fill="CCEEFF" w:val="clear"/>
            <w:vAlign w:val="bottom"/>
          </w:tcPr>
          <w:p>
            <w:pPr>
              <w:pStyle w:val="TableContents"/>
              <w:spacing w:before="0" w:after="283"/>
              <w:rPr/>
            </w:pPr>
            <w:r>
              <w:rPr/>
              <w:t> </w:t>
            </w:r>
          </w:p>
        </w:tc>
      </w:tr>
      <w:tr>
        <w:trPr/>
        <w:tc>
          <w:tcPr>
            <w:tcW w:w="6202"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8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2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recognized expense related to our LTIP of approximately $19 million and $10 million during the first quarter of 2007 and 2006, respectively. Approximately $8.4 million of the charge for the first quarter of 2007 is associated with the Partnerships unit price increasing from $51.20 at December 31, 2006 to $57.61 at March 31, 2007. As of March 31, 2007, we have an accrued liability of approximately $74.8 million associated with our LTIP. Cash payments associated with LTIP vestings were approximately $1 million in the first quarter of 2006. There were no material payments in the first quarter of 2007. Cash payments associated with DER awards were approximately $1 million and $1 million in the first quarter of 2007 and 2006, respectively. No units were issued during the first quarter of 2007 in connection with the settlement of vested awards. </w:t>
      </w:r>
    </w:p>
    <w:p>
      <w:pPr>
        <w:pStyle w:val="TextBody"/>
        <w:spacing w:before="120" w:after="283"/>
        <w:jc w:val="left"/>
        <w:rPr/>
      </w:pPr>
      <w:r>
        <w:rPr/>
        <w:t>     </w:t>
      </w:r>
      <w:r>
        <w:rPr>
          <w:rFonts w:ascii="Times New Roman;Times;serif" w:hAnsi="Times New Roman;Times;serif"/>
          <w:sz w:val="17"/>
        </w:rPr>
        <w:t xml:space="preserve">As of March 31, 2007, the weighted average remaining contractual life of our outstanding awards (that are currently considered probable of vesting) was approximately 2.5 years based on expected vesting dates. Based on the March 31, 2007 fair value measurement and probability assessment regarding future distributions, we expect to recognize an additional $65 million of expense over the life of our outstanding awards related to the remaining unrecognized fair value. This estimate is based on the market price of our limited partner units of $57.61 at March 31, 2007. Actual amounts may differ materially as a result of a change in market price. We estimate that the remaining fair value will be recognized in expense as shown below (in millions): </w:t>
      </w:r>
    </w:p>
    <w:tbl>
      <w:tblPr>
        <w:tblW w:w="5000" w:type="pct"/>
        <w:jc w:val="center"/>
        <w:tblInd w:w="0" w:type="dxa"/>
        <w:tblCellMar>
          <w:top w:w="0" w:type="dxa"/>
          <w:left w:w="0" w:type="dxa"/>
          <w:bottom w:w="0" w:type="dxa"/>
          <w:right w:w="0" w:type="dxa"/>
        </w:tblCellMar>
      </w:tblPr>
      <w:tblGrid>
        <w:gridCol w:w="7764"/>
        <w:gridCol w:w="465"/>
        <w:gridCol w:w="405"/>
        <w:gridCol w:w="1435"/>
        <w:gridCol w:w="136"/>
      </w:tblGrid>
      <w:tr>
        <w:trPr/>
        <w:tc>
          <w:tcPr>
            <w:tcW w:w="776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76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840" w:type="dxa"/>
            <w:gridSpan w:val="2"/>
            <w:tcBorders/>
            <w:shd w:fill="auto" w:val="clear"/>
            <w:vAlign w:val="bottom"/>
          </w:tcPr>
          <w:p>
            <w:pPr>
              <w:pStyle w:val="TableContents"/>
              <w:spacing w:before="0" w:after="283"/>
              <w:jc w:val="center"/>
              <w:rPr>
                <w:b/>
              </w:rPr>
            </w:pPr>
            <w:r>
              <w:rPr>
                <w:b/>
              </w:rPr>
              <w:t>LTIP</w:t>
            </w:r>
          </w:p>
        </w:tc>
        <w:tc>
          <w:tcPr>
            <w:tcW w:w="136" w:type="dxa"/>
            <w:tcBorders/>
            <w:shd w:fill="auto" w:val="clear"/>
            <w:vAlign w:val="bottom"/>
          </w:tcPr>
          <w:p>
            <w:pPr>
              <w:pStyle w:val="TableContents"/>
              <w:spacing w:before="0" w:after="283"/>
              <w:rPr/>
            </w:pPr>
            <w:r>
              <w:rPr/>
              <w:t> </w:t>
            </w:r>
          </w:p>
        </w:tc>
      </w:tr>
      <w:tr>
        <w:trPr/>
        <w:tc>
          <w:tcPr>
            <w:tcW w:w="776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840" w:type="dxa"/>
            <w:gridSpan w:val="2"/>
            <w:tcBorders/>
            <w:shd w:fill="auto" w:val="clear"/>
            <w:vAlign w:val="bottom"/>
          </w:tcPr>
          <w:p>
            <w:pPr>
              <w:pStyle w:val="TableContents"/>
              <w:spacing w:before="0" w:after="283"/>
              <w:jc w:val="center"/>
              <w:rPr>
                <w:b/>
              </w:rPr>
            </w:pPr>
            <w:r>
              <w:rPr>
                <w:b/>
              </w:rPr>
              <w:t>Fair Value</w:t>
            </w:r>
          </w:p>
        </w:tc>
        <w:tc>
          <w:tcPr>
            <w:tcW w:w="136" w:type="dxa"/>
            <w:tcBorders/>
            <w:shd w:fill="auto" w:val="clear"/>
            <w:vAlign w:val="bottom"/>
          </w:tcPr>
          <w:p>
            <w:pPr>
              <w:pStyle w:val="TableContents"/>
              <w:spacing w:before="0" w:after="283"/>
              <w:rPr/>
            </w:pPr>
            <w:r>
              <w:rPr/>
              <w:t> </w:t>
            </w:r>
          </w:p>
        </w:tc>
      </w:tr>
      <w:tr>
        <w:trPr/>
        <w:tc>
          <w:tcPr>
            <w:tcW w:w="7764" w:type="dxa"/>
            <w:tcBorders>
              <w:bottom w:val="single" w:sz="2" w:space="0" w:color="000000"/>
            </w:tcBorders>
            <w:shd w:fill="auto" w:val="clear"/>
            <w:tcMar>
              <w:bottom w:w="28" w:type="dxa"/>
            </w:tcMar>
            <w:vAlign w:val="bottom"/>
          </w:tcPr>
          <w:p>
            <w:pPr>
              <w:pStyle w:val="TableContents"/>
              <w:spacing w:before="0" w:after="283"/>
              <w:jc w:val="left"/>
              <w:rPr>
                <w:b/>
              </w:rPr>
            </w:pPr>
            <w:r>
              <w:rPr>
                <w:b/>
              </w:rPr>
              <w:t>Year</w:t>
            </w:r>
          </w:p>
        </w:tc>
        <w:tc>
          <w:tcPr>
            <w:tcW w:w="465" w:type="dxa"/>
            <w:tcBorders/>
            <w:shd w:fill="auto" w:val="clear"/>
            <w:vAlign w:val="bottom"/>
          </w:tcPr>
          <w:p>
            <w:pPr>
              <w:pStyle w:val="TableContents"/>
              <w:spacing w:before="0" w:after="283"/>
              <w:rPr/>
            </w:pPr>
            <w:r>
              <w:rPr/>
              <w:t> </w:t>
            </w:r>
          </w:p>
        </w:tc>
        <w:tc>
          <w:tcPr>
            <w:tcW w:w="18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Amortization(1)</w:t>
            </w:r>
          </w:p>
        </w:tc>
        <w:tc>
          <w:tcPr>
            <w:tcW w:w="136" w:type="dxa"/>
            <w:tcBorders/>
            <w:shd w:fill="auto" w:val="clear"/>
            <w:vAlign w:val="bottom"/>
          </w:tcPr>
          <w:p>
            <w:pPr>
              <w:pStyle w:val="TableContents"/>
              <w:spacing w:before="0" w:after="283"/>
              <w:rPr/>
            </w:pPr>
            <w:r>
              <w:rPr/>
              <w:t> </w:t>
            </w:r>
          </w:p>
        </w:tc>
      </w:tr>
      <w:tr>
        <w:trPr/>
        <w:tc>
          <w:tcPr>
            <w:tcW w:w="7764" w:type="dxa"/>
            <w:tcBorders/>
            <w:shd w:fill="CCEEFF" w:val="clear"/>
            <w:vAlign w:val="bottom"/>
          </w:tcPr>
          <w:p>
            <w:pPr>
              <w:pStyle w:val="TableContents"/>
              <w:spacing w:before="0" w:after="0"/>
              <w:ind w:left="225" w:right="0" w:hanging="225"/>
              <w:rPr/>
            </w:pPr>
            <w:r>
              <w:rPr/>
              <w:t>2007 (2)</w:t>
            </w:r>
          </w:p>
        </w:tc>
        <w:tc>
          <w:tcPr>
            <w:tcW w:w="46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jc w:val="left"/>
              <w:rPr/>
            </w:pPr>
            <w:r>
              <w:rPr/>
              <w:t>$</w:t>
            </w:r>
          </w:p>
        </w:tc>
        <w:tc>
          <w:tcPr>
            <w:tcW w:w="1435" w:type="dxa"/>
            <w:tcBorders/>
            <w:shd w:fill="CCEEFF" w:val="clear"/>
            <w:vAlign w:val="bottom"/>
          </w:tcPr>
          <w:p>
            <w:pPr>
              <w:pStyle w:val="TableContents"/>
              <w:spacing w:before="0" w:after="283"/>
              <w:jc w:val="right"/>
              <w:rPr/>
            </w:pPr>
            <w:r>
              <w:rPr/>
              <w:t>19.4</w:t>
            </w:r>
          </w:p>
        </w:tc>
        <w:tc>
          <w:tcPr>
            <w:tcW w:w="136" w:type="dxa"/>
            <w:tcBorders/>
            <w:shd w:fill="CCEEFF" w:val="clear"/>
            <w:vAlign w:val="bottom"/>
          </w:tcPr>
          <w:p>
            <w:pPr>
              <w:pStyle w:val="TableContents"/>
              <w:spacing w:before="0" w:after="283"/>
              <w:rPr/>
            </w:pPr>
            <w:r>
              <w:rPr/>
              <w:t> </w:t>
            </w:r>
          </w:p>
        </w:tc>
      </w:tr>
      <w:tr>
        <w:trPr/>
        <w:tc>
          <w:tcPr>
            <w:tcW w:w="7764" w:type="dxa"/>
            <w:tcBorders/>
            <w:shd w:fill="auto" w:val="clear"/>
            <w:vAlign w:val="bottom"/>
          </w:tcPr>
          <w:p>
            <w:pPr>
              <w:pStyle w:val="TableContents"/>
              <w:spacing w:before="0" w:after="0"/>
              <w:ind w:left="225" w:right="0" w:hanging="225"/>
              <w:rPr/>
            </w:pPr>
            <w:r>
              <w:rPr/>
              <w:t>2008</w:t>
            </w:r>
          </w:p>
        </w:tc>
        <w:tc>
          <w:tcPr>
            <w:tcW w:w="46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35" w:type="dxa"/>
            <w:tcBorders/>
            <w:shd w:fill="auto" w:val="clear"/>
            <w:vAlign w:val="bottom"/>
          </w:tcPr>
          <w:p>
            <w:pPr>
              <w:pStyle w:val="TableContents"/>
              <w:spacing w:before="0" w:after="283"/>
              <w:jc w:val="right"/>
              <w:rPr/>
            </w:pPr>
            <w:r>
              <w:rPr/>
              <w:t>20.3</w:t>
            </w:r>
          </w:p>
        </w:tc>
        <w:tc>
          <w:tcPr>
            <w:tcW w:w="136" w:type="dxa"/>
            <w:tcBorders/>
            <w:shd w:fill="auto" w:val="clear"/>
            <w:vAlign w:val="bottom"/>
          </w:tcPr>
          <w:p>
            <w:pPr>
              <w:pStyle w:val="TableContents"/>
              <w:spacing w:before="0" w:after="283"/>
              <w:rPr/>
            </w:pPr>
            <w:r>
              <w:rPr/>
              <w:t> </w:t>
            </w:r>
          </w:p>
        </w:tc>
      </w:tr>
      <w:tr>
        <w:trPr/>
        <w:tc>
          <w:tcPr>
            <w:tcW w:w="7764" w:type="dxa"/>
            <w:tcBorders/>
            <w:shd w:fill="CCEEFF" w:val="clear"/>
            <w:vAlign w:val="bottom"/>
          </w:tcPr>
          <w:p>
            <w:pPr>
              <w:pStyle w:val="TableContents"/>
              <w:spacing w:before="0" w:after="0"/>
              <w:ind w:left="225" w:right="0" w:hanging="225"/>
              <w:rPr/>
            </w:pPr>
            <w:r>
              <w:rPr/>
              <w:t>2009</w:t>
            </w:r>
          </w:p>
        </w:tc>
        <w:tc>
          <w:tcPr>
            <w:tcW w:w="46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283"/>
              <w:jc w:val="right"/>
              <w:rPr/>
            </w:pPr>
            <w:r>
              <w:rPr/>
              <w:t>14.1</w:t>
            </w:r>
          </w:p>
        </w:tc>
        <w:tc>
          <w:tcPr>
            <w:tcW w:w="136" w:type="dxa"/>
            <w:tcBorders/>
            <w:shd w:fill="CCEEFF" w:val="clear"/>
            <w:vAlign w:val="bottom"/>
          </w:tcPr>
          <w:p>
            <w:pPr>
              <w:pStyle w:val="TableContents"/>
              <w:spacing w:before="0" w:after="283"/>
              <w:rPr/>
            </w:pPr>
            <w:r>
              <w:rPr/>
              <w:t> </w:t>
            </w:r>
          </w:p>
        </w:tc>
      </w:tr>
      <w:tr>
        <w:trPr/>
        <w:tc>
          <w:tcPr>
            <w:tcW w:w="7764" w:type="dxa"/>
            <w:tcBorders/>
            <w:shd w:fill="auto" w:val="clear"/>
            <w:vAlign w:val="bottom"/>
          </w:tcPr>
          <w:p>
            <w:pPr>
              <w:pStyle w:val="TableContents"/>
              <w:spacing w:before="0" w:after="0"/>
              <w:ind w:left="225" w:right="0" w:hanging="225"/>
              <w:rPr/>
            </w:pPr>
            <w:r>
              <w:rPr/>
              <w:t>2010</w:t>
            </w:r>
          </w:p>
        </w:tc>
        <w:tc>
          <w:tcPr>
            <w:tcW w:w="46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35" w:type="dxa"/>
            <w:tcBorders/>
            <w:shd w:fill="auto" w:val="clear"/>
            <w:vAlign w:val="bottom"/>
          </w:tcPr>
          <w:p>
            <w:pPr>
              <w:pStyle w:val="TableContents"/>
              <w:spacing w:before="0" w:after="283"/>
              <w:jc w:val="right"/>
              <w:rPr/>
            </w:pPr>
            <w:r>
              <w:rPr/>
              <w:t>5.9</w:t>
            </w:r>
          </w:p>
        </w:tc>
        <w:tc>
          <w:tcPr>
            <w:tcW w:w="136" w:type="dxa"/>
            <w:tcBorders/>
            <w:shd w:fill="auto" w:val="clear"/>
            <w:vAlign w:val="bottom"/>
          </w:tcPr>
          <w:p>
            <w:pPr>
              <w:pStyle w:val="TableContents"/>
              <w:spacing w:before="0" w:after="283"/>
              <w:rPr/>
            </w:pPr>
            <w:r>
              <w:rPr/>
              <w:t> </w:t>
            </w:r>
          </w:p>
        </w:tc>
      </w:tr>
      <w:tr>
        <w:trPr/>
        <w:tc>
          <w:tcPr>
            <w:tcW w:w="7764" w:type="dxa"/>
            <w:tcBorders/>
            <w:shd w:fill="CCEEFF" w:val="clear"/>
            <w:vAlign w:val="bottom"/>
          </w:tcPr>
          <w:p>
            <w:pPr>
              <w:pStyle w:val="TableContents"/>
              <w:spacing w:before="0" w:after="0"/>
              <w:ind w:left="225" w:right="0" w:hanging="225"/>
              <w:rPr/>
            </w:pPr>
            <w:r>
              <w:rPr/>
              <w:t>2011</w:t>
            </w:r>
          </w:p>
        </w:tc>
        <w:tc>
          <w:tcPr>
            <w:tcW w:w="46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283"/>
              <w:jc w:val="right"/>
              <w:rPr/>
            </w:pPr>
            <w:r>
              <w:rPr/>
              <w:t>2.7</w:t>
            </w:r>
          </w:p>
        </w:tc>
        <w:tc>
          <w:tcPr>
            <w:tcW w:w="136" w:type="dxa"/>
            <w:tcBorders/>
            <w:shd w:fill="CCEEFF" w:val="clear"/>
            <w:vAlign w:val="bottom"/>
          </w:tcPr>
          <w:p>
            <w:pPr>
              <w:pStyle w:val="TableContents"/>
              <w:spacing w:before="0" w:after="283"/>
              <w:rPr/>
            </w:pPr>
            <w:r>
              <w:rPr/>
              <w:t> </w:t>
            </w:r>
          </w:p>
        </w:tc>
      </w:tr>
      <w:tr>
        <w:trPr/>
        <w:tc>
          <w:tcPr>
            <w:tcW w:w="7764" w:type="dxa"/>
            <w:tcBorders/>
            <w:shd w:fill="auto" w:val="clear"/>
            <w:vAlign w:val="bottom"/>
          </w:tcPr>
          <w:p>
            <w:pPr>
              <w:pStyle w:val="TableContents"/>
              <w:spacing w:before="0" w:after="0"/>
              <w:ind w:left="225" w:right="0" w:hanging="225"/>
              <w:rPr/>
            </w:pPr>
            <w:r>
              <w:rPr/>
              <w:t>2012</w:t>
            </w:r>
          </w:p>
        </w:tc>
        <w:tc>
          <w:tcPr>
            <w:tcW w:w="46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35" w:type="dxa"/>
            <w:tcBorders/>
            <w:shd w:fill="auto" w:val="clear"/>
            <w:vAlign w:val="bottom"/>
          </w:tcPr>
          <w:p>
            <w:pPr>
              <w:pStyle w:val="TableContents"/>
              <w:spacing w:before="0" w:after="283"/>
              <w:jc w:val="right"/>
              <w:rPr/>
            </w:pPr>
            <w:r>
              <w:rPr/>
              <w:t>2.4</w:t>
            </w:r>
          </w:p>
        </w:tc>
        <w:tc>
          <w:tcPr>
            <w:tcW w:w="136" w:type="dxa"/>
            <w:tcBorders/>
            <w:shd w:fill="auto" w:val="clear"/>
            <w:vAlign w:val="bottom"/>
          </w:tcPr>
          <w:p>
            <w:pPr>
              <w:pStyle w:val="TableContents"/>
              <w:spacing w:before="0" w:after="283"/>
              <w:rPr/>
            </w:pPr>
            <w:r>
              <w:rPr/>
              <w:t> </w:t>
            </w:r>
          </w:p>
        </w:tc>
      </w:tr>
      <w:tr>
        <w:trPr/>
        <w:tc>
          <w:tcPr>
            <w:tcW w:w="7764"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1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764" w:type="dxa"/>
            <w:tcBorders/>
            <w:shd w:fill="CCEEFF" w:val="clear"/>
            <w:vAlign w:val="bottom"/>
          </w:tcPr>
          <w:p>
            <w:pPr>
              <w:pStyle w:val="TableContents"/>
              <w:spacing w:before="0" w:after="0"/>
              <w:ind w:left="450" w:right="0" w:hanging="225"/>
              <w:rPr/>
            </w:pPr>
            <w:r>
              <w:rPr/>
              <w:t>Total</w:t>
            </w:r>
          </w:p>
        </w:tc>
        <w:tc>
          <w:tcPr>
            <w:tcW w:w="46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jc w:val="left"/>
              <w:rPr/>
            </w:pPr>
            <w:r>
              <w:rPr/>
              <w:t>$</w:t>
            </w:r>
          </w:p>
        </w:tc>
        <w:tc>
          <w:tcPr>
            <w:tcW w:w="1435" w:type="dxa"/>
            <w:tcBorders/>
            <w:shd w:fill="CCEEFF" w:val="clear"/>
            <w:vAlign w:val="bottom"/>
          </w:tcPr>
          <w:p>
            <w:pPr>
              <w:pStyle w:val="TableContents"/>
              <w:spacing w:before="0" w:after="283"/>
              <w:jc w:val="right"/>
              <w:rPr/>
            </w:pPr>
            <w:r>
              <w:rPr/>
              <w:t>64.8</w:t>
            </w:r>
          </w:p>
        </w:tc>
        <w:tc>
          <w:tcPr>
            <w:tcW w:w="136" w:type="dxa"/>
            <w:tcBorders/>
            <w:shd w:fill="CCEEFF" w:val="clear"/>
            <w:vAlign w:val="bottom"/>
          </w:tcPr>
          <w:p>
            <w:pPr>
              <w:pStyle w:val="TableContents"/>
              <w:spacing w:before="0" w:after="283"/>
              <w:rPr/>
            </w:pPr>
            <w:r>
              <w:rPr/>
              <w:t> </w:t>
            </w:r>
          </w:p>
        </w:tc>
      </w:tr>
      <w:tr>
        <w:trPr/>
        <w:tc>
          <w:tcPr>
            <w:tcW w:w="7764"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18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Amounts do not include fair value associated with awards containing performance conditions that are not considered to be probable of occurring at March 31, 2007.</w:t>
            </w:r>
          </w:p>
        </w:tc>
      </w:tr>
      <w:tr>
        <w:trPr/>
        <w:tc>
          <w:tcPr>
            <w:tcW w:w="6749" w:type="dxa"/>
            <w:tcBorders/>
            <w:shd w:fill="auto" w:val="clear"/>
            <w:vAlign w:val="center"/>
          </w:tcPr>
          <w:p>
            <w:pPr>
              <w:pStyle w:val="TableContents"/>
              <w:spacing w:before="0" w:after="283"/>
              <w:rPr/>
            </w:pPr>
            <w:r>
              <w:rPr/>
              <w:t> </w:t>
            </w:r>
          </w:p>
        </w:tc>
        <w:tc>
          <w:tcPr>
            <w:tcW w:w="3456" w:type="dxa"/>
            <w:gridSpan w:val="2"/>
            <w:tcBorders/>
            <w:shd w:fill="auto" w:val="clea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(2)</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Includes LTIP fair value amortization for the remaining nine months of 2007.</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9Derivative Instruments and Hedging Activities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utilize various derivative instruments to (i) manage our exposure to commodity price risk, (ii) engage in a controlled commodity trading program, (iii) manage our exposure to interest rate risk and (iv) manage our exposure to currency exchange rate risk. Our risk management policies and procedures are designed to monitor interest rates, currency exchange rates, and NYMEX, ICE and over-the-counter positions, as well as physical volumes, grades, locations and delivery schedules to help ensure that our hedging activities address our market risks. Our policy is to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or the fair value of hedged items. </w:t>
      </w:r>
    </w:p>
    <w:p>
      <w:pPr>
        <w:pStyle w:val="TextBody"/>
        <w:spacing w:before="120" w:after="283"/>
        <w:jc w:val="left"/>
        <w:rPr/>
      </w:pPr>
      <w:r>
        <w:rPr/>
        <w:t>     </w:t>
      </w:r>
      <w:r>
        <w:rPr>
          <w:rFonts w:ascii="Times New Roman;Times;serif" w:hAnsi="Times New Roman;Times;serif"/>
          <w:i/>
          <w:sz w:val="17"/>
        </w:rPr>
        <w:t>Summary of Financial Impact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majority of our derivative activity is related to our commodity price-risk hedging activities. Through these activities, we hedge our exposure to price fluctuations with respect to crude oil, refined products, LPG and natural gas as well as with respect to expected purchases, sales and transportation of these commodities. The majority of the instruments that qualify for hedge accounting are cash flow hedges. Therefore, the corresponding changes in fair value for the effective portion of the hedges are deferred to Accumulated Other Comprehensive Income (AOCI)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SFAS No. 133, Accounting For Derivative Instruments and Hedging Activities, as amended (SFAS 133)) in offsetting changes in cash flows of the hedged items, are marked-to-market in revenues each period.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derivative instruments we use consist primarily of futures and options contracts traded on the NYMEX, the ICE and over-the-counter, including commodity swap and option contracts entered into with financial institutions and other energy companies. </w:t>
      </w:r>
    </w:p>
    <w:p>
      <w:pPr>
        <w:pStyle w:val="TextBody"/>
        <w:spacing w:before="120" w:after="283"/>
        <w:jc w:val="left"/>
        <w:rPr/>
      </w:pPr>
      <w:r>
        <w:rPr/>
        <w:t>     </w:t>
      </w:r>
      <w:r>
        <w:rPr>
          <w:rFonts w:ascii="Times New Roman;Times;serif" w:hAnsi="Times New Roman;Times;serif"/>
          <w:sz w:val="17"/>
        </w:rPr>
        <w:t xml:space="preserve">A summary of the earnings impact of all derivative activities, including the change in fair value of open derivatives and settled derivatives taken to earnings during the first quarter of 2007 and the first quarter of 2006, is as follows (in millions, losses designated in brackets): </w:t>
      </w:r>
    </w:p>
    <w:tbl>
      <w:tblPr>
        <w:tblW w:w="5000" w:type="pct"/>
        <w:jc w:val="center"/>
        <w:tblInd w:w="0" w:type="dxa"/>
        <w:tblCellMar>
          <w:top w:w="0" w:type="dxa"/>
          <w:left w:w="0" w:type="dxa"/>
          <w:bottom w:w="0" w:type="dxa"/>
          <w:right w:w="0" w:type="dxa"/>
        </w:tblCellMar>
      </w:tblPr>
      <w:tblGrid>
        <w:gridCol w:w="1642"/>
        <w:gridCol w:w="198"/>
        <w:gridCol w:w="259"/>
        <w:gridCol w:w="997"/>
        <w:gridCol w:w="147"/>
        <w:gridCol w:w="218"/>
        <w:gridCol w:w="204"/>
        <w:gridCol w:w="697"/>
        <w:gridCol w:w="223"/>
        <w:gridCol w:w="218"/>
        <w:gridCol w:w="204"/>
        <w:gridCol w:w="702"/>
        <w:gridCol w:w="169"/>
        <w:gridCol w:w="198"/>
        <w:gridCol w:w="310"/>
        <w:gridCol w:w="945"/>
        <w:gridCol w:w="159"/>
        <w:gridCol w:w="226"/>
        <w:gridCol w:w="223"/>
        <w:gridCol w:w="693"/>
        <w:gridCol w:w="244"/>
        <w:gridCol w:w="226"/>
        <w:gridCol w:w="223"/>
        <w:gridCol w:w="695"/>
        <w:gridCol w:w="185"/>
      </w:tblGrid>
      <w:tr>
        <w:trPr/>
        <w:tc>
          <w:tcPr>
            <w:tcW w:w="164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869" w:type="dxa"/>
            <w:gridSpan w:val="10"/>
            <w:tcBorders/>
            <w:shd w:fill="auto" w:val="clear"/>
            <w:vAlign w:val="bottom"/>
          </w:tcPr>
          <w:p>
            <w:pPr>
              <w:pStyle w:val="TableContents"/>
              <w:spacing w:before="0" w:after="283"/>
              <w:jc w:val="center"/>
              <w:rPr>
                <w:b/>
              </w:rPr>
            </w:pPr>
            <w:r>
              <w:rPr>
                <w:b/>
              </w:rPr>
              <w:t>For the Three Months Ended</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944" w:type="dxa"/>
            <w:gridSpan w:val="10"/>
            <w:tcBorders/>
            <w:shd w:fill="auto" w:val="clear"/>
            <w:vAlign w:val="bottom"/>
          </w:tcPr>
          <w:p>
            <w:pPr>
              <w:pStyle w:val="TableContents"/>
              <w:spacing w:before="0" w:after="283"/>
              <w:jc w:val="center"/>
              <w:rPr>
                <w:b/>
              </w:rPr>
            </w:pPr>
            <w:r>
              <w:rPr>
                <w:b/>
              </w:rPr>
              <w:t>For the Three Months Ended</w:t>
            </w:r>
          </w:p>
        </w:tc>
        <w:tc>
          <w:tcPr>
            <w:tcW w:w="185" w:type="dxa"/>
            <w:tcBorders/>
            <w:shd w:fill="auto"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869"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94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March 31, 2006</w:t>
            </w:r>
          </w:p>
        </w:tc>
        <w:tc>
          <w:tcPr>
            <w:tcW w:w="185" w:type="dxa"/>
            <w:tcBorders/>
            <w:shd w:fill="auto"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b/>
              </w:rPr>
            </w:pPr>
            <w:r>
              <w:rPr>
                <w:b/>
              </w:rPr>
              <w:t>Mark-to-</w:t>
            </w:r>
          </w:p>
        </w:tc>
        <w:tc>
          <w:tcPr>
            <w:tcW w:w="14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center"/>
              <w:rPr>
                <w:b/>
              </w:rPr>
            </w:pPr>
            <w:r>
              <w:rPr>
                <w:b/>
              </w:rPr>
              <w:t>Mark-to-</w:t>
            </w:r>
          </w:p>
        </w:tc>
        <w:tc>
          <w:tcPr>
            <w:tcW w:w="15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spacing w:before="0" w:after="283"/>
              <w:jc w:val="center"/>
              <w:rPr/>
            </w:pPr>
            <w:r>
              <w:rPr/>
              <w:t> </w:t>
            </w:r>
          </w:p>
        </w:tc>
        <w:tc>
          <w:tcPr>
            <w:tcW w:w="24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18" w:type="dxa"/>
            <w:gridSpan w:val="2"/>
            <w:tcBorders/>
            <w:shd w:fill="auto" w:val="clear"/>
            <w:vAlign w:val="bottom"/>
          </w:tcPr>
          <w:p>
            <w:pPr>
              <w:pStyle w:val="TableContents"/>
              <w:spacing w:before="0" w:after="283"/>
              <w:jc w:val="center"/>
              <w:rPr/>
            </w:pPr>
            <w:r>
              <w:rPr/>
              <w:t> </w:t>
            </w:r>
          </w:p>
        </w:tc>
        <w:tc>
          <w:tcPr>
            <w:tcW w:w="185" w:type="dxa"/>
            <w:tcBorders/>
            <w:shd w:fill="auto"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 net</w:t>
            </w:r>
          </w:p>
        </w:tc>
        <w:tc>
          <w:tcPr>
            <w:tcW w:w="14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Settled</w:t>
            </w:r>
          </w:p>
        </w:tc>
        <w:tc>
          <w:tcPr>
            <w:tcW w:w="22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 net</w:t>
            </w:r>
          </w:p>
        </w:tc>
        <w:tc>
          <w:tcPr>
            <w:tcW w:w="15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Settled</w:t>
            </w:r>
          </w:p>
        </w:tc>
        <w:tc>
          <w:tcPr>
            <w:tcW w:w="24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85" w:type="dxa"/>
            <w:tcBorders/>
            <w:shd w:fill="auto" w:val="clear"/>
            <w:vAlign w:val="bottom"/>
          </w:tcPr>
          <w:p>
            <w:pPr>
              <w:pStyle w:val="TableContents"/>
              <w:spacing w:before="0" w:after="283"/>
              <w:rPr/>
            </w:pPr>
            <w:r>
              <w:rPr/>
              <w:t> </w:t>
            </w:r>
          </w:p>
        </w:tc>
      </w:tr>
      <w:tr>
        <w:trPr/>
        <w:tc>
          <w:tcPr>
            <w:tcW w:w="1642" w:type="dxa"/>
            <w:tcBorders/>
            <w:shd w:fill="CCEEFF" w:val="clear"/>
            <w:vAlign w:val="bottom"/>
          </w:tcPr>
          <w:p>
            <w:pPr>
              <w:pStyle w:val="TableContents"/>
              <w:spacing w:before="0" w:after="0"/>
              <w:ind w:left="225" w:right="0" w:hanging="225"/>
              <w:rPr/>
            </w:pPr>
            <w:r>
              <w:rPr/>
              <w:t>Commodity price-risk hedging</w:t>
            </w:r>
          </w:p>
        </w:tc>
        <w:tc>
          <w:tcPr>
            <w:tcW w:w="1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(19.1</w:t>
            </w:r>
          </w:p>
        </w:tc>
        <w:tc>
          <w:tcPr>
            <w:tcW w:w="147" w:type="dxa"/>
            <w:tcBorders/>
            <w:shd w:fill="CCEEFF" w:val="clear"/>
            <w:vAlign w:val="bottom"/>
          </w:tcPr>
          <w:p>
            <w:pPr>
              <w:pStyle w:val="TableContents"/>
              <w:spacing w:before="0" w:after="283"/>
              <w:rPr/>
            </w:pPr>
            <w:r>
              <w:rPr/>
              <w:t>)</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697" w:type="dxa"/>
            <w:tcBorders/>
            <w:shd w:fill="CCEEFF" w:val="clear"/>
            <w:vAlign w:val="bottom"/>
          </w:tcPr>
          <w:p>
            <w:pPr>
              <w:pStyle w:val="TableContents"/>
              <w:spacing w:before="0" w:after="283"/>
              <w:jc w:val="right"/>
              <w:rPr/>
            </w:pPr>
            <w:r>
              <w:rPr/>
              <w:t>69.8</w:t>
            </w:r>
          </w:p>
        </w:tc>
        <w:tc>
          <w:tcPr>
            <w:tcW w:w="223"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702" w:type="dxa"/>
            <w:tcBorders/>
            <w:shd w:fill="CCEEFF" w:val="clear"/>
            <w:vAlign w:val="bottom"/>
          </w:tcPr>
          <w:p>
            <w:pPr>
              <w:pStyle w:val="TableContents"/>
              <w:spacing w:before="0" w:after="283"/>
              <w:jc w:val="right"/>
              <w:rPr/>
            </w:pPr>
            <w:r>
              <w:rPr/>
              <w:t>50.7</w:t>
            </w:r>
          </w:p>
        </w:tc>
        <w:tc>
          <w:tcPr>
            <w:tcW w:w="1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jc w:val="left"/>
              <w:rPr/>
            </w:pPr>
            <w:r>
              <w:rPr/>
              <w:t>$</w:t>
            </w:r>
          </w:p>
        </w:tc>
        <w:tc>
          <w:tcPr>
            <w:tcW w:w="945" w:type="dxa"/>
            <w:tcBorders/>
            <w:shd w:fill="CCEEFF" w:val="clear"/>
            <w:vAlign w:val="bottom"/>
          </w:tcPr>
          <w:p>
            <w:pPr>
              <w:pStyle w:val="TableContents"/>
              <w:spacing w:before="0" w:after="283"/>
              <w:jc w:val="right"/>
              <w:rPr/>
            </w:pPr>
            <w:r>
              <w:rPr/>
              <w:t>(0.7</w:t>
            </w:r>
          </w:p>
        </w:tc>
        <w:tc>
          <w:tcPr>
            <w:tcW w:w="159"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6.2</w:t>
            </w:r>
          </w:p>
        </w:tc>
        <w:tc>
          <w:tcPr>
            <w:tcW w:w="24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5.5</w:t>
            </w:r>
          </w:p>
        </w:tc>
        <w:tc>
          <w:tcPr>
            <w:tcW w:w="185" w:type="dxa"/>
            <w:tcBorders/>
            <w:shd w:fill="CCEEFF"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0"/>
              <w:ind w:left="225" w:right="0" w:hanging="225"/>
              <w:rPr/>
            </w:pPr>
            <w:r>
              <w:rPr/>
              <w:t>Controlled trading program</w:t>
            </w:r>
          </w:p>
        </w:tc>
        <w:tc>
          <w:tcPr>
            <w:tcW w:w="1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pPr>
            <w:r>
              <w:rPr/>
              <w:t>0.1</w:t>
            </w:r>
          </w:p>
        </w:tc>
        <w:tc>
          <w:tcPr>
            <w:tcW w:w="22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0.1</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w:t>
            </w:r>
          </w:p>
        </w:tc>
        <w:tc>
          <w:tcPr>
            <w:tcW w:w="15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w:t>
            </w:r>
          </w:p>
        </w:tc>
        <w:tc>
          <w:tcPr>
            <w:tcW w:w="185" w:type="dxa"/>
            <w:tcBorders/>
            <w:shd w:fill="auto" w:val="clear"/>
            <w:vAlign w:val="bottom"/>
          </w:tcPr>
          <w:p>
            <w:pPr>
              <w:pStyle w:val="TableContents"/>
              <w:spacing w:before="0" w:after="283"/>
              <w:rPr/>
            </w:pPr>
            <w:r>
              <w:rPr/>
              <w:t> </w:t>
            </w:r>
          </w:p>
        </w:tc>
      </w:tr>
      <w:tr>
        <w:trPr/>
        <w:tc>
          <w:tcPr>
            <w:tcW w:w="1642" w:type="dxa"/>
            <w:tcBorders/>
            <w:shd w:fill="CCEEFF" w:val="clear"/>
            <w:vAlign w:val="bottom"/>
          </w:tcPr>
          <w:p>
            <w:pPr>
              <w:pStyle w:val="TableContents"/>
              <w:spacing w:before="0" w:after="0"/>
              <w:ind w:left="225" w:right="0" w:hanging="225"/>
              <w:rPr/>
            </w:pPr>
            <w:r>
              <w:rPr/>
              <w:t>Interest rate risk hedging</w:t>
            </w:r>
          </w:p>
        </w:tc>
        <w:tc>
          <w:tcPr>
            <w:tcW w:w="1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pPr>
            <w:r>
              <w:rPr/>
              <w:t>(0.2</w:t>
            </w:r>
          </w:p>
        </w:tc>
        <w:tc>
          <w:tcPr>
            <w:tcW w:w="223"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(0.2</w:t>
            </w:r>
          </w:p>
        </w:tc>
        <w:tc>
          <w:tcPr>
            <w:tcW w:w="1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(0.4</w:t>
            </w:r>
          </w:p>
        </w:tc>
        <w:tc>
          <w:tcPr>
            <w:tcW w:w="24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(0.4</w:t>
            </w:r>
          </w:p>
        </w:tc>
        <w:tc>
          <w:tcPr>
            <w:tcW w:w="185" w:type="dxa"/>
            <w:tcBorders/>
            <w:shd w:fill="CCEEFF" w:val="clear"/>
            <w:vAlign w:val="bottom"/>
          </w:tcPr>
          <w:p>
            <w:pPr>
              <w:pStyle w:val="TableContents"/>
              <w:spacing w:before="0" w:after="283"/>
              <w:rPr/>
            </w:pPr>
            <w:r>
              <w:rPr/>
              <w:t>) </w:t>
            </w:r>
          </w:p>
        </w:tc>
      </w:tr>
      <w:tr>
        <w:trPr/>
        <w:tc>
          <w:tcPr>
            <w:tcW w:w="1642" w:type="dxa"/>
            <w:tcBorders/>
            <w:shd w:fill="auto" w:val="clear"/>
            <w:vAlign w:val="bottom"/>
          </w:tcPr>
          <w:p>
            <w:pPr>
              <w:pStyle w:val="TableContents"/>
              <w:spacing w:before="0" w:after="0"/>
              <w:ind w:left="225" w:right="0" w:hanging="225"/>
              <w:rPr/>
            </w:pPr>
            <w:r>
              <w:rPr/>
              <w:t>Currency exchange rate risk hedging</w:t>
            </w:r>
          </w:p>
        </w:tc>
        <w:tc>
          <w:tcPr>
            <w:tcW w:w="1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2.1</w:t>
            </w:r>
          </w:p>
        </w:tc>
        <w:tc>
          <w:tcPr>
            <w:tcW w:w="14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pPr>
            <w:r>
              <w:rPr/>
              <w:t>(1.0</w:t>
            </w:r>
          </w:p>
        </w:tc>
        <w:tc>
          <w:tcPr>
            <w:tcW w:w="22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1.1</w:t>
            </w:r>
          </w:p>
        </w:tc>
        <w:tc>
          <w:tcPr>
            <w:tcW w:w="1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w:t>
            </w:r>
          </w:p>
        </w:tc>
        <w:tc>
          <w:tcPr>
            <w:tcW w:w="15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0.6</w:t>
            </w:r>
          </w:p>
        </w:tc>
        <w:tc>
          <w:tcPr>
            <w:tcW w:w="24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0.6</w:t>
            </w:r>
          </w:p>
        </w:tc>
        <w:tc>
          <w:tcPr>
            <w:tcW w:w="185" w:type="dxa"/>
            <w:tcBorders/>
            <w:shd w:fill="auto" w:val="clear"/>
            <w:vAlign w:val="bottom"/>
          </w:tcPr>
          <w:p>
            <w:pPr>
              <w:pStyle w:val="TableContents"/>
              <w:spacing w:before="0" w:after="283"/>
              <w:rPr/>
            </w:pPr>
            <w:r>
              <w:rPr/>
              <w:t> </w:t>
            </w:r>
          </w:p>
        </w:tc>
      </w:tr>
      <w:tr>
        <w:trPr/>
        <w:tc>
          <w:tcPr>
            <w:tcW w:w="1642"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9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9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9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9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rPr/>
            </w:pPr>
            <w:r>
              <w:rPr/>
              <w:t> </w:t>
            </w:r>
          </w:p>
        </w:tc>
      </w:tr>
      <w:tr>
        <w:trPr/>
        <w:tc>
          <w:tcPr>
            <w:tcW w:w="1642" w:type="dxa"/>
            <w:tcBorders/>
            <w:shd w:fill="CCEEFF" w:val="clear"/>
            <w:vAlign w:val="bottom"/>
          </w:tcPr>
          <w:p>
            <w:pPr>
              <w:pStyle w:val="TableContents"/>
              <w:spacing w:before="0" w:after="0"/>
              <w:ind w:left="225" w:right="0" w:hanging="225"/>
              <w:rPr/>
            </w:pPr>
            <w:r>
              <w:rPr/>
              <w:t>Total</w:t>
            </w:r>
          </w:p>
        </w:tc>
        <w:tc>
          <w:tcPr>
            <w:tcW w:w="1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(17.0</w:t>
            </w:r>
          </w:p>
        </w:tc>
        <w:tc>
          <w:tcPr>
            <w:tcW w:w="147" w:type="dxa"/>
            <w:tcBorders/>
            <w:shd w:fill="CCEEFF" w:val="clear"/>
            <w:vAlign w:val="bottom"/>
          </w:tcPr>
          <w:p>
            <w:pPr>
              <w:pStyle w:val="TableContents"/>
              <w:spacing w:before="0" w:after="283"/>
              <w:rPr/>
            </w:pPr>
            <w:r>
              <w:rPr/>
              <w:t>)</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697" w:type="dxa"/>
            <w:tcBorders/>
            <w:shd w:fill="CCEEFF" w:val="clear"/>
            <w:vAlign w:val="bottom"/>
          </w:tcPr>
          <w:p>
            <w:pPr>
              <w:pStyle w:val="TableContents"/>
              <w:spacing w:before="0" w:after="283"/>
              <w:jc w:val="right"/>
              <w:rPr/>
            </w:pPr>
            <w:r>
              <w:rPr/>
              <w:t>68.7</w:t>
            </w:r>
          </w:p>
        </w:tc>
        <w:tc>
          <w:tcPr>
            <w:tcW w:w="223"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702" w:type="dxa"/>
            <w:tcBorders/>
            <w:shd w:fill="CCEEFF" w:val="clear"/>
            <w:vAlign w:val="bottom"/>
          </w:tcPr>
          <w:p>
            <w:pPr>
              <w:pStyle w:val="TableContents"/>
              <w:spacing w:before="0" w:after="283"/>
              <w:jc w:val="right"/>
              <w:rPr/>
            </w:pPr>
            <w:r>
              <w:rPr/>
              <w:t>51.7</w:t>
            </w:r>
          </w:p>
        </w:tc>
        <w:tc>
          <w:tcPr>
            <w:tcW w:w="1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jc w:val="left"/>
              <w:rPr/>
            </w:pPr>
            <w:r>
              <w:rPr/>
              <w:t>$</w:t>
            </w:r>
          </w:p>
        </w:tc>
        <w:tc>
          <w:tcPr>
            <w:tcW w:w="945" w:type="dxa"/>
            <w:tcBorders/>
            <w:shd w:fill="CCEEFF" w:val="clear"/>
            <w:vAlign w:val="bottom"/>
          </w:tcPr>
          <w:p>
            <w:pPr>
              <w:pStyle w:val="TableContents"/>
              <w:spacing w:before="0" w:after="283"/>
              <w:jc w:val="right"/>
              <w:rPr/>
            </w:pPr>
            <w:r>
              <w:rPr/>
              <w:t>(0.7</w:t>
            </w:r>
          </w:p>
        </w:tc>
        <w:tc>
          <w:tcPr>
            <w:tcW w:w="159"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6.4</w:t>
            </w:r>
          </w:p>
        </w:tc>
        <w:tc>
          <w:tcPr>
            <w:tcW w:w="24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5.7</w:t>
            </w:r>
          </w:p>
        </w:tc>
        <w:tc>
          <w:tcPr>
            <w:tcW w:w="185" w:type="dxa"/>
            <w:tcBorders/>
            <w:shd w:fill="CCEEFF" w:val="clear"/>
            <w:vAlign w:val="bottom"/>
          </w:tcPr>
          <w:p>
            <w:pPr>
              <w:pStyle w:val="TableContents"/>
              <w:spacing w:before="0" w:after="283"/>
              <w:rPr/>
            </w:pPr>
            <w:r>
              <w:rPr/>
              <w:t> </w:t>
            </w:r>
          </w:p>
        </w:tc>
      </w:tr>
      <w:tr>
        <w:trPr/>
        <w:tc>
          <w:tcPr>
            <w:tcW w:w="1642"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9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9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9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9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breakdown of the net mark-to-market impact to earnings between derivatives that do not qualify for hedge accounting and the ineffective portion of cash flow hedges is as follows (in millions, losses designated in brackets): </w:t>
      </w:r>
    </w:p>
    <w:tbl>
      <w:tblPr>
        <w:tblW w:w="5000" w:type="pct"/>
        <w:jc w:val="center"/>
        <w:tblInd w:w="0" w:type="dxa"/>
        <w:tblCellMar>
          <w:top w:w="0" w:type="dxa"/>
          <w:left w:w="0" w:type="dxa"/>
          <w:bottom w:w="0" w:type="dxa"/>
          <w:right w:w="0" w:type="dxa"/>
        </w:tblCellMar>
      </w:tblPr>
      <w:tblGrid>
        <w:gridCol w:w="6009"/>
        <w:gridCol w:w="397"/>
        <w:gridCol w:w="318"/>
        <w:gridCol w:w="1266"/>
        <w:gridCol w:w="238"/>
        <w:gridCol w:w="455"/>
        <w:gridCol w:w="318"/>
        <w:gridCol w:w="1054"/>
        <w:gridCol w:w="150"/>
      </w:tblGrid>
      <w:tr>
        <w:trPr/>
        <w:tc>
          <w:tcPr>
            <w:tcW w:w="60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r>
      <w:tr>
        <w:trPr/>
        <w:tc>
          <w:tcPr>
            <w:tcW w:w="60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64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For the Three Months Ended</w:t>
            </w:r>
          </w:p>
        </w:tc>
        <w:tc>
          <w:tcPr>
            <w:tcW w:w="150" w:type="dxa"/>
            <w:tcBorders/>
            <w:shd w:fill="auto" w:val="clear"/>
            <w:vAlign w:val="bottom"/>
          </w:tcPr>
          <w:p>
            <w:pPr>
              <w:pStyle w:val="TableContents"/>
              <w:spacing w:before="0" w:after="283"/>
              <w:rPr/>
            </w:pPr>
            <w:r>
              <w:rPr/>
              <w:t> </w:t>
            </w:r>
          </w:p>
        </w:tc>
      </w:tr>
      <w:tr>
        <w:trPr/>
        <w:tc>
          <w:tcPr>
            <w:tcW w:w="60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March 31,</w:t>
            </w:r>
          </w:p>
        </w:tc>
        <w:tc>
          <w:tcPr>
            <w:tcW w:w="2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b/>
              </w:rPr>
            </w:pPr>
            <w:r>
              <w:rPr>
                <w:b/>
              </w:rPr>
              <w:t>March 31,</w:t>
            </w:r>
          </w:p>
        </w:tc>
        <w:tc>
          <w:tcPr>
            <w:tcW w:w="150" w:type="dxa"/>
            <w:tcBorders/>
            <w:shd w:fill="auto" w:val="clear"/>
            <w:vAlign w:val="bottom"/>
          </w:tcPr>
          <w:p>
            <w:pPr>
              <w:pStyle w:val="TableContents"/>
              <w:spacing w:before="0" w:after="283"/>
              <w:rPr/>
            </w:pPr>
            <w:r>
              <w:rPr/>
              <w:t> </w:t>
            </w:r>
          </w:p>
        </w:tc>
      </w:tr>
      <w:tr>
        <w:trPr/>
        <w:tc>
          <w:tcPr>
            <w:tcW w:w="60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0" w:type="dxa"/>
            <w:tcBorders/>
            <w:shd w:fill="auto" w:val="clear"/>
            <w:vAlign w:val="bottom"/>
          </w:tcPr>
          <w:p>
            <w:pPr>
              <w:pStyle w:val="TableContents"/>
              <w:spacing w:before="0" w:after="283"/>
              <w:rPr/>
            </w:pPr>
            <w:r>
              <w:rPr/>
              <w:t> </w:t>
            </w:r>
          </w:p>
        </w:tc>
      </w:tr>
      <w:tr>
        <w:trPr/>
        <w:tc>
          <w:tcPr>
            <w:tcW w:w="6009" w:type="dxa"/>
            <w:tcBorders/>
            <w:shd w:fill="CCEEFF" w:val="clear"/>
            <w:vAlign w:val="bottom"/>
          </w:tcPr>
          <w:p>
            <w:pPr>
              <w:pStyle w:val="TableContents"/>
              <w:spacing w:before="0" w:after="0"/>
              <w:ind w:left="225" w:right="0" w:hanging="225"/>
              <w:rPr/>
            </w:pPr>
            <w:r>
              <w:rPr/>
              <w:t>Derivatives that do not qualify for hedge accounting</w:t>
            </w:r>
          </w:p>
        </w:tc>
        <w:tc>
          <w:tcPr>
            <w:tcW w:w="3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266" w:type="dxa"/>
            <w:tcBorders/>
            <w:shd w:fill="CCEEFF" w:val="clear"/>
            <w:vAlign w:val="bottom"/>
          </w:tcPr>
          <w:p>
            <w:pPr>
              <w:pStyle w:val="TableContents"/>
              <w:spacing w:before="0" w:after="283"/>
              <w:jc w:val="right"/>
              <w:rPr/>
            </w:pPr>
            <w:r>
              <w:rPr/>
              <w:t>(16.5</w:t>
            </w:r>
          </w:p>
        </w:tc>
        <w:tc>
          <w:tcPr>
            <w:tcW w:w="238"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(0.8</w:t>
            </w:r>
          </w:p>
        </w:tc>
        <w:tc>
          <w:tcPr>
            <w:tcW w:w="150" w:type="dxa"/>
            <w:tcBorders/>
            <w:shd w:fill="CCEEFF" w:val="clear"/>
            <w:vAlign w:val="bottom"/>
          </w:tcPr>
          <w:p>
            <w:pPr>
              <w:pStyle w:val="TableContents"/>
              <w:spacing w:before="0" w:after="283"/>
              <w:rPr/>
            </w:pPr>
            <w:r>
              <w:rPr/>
              <w:t>)</w:t>
            </w:r>
          </w:p>
        </w:tc>
      </w:tr>
      <w:tr>
        <w:trPr/>
        <w:tc>
          <w:tcPr>
            <w:tcW w:w="6009" w:type="dxa"/>
            <w:tcBorders/>
            <w:shd w:fill="auto" w:val="clear"/>
            <w:vAlign w:val="bottom"/>
          </w:tcPr>
          <w:p>
            <w:pPr>
              <w:pStyle w:val="TableContents"/>
              <w:spacing w:before="0" w:after="0"/>
              <w:ind w:left="225" w:right="0" w:hanging="225"/>
              <w:rPr/>
            </w:pPr>
            <w:r>
              <w:rPr/>
              <w:t>Ineffective portion of cash flow hedges</w:t>
            </w:r>
          </w:p>
        </w:tc>
        <w:tc>
          <w:tcPr>
            <w:tcW w:w="3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(0.5</w:t>
            </w:r>
          </w:p>
        </w:tc>
        <w:tc>
          <w:tcPr>
            <w:tcW w:w="238" w:type="dxa"/>
            <w:tcBorders/>
            <w:shd w:fill="auto" w:val="clear"/>
            <w:vAlign w:val="bottom"/>
          </w:tcPr>
          <w:p>
            <w:pPr>
              <w:pStyle w:val="TableContents"/>
              <w:spacing w:before="0" w:after="283"/>
              <w:rPr/>
            </w:pPr>
            <w:r>
              <w:rPr/>
              <w:t>)</w:t>
            </w:r>
          </w:p>
        </w:tc>
        <w:tc>
          <w:tcPr>
            <w:tcW w:w="4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0.1</w:t>
            </w:r>
          </w:p>
        </w:tc>
        <w:tc>
          <w:tcPr>
            <w:tcW w:w="150" w:type="dxa"/>
            <w:tcBorders/>
            <w:shd w:fill="auto" w:val="clear"/>
            <w:vAlign w:val="bottom"/>
          </w:tcPr>
          <w:p>
            <w:pPr>
              <w:pStyle w:val="TableContents"/>
              <w:spacing w:before="0" w:after="283"/>
              <w:rPr/>
            </w:pPr>
            <w:r>
              <w:rPr/>
              <w:t> </w:t>
            </w:r>
          </w:p>
        </w:tc>
      </w:tr>
      <w:tr>
        <w:trPr/>
        <w:tc>
          <w:tcPr>
            <w:tcW w:w="6009"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r>
      <w:tr>
        <w:trPr/>
        <w:tc>
          <w:tcPr>
            <w:tcW w:w="6009" w:type="dxa"/>
            <w:tcBorders/>
            <w:shd w:fill="CCEEFF" w:val="clear"/>
            <w:vAlign w:val="bottom"/>
          </w:tcPr>
          <w:p>
            <w:pPr>
              <w:pStyle w:val="TableContents"/>
              <w:spacing w:before="0" w:after="0"/>
              <w:ind w:left="225" w:right="0" w:hanging="225"/>
              <w:rPr/>
            </w:pPr>
            <w:r>
              <w:rPr/>
              <w:t>Total</w:t>
            </w:r>
          </w:p>
        </w:tc>
        <w:tc>
          <w:tcPr>
            <w:tcW w:w="3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266" w:type="dxa"/>
            <w:tcBorders/>
            <w:shd w:fill="CCEEFF" w:val="clear"/>
            <w:vAlign w:val="bottom"/>
          </w:tcPr>
          <w:p>
            <w:pPr>
              <w:pStyle w:val="TableContents"/>
              <w:spacing w:before="0" w:after="283"/>
              <w:jc w:val="right"/>
              <w:rPr/>
            </w:pPr>
            <w:r>
              <w:rPr/>
              <w:t>(17.0</w:t>
            </w:r>
          </w:p>
        </w:tc>
        <w:tc>
          <w:tcPr>
            <w:tcW w:w="238"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(0.7</w:t>
            </w:r>
          </w:p>
        </w:tc>
        <w:tc>
          <w:tcPr>
            <w:tcW w:w="150" w:type="dxa"/>
            <w:tcBorders/>
            <w:shd w:fill="CCEEFF" w:val="clear"/>
            <w:vAlign w:val="bottom"/>
          </w:tcPr>
          <w:p>
            <w:pPr>
              <w:pStyle w:val="TableContents"/>
              <w:spacing w:before="0" w:after="283"/>
              <w:rPr/>
            </w:pPr>
            <w:r>
              <w:rPr/>
              <w:t>)</w:t>
            </w:r>
          </w:p>
        </w:tc>
      </w:tr>
      <w:tr>
        <w:trPr/>
        <w:tc>
          <w:tcPr>
            <w:tcW w:w="6009"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5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Derivatives that do not qualify for hedge accounting consist of (i) derivatives that are an effective element of our risk management strategy but are not consistently effective to qualify for hedge accounting pursuant to SFAS 133 and (ii) derivatives associated with our storage assets as these contracts will not necessarily result in physical delivery. </w:t>
      </w:r>
    </w:p>
    <w:p>
      <w:pPr>
        <w:pStyle w:val="TextBody"/>
        <w:spacing w:before="120" w:after="283"/>
        <w:jc w:val="left"/>
        <w:rPr/>
      </w:pPr>
      <w:r>
        <w:rPr/>
        <w:t>     </w:t>
      </w:r>
      <w:r>
        <w:rPr>
          <w:rFonts w:ascii="Times New Roman;Times;serif" w:hAnsi="Times New Roman;Times;serif"/>
          <w:sz w:val="17"/>
        </w:rPr>
        <w:t xml:space="preserve">The following table summarizes the net assets and liabilities on our consolidated balance sheet that are related to the fair value of our open derivative positions (in millions): </w:t>
      </w:r>
    </w:p>
    <w:tbl>
      <w:tblPr>
        <w:tblW w:w="5000" w:type="pct"/>
        <w:jc w:val="center"/>
        <w:tblInd w:w="0" w:type="dxa"/>
        <w:tblCellMar>
          <w:top w:w="0" w:type="dxa"/>
          <w:left w:w="0" w:type="dxa"/>
          <w:bottom w:w="0" w:type="dxa"/>
          <w:right w:w="0" w:type="dxa"/>
        </w:tblCellMar>
      </w:tblPr>
      <w:tblGrid>
        <w:gridCol w:w="6263"/>
        <w:gridCol w:w="422"/>
        <w:gridCol w:w="222"/>
        <w:gridCol w:w="1046"/>
        <w:gridCol w:w="147"/>
        <w:gridCol w:w="422"/>
        <w:gridCol w:w="305"/>
        <w:gridCol w:w="1226"/>
        <w:gridCol w:w="152"/>
      </w:tblGrid>
      <w:tr>
        <w:trPr/>
        <w:tc>
          <w:tcPr>
            <w:tcW w:w="62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62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8" w:type="dxa"/>
            <w:gridSpan w:val="2"/>
            <w:tcBorders/>
            <w:shd w:fill="auto" w:val="clear"/>
            <w:vAlign w:val="bottom"/>
          </w:tcPr>
          <w:p>
            <w:pPr>
              <w:pStyle w:val="TableContents"/>
              <w:spacing w:before="0" w:after="283"/>
              <w:jc w:val="center"/>
              <w:rPr>
                <w:b/>
              </w:rPr>
            </w:pPr>
            <w:r>
              <w:rPr>
                <w:b/>
              </w:rPr>
              <w:t>March 31,</w:t>
            </w:r>
          </w:p>
        </w:tc>
        <w:tc>
          <w:tcPr>
            <w:tcW w:w="14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531" w:type="dxa"/>
            <w:gridSpan w:val="2"/>
            <w:tcBorders/>
            <w:shd w:fill="auto" w:val="clear"/>
            <w:vAlign w:val="bottom"/>
          </w:tcPr>
          <w:p>
            <w:pPr>
              <w:pStyle w:val="TableContents"/>
              <w:spacing w:before="0" w:after="283"/>
              <w:jc w:val="center"/>
              <w:rPr>
                <w:b/>
              </w:rPr>
            </w:pPr>
            <w:r>
              <w:rPr>
                <w:b/>
              </w:rPr>
              <w:t>December 31,</w:t>
            </w:r>
          </w:p>
        </w:tc>
        <w:tc>
          <w:tcPr>
            <w:tcW w:w="152" w:type="dxa"/>
            <w:tcBorders/>
            <w:shd w:fill="auto" w:val="clear"/>
            <w:vAlign w:val="bottom"/>
          </w:tcPr>
          <w:p>
            <w:pPr>
              <w:pStyle w:val="TableContents"/>
              <w:spacing w:before="0" w:after="283"/>
              <w:rPr/>
            </w:pPr>
            <w:r>
              <w:rPr/>
              <w:t> </w:t>
            </w:r>
          </w:p>
        </w:tc>
      </w:tr>
      <w:tr>
        <w:trPr/>
        <w:tc>
          <w:tcPr>
            <w:tcW w:w="62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5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2" w:type="dxa"/>
            <w:tcBorders/>
            <w:shd w:fill="auto" w:val="clear"/>
            <w:vAlign w:val="bottom"/>
          </w:tcPr>
          <w:p>
            <w:pPr>
              <w:pStyle w:val="TableContents"/>
              <w:spacing w:before="0" w:after="283"/>
              <w:rPr/>
            </w:pPr>
            <w:r>
              <w:rPr/>
              <w:t> </w:t>
            </w:r>
          </w:p>
        </w:tc>
      </w:tr>
      <w:tr>
        <w:trPr/>
        <w:tc>
          <w:tcPr>
            <w:tcW w:w="6263" w:type="dxa"/>
            <w:tcBorders/>
            <w:shd w:fill="CCEEFF" w:val="clear"/>
            <w:vAlign w:val="bottom"/>
          </w:tcPr>
          <w:p>
            <w:pPr>
              <w:pStyle w:val="TableContents"/>
              <w:spacing w:before="0" w:after="0"/>
              <w:ind w:left="225" w:right="0" w:hanging="225"/>
              <w:rPr/>
            </w:pPr>
            <w:r>
              <w:rPr/>
              <w:t>Other current assets</w:t>
            </w:r>
          </w:p>
        </w:tc>
        <w:tc>
          <w:tcPr>
            <w:tcW w:w="4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046" w:type="dxa"/>
            <w:tcBorders/>
            <w:shd w:fill="CCEEFF" w:val="clear"/>
            <w:vAlign w:val="bottom"/>
          </w:tcPr>
          <w:p>
            <w:pPr>
              <w:pStyle w:val="TableContents"/>
              <w:spacing w:before="0" w:after="283"/>
              <w:jc w:val="right"/>
              <w:rPr/>
            </w:pPr>
            <w:r>
              <w:rPr/>
              <w:t>89.2</w:t>
            </w:r>
          </w:p>
        </w:tc>
        <w:tc>
          <w:tcPr>
            <w:tcW w:w="147"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26" w:type="dxa"/>
            <w:tcBorders/>
            <w:shd w:fill="CCEEFF" w:val="clear"/>
            <w:vAlign w:val="bottom"/>
          </w:tcPr>
          <w:p>
            <w:pPr>
              <w:pStyle w:val="TableContents"/>
              <w:spacing w:before="0" w:after="283"/>
              <w:jc w:val="right"/>
              <w:rPr/>
            </w:pPr>
            <w:r>
              <w:rPr/>
              <w:t>55.2</w:t>
            </w:r>
          </w:p>
        </w:tc>
        <w:tc>
          <w:tcPr>
            <w:tcW w:w="152" w:type="dxa"/>
            <w:tcBorders/>
            <w:shd w:fill="CCEEFF" w:val="clear"/>
            <w:vAlign w:val="bottom"/>
          </w:tcPr>
          <w:p>
            <w:pPr>
              <w:pStyle w:val="TableContents"/>
              <w:spacing w:before="0" w:after="283"/>
              <w:rPr/>
            </w:pPr>
            <w:r>
              <w:rPr/>
              <w:t> </w:t>
            </w:r>
          </w:p>
        </w:tc>
      </w:tr>
      <w:tr>
        <w:trPr/>
        <w:tc>
          <w:tcPr>
            <w:tcW w:w="6263" w:type="dxa"/>
            <w:tcBorders/>
            <w:shd w:fill="auto" w:val="clear"/>
            <w:vAlign w:val="bottom"/>
          </w:tcPr>
          <w:p>
            <w:pPr>
              <w:pStyle w:val="TableContents"/>
              <w:spacing w:before="0" w:after="0"/>
              <w:ind w:left="225" w:right="0" w:hanging="225"/>
              <w:rPr/>
            </w:pPr>
            <w:r>
              <w:rPr/>
              <w:t>Other long-term assets</w:t>
            </w:r>
          </w:p>
        </w:tc>
        <w:tc>
          <w:tcPr>
            <w:tcW w:w="4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6.4</w:t>
            </w:r>
          </w:p>
        </w:tc>
        <w:tc>
          <w:tcPr>
            <w:tcW w:w="14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9.0</w:t>
            </w:r>
          </w:p>
        </w:tc>
        <w:tc>
          <w:tcPr>
            <w:tcW w:w="152" w:type="dxa"/>
            <w:tcBorders/>
            <w:shd w:fill="auto" w:val="clear"/>
            <w:vAlign w:val="bottom"/>
          </w:tcPr>
          <w:p>
            <w:pPr>
              <w:pStyle w:val="TableContents"/>
              <w:spacing w:before="0" w:after="283"/>
              <w:rPr/>
            </w:pPr>
            <w:r>
              <w:rPr/>
              <w:t> </w:t>
            </w:r>
          </w:p>
        </w:tc>
      </w:tr>
      <w:tr>
        <w:trPr/>
        <w:tc>
          <w:tcPr>
            <w:tcW w:w="6263" w:type="dxa"/>
            <w:tcBorders/>
            <w:shd w:fill="CCEEFF" w:val="clear"/>
            <w:vAlign w:val="bottom"/>
          </w:tcPr>
          <w:p>
            <w:pPr>
              <w:pStyle w:val="TableContents"/>
              <w:spacing w:before="0" w:after="0"/>
              <w:ind w:left="225" w:right="0" w:hanging="225"/>
              <w:rPr/>
            </w:pPr>
            <w:r>
              <w:rPr/>
              <w:t>Other current liabilities</w:t>
            </w:r>
          </w:p>
        </w:tc>
        <w:tc>
          <w:tcPr>
            <w:tcW w:w="4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(143.6</w:t>
            </w:r>
          </w:p>
        </w:tc>
        <w:tc>
          <w:tcPr>
            <w:tcW w:w="147"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(77.3</w:t>
            </w:r>
          </w:p>
        </w:tc>
        <w:tc>
          <w:tcPr>
            <w:tcW w:w="152" w:type="dxa"/>
            <w:tcBorders/>
            <w:shd w:fill="CCEEFF" w:val="clear"/>
            <w:vAlign w:val="bottom"/>
          </w:tcPr>
          <w:p>
            <w:pPr>
              <w:pStyle w:val="TableContents"/>
              <w:spacing w:before="0" w:after="283"/>
              <w:rPr/>
            </w:pPr>
            <w:r>
              <w:rPr/>
              <w:t>)</w:t>
            </w:r>
          </w:p>
        </w:tc>
      </w:tr>
      <w:tr>
        <w:trPr/>
        <w:tc>
          <w:tcPr>
            <w:tcW w:w="6263" w:type="dxa"/>
            <w:tcBorders/>
            <w:shd w:fill="auto" w:val="clear"/>
            <w:vAlign w:val="bottom"/>
          </w:tcPr>
          <w:p>
            <w:pPr>
              <w:pStyle w:val="TableContents"/>
              <w:spacing w:before="0" w:after="0"/>
              <w:ind w:left="225" w:right="0" w:hanging="225"/>
              <w:rPr/>
            </w:pPr>
            <w:r>
              <w:rPr/>
              <w:t>Other long-term liabilities and deferred credits</w:t>
            </w:r>
          </w:p>
        </w:tc>
        <w:tc>
          <w:tcPr>
            <w:tcW w:w="4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 </w:t>
            </w:r>
          </w:p>
        </w:tc>
        <w:tc>
          <w:tcPr>
            <w:tcW w:w="1046" w:type="dxa"/>
            <w:tcBorders/>
            <w:shd w:fill="auto" w:val="clear"/>
            <w:vAlign w:val="bottom"/>
          </w:tcPr>
          <w:p>
            <w:pPr>
              <w:pStyle w:val="TableContents"/>
              <w:spacing w:before="0" w:after="283"/>
              <w:jc w:val="right"/>
              <w:rPr/>
            </w:pPr>
            <w:r>
              <w:rPr/>
              <w:t>(22.6</w:t>
            </w:r>
          </w:p>
        </w:tc>
        <w:tc>
          <w:tcPr>
            <w:tcW w:w="147" w:type="dxa"/>
            <w:tcBorders/>
            <w:shd w:fill="auto" w:val="clear"/>
            <w:vAlign w:val="bottom"/>
          </w:tcPr>
          <w:p>
            <w:pPr>
              <w:pStyle w:val="TableContents"/>
              <w:spacing w:before="0" w:after="283"/>
              <w:rPr/>
            </w:pPr>
            <w:r>
              <w:rPr/>
              <w:t>)</w:t>
            </w:r>
          </w:p>
        </w:tc>
        <w:tc>
          <w:tcPr>
            <w:tcW w:w="4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 </w:t>
            </w:r>
          </w:p>
        </w:tc>
        <w:tc>
          <w:tcPr>
            <w:tcW w:w="1226" w:type="dxa"/>
            <w:tcBorders/>
            <w:shd w:fill="auto" w:val="clear"/>
            <w:vAlign w:val="bottom"/>
          </w:tcPr>
          <w:p>
            <w:pPr>
              <w:pStyle w:val="TableContents"/>
              <w:spacing w:before="0" w:after="283"/>
              <w:jc w:val="right"/>
              <w:rPr/>
            </w:pPr>
            <w:r>
              <w:rPr/>
              <w:t>(21.4</w:t>
            </w:r>
          </w:p>
        </w:tc>
        <w:tc>
          <w:tcPr>
            <w:tcW w:w="152" w:type="dxa"/>
            <w:tcBorders/>
            <w:shd w:fill="auto" w:val="clear"/>
            <w:vAlign w:val="bottom"/>
          </w:tcPr>
          <w:p>
            <w:pPr>
              <w:pStyle w:val="TableContents"/>
              <w:spacing w:before="0" w:after="283"/>
              <w:rPr/>
            </w:pPr>
            <w:r>
              <w:rPr/>
              <w:t>)</w:t>
            </w:r>
          </w:p>
        </w:tc>
      </w:tr>
      <w:tr>
        <w:trPr/>
        <w:tc>
          <w:tcPr>
            <w:tcW w:w="626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2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5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6263" w:type="dxa"/>
            <w:tcBorders/>
            <w:shd w:fill="CCEEFF" w:val="clear"/>
            <w:vAlign w:val="bottom"/>
          </w:tcPr>
          <w:p>
            <w:pPr>
              <w:pStyle w:val="TableContents"/>
              <w:spacing w:before="0" w:after="0"/>
              <w:ind w:left="225" w:right="0" w:hanging="225"/>
              <w:rPr/>
            </w:pPr>
            <w:r>
              <w:rPr/>
              <w:t>Net asset (liability)</w:t>
            </w:r>
          </w:p>
        </w:tc>
        <w:tc>
          <w:tcPr>
            <w:tcW w:w="4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046" w:type="dxa"/>
            <w:tcBorders/>
            <w:shd w:fill="CCEEFF" w:val="clear"/>
            <w:vAlign w:val="bottom"/>
          </w:tcPr>
          <w:p>
            <w:pPr>
              <w:pStyle w:val="TableContents"/>
              <w:spacing w:before="0" w:after="283"/>
              <w:jc w:val="right"/>
              <w:rPr/>
            </w:pPr>
            <w:r>
              <w:rPr/>
              <w:t>(70.6</w:t>
            </w:r>
          </w:p>
        </w:tc>
        <w:tc>
          <w:tcPr>
            <w:tcW w:w="147"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26" w:type="dxa"/>
            <w:tcBorders/>
            <w:shd w:fill="CCEEFF" w:val="clear"/>
            <w:vAlign w:val="bottom"/>
          </w:tcPr>
          <w:p>
            <w:pPr>
              <w:pStyle w:val="TableContents"/>
              <w:spacing w:before="0" w:after="283"/>
              <w:jc w:val="right"/>
              <w:rPr/>
            </w:pPr>
            <w:r>
              <w:rPr/>
              <w:t>(34.5</w:t>
            </w:r>
          </w:p>
        </w:tc>
        <w:tc>
          <w:tcPr>
            <w:tcW w:w="152" w:type="dxa"/>
            <w:tcBorders/>
            <w:shd w:fill="CCEEFF" w:val="clear"/>
            <w:vAlign w:val="bottom"/>
          </w:tcPr>
          <w:p>
            <w:pPr>
              <w:pStyle w:val="TableContents"/>
              <w:spacing w:before="0" w:after="283"/>
              <w:rPr/>
            </w:pPr>
            <w:r>
              <w:rPr/>
              <w:t>)</w:t>
            </w:r>
          </w:p>
        </w:tc>
      </w:tr>
      <w:tr>
        <w:trPr/>
        <w:tc>
          <w:tcPr>
            <w:tcW w:w="626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2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5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net liability related to the fair value of our open derivative positions consists of cumulative unrealized gains/losses recognized in earnings and cumulative unrealized gains/losses deferred to AOCI as follows, by category (in millions, losses designated in brackets): </w:t>
      </w:r>
    </w:p>
    <w:tbl>
      <w:tblPr>
        <w:tblW w:w="5000" w:type="pct"/>
        <w:jc w:val="center"/>
        <w:tblInd w:w="0" w:type="dxa"/>
        <w:tblCellMar>
          <w:top w:w="0" w:type="dxa"/>
          <w:left w:w="0" w:type="dxa"/>
          <w:bottom w:w="0" w:type="dxa"/>
          <w:right w:w="0" w:type="dxa"/>
        </w:tblCellMar>
      </w:tblPr>
      <w:tblGrid>
        <w:gridCol w:w="2083"/>
        <w:gridCol w:w="292"/>
        <w:gridCol w:w="199"/>
        <w:gridCol w:w="799"/>
        <w:gridCol w:w="121"/>
        <w:gridCol w:w="292"/>
        <w:gridCol w:w="204"/>
        <w:gridCol w:w="817"/>
        <w:gridCol w:w="121"/>
        <w:gridCol w:w="292"/>
        <w:gridCol w:w="156"/>
        <w:gridCol w:w="640"/>
        <w:gridCol w:w="121"/>
        <w:gridCol w:w="292"/>
        <w:gridCol w:w="199"/>
        <w:gridCol w:w="799"/>
        <w:gridCol w:w="121"/>
        <w:gridCol w:w="292"/>
        <w:gridCol w:w="204"/>
        <w:gridCol w:w="816"/>
        <w:gridCol w:w="121"/>
        <w:gridCol w:w="292"/>
        <w:gridCol w:w="156"/>
        <w:gridCol w:w="640"/>
        <w:gridCol w:w="136"/>
      </w:tblGrid>
      <w:tr>
        <w:trPr/>
        <w:tc>
          <w:tcPr>
            <w:tcW w:w="2083"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083"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4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4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36" w:type="dxa"/>
            <w:tcBorders/>
            <w:shd w:fill="auto" w:val="clear"/>
            <w:vAlign w:val="bottom"/>
          </w:tcPr>
          <w:p>
            <w:pPr>
              <w:pStyle w:val="TableContents"/>
              <w:spacing w:before="0" w:after="283"/>
              <w:rPr/>
            </w:pPr>
            <w:r>
              <w:rPr/>
              <w:t> </w:t>
            </w:r>
          </w:p>
        </w:tc>
      </w:tr>
      <w:tr>
        <w:trPr/>
        <w:tc>
          <w:tcPr>
            <w:tcW w:w="2083"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283"/>
              <w:jc w:val="center"/>
              <w:rPr>
                <w:b/>
              </w:rPr>
            </w:pPr>
            <w:r>
              <w:rPr>
                <w:b/>
              </w:rPr>
              <w:t>Net asset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283"/>
              <w:jc w:val="center"/>
              <w:rPr>
                <w:b/>
              </w:rPr>
            </w:pPr>
            <w:r>
              <w:rPr>
                <w:b/>
              </w:rPr>
              <w:t>Net asset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jc w:val="center"/>
              <w:rPr/>
            </w:pPr>
            <w:r>
              <w:rPr/>
              <w:t> </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96" w:type="dxa"/>
            <w:gridSpan w:val="2"/>
            <w:tcBorders/>
            <w:shd w:fill="auto" w:val="clear"/>
            <w:vAlign w:val="bottom"/>
          </w:tcPr>
          <w:p>
            <w:pPr>
              <w:pStyle w:val="TableContents"/>
              <w:spacing w:before="0" w:after="283"/>
              <w:jc w:val="center"/>
              <w:rPr/>
            </w:pPr>
            <w:r>
              <w:rPr/>
              <w:t> </w:t>
            </w:r>
          </w:p>
        </w:tc>
        <w:tc>
          <w:tcPr>
            <w:tcW w:w="136" w:type="dxa"/>
            <w:tcBorders/>
            <w:shd w:fill="auto" w:val="clear"/>
            <w:vAlign w:val="bottom"/>
          </w:tcPr>
          <w:p>
            <w:pPr>
              <w:pStyle w:val="TableContents"/>
              <w:spacing w:before="0" w:after="283"/>
              <w:rPr/>
            </w:pPr>
            <w:r>
              <w:rPr/>
              <w:t> </w:t>
            </w:r>
          </w:p>
        </w:tc>
      </w:tr>
      <w:tr>
        <w:trPr/>
        <w:tc>
          <w:tcPr>
            <w:tcW w:w="2083"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(liability)</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0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Earnings</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AOCI</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(liability)</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Earnings</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AOCI</w:t>
            </w:r>
          </w:p>
        </w:tc>
        <w:tc>
          <w:tcPr>
            <w:tcW w:w="136" w:type="dxa"/>
            <w:tcBorders/>
            <w:shd w:fill="auto" w:val="clear"/>
            <w:vAlign w:val="bottom"/>
          </w:tcPr>
          <w:p>
            <w:pPr>
              <w:pStyle w:val="TableContents"/>
              <w:spacing w:before="0" w:after="283"/>
              <w:rPr/>
            </w:pPr>
            <w:r>
              <w:rPr/>
              <w:t> </w:t>
            </w:r>
          </w:p>
        </w:tc>
      </w:tr>
      <w:tr>
        <w:trPr/>
        <w:tc>
          <w:tcPr>
            <w:tcW w:w="2083" w:type="dxa"/>
            <w:tcBorders/>
            <w:shd w:fill="CCEEFF" w:val="clear"/>
            <w:vAlign w:val="bottom"/>
          </w:tcPr>
          <w:p>
            <w:pPr>
              <w:pStyle w:val="TableContents"/>
              <w:spacing w:before="0" w:after="0"/>
              <w:ind w:left="225" w:right="0" w:hanging="225"/>
              <w:rPr/>
            </w:pPr>
            <w:r>
              <w:rPr/>
              <w:t>Commodity price-risk hedging</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(70.7</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(38.0</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(32.7</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(32.5</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(18.9</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(13.6</w:t>
            </w:r>
          </w:p>
        </w:tc>
        <w:tc>
          <w:tcPr>
            <w:tcW w:w="136" w:type="dxa"/>
            <w:tcBorders/>
            <w:shd w:fill="CCEEFF" w:val="clear"/>
            <w:vAlign w:val="bottom"/>
          </w:tcPr>
          <w:p>
            <w:pPr>
              <w:pStyle w:val="TableContents"/>
              <w:spacing w:before="0" w:after="283"/>
              <w:rPr/>
            </w:pPr>
            <w:r>
              <w:rPr/>
              <w:t>)</w:t>
            </w:r>
          </w:p>
        </w:tc>
      </w:tr>
      <w:tr>
        <w:trPr/>
        <w:tc>
          <w:tcPr>
            <w:tcW w:w="2083" w:type="dxa"/>
            <w:tcBorders/>
            <w:shd w:fill="auto" w:val="clear"/>
            <w:vAlign w:val="bottom"/>
          </w:tcPr>
          <w:p>
            <w:pPr>
              <w:pStyle w:val="TableContents"/>
              <w:spacing w:before="0" w:after="0"/>
              <w:ind w:left="225" w:right="0" w:hanging="225"/>
              <w:rPr/>
            </w:pPr>
            <w:r>
              <w:rPr/>
              <w:t>Controlled trading program</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2083" w:type="dxa"/>
            <w:tcBorders/>
            <w:shd w:fill="CCEEFF" w:val="clear"/>
            <w:vAlign w:val="bottom"/>
          </w:tcPr>
          <w:p>
            <w:pPr>
              <w:pStyle w:val="TableContents"/>
              <w:spacing w:before="0" w:after="0"/>
              <w:ind w:left="225" w:right="0" w:hanging="225"/>
              <w:rPr/>
            </w:pPr>
            <w:r>
              <w:rPr/>
              <w:t>Interest rate risk hedging</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2083" w:type="dxa"/>
            <w:tcBorders/>
            <w:shd w:fill="auto" w:val="clear"/>
            <w:vAlign w:val="bottom"/>
          </w:tcPr>
          <w:p>
            <w:pPr>
              <w:pStyle w:val="TableContents"/>
              <w:spacing w:before="0" w:after="0"/>
              <w:ind w:left="225" w:right="0" w:hanging="225"/>
              <w:rPr/>
            </w:pPr>
            <w:r>
              <w:rPr/>
              <w:t>Currency exchange rate risk hedging</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0.1</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0.1</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(2.0</w:t>
            </w:r>
          </w:p>
        </w:tc>
        <w:tc>
          <w:tcPr>
            <w:tcW w:w="121"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(2.0</w:t>
            </w:r>
          </w:p>
        </w:tc>
        <w:tc>
          <w:tcPr>
            <w:tcW w:w="121"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2083"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7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7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083" w:type="dxa"/>
            <w:tcBorders/>
            <w:shd w:fill="CCEEFF" w:val="clear"/>
            <w:vAlign w:val="bottom"/>
          </w:tcPr>
          <w:p>
            <w:pPr>
              <w:pStyle w:val="TableContents"/>
              <w:spacing w:before="0" w:after="0"/>
              <w:ind w:left="225" w:right="0" w:hanging="225"/>
              <w:rPr/>
            </w:pPr>
            <w:r>
              <w:rPr/>
              <w:t> </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(70.6</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(37.9</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(32.7</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(34.5</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(20.9</w:t>
            </w:r>
          </w:p>
        </w:tc>
        <w:tc>
          <w:tcPr>
            <w:tcW w:w="121"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(13.6</w:t>
            </w:r>
          </w:p>
        </w:tc>
        <w:tc>
          <w:tcPr>
            <w:tcW w:w="136" w:type="dxa"/>
            <w:tcBorders/>
            <w:shd w:fill="CCEEFF" w:val="clear"/>
            <w:vAlign w:val="bottom"/>
          </w:tcPr>
          <w:p>
            <w:pPr>
              <w:pStyle w:val="TableContents"/>
              <w:spacing w:before="0" w:after="283"/>
              <w:rPr/>
            </w:pPr>
            <w:r>
              <w:rPr/>
              <w:t>)</w:t>
            </w:r>
          </w:p>
        </w:tc>
      </w:tr>
      <w:tr>
        <w:trPr/>
        <w:tc>
          <w:tcPr>
            <w:tcW w:w="2083"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7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7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In addition to the $32.7 million of unrealized losses deferred to AOCI for open derivative positions, AOCI also includes a deferred loss of approximately $6.1 million that relates to terminated interest rate swaps that were cash settled in connection with the refinancing of debt agreements over the past five years. The deferred loss related to these instruments is being amortized to interest expense over the original terms of the terminated instruments.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total amount of deferred net losses recorded in AOCI is expected to be reclassified to future earnings, contemporaneously with the related physical purchase or delivery of the underlying commodity or payments of interest. Of the total net loss deferred in AOCI at March 31, 2007, a net loss of $32.4 million will be reclassified into earnings in the next twelve months; the remaining net loss will be reclassified at various intervals (ending in 2016 for amounts related to our terminated interest rate swaps and 2008 for amounts related to our commodity price-risk hedging). Because a portion of these amounts is based on market prices at the current period end, actual amounts to be reclassified will differ and could vary materially as a result of changes in market conditions. During the three months ended March 31, 2007 no amounts were reclassified to earnings from AOCI in connection with forecasted transactions that were no longer considered probable of occurring.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10Related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Crude Oil Purchases and Hedges. </w:t>
      </w:r>
      <w:r>
        <w:rPr>
          <w:rFonts w:ascii="Times New Roman;Times;serif" w:hAnsi="Times New Roman;Times;serif"/>
          <w:sz w:val="17"/>
        </w:rPr>
        <w:t xml:space="preserve">Until August 12, 2005, Vulcan Energy owned 100% of Calumet Florida L.L.C. (Calumet). Calumet is now owned by Vulcan Resources Florida, Inc., the majority of which is owned by Paul G. Allen. We purchased crude oil from Calumet for approximately $11.3 million and $11.3 million in the first quarter of 2007 and 2006, respectively. Calumet may request from time to time that we provide fixed pricing or a range of pricing for a portion of its production. When we offer such an arrangement, we protect our position by placing hedges on equivalent amounts, and charge Calumet a fee of $0.20 per barrel. </w:t>
      </w:r>
    </w:p>
    <w:p>
      <w:pPr>
        <w:pStyle w:val="TextBody"/>
        <w:spacing w:before="120" w:after="283"/>
        <w:jc w:val="left"/>
        <w:rPr/>
      </w:pPr>
      <w:r>
        <w:rPr/>
        <w:t>     </w:t>
      </w:r>
      <w:r>
        <w:rPr>
          <w:rFonts w:ascii="Times New Roman;Times;serif" w:hAnsi="Times New Roman;Times;serif"/>
          <w:i/>
          <w:sz w:val="17"/>
        </w:rPr>
        <w:t xml:space="preserve">Gas Hedges. </w:t>
      </w:r>
      <w:r>
        <w:rPr>
          <w:rFonts w:ascii="Times New Roman;Times;serif" w:hAnsi="Times New Roman;Times;serif"/>
          <w:sz w:val="17"/>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2008, 2009 and 2010. We recorded deferred revenue for receipt of a one-time fee of approximately $1 million for our services to own and manage the hedge positions and to deliver the natural gas.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11Income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U.S. and Canadian subsidiaries are not taxable entities in the U.S. and are not subject to U.S. federal or state income taxes as the tax effect of operations is passed through to our unitholders. However, certain of our Canadian subsidiaries are taxable entities in Canada and are subject to Canadian federal and provincial income taxes. </w:t>
      </w:r>
    </w:p>
    <w:p>
      <w:pPr>
        <w:pStyle w:val="TextBody"/>
        <w:spacing w:before="120" w:after="283"/>
        <w:jc w:val="left"/>
        <w:rPr/>
      </w:pPr>
      <w:r>
        <w:rPr/>
        <w:t>     </w:t>
      </w:r>
      <w:r>
        <w:rPr>
          <w:rFonts w:ascii="Times New Roman;Times;serif" w:hAnsi="Times New Roman;Times;serif"/>
          <w:sz w:val="17"/>
        </w:rPr>
        <w:t xml:space="preserve">We adopted the provisions of FASB Interpretation No. 48 Accounting for Uncertainty in Income Taxes (FIN 48), an interpretation of SFAS No. 109 on January 1, 2007. As a result of the implementation of FIN 48, we recognized no material adjustment in the liability for unrecognized income tax benefits and at March 31, 2007, we have no material adjustments for unrecognized tax benefits. </w:t>
      </w:r>
    </w:p>
    <w:p>
      <w:pPr>
        <w:pStyle w:val="TextBody"/>
        <w:spacing w:before="120" w:after="283"/>
        <w:jc w:val="left"/>
        <w:rPr/>
      </w:pPr>
      <w:r>
        <w:rPr/>
        <w:t>     </w:t>
      </w:r>
      <w:r>
        <w:rPr>
          <w:rFonts w:ascii="Times New Roman;Times;serif" w:hAnsi="Times New Roman;Times;serif"/>
          <w:sz w:val="17"/>
        </w:rPr>
        <w:t xml:space="preserve">We recognize interest and penalties related to uncertain tax positions in income tax expense. As of March 31, 2007, we have no material adjustments for accrued interest related to uncertain tax positions. </w:t>
      </w:r>
    </w:p>
    <w:p>
      <w:pPr>
        <w:pStyle w:val="TextBody"/>
        <w:spacing w:before="120" w:after="283"/>
        <w:jc w:val="left"/>
        <w:rPr/>
      </w:pPr>
      <w:r>
        <w:rPr/>
        <w:t>     </w:t>
      </w:r>
      <w:r>
        <w:rPr>
          <w:rFonts w:ascii="Times New Roman;Times;serif" w:hAnsi="Times New Roman;Times;serif"/>
          <w:sz w:val="17"/>
        </w:rPr>
        <w:t xml:space="preserve">We file income tax returns in the Canadian federal and various provincial jurisdictions. Generally, we are no longer subject to Canadian federal and provincial income tax examinations for years before 2004.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Note 12Commitments and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Litigation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Pipeline Releases. </w:t>
      </w:r>
      <w:r>
        <w:rPr>
          <w:rFonts w:ascii="Times New Roman;Times;serif" w:hAnsi="Times New Roman;Times;serif"/>
          <w:sz w:val="17"/>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$3.0 million to $3.5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the DOJ; however, we have no indication from EPA or the DOJ of what penalties might be sought. As a result, we are unable to estimate the range of a reasonably possible loss contingency in excess of our accrual.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On November 15, 2006, we completed the acquisition of Pacific. The following is a summary of the more significant matters that relate to Pacific, its assets or operations. </w:t>
      </w:r>
    </w:p>
    <w:p>
      <w:pPr>
        <w:pStyle w:val="TextBody"/>
        <w:spacing w:before="120" w:after="283"/>
        <w:jc w:val="left"/>
        <w:rPr/>
      </w:pPr>
      <w:r>
        <w:rPr/>
        <w:t>     </w:t>
      </w:r>
      <w:r>
        <w:rPr>
          <w:rFonts w:ascii="Times New Roman;Times;serif" w:hAnsi="Times New Roman;Times;serif"/>
          <w:i/>
          <w:sz w:val="17"/>
        </w:rPr>
        <w:t xml:space="preserve">The People of the State of California v. Pacific Pipeline System, LLC (PPS). </w:t>
      </w:r>
      <w:r>
        <w:rPr>
          <w:rFonts w:ascii="Times New Roman;Times;serif" w:hAnsi="Times New Roman;Times;serif"/>
          <w:sz w:val="17"/>
        </w:rPr>
        <w:t xml:space="preserve">In March 2005, a release of approximately 3,400 barrels of crude oil occurred on Line 63, subsequently acquired by us in the Pacific merger. The release occurred when Line 63 was severed as a result of a landslide caused by heavy rainfall in the Pyramid Lake area of Los Angeles County. Total projected emergency response, remediation and restoration costs are approximately $26 million, substantially all of which had been incurred as of March 31, 2007. We expect to incur the remaining costs before the end of 2007. We anticipate that the majority of costs associated with this release will be covered under a pre-existing PPS pollution liability insurance policy. </w:t>
      </w:r>
    </w:p>
    <w:p>
      <w:pPr>
        <w:pStyle w:val="TextBody"/>
        <w:spacing w:before="120" w:after="283"/>
        <w:jc w:val="left"/>
        <w:rPr/>
      </w:pPr>
      <w:r>
        <w:rPr/>
        <w:t>     </w:t>
      </w:r>
      <w:r>
        <w:rPr>
          <w:rFonts w:ascii="Times New Roman;Times;serif" w:hAnsi="Times New Roman;Times;serif"/>
          <w:sz w:val="17"/>
        </w:rPr>
        <w:t xml:space="preserve">In March 2006, PPS, a subsidiary acquired in the Pacific merger, was served with a four 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if any, that can be assessed is estimated to be approximately $1,100,000 in the aggregate. This amount is subject to a downward adjustment with respect to actual volumes of recovered crude oil, and the State of California has the discretion to further reduce the fine, if any, after considering other mitigating factors. Because of the uncertainty associated with these factors, the final amount of the fine that will be assessed for the strict liability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the natural resource damages amount. We believe that certain of the alleged violations are without merit and intend to defend against them, and that mitigating factors should apply. </w:t>
      </w:r>
    </w:p>
    <w:p>
      <w:pPr>
        <w:pStyle w:val="TextBody"/>
        <w:spacing w:before="120" w:after="283"/>
        <w:jc w:val="left"/>
        <w:rPr/>
      </w:pPr>
      <w:r>
        <w:rPr/>
        <w:t>     </w:t>
      </w:r>
      <w:r>
        <w:rPr>
          <w:rFonts w:ascii="Times New Roman;Times;serif" w:hAnsi="Times New Roman;Times;serif"/>
          <w:sz w:val="17"/>
        </w:rPr>
        <w:t xml:space="preserve">The EPA has referred this matter to the DOJ for the initiation of proceedings to assess civil penalties against PPS. We understand that the maximum permissible penalty, if any, that the EPA could assess under relevant statutes would be approximately $3.7 million. We believe that several mitigating circumstances and factors exist that could substantially reduce any penalty that might be imposed by the EPA, and intend to pursue discussions with the EPA regarding such mitigating circumstances and factors. Because of the uncertainty associated with these factors, the final amount of the penalty that will be assessed by the EPA cannot be ascertained. Discussions with the DOJ to resolve this matter have commenced.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i/>
          <w:sz w:val="17"/>
        </w:rPr>
        <w:t>Kosseff v. Pacific Energy, et al</w:t>
      </w:r>
      <w:r>
        <w:rPr>
          <w:rFonts w:ascii="Times New Roman;Times;serif" w:hAnsi="Times New Roman;Times;serif"/>
          <w:sz w:val="17"/>
        </w:rPr>
        <w:t xml:space="preserve">, case no. BC 3544016. On June 15, 2006, a lawsuit was filed in the Superior Court of California, County of Los Angeles, in which the plaintiff alleged that he was a unitholder of Pacific and he sought to represent a class comprising all of Pacifics unitholders. The complaint named as defendants Pacific and certain of the officers and directors of Pacifics general partner, and asserted claims of self-dealing and breach of fiduciary duty in connection with the pending merger with us and related transactions. The plaintiff sought injunctive relief against completing the merger or, if the merger was completed, rescission of the merger, other equitable relief, and recovery of the plaintiffs costs and attorneys fees. On September 14, 2006, Pacific and the other defendants entered into a memorandum of settlement with the plaintiff to settle the lawsuit. As part of the settlement, Pacific and the other defendants deny all allegations of wrongdoing and express willingness to settle the lawsuit solely because the settlement would eliminate the burden and expense of further litigation. The settlement is subject to customary conditions, including court approval. As part of the settlement, we (as successor to Pacific) will pay approximately $0.5 million to the plaintiffs counsel for their fees and expenses, and incur the cost of mailing materials to former Pacific unitholders. The court has preliminarily approved the settlement and a notice of settlement has been sent to the class members. If finally approved by the court, the settlement will resolve all claims that were or could have been brought on behalf of the proposed settlement class in the actions being settled, including all claims relating to the merger, the merger agreement and any disclosure made by Pacific in connection with the merger. The settlement did not change any of the terms or conditions of the merger. </w:t>
      </w:r>
    </w:p>
    <w:p>
      <w:pPr>
        <w:pStyle w:val="TextBody"/>
        <w:spacing w:before="120" w:after="283"/>
        <w:jc w:val="left"/>
        <w:rPr/>
      </w:pPr>
      <w:r>
        <w:rPr/>
        <w:t>     </w:t>
      </w:r>
      <w:r>
        <w:rPr>
          <w:rFonts w:ascii="Times New Roman;Times;serif" w:hAnsi="Times New Roman;Times;serif"/>
          <w:i/>
          <w:sz w:val="17"/>
        </w:rPr>
        <w:t xml:space="preserve">Pacific Atlantic Terminals. </w:t>
      </w:r>
      <w:r>
        <w:rPr>
          <w:rFonts w:ascii="Times New Roman;Times;serif" w:hAnsi="Times New Roman;Times;serif"/>
          <w:sz w:val="17"/>
        </w:rPr>
        <w:t xml:space="preserve">In connection with the Pacific merger, we acquired Pacific Atlantic Terminals LLC (PAT), which is now one of our subsidiaries. PAT owns crude oil and refined products terminals in northern California and in the Philadelphia metropolitan area. In the process of integrating PATs assets into our operations, we identified certain aspects of the operations at the California terminals that appeared to be out of compliance with specifications under the relevant air quality permit. We conducted a prompt review of the circumstances and self-reported the apparent historical occurrences of non-compliance to the Bay Area Air Quality Management District. We are cooperating with the Districts review of these matters. </w:t>
      </w:r>
    </w:p>
    <w:p>
      <w:pPr>
        <w:pStyle w:val="TextBody"/>
        <w:spacing w:before="120" w:after="283"/>
        <w:jc w:val="left"/>
        <w:rPr/>
      </w:pPr>
      <w:r>
        <w:rPr/>
        <w:t>     </w:t>
      </w:r>
      <w:r>
        <w:rPr>
          <w:rFonts w:ascii="Times New Roman;Times;serif" w:hAnsi="Times New Roman;Times;serif"/>
          <w:i/>
          <w:sz w:val="17"/>
        </w:rPr>
        <w:t xml:space="preserve">Other Pacific-Legacy Matters. </w:t>
      </w:r>
      <w:r>
        <w:rPr>
          <w:rFonts w:ascii="Times New Roman;Times;serif" w:hAnsi="Times New Roman;Times;serif"/>
          <w:sz w:val="17"/>
        </w:rPr>
        <w:t xml:space="preserve">Pacific had completed a number of acquisitions that had not been fully integrated prior to the merger with Plains. Accordingly, we have and may become aware of other matters involving the assets and operations acquired in the Pacific merger as they relate to compliance with environmental and safety regulations, which matters may result in the imposition of fines and penalties. For example, we have been informed by the EPA that terminals owned by Rocky Mountain Pipeline Systems LLC, one of the subsidiaries acquired in the Pacific merger, are purportedly out of compliance with certain regulatory documentation requirements. </w:t>
      </w:r>
    </w:p>
    <w:p>
      <w:pPr>
        <w:pStyle w:val="TextBody"/>
        <w:spacing w:before="120" w:after="283"/>
        <w:jc w:val="left"/>
        <w:rPr/>
      </w:pPr>
      <w:r>
        <w:rPr/>
        <w:t>     </w:t>
      </w:r>
      <w:r>
        <w:rPr>
          <w:rFonts w:ascii="Times New Roman;Times;serif" w:hAnsi="Times New Roman;Times;serif"/>
          <w:i/>
          <w:sz w:val="17"/>
        </w:rPr>
        <w:t xml:space="preserve">General. </w:t>
      </w:r>
      <w:r>
        <w:rPr>
          <w:rFonts w:ascii="Times New Roman;Times;serif" w:hAnsi="Times New Roman;Times;serif"/>
          <w:sz w:val="17"/>
        </w:rPr>
        <w:t xml:space="preserve">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Environmental. </w:t>
      </w:r>
      <w:r>
        <w:rPr>
          <w:rFonts w:ascii="Times New Roman;Times;serif" w:hAnsi="Times New Roman;Times;serif"/>
          <w:sz w:val="17"/>
        </w:rPr>
        <w:t xml:space="preserve">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 Pipeline Releases above. </w:t>
      </w:r>
    </w:p>
    <w:p>
      <w:pPr>
        <w:pStyle w:val="TextBody"/>
        <w:spacing w:before="120" w:after="283"/>
        <w:jc w:val="left"/>
        <w:rPr/>
      </w:pPr>
      <w:r>
        <w:rPr/>
        <w:t>     </w:t>
      </w:r>
      <w:r>
        <w:rPr>
          <w:rFonts w:ascii="Times New Roman;Times;serif" w:hAnsi="Times New Roman;Times;serif"/>
          <w:sz w:val="17"/>
        </w:rPr>
        <w:t xml:space="preserve">At March 31, 2007, our reserve for environmental liabilities totaled approximately $36.6 million. At March 31, 2007, we have recorded receivables totaling approximately $9.7 million for amounts which are probable of recovery under insurance and from third parties under indemnification agreements. Although we believe our reserve is adequate, no assurance can be given that any costs incurred in excess of this reserve would not have a material adverse effect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Other. </w:t>
      </w:r>
      <w:r>
        <w:rPr>
          <w:rFonts w:ascii="Times New Roman;Times;serif" w:hAnsi="Times New Roman;Times;serif"/>
          <w:sz w:val="17"/>
        </w:rPr>
        <w:t xml:space="preserve">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13Operating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the fourth quarter of 2006, we revised the manner in which we internally evaluate our segment performance and decide how to allocate resources to our segments. Prior period disclosures have been revised to reflect our change in segments. Our operations are conducted through three operating segments: (i) Transportation, (ii) Facilities and (iii) Marketing. We evaluate segment performance based on segment profit and maintenance capital. We define segment profit as revenues and equity in earnings of unconsolidated entities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The following tables reflect certain financial data for each segment for the periods indicated: </w:t>
      </w:r>
    </w:p>
    <w:tbl>
      <w:tblPr>
        <w:tblW w:w="5000" w:type="pct"/>
        <w:jc w:val="center"/>
        <w:tblInd w:w="0" w:type="dxa"/>
        <w:tblCellMar>
          <w:top w:w="0" w:type="dxa"/>
          <w:left w:w="0" w:type="dxa"/>
          <w:bottom w:w="0" w:type="dxa"/>
          <w:right w:w="0" w:type="dxa"/>
        </w:tblCellMar>
      </w:tblPr>
      <w:tblGrid>
        <w:gridCol w:w="3565"/>
        <w:gridCol w:w="294"/>
        <w:gridCol w:w="318"/>
        <w:gridCol w:w="1320"/>
        <w:gridCol w:w="99"/>
        <w:gridCol w:w="294"/>
        <w:gridCol w:w="234"/>
        <w:gridCol w:w="828"/>
        <w:gridCol w:w="129"/>
        <w:gridCol w:w="294"/>
        <w:gridCol w:w="197"/>
        <w:gridCol w:w="1031"/>
        <w:gridCol w:w="129"/>
        <w:gridCol w:w="294"/>
        <w:gridCol w:w="167"/>
        <w:gridCol w:w="873"/>
        <w:gridCol w:w="139"/>
      </w:tblGrid>
      <w:tr>
        <w:trPr/>
        <w:tc>
          <w:tcPr>
            <w:tcW w:w="356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3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b/>
              </w:rPr>
            </w:pPr>
            <w:r>
              <w:rPr>
                <w:b/>
              </w:rPr>
              <w:t>Three Months Ended March 31, 2007</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Revenues:</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450" w:right="0" w:hanging="225"/>
              <w:rPr/>
            </w:pPr>
            <w:r>
              <w:rPr/>
              <w:t>External Customers</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102.0</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25.6</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4,101.9</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4,229.5</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450" w:right="0" w:hanging="225"/>
              <w:rPr/>
            </w:pPr>
            <w:r>
              <w:rPr/>
              <w:t>Intersegment (2)</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76.2</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19.5</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7.7</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103.4</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675" w:right="0" w:hanging="225"/>
              <w:rPr/>
            </w:pPr>
            <w:r>
              <w:rPr/>
              <w:t>Total revenues of reportable segments</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178.2</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45.1</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4,109.6</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4,332.9</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Equity earnings in unconsolidated entities</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0.9</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2.7</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3.6</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pPr>
            <w:r>
              <w:rPr/>
              <w:t>Segment profit (1)(3)(4)</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73.1</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21.9</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66.0</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161.0</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SFAS 133 impact (1)</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(17.0</w:t>
            </w:r>
          </w:p>
        </w:tc>
        <w:tc>
          <w:tcPr>
            <w:tcW w:w="129" w:type="dxa"/>
            <w:tcBorders/>
            <w:shd w:fill="auto" w:val="clear"/>
            <w:vAlign w:val="bottom"/>
          </w:tcPr>
          <w:p>
            <w:pPr>
              <w:pStyle w:val="TableContents"/>
              <w:spacing w:before="0" w:after="283"/>
              <w:rPr/>
            </w:pPr>
            <w:r>
              <w:rPr/>
              <w:t>)</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(17.0</w:t>
            </w:r>
          </w:p>
        </w:tc>
        <w:tc>
          <w:tcPr>
            <w:tcW w:w="139" w:type="dxa"/>
            <w:tcBorders/>
            <w:shd w:fill="auto" w:val="clear"/>
            <w:vAlign w:val="bottom"/>
          </w:tcPr>
          <w:p>
            <w:pPr>
              <w:pStyle w:val="TableContents"/>
              <w:spacing w:before="0" w:after="283"/>
              <w:rPr/>
            </w:pPr>
            <w:r>
              <w:rPr/>
              <w:t>)</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39" w:type="dxa"/>
            <w:tcBorders/>
            <w:shd w:fill="auto" w:val="clear"/>
          </w:tcPr>
          <w:p>
            <w:pPr>
              <w:pStyle w:val="TableContents"/>
              <w:spacing w:before="0" w:after="283"/>
              <w:rPr>
                <w:sz w:val="4"/>
                <w:szCs w:val="4"/>
              </w:rPr>
            </w:pPr>
            <w:r>
              <w:rPr>
                <w:sz w:val="4"/>
                <w:szCs w:val="4"/>
              </w:rPr>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pPr>
            <w:r>
              <w:rPr/>
              <w:t>Maintenance capital</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3.2</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3.8</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3.7</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10.7</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b/>
              </w:rPr>
            </w:pPr>
            <w:r>
              <w:rPr>
                <w:b/>
              </w:rPr>
              <w:t>Three Months Ended March 31, 2006</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pPr>
            <w:r>
              <w:rPr/>
              <w:t>Revenues:</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450" w:right="0" w:hanging="225"/>
              <w:rPr/>
            </w:pPr>
            <w:r>
              <w:rPr/>
              <w:t>External Customers (includes buy/sell revenues of $0, $0, and $4,761.9, respectively) (1)(5)</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71.7</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3.3</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8,560.1</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8,635.1</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450" w:right="0" w:hanging="225"/>
              <w:rPr/>
            </w:pPr>
            <w:r>
              <w:rPr/>
              <w:t>Intersegment (2)(5)</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46.2</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8.6</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0.2</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55.0</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675" w:right="0" w:hanging="225"/>
              <w:rPr/>
            </w:pPr>
            <w:r>
              <w:rPr/>
              <w:t>Total revenues of reportable segments</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117.9</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11.9</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8,560.3</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8,690.1</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pPr>
            <w:r>
              <w:rPr/>
              <w:t>Equity earnings in unconsolidated entities</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0.3</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(0.2</w:t>
            </w:r>
          </w:p>
        </w:tc>
        <w:tc>
          <w:tcPr>
            <w:tcW w:w="129" w:type="dxa"/>
            <w:tcBorders/>
            <w:shd w:fill="CCEEFF" w:val="clear"/>
            <w:vAlign w:val="bottom"/>
          </w:tcPr>
          <w:p>
            <w:pPr>
              <w:pStyle w:val="TableContents"/>
              <w:spacing w:before="0" w:after="283"/>
              <w:rPr/>
            </w:pPr>
            <w:r>
              <w:rPr/>
              <w:t>)</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0.1</w:t>
            </w:r>
          </w:p>
        </w:tc>
        <w:tc>
          <w:tcPr>
            <w:tcW w:w="139" w:type="dxa"/>
            <w:tcBorders/>
            <w:shd w:fill="CCEEFF"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Segment profit (1)(3)(4)</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38.1</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2.5</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53.1</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93.7</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CCEEFF" w:val="clear"/>
            <w:vAlign w:val="bottom"/>
          </w:tcPr>
          <w:p>
            <w:pPr>
              <w:pStyle w:val="TableContents"/>
              <w:spacing w:before="0" w:after="0"/>
              <w:ind w:left="225" w:right="0" w:hanging="225"/>
              <w:rPr/>
            </w:pPr>
            <w:r>
              <w:rPr/>
              <w:t>SFAS 133 impact (1)</w:t>
            </w:r>
          </w:p>
        </w:tc>
        <w:tc>
          <w:tcPr>
            <w:tcW w:w="29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(0.7</w:t>
            </w:r>
          </w:p>
        </w:tc>
        <w:tc>
          <w:tcPr>
            <w:tcW w:w="129" w:type="dxa"/>
            <w:tcBorders/>
            <w:shd w:fill="CCEEFF" w:val="clear"/>
            <w:vAlign w:val="bottom"/>
          </w:tcPr>
          <w:p>
            <w:pPr>
              <w:pStyle w:val="TableContents"/>
              <w:spacing w:before="0" w:after="283"/>
              <w:rPr/>
            </w:pPr>
            <w:r>
              <w:rPr/>
              <w:t>)</w:t>
            </w:r>
          </w:p>
        </w:tc>
        <w:tc>
          <w:tcPr>
            <w:tcW w:w="29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(0.7</w:t>
            </w:r>
          </w:p>
        </w:tc>
        <w:tc>
          <w:tcPr>
            <w:tcW w:w="139" w:type="dxa"/>
            <w:tcBorders/>
            <w:shd w:fill="CCEEFF" w:val="clear"/>
            <w:vAlign w:val="bottom"/>
          </w:tcPr>
          <w:p>
            <w:pPr>
              <w:pStyle w:val="TableContents"/>
              <w:spacing w:before="0" w:after="283"/>
              <w:rPr/>
            </w:pPr>
            <w:r>
              <w:rPr/>
              <w:t>)</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39" w:type="dxa"/>
            <w:tcBorders/>
            <w:shd w:fill="auto" w:val="clear"/>
          </w:tcPr>
          <w:p>
            <w:pPr>
              <w:pStyle w:val="TableContents"/>
              <w:spacing w:before="0" w:after="283"/>
              <w:rPr>
                <w:sz w:val="4"/>
                <w:szCs w:val="4"/>
              </w:rPr>
            </w:pPr>
            <w:r>
              <w:rPr>
                <w:sz w:val="4"/>
                <w:szCs w:val="4"/>
              </w:rPr>
            </w:r>
          </w:p>
        </w:tc>
      </w:tr>
      <w:tr>
        <w:trPr/>
        <w:tc>
          <w:tcPr>
            <w:tcW w:w="3565"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0"/>
              <w:ind w:left="225" w:right="0" w:hanging="225"/>
              <w:rPr/>
            </w:pPr>
            <w:r>
              <w:rPr/>
              <w:t>Maintenance capital</w:t>
            </w:r>
          </w:p>
        </w:tc>
        <w:tc>
          <w:tcPr>
            <w:tcW w:w="29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3.0</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0.8</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0.9</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4.7</w:t>
            </w:r>
          </w:p>
        </w:tc>
        <w:tc>
          <w:tcPr>
            <w:tcW w:w="139" w:type="dxa"/>
            <w:tcBorders/>
            <w:shd w:fill="auto" w:val="clear"/>
            <w:vAlign w:val="bottom"/>
          </w:tcPr>
          <w:p>
            <w:pPr>
              <w:pStyle w:val="TableContents"/>
              <w:spacing w:before="0" w:after="283"/>
              <w:rPr/>
            </w:pPr>
            <w:r>
              <w:rPr/>
              <w:t> </w:t>
            </w:r>
          </w:p>
        </w:tc>
      </w:tr>
      <w:tr>
        <w:trPr/>
        <w:tc>
          <w:tcPr>
            <w:tcW w:w="3565"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(1)</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Amounts related to SFAS 133 are included in revenues in the marketing segment and impact marketing segment profit.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6704"/>
        <w:gridCol w:w="2220"/>
        <w:gridCol w:w="1281"/>
      </w:tblGrid>
      <w:tr>
        <w:trPr/>
        <w:tc>
          <w:tcPr>
            <w:tcW w:w="6704"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(2)</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Intersegment sales are intended to reflect arms length transactions.</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(3)</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Marketing segment profit includes interest expense on contango purchases of $11.2 million and $8.6 million for the three months ended March 31, 2007 and 2006, respectively.</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(4)</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The following table reconciles segment profit to consolidated income before cumulative effect of change in accounting principle (in millions):</w:t>
            </w:r>
          </w:p>
        </w:tc>
      </w:tr>
    </w:tbl>
    <w:tbl>
      <w:tblPr>
        <w:tblW w:w="5000" w:type="pct"/>
        <w:jc w:val="center"/>
        <w:tblInd w:w="0" w:type="dxa"/>
        <w:tblCellMar>
          <w:top w:w="0" w:type="dxa"/>
          <w:left w:w="0" w:type="dxa"/>
          <w:bottom w:w="0" w:type="dxa"/>
          <w:right w:w="0" w:type="dxa"/>
        </w:tblCellMar>
      </w:tblPr>
      <w:tblGrid>
        <w:gridCol w:w="6744"/>
        <w:gridCol w:w="439"/>
        <w:gridCol w:w="212"/>
        <w:gridCol w:w="933"/>
        <w:gridCol w:w="169"/>
        <w:gridCol w:w="458"/>
        <w:gridCol w:w="212"/>
        <w:gridCol w:w="893"/>
        <w:gridCol w:w="145"/>
      </w:tblGrid>
      <w:tr>
        <w:trPr/>
        <w:tc>
          <w:tcPr>
            <w:tcW w:w="6744"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744"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877" w:type="dxa"/>
            <w:gridSpan w:val="6"/>
            <w:tcBorders/>
            <w:shd w:fill="auto" w:val="clear"/>
            <w:vAlign w:val="bottom"/>
          </w:tcPr>
          <w:p>
            <w:pPr>
              <w:pStyle w:val="TableContents"/>
              <w:spacing w:before="0" w:after="283"/>
              <w:jc w:val="center"/>
              <w:rPr>
                <w:b/>
              </w:rPr>
            </w:pPr>
            <w:r>
              <w:rPr>
                <w:b/>
              </w:rPr>
              <w:t>For the Three Months</w:t>
            </w:r>
          </w:p>
        </w:tc>
        <w:tc>
          <w:tcPr>
            <w:tcW w:w="145" w:type="dxa"/>
            <w:tcBorders/>
            <w:shd w:fill="auto" w:val="clear"/>
            <w:vAlign w:val="bottom"/>
          </w:tcPr>
          <w:p>
            <w:pPr>
              <w:pStyle w:val="TableContents"/>
              <w:spacing w:before="0" w:after="283"/>
              <w:rPr/>
            </w:pPr>
            <w:r>
              <w:rPr/>
              <w:t> </w:t>
            </w:r>
          </w:p>
        </w:tc>
      </w:tr>
      <w:tr>
        <w:trPr/>
        <w:tc>
          <w:tcPr>
            <w:tcW w:w="6744"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87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March 31</w:t>
            </w:r>
          </w:p>
        </w:tc>
        <w:tc>
          <w:tcPr>
            <w:tcW w:w="145" w:type="dxa"/>
            <w:tcBorders/>
            <w:shd w:fill="auto" w:val="clear"/>
            <w:vAlign w:val="bottom"/>
          </w:tcPr>
          <w:p>
            <w:pPr>
              <w:pStyle w:val="TableContents"/>
              <w:spacing w:before="0" w:after="283"/>
              <w:rPr/>
            </w:pPr>
            <w:r>
              <w:rPr/>
              <w:t> </w:t>
            </w:r>
          </w:p>
        </w:tc>
      </w:tr>
      <w:tr>
        <w:trPr/>
        <w:tc>
          <w:tcPr>
            <w:tcW w:w="6744"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69"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1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5" w:type="dxa"/>
            <w:tcBorders/>
            <w:shd w:fill="auto" w:val="clear"/>
            <w:vAlign w:val="bottom"/>
          </w:tcPr>
          <w:p>
            <w:pPr>
              <w:pStyle w:val="TableContents"/>
              <w:spacing w:before="0" w:after="283"/>
              <w:rPr/>
            </w:pPr>
            <w:r>
              <w:rPr/>
              <w:t> </w:t>
            </w:r>
          </w:p>
        </w:tc>
      </w:tr>
      <w:tr>
        <w:trPr/>
        <w:tc>
          <w:tcPr>
            <w:tcW w:w="6744" w:type="dxa"/>
            <w:tcBorders/>
            <w:shd w:fill="auto" w:val="clear"/>
            <w:vAlign w:val="bottom"/>
          </w:tcPr>
          <w:p>
            <w:pPr>
              <w:pStyle w:val="TableContents"/>
              <w:spacing w:before="0" w:after="0"/>
              <w:ind w:left="225" w:right="0" w:hanging="225"/>
              <w:rPr/>
            </w:pPr>
            <w:r>
              <w:rPr/>
              <w:t> </w:t>
            </w:r>
          </w:p>
        </w:tc>
        <w:tc>
          <w:tcPr>
            <w:tcW w:w="43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744" w:type="dxa"/>
            <w:tcBorders/>
            <w:shd w:fill="CCEEFF" w:val="clear"/>
            <w:vAlign w:val="bottom"/>
          </w:tcPr>
          <w:p>
            <w:pPr>
              <w:pStyle w:val="TableContents"/>
              <w:spacing w:before="0" w:after="0"/>
              <w:ind w:left="225" w:right="0" w:hanging="225"/>
              <w:rPr/>
            </w:pPr>
            <w:r>
              <w:rPr/>
              <w:t>Segment profit</w:t>
            </w:r>
          </w:p>
        </w:tc>
        <w:tc>
          <w:tcPr>
            <w:tcW w:w="43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933" w:type="dxa"/>
            <w:tcBorders/>
            <w:shd w:fill="CCEEFF" w:val="clear"/>
            <w:vAlign w:val="bottom"/>
          </w:tcPr>
          <w:p>
            <w:pPr>
              <w:pStyle w:val="TableContents"/>
              <w:spacing w:before="0" w:after="283"/>
              <w:jc w:val="right"/>
              <w:rPr/>
            </w:pPr>
            <w:r>
              <w:rPr/>
              <w:t>161.0</w:t>
            </w:r>
          </w:p>
        </w:tc>
        <w:tc>
          <w:tcPr>
            <w:tcW w:w="169"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93" w:type="dxa"/>
            <w:tcBorders/>
            <w:shd w:fill="CCEEFF" w:val="clear"/>
            <w:vAlign w:val="bottom"/>
          </w:tcPr>
          <w:p>
            <w:pPr>
              <w:pStyle w:val="TableContents"/>
              <w:spacing w:before="0" w:after="283"/>
              <w:jc w:val="right"/>
              <w:rPr/>
            </w:pPr>
            <w:r>
              <w:rPr/>
              <w:t>93.7</w:t>
            </w:r>
          </w:p>
        </w:tc>
        <w:tc>
          <w:tcPr>
            <w:tcW w:w="145" w:type="dxa"/>
            <w:tcBorders/>
            <w:shd w:fill="CCEEFF" w:val="clear"/>
            <w:vAlign w:val="bottom"/>
          </w:tcPr>
          <w:p>
            <w:pPr>
              <w:pStyle w:val="TableContents"/>
              <w:spacing w:before="0" w:after="283"/>
              <w:rPr/>
            </w:pPr>
            <w:r>
              <w:rPr/>
              <w:t> </w:t>
            </w:r>
          </w:p>
        </w:tc>
      </w:tr>
      <w:tr>
        <w:trPr/>
        <w:tc>
          <w:tcPr>
            <w:tcW w:w="6744" w:type="dxa"/>
            <w:tcBorders/>
            <w:shd w:fill="auto" w:val="clear"/>
            <w:vAlign w:val="bottom"/>
          </w:tcPr>
          <w:p>
            <w:pPr>
              <w:pStyle w:val="TableContents"/>
              <w:spacing w:before="0" w:after="0"/>
              <w:ind w:left="225" w:right="0" w:hanging="225"/>
              <w:rPr/>
            </w:pPr>
            <w:r>
              <w:rPr/>
              <w:t>Depreciation and amortization</w:t>
            </w:r>
          </w:p>
        </w:tc>
        <w:tc>
          <w:tcPr>
            <w:tcW w:w="43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933" w:type="dxa"/>
            <w:tcBorders/>
            <w:shd w:fill="auto" w:val="clear"/>
            <w:vAlign w:val="bottom"/>
          </w:tcPr>
          <w:p>
            <w:pPr>
              <w:pStyle w:val="TableContents"/>
              <w:spacing w:before="0" w:after="283"/>
              <w:jc w:val="right"/>
              <w:rPr/>
            </w:pPr>
            <w:r>
              <w:rPr/>
              <w:t>(39.9</w:t>
            </w:r>
          </w:p>
        </w:tc>
        <w:tc>
          <w:tcPr>
            <w:tcW w:w="169"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93" w:type="dxa"/>
            <w:tcBorders/>
            <w:shd w:fill="auto" w:val="clear"/>
            <w:vAlign w:val="bottom"/>
          </w:tcPr>
          <w:p>
            <w:pPr>
              <w:pStyle w:val="TableContents"/>
              <w:spacing w:before="0" w:after="283"/>
              <w:jc w:val="right"/>
              <w:rPr/>
            </w:pPr>
            <w:r>
              <w:rPr/>
              <w:t>(21.6</w:t>
            </w:r>
          </w:p>
        </w:tc>
        <w:tc>
          <w:tcPr>
            <w:tcW w:w="145" w:type="dxa"/>
            <w:tcBorders/>
            <w:shd w:fill="auto" w:val="clear"/>
            <w:vAlign w:val="bottom"/>
          </w:tcPr>
          <w:p>
            <w:pPr>
              <w:pStyle w:val="TableContents"/>
              <w:spacing w:before="0" w:after="283"/>
              <w:rPr/>
            </w:pPr>
            <w:r>
              <w:rPr/>
              <w:t>)</w:t>
            </w:r>
          </w:p>
        </w:tc>
      </w:tr>
      <w:tr>
        <w:trPr/>
        <w:tc>
          <w:tcPr>
            <w:tcW w:w="6744" w:type="dxa"/>
            <w:tcBorders/>
            <w:shd w:fill="CCEEFF" w:val="clear"/>
            <w:vAlign w:val="bottom"/>
          </w:tcPr>
          <w:p>
            <w:pPr>
              <w:pStyle w:val="TableContents"/>
              <w:spacing w:before="0" w:after="0"/>
              <w:ind w:left="225" w:right="0" w:hanging="225"/>
              <w:rPr/>
            </w:pPr>
            <w:r>
              <w:rPr/>
              <w:t>Interest expense</w:t>
            </w:r>
          </w:p>
        </w:tc>
        <w:tc>
          <w:tcPr>
            <w:tcW w:w="43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933" w:type="dxa"/>
            <w:tcBorders/>
            <w:shd w:fill="CCEEFF" w:val="clear"/>
            <w:vAlign w:val="bottom"/>
          </w:tcPr>
          <w:p>
            <w:pPr>
              <w:pStyle w:val="TableContents"/>
              <w:spacing w:before="0" w:after="283"/>
              <w:jc w:val="right"/>
              <w:rPr/>
            </w:pPr>
            <w:r>
              <w:rPr/>
              <w:t>(41.1</w:t>
            </w:r>
          </w:p>
        </w:tc>
        <w:tc>
          <w:tcPr>
            <w:tcW w:w="169"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93" w:type="dxa"/>
            <w:tcBorders/>
            <w:shd w:fill="CCEEFF" w:val="clear"/>
            <w:vAlign w:val="bottom"/>
          </w:tcPr>
          <w:p>
            <w:pPr>
              <w:pStyle w:val="TableContents"/>
              <w:spacing w:before="0" w:after="283"/>
              <w:jc w:val="right"/>
              <w:rPr/>
            </w:pPr>
            <w:r>
              <w:rPr/>
              <w:t>(15.3</w:t>
            </w:r>
          </w:p>
        </w:tc>
        <w:tc>
          <w:tcPr>
            <w:tcW w:w="145" w:type="dxa"/>
            <w:tcBorders/>
            <w:shd w:fill="CCEEFF" w:val="clear"/>
            <w:vAlign w:val="bottom"/>
          </w:tcPr>
          <w:p>
            <w:pPr>
              <w:pStyle w:val="TableContents"/>
              <w:spacing w:before="0" w:after="283"/>
              <w:rPr/>
            </w:pPr>
            <w:r>
              <w:rPr/>
              <w:t>)</w:t>
            </w:r>
          </w:p>
        </w:tc>
      </w:tr>
      <w:tr>
        <w:trPr/>
        <w:tc>
          <w:tcPr>
            <w:tcW w:w="6744" w:type="dxa"/>
            <w:tcBorders/>
            <w:shd w:fill="auto" w:val="clear"/>
            <w:vAlign w:val="bottom"/>
          </w:tcPr>
          <w:p>
            <w:pPr>
              <w:pStyle w:val="TableContents"/>
              <w:spacing w:before="0" w:after="0"/>
              <w:ind w:left="225" w:right="0" w:hanging="225"/>
              <w:rPr/>
            </w:pPr>
            <w:r>
              <w:rPr/>
              <w:t>Interest income and other, net</w:t>
            </w:r>
          </w:p>
        </w:tc>
        <w:tc>
          <w:tcPr>
            <w:tcW w:w="43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4.8</w:t>
            </w:r>
          </w:p>
        </w:tc>
        <w:tc>
          <w:tcPr>
            <w:tcW w:w="169"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0.3</w:t>
            </w:r>
          </w:p>
        </w:tc>
        <w:tc>
          <w:tcPr>
            <w:tcW w:w="145" w:type="dxa"/>
            <w:tcBorders/>
            <w:shd w:fill="auto" w:val="clear"/>
            <w:vAlign w:val="bottom"/>
          </w:tcPr>
          <w:p>
            <w:pPr>
              <w:pStyle w:val="TableContents"/>
              <w:spacing w:before="0" w:after="283"/>
              <w:rPr/>
            </w:pPr>
            <w:r>
              <w:rPr/>
              <w:t> </w:t>
            </w:r>
          </w:p>
        </w:tc>
      </w:tr>
      <w:tr>
        <w:trPr/>
        <w:tc>
          <w:tcPr>
            <w:tcW w:w="6744" w:type="dxa"/>
            <w:tcBorders/>
            <w:shd w:fill="CCEEFF" w:val="clear"/>
            <w:vAlign w:val="bottom"/>
          </w:tcPr>
          <w:p>
            <w:pPr>
              <w:pStyle w:val="TableContents"/>
              <w:spacing w:before="0" w:after="0"/>
              <w:ind w:left="225" w:right="0" w:hanging="225"/>
              <w:rPr/>
            </w:pPr>
            <w:r>
              <w:rPr/>
              <w:t>Income tax expense</w:t>
            </w:r>
          </w:p>
        </w:tc>
        <w:tc>
          <w:tcPr>
            <w:tcW w:w="43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933" w:type="dxa"/>
            <w:tcBorders/>
            <w:shd w:fill="CCEEFF" w:val="clear"/>
            <w:vAlign w:val="bottom"/>
          </w:tcPr>
          <w:p>
            <w:pPr>
              <w:pStyle w:val="TableContents"/>
              <w:spacing w:before="0" w:after="283"/>
              <w:jc w:val="right"/>
              <w:rPr/>
            </w:pPr>
            <w:r>
              <w:rPr/>
              <w:t>(0.1</w:t>
            </w:r>
          </w:p>
        </w:tc>
        <w:tc>
          <w:tcPr>
            <w:tcW w:w="169"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r>
      <w:tr>
        <w:trPr/>
        <w:tc>
          <w:tcPr>
            <w:tcW w:w="6744"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11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744"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43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84.7</w:t>
            </w:r>
          </w:p>
        </w:tc>
        <w:tc>
          <w:tcPr>
            <w:tcW w:w="169"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3" w:type="dxa"/>
            <w:tcBorders/>
            <w:shd w:fill="auto" w:val="clear"/>
            <w:vAlign w:val="bottom"/>
          </w:tcPr>
          <w:p>
            <w:pPr>
              <w:pStyle w:val="TableContents"/>
              <w:spacing w:before="0" w:after="283"/>
              <w:jc w:val="right"/>
              <w:rPr/>
            </w:pPr>
            <w:r>
              <w:rPr/>
              <w:t>57.1</w:t>
            </w:r>
          </w:p>
        </w:tc>
        <w:tc>
          <w:tcPr>
            <w:tcW w:w="145" w:type="dxa"/>
            <w:tcBorders/>
            <w:shd w:fill="auto" w:val="clear"/>
            <w:vAlign w:val="bottom"/>
          </w:tcPr>
          <w:p>
            <w:pPr>
              <w:pStyle w:val="TableContents"/>
              <w:spacing w:before="0" w:after="283"/>
              <w:rPr/>
            </w:pPr>
            <w:r>
              <w:rPr/>
              <w:t> </w:t>
            </w:r>
          </w:p>
        </w:tc>
      </w:tr>
      <w:tr>
        <w:trPr/>
        <w:tc>
          <w:tcPr>
            <w:tcW w:w="6744"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11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(5)</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The adoption of EITF 04-13 in 2006 resulted in inventory purchases and sales under buy/sell transactions, which historically would have been recorded gross as purchases and sales, to be treated as inventory exchanges in our consolidated statements of operations.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14Recent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2007, the FASB issued SFAS No. 159 The Fair Value Option for Financial Assets and Financial Liabilities  including an amendment of FAS 115 (SFAS 159). SFAS 159 allows entities to choose, at specified election dates, to measure eligible financial assets and liabilities at fair value in situations in which they are not otherwise required to be measured at fair value. If a company elects the fair value option for an eligible item, changes in that items fair value in subsequent reporting periods must be recognized in current earnings. The provisions of SFAS 159 will be effective for fiscal years beginning after November 15, 2007. We are evaluating the impact of adoption of SFAS 159 but do not currently expect the adoption to have a material impact on our financial position, results of operations or cash flows. </w:t>
      </w:r>
    </w:p>
    <w:p>
      <w:pPr>
        <w:pStyle w:val="TextBody"/>
        <w:spacing w:before="120" w:after="283"/>
        <w:jc w:val="left"/>
        <w:rPr/>
      </w:pPr>
      <w:r>
        <w:rPr/>
        <w:t>     </w:t>
      </w:r>
      <w:r>
        <w:rPr>
          <w:rFonts w:ascii="Times New Roman;Times;serif" w:hAnsi="Times New Roman;Times;serif"/>
          <w:sz w:val="17"/>
        </w:rPr>
        <w:t xml:space="preserve">In December 2006, the FASB issued FASB Staff Position EITF 00-19-2: Accounting for Registration Payment Arrangements (the FSP). The FSP specifies that the contingent obligation to make future payments under a registration payment arrangement should be separately recognized and measured in accordance with FASB Statement No. 5 Accounting for Contingencies. The FSP was effective immediately for registration payment arrangements and the financial instruments subject to those arrangements entered into or modified subsequent to December 21, 2006. For registration payment arrangements and for the financial instruments subject to those arrangements that were entered into prior to December 21, 2006, the FSP is effective for fiscal years beginning after December 15, 2006. At March 31, 2007, we did not have any material contingent obligations under registration payment arrangements. </w:t>
      </w:r>
    </w:p>
    <w:p>
      <w:pPr>
        <w:pStyle w:val="TextBody"/>
        <w:spacing w:before="120" w:after="283"/>
        <w:jc w:val="left"/>
        <w:rPr/>
      </w:pPr>
      <w:r>
        <w:rPr/>
        <w:t>     </w:t>
      </w:r>
      <w:r>
        <w:rPr>
          <w:rFonts w:ascii="Times New Roman;Times;serif" w:hAnsi="Times New Roman;Times;serif"/>
          <w:sz w:val="17"/>
        </w:rPr>
        <w:t xml:space="preserve">In September 2006, the FASB issued SFAS No. 157, Fair Value Measurements (SFAS 157). SFAS 157 defines fair value, establishes a framework for measuring fair value and requires enhanced disclosures regarding fair value measurements. SFAS 157 does not add any new fair value measurements, but it does change current practice and is intended to increase consistency and comparability in such measurement. The provisions of SFAS 157 will be effective for financial statements issued for fiscal years beginning after November 15, 2007 and interim periods within those fiscal years. The impact, if any, from the adoption of SFAS 157 in 2008 will depend on our assets and liabilities that are required to be measured at fair value at that time. </w:t>
      </w:r>
    </w:p>
    <w:p>
      <w:pPr>
        <w:pStyle w:val="TextBody"/>
        <w:spacing w:before="120" w:after="283"/>
        <w:jc w:val="left"/>
        <w:rPr/>
      </w:pPr>
      <w:r>
        <w:rPr/>
        <w:t>     </w:t>
      </w:r>
      <w:r>
        <w:rPr>
          <w:rFonts w:ascii="Times New Roman;Times;serif" w:hAnsi="Times New Roman;Times;serif"/>
          <w:sz w:val="17"/>
        </w:rPr>
        <w:t xml:space="preserve">In July 2006, the FASB issued FIN 48 which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In addition, FIN 48 provides guidance on derecognition, classification, interest and penalties, accounting in interim periods, disclosure and transition. The provisions of FIN 48 are to be applied to all tax positions upon initial adoption of this standard. Only tax positions that meet the more-likely-than-not recognition threshold at the effective date may be recognized or continue to be recognized as an adjustment to the opening balance of retained earnings (or other appropriate components of equity) for that fiscal year. The provisions of FIN 48 were effective for fiscal years beginning after December 15, 2006. The adoption of FIN 48 did not have a material impact on our financial position, results of operations or cash flows. See Note 11. </w:t>
      </w:r>
    </w:p>
    <w:p>
      <w:pPr>
        <w:pStyle w:val="TextBody"/>
        <w:spacing w:before="120" w:after="283"/>
        <w:jc w:val="left"/>
        <w:rPr/>
      </w:pPr>
      <w:r>
        <w:rPr/>
        <w:t>     </w:t>
      </w:r>
      <w:r>
        <w:rPr>
          <w:rFonts w:ascii="Times New Roman;Times;serif" w:hAnsi="Times New Roman;Times;serif"/>
          <w:sz w:val="17"/>
        </w:rPr>
        <w:t>In June 2006, the EITF issued Issue No. 06-3 (EITF 06-3), How Taxes Collected from Customers and Remitted to Governmental Authorities Should Be Presented in the Income Statement (That Is, Gross versus Net presentation). EITF 06-3 is effective for all periods beginning after December 15, 2006 and its scope includes any tax that is assessed by a governmental authority that is both imposed on and concurrent with a specific revenue-producing transaction between a seller and a customer. The EITF stated that it is an entitys accounting policy decision whether to present the taxes on a gross basis (within revenues and costs) or on a net basis (excluded from revenues) but that the accounting policy should be disclosed. If presented on a gross basis, an entity is required to report the amount of such taxes for each period for which an income statement is presented, if those amounts are significant. Our accounting policy is to present such taxes on a net basis.</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15  Supplemental Condensed Consolidating Financial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conjunction with the Pacific acquisition, some but not all of our 100% owned subsidiaries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 we are referred to as Plains All American, while the Guarantor Subsidiaries are PAA Finance Corp.;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Rocky Mountain Pipeline System, LLC; Pacific Marketing and Transportation LLC; Pacific Atlantic Terminals LLC; Pacific LA Marine Terminal, LLC; Ranch Pipeline LLC; PEG Canada GP LLC; PEG Canada, L.P.; Pacific Energy Group LLC; Pacific Energy Finance Corporation; Rangeland Pipeline Company; Rangeland Marketing Company; Rangeland Northern Pipeline Company; Rangeland Pipeline Partnership; and Aurora Pipeline Company, Ltd. and Non-Guarantor Subsidiaries are Atchafalaya Pipeline, L.L.C.; Andrews Partners, LLC; Pacific Pipeline System, LLC, Pacific Terminals, LLC, Pacific Energy Management LLC and Pacific Energy GP LP. </w:t>
      </w:r>
    </w:p>
    <w:p>
      <w:pPr>
        <w:pStyle w:val="TextBody"/>
        <w:spacing w:before="120" w:after="283"/>
        <w:jc w:val="left"/>
        <w:rPr/>
      </w:pPr>
      <w:r>
        <w:rPr/>
        <w:t>     </w:t>
      </w:r>
      <w:r>
        <w:rPr>
          <w:rFonts w:ascii="Times New Roman;Times;serif" w:hAnsi="Times New Roman;Times;serif"/>
          <w:sz w:val="17"/>
        </w:rPr>
        <w:t xml:space="preserve">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tbl>
      <w:tblPr>
        <w:tblW w:w="5000" w:type="pct"/>
        <w:jc w:val="center"/>
        <w:tblInd w:w="0" w:type="dxa"/>
        <w:tblCellMar>
          <w:top w:w="0" w:type="dxa"/>
          <w:left w:w="0" w:type="dxa"/>
          <w:bottom w:w="0" w:type="dxa"/>
          <w:right w:w="0" w:type="dxa"/>
        </w:tblCellMar>
      </w:tblPr>
      <w:tblGrid>
        <w:gridCol w:w="2142"/>
        <w:gridCol w:w="182"/>
        <w:gridCol w:w="173"/>
        <w:gridCol w:w="911"/>
        <w:gridCol w:w="79"/>
        <w:gridCol w:w="182"/>
        <w:gridCol w:w="204"/>
        <w:gridCol w:w="1084"/>
        <w:gridCol w:w="79"/>
        <w:gridCol w:w="182"/>
        <w:gridCol w:w="259"/>
        <w:gridCol w:w="1371"/>
        <w:gridCol w:w="79"/>
        <w:gridCol w:w="182"/>
        <w:gridCol w:w="196"/>
        <w:gridCol w:w="1132"/>
        <w:gridCol w:w="111"/>
        <w:gridCol w:w="182"/>
        <w:gridCol w:w="220"/>
        <w:gridCol w:w="1163"/>
        <w:gridCol w:w="92"/>
      </w:tblGrid>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789" w:type="dxa"/>
            <w:gridSpan w:val="18"/>
            <w:tcBorders/>
            <w:shd w:fill="auto" w:val="clear"/>
            <w:vAlign w:val="bottom"/>
          </w:tcPr>
          <w:p>
            <w:pPr>
              <w:pStyle w:val="TableContents"/>
              <w:spacing w:before="0" w:after="283"/>
              <w:jc w:val="center"/>
              <w:rPr>
                <w:b/>
              </w:rPr>
            </w:pPr>
            <w:r>
              <w:rPr>
                <w:b/>
              </w:rPr>
              <w:t>Condensed Consolidating Balance Sheet</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789"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jc w:val="center"/>
              <w:rPr>
                <w:b/>
              </w:rPr>
            </w:pPr>
            <w:r>
              <w:rPr>
                <w:b/>
              </w:rPr>
              <w:t>Plains</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jc w:val="center"/>
              <w:rPr>
                <w:b/>
              </w:rPr>
            </w:pPr>
            <w:r>
              <w:rPr>
                <w:b/>
              </w:rPr>
              <w:t>All</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Guarantor</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789" w:type="dxa"/>
            <w:gridSpan w:val="18"/>
            <w:tcBorders/>
            <w:shd w:fill="auto" w:val="clear"/>
            <w:vAlign w:val="bottom"/>
          </w:tcPr>
          <w:p>
            <w:pPr>
              <w:pStyle w:val="TableContents"/>
              <w:spacing w:before="0" w:after="283"/>
              <w:jc w:val="center"/>
              <w:rPr>
                <w:b/>
              </w:rPr>
            </w:pPr>
            <w:r>
              <w:rPr>
                <w:b/>
              </w:rPr>
              <w:t>(in millions)</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789" w:type="dxa"/>
            <w:gridSpan w:val="18"/>
            <w:tcBorders/>
            <w:shd w:fill="auto" w:val="clear"/>
            <w:vAlign w:val="bottom"/>
          </w:tcPr>
          <w:p>
            <w:pPr>
              <w:pStyle w:val="TableContents"/>
              <w:spacing w:before="0" w:after="283"/>
              <w:jc w:val="center"/>
              <w:rPr>
                <w:b/>
              </w:rPr>
            </w:pPr>
            <w:r>
              <w:rPr>
                <w:b/>
              </w:rPr>
              <w:t>(unaudited)</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 xml:space="preserve">ASSETS </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Total current assets</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2,263.4</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2,798.2</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371" w:type="dxa"/>
            <w:tcBorders/>
            <w:shd w:fill="auto" w:val="clear"/>
            <w:vAlign w:val="bottom"/>
          </w:tcPr>
          <w:p>
            <w:pPr>
              <w:pStyle w:val="TableContents"/>
              <w:spacing w:before="0" w:after="283"/>
              <w:jc w:val="right"/>
              <w:rPr/>
            </w:pPr>
            <w:r>
              <w:rPr/>
              <w:t>147.0</w:t>
            </w:r>
          </w:p>
        </w:tc>
        <w:tc>
          <w:tcPr>
            <w:tcW w:w="79"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(2,399.1</w:t>
            </w:r>
          </w:p>
        </w:tc>
        <w:tc>
          <w:tcPr>
            <w:tcW w:w="111" w:type="dxa"/>
            <w:tcBorders/>
            <w:shd w:fill="auto" w:val="clear"/>
            <w:vAlign w:val="bottom"/>
          </w:tcPr>
          <w:p>
            <w:pPr>
              <w:pStyle w:val="TableContents"/>
              <w:spacing w:before="0" w:after="283"/>
              <w:rPr/>
            </w:pPr>
            <w:r>
              <w:rPr/>
              <w:t>)</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2,809.5</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Property plant and equipment, net</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3,342.8</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615.9</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3,958.7</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Other assets:</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Investment in unconsolidated entities</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3,339.5</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798.6</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(3,942.4</w:t>
            </w:r>
          </w:p>
        </w:tc>
        <w:tc>
          <w:tcPr>
            <w:tcW w:w="111"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195.7</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Other assets</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22.0</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1,220.4</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306.7</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1,549.1</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450" w:right="0" w:hanging="225"/>
              <w:rPr/>
            </w:pPr>
            <w:r>
              <w:rPr/>
              <w:t>Total assets</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5,624.9</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8,160.0</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1,069.6</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(6,341.5</w:t>
            </w:r>
          </w:p>
        </w:tc>
        <w:tc>
          <w:tcPr>
            <w:tcW w:w="111"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8,513.0</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LIABILITIES AND PARTNERS CAPITAL</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Total current liabilities</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57.9</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4,871.0</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320.4</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(2,398.7</w:t>
            </w:r>
          </w:p>
        </w:tc>
        <w:tc>
          <w:tcPr>
            <w:tcW w:w="111"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2,850.6</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Other liabilities:</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Long-term debt</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2,623.1</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3.0</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2,626.1</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Other long-term liabilities</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0.3</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90.2</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2.2</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92.7</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450" w:right="0" w:hanging="225"/>
              <w:rPr/>
            </w:pPr>
            <w:r>
              <w:rPr/>
              <w:t>Total liabilities</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2,681.3</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4,964.2</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322.6</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(2,398.7</w:t>
            </w:r>
          </w:p>
        </w:tc>
        <w:tc>
          <w:tcPr>
            <w:tcW w:w="111"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5,569.4</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Partners capital</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2,943.6</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3,195.8</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747.0</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(3,942.8</w:t>
            </w:r>
          </w:p>
        </w:tc>
        <w:tc>
          <w:tcPr>
            <w:tcW w:w="111" w:type="dxa"/>
            <w:tcBorders/>
            <w:shd w:fill="auto" w:val="clear"/>
            <w:vAlign w:val="bottom"/>
          </w:tcPr>
          <w:p>
            <w:pPr>
              <w:pStyle w:val="TableContents"/>
              <w:spacing w:before="0" w:after="283"/>
              <w:rPr/>
            </w:pPr>
            <w:r>
              <w:rPr/>
              <w:t>)</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2,943.6</w:t>
            </w:r>
          </w:p>
        </w:tc>
        <w:tc>
          <w:tcPr>
            <w:tcW w:w="92" w:type="dxa"/>
            <w:tcBorders/>
            <w:shd w:fill="auto"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r>
        <w:trPr/>
        <w:tc>
          <w:tcPr>
            <w:tcW w:w="2142" w:type="dxa"/>
            <w:tcBorders/>
            <w:shd w:fill="auto" w:val="clear"/>
            <w:vAlign w:val="bottom"/>
          </w:tcPr>
          <w:p>
            <w:pPr>
              <w:pStyle w:val="TableContents"/>
              <w:spacing w:before="0" w:after="0"/>
              <w:ind w:left="225" w:right="0" w:hanging="225"/>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2142" w:type="dxa"/>
            <w:tcBorders/>
            <w:shd w:fill="CCEEFF" w:val="clear"/>
            <w:vAlign w:val="bottom"/>
          </w:tcPr>
          <w:p>
            <w:pPr>
              <w:pStyle w:val="TableContents"/>
              <w:spacing w:before="0" w:after="0"/>
              <w:ind w:left="225" w:right="0" w:hanging="225"/>
              <w:rPr/>
            </w:pPr>
            <w:r>
              <w:rPr/>
              <w:t>Total liabilities and partners capital</w:t>
            </w:r>
          </w:p>
        </w:tc>
        <w:tc>
          <w:tcPr>
            <w:tcW w:w="18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5,624.9</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8,160.0</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1,069.6</w:t>
            </w:r>
          </w:p>
        </w:tc>
        <w:tc>
          <w:tcPr>
            <w:tcW w:w="7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(6,341.5</w:t>
            </w:r>
          </w:p>
        </w:tc>
        <w:tc>
          <w:tcPr>
            <w:tcW w:w="111"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8,513.0</w:t>
            </w:r>
          </w:p>
        </w:tc>
        <w:tc>
          <w:tcPr>
            <w:tcW w:w="92" w:type="dxa"/>
            <w:tcBorders/>
            <w:shd w:fill="CCEEFF" w:val="clear"/>
            <w:vAlign w:val="bottom"/>
          </w:tcPr>
          <w:p>
            <w:pPr>
              <w:pStyle w:val="TableContents"/>
              <w:spacing w:before="0" w:after="283"/>
              <w:rPr/>
            </w:pPr>
            <w:r>
              <w:rPr/>
              <w:t> </w:t>
            </w:r>
          </w:p>
        </w:tc>
      </w:tr>
      <w:tr>
        <w:trPr/>
        <w:tc>
          <w:tcPr>
            <w:tcW w:w="2142" w:type="dxa"/>
            <w:tcBorders/>
            <w:shd w:fill="auto" w:val="clear"/>
            <w:vAlign w:val="center"/>
          </w:tcPr>
          <w:p>
            <w:pPr>
              <w:pStyle w:val="TableContents"/>
              <w:spacing w:before="0" w:after="0"/>
              <w:ind w:left="225" w:right="0" w:hanging="225"/>
              <w:rPr/>
            </w:pPr>
            <w:r>
              <w:rPr/>
              <w:t> </w:t>
            </w:r>
          </w:p>
        </w:tc>
        <w:tc>
          <w:tcPr>
            <w:tcW w:w="182" w:type="dxa"/>
            <w:tcBorders/>
            <w:shd w:fill="auto" w:val="clear"/>
            <w:vAlign w:val="center"/>
          </w:tcPr>
          <w:p>
            <w:pPr>
              <w:pStyle w:val="TableContents"/>
              <w:spacing w:before="0" w:after="283"/>
              <w:rPr/>
            </w:pPr>
            <w:r>
              <w:rPr/>
              <w:t> </w:t>
            </w:r>
          </w:p>
        </w:tc>
        <w:tc>
          <w:tcPr>
            <w:tcW w:w="1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945"/>
        <w:gridCol w:w="155"/>
        <w:gridCol w:w="213"/>
        <w:gridCol w:w="878"/>
        <w:gridCol w:w="133"/>
        <w:gridCol w:w="169"/>
        <w:gridCol w:w="254"/>
        <w:gridCol w:w="1051"/>
        <w:gridCol w:w="133"/>
        <w:gridCol w:w="169"/>
        <w:gridCol w:w="389"/>
        <w:gridCol w:w="1272"/>
        <w:gridCol w:w="133"/>
        <w:gridCol w:w="169"/>
        <w:gridCol w:w="241"/>
        <w:gridCol w:w="1106"/>
        <w:gridCol w:w="133"/>
        <w:gridCol w:w="169"/>
        <w:gridCol w:w="272"/>
        <w:gridCol w:w="1133"/>
        <w:gridCol w:w="88"/>
      </w:tblGrid>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017" w:type="dxa"/>
            <w:gridSpan w:val="18"/>
            <w:tcBorders/>
            <w:shd w:fill="auto" w:val="clear"/>
            <w:vAlign w:val="bottom"/>
          </w:tcPr>
          <w:p>
            <w:pPr>
              <w:pStyle w:val="TableContents"/>
              <w:spacing w:before="0" w:after="283"/>
              <w:jc w:val="center"/>
              <w:rPr>
                <w:b/>
              </w:rPr>
            </w:pPr>
            <w:r>
              <w:rPr>
                <w:b/>
              </w:rPr>
              <w:t>Condensed Consolidating Statement of Operations</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017"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March 31, 2007</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b/>
              </w:rPr>
            </w:pPr>
            <w:r>
              <w:rPr>
                <w:b/>
              </w:rPr>
              <w:t>Plains</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jc w:val="center"/>
              <w:rPr>
                <w:b/>
              </w:rPr>
            </w:pPr>
            <w:r>
              <w:rPr>
                <w:b/>
              </w:rPr>
              <w:t>Combined</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61" w:type="dxa"/>
            <w:gridSpan w:val="2"/>
            <w:tcBorders/>
            <w:shd w:fill="auto" w:val="clear"/>
            <w:vAlign w:val="bottom"/>
          </w:tcPr>
          <w:p>
            <w:pPr>
              <w:pStyle w:val="TableContents"/>
              <w:spacing w:before="0" w:after="283"/>
              <w:jc w:val="center"/>
              <w:rPr>
                <w:b/>
              </w:rPr>
            </w:pPr>
            <w:r>
              <w:rPr>
                <w:b/>
              </w:rPr>
              <w:t>Combined</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7" w:type="dxa"/>
            <w:gridSpan w:val="2"/>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b/>
              </w:rPr>
            </w:pPr>
            <w:r>
              <w:rPr>
                <w:b/>
              </w:rPr>
              <w:t>All</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jc w:val="center"/>
              <w:rPr>
                <w:b/>
              </w:rPr>
            </w:pPr>
            <w:r>
              <w:rPr>
                <w:b/>
              </w:rPr>
              <w:t>Guarantor</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61" w:type="dxa"/>
            <w:gridSpan w:val="2"/>
            <w:tcBorders/>
            <w:shd w:fill="auto" w:val="clear"/>
            <w:vAlign w:val="bottom"/>
          </w:tcPr>
          <w:p>
            <w:pPr>
              <w:pStyle w:val="TableContents"/>
              <w:spacing w:before="0" w:after="283"/>
              <w:jc w:val="center"/>
              <w:rPr>
                <w:b/>
              </w:rPr>
            </w:pPr>
            <w:r>
              <w:rPr>
                <w:b/>
              </w:rPr>
              <w:t>Non-Guarantor</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7" w:type="dxa"/>
            <w:gridSpan w:val="2"/>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017" w:type="dxa"/>
            <w:gridSpan w:val="18"/>
            <w:tcBorders/>
            <w:shd w:fill="auto" w:val="clear"/>
            <w:vAlign w:val="bottom"/>
          </w:tcPr>
          <w:p>
            <w:pPr>
              <w:pStyle w:val="TableContents"/>
              <w:spacing w:before="0" w:after="283"/>
              <w:jc w:val="center"/>
              <w:rPr>
                <w:b/>
              </w:rPr>
            </w:pPr>
            <w:r>
              <w:rPr>
                <w:b/>
              </w:rPr>
              <w:t>(in millions)</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017" w:type="dxa"/>
            <w:gridSpan w:val="18"/>
            <w:tcBorders/>
            <w:shd w:fill="auto" w:val="clear"/>
            <w:vAlign w:val="bottom"/>
          </w:tcPr>
          <w:p>
            <w:pPr>
              <w:pStyle w:val="TableContents"/>
              <w:spacing w:before="0" w:after="283"/>
              <w:jc w:val="center"/>
              <w:rPr>
                <w:b/>
              </w:rPr>
            </w:pPr>
            <w:r>
              <w:rPr>
                <w:b/>
              </w:rPr>
              <w:t>(unaudited)</w:t>
            </w:r>
          </w:p>
        </w:tc>
        <w:tc>
          <w:tcPr>
            <w:tcW w:w="88"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0"/>
              <w:ind w:left="225" w:right="0" w:hanging="225"/>
              <w:rPr/>
            </w:pPr>
            <w:r>
              <w:rPr/>
              <w:t>Net operating revenues(1)</w:t>
            </w:r>
          </w:p>
        </w:tc>
        <w:tc>
          <w:tcPr>
            <w:tcW w:w="15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301.8</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left"/>
              <w:rPr/>
            </w:pPr>
            <w:r>
              <w:rPr/>
              <w:t>$</w:t>
            </w:r>
          </w:p>
        </w:tc>
        <w:tc>
          <w:tcPr>
            <w:tcW w:w="1272" w:type="dxa"/>
            <w:tcBorders/>
            <w:shd w:fill="CCEEFF" w:val="clear"/>
            <w:vAlign w:val="bottom"/>
          </w:tcPr>
          <w:p>
            <w:pPr>
              <w:pStyle w:val="TableContents"/>
              <w:spacing w:before="0" w:after="283"/>
              <w:jc w:val="right"/>
              <w:rPr/>
            </w:pPr>
            <w:r>
              <w:rPr/>
              <w:t>28.1</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jc w:val="left"/>
              <w:rPr/>
            </w:pPr>
            <w:r>
              <w:rPr/>
              <w:t>$</w:t>
            </w:r>
          </w:p>
        </w:tc>
        <w:tc>
          <w:tcPr>
            <w:tcW w:w="110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w:t>
            </w:r>
          </w:p>
        </w:tc>
        <w:tc>
          <w:tcPr>
            <w:tcW w:w="1133" w:type="dxa"/>
            <w:tcBorders/>
            <w:shd w:fill="CCEEFF" w:val="clear"/>
            <w:vAlign w:val="bottom"/>
          </w:tcPr>
          <w:p>
            <w:pPr>
              <w:pStyle w:val="TableContents"/>
              <w:spacing w:before="0" w:after="283"/>
              <w:jc w:val="right"/>
              <w:rPr/>
            </w:pPr>
            <w:r>
              <w:rPr/>
              <w:t>329.9</w:t>
            </w:r>
          </w:p>
        </w:tc>
        <w:tc>
          <w:tcPr>
            <w:tcW w:w="88"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Field operating costs</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117.1</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8.6</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125.7</w:t>
            </w:r>
          </w:p>
        </w:tc>
        <w:tc>
          <w:tcPr>
            <w:tcW w:w="88"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0"/>
              <w:ind w:left="225" w:right="0" w:hanging="225"/>
              <w:rPr/>
            </w:pPr>
            <w:r>
              <w:rPr/>
              <w:t>General and administrative expenses</w:t>
            </w:r>
          </w:p>
        </w:tc>
        <w:tc>
          <w:tcPr>
            <w:tcW w:w="15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48.0</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pPr>
            <w:r>
              <w:rPr/>
              <w:t>(1.2</w:t>
            </w:r>
          </w:p>
        </w:tc>
        <w:tc>
          <w:tcPr>
            <w:tcW w:w="133" w:type="dxa"/>
            <w:tcBorders/>
            <w:shd w:fill="CCEEFF" w:val="clear"/>
            <w:vAlign w:val="bottom"/>
          </w:tcPr>
          <w:p>
            <w:pPr>
              <w:pStyle w:val="TableContents"/>
              <w:spacing w:before="0" w:after="283"/>
              <w:rPr/>
            </w:pPr>
            <w:r>
              <w:rPr/>
              <w:t>)</w:t>
            </w:r>
          </w:p>
        </w:tc>
        <w:tc>
          <w:tcPr>
            <w:tcW w:w="16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46.8</w:t>
            </w:r>
          </w:p>
        </w:tc>
        <w:tc>
          <w:tcPr>
            <w:tcW w:w="88"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Depreciation and amortization</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0.7</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34.2</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5.0</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39.9</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center"/>
          </w:tcPr>
          <w:p>
            <w:pPr>
              <w:pStyle w:val="TableContents"/>
              <w:spacing w:before="0" w:after="0"/>
              <w:ind w:left="225" w:right="0" w:hanging="225"/>
              <w:rPr/>
            </w:pPr>
            <w:r>
              <w:rPr/>
              <w:t> </w:t>
            </w:r>
          </w:p>
        </w:tc>
        <w:tc>
          <w:tcPr>
            <w:tcW w:w="1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6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1945" w:type="dxa"/>
            <w:tcBorders/>
            <w:shd w:fill="CCEEFF" w:val="clear"/>
            <w:vAlign w:val="bottom"/>
          </w:tcPr>
          <w:p>
            <w:pPr>
              <w:pStyle w:val="TableContents"/>
              <w:spacing w:before="0" w:after="0"/>
              <w:ind w:left="225" w:right="0" w:hanging="225"/>
              <w:rPr/>
            </w:pPr>
            <w:r>
              <w:rPr/>
              <w:t>Operating income</w:t>
            </w:r>
          </w:p>
        </w:tc>
        <w:tc>
          <w:tcPr>
            <w:tcW w:w="15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(0.7</w:t>
            </w:r>
          </w:p>
        </w:tc>
        <w:tc>
          <w:tcPr>
            <w:tcW w:w="133" w:type="dxa"/>
            <w:tcBorders/>
            <w:shd w:fill="CCEEFF" w:val="clear"/>
            <w:vAlign w:val="bottom"/>
          </w:tcPr>
          <w:p>
            <w:pPr>
              <w:pStyle w:val="TableContents"/>
              <w:spacing w:before="0" w:after="283"/>
              <w:rPr/>
            </w:pPr>
            <w:r>
              <w:rPr/>
              <w:t>)</w:t>
            </w:r>
          </w:p>
        </w:tc>
        <w:tc>
          <w:tcPr>
            <w:tcW w:w="169"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102.5</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15.7</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117.5</w:t>
            </w:r>
          </w:p>
        </w:tc>
        <w:tc>
          <w:tcPr>
            <w:tcW w:w="88"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 </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Equity earnings in unconsolidated entities</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126.2</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16.6</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pPr>
            <w:r>
              <w:rPr/>
              <w:t>(139.2</w:t>
            </w:r>
          </w:p>
        </w:tc>
        <w:tc>
          <w:tcPr>
            <w:tcW w:w="133" w:type="dxa"/>
            <w:tcBorders/>
            <w:shd w:fill="auto" w:val="clear"/>
            <w:vAlign w:val="bottom"/>
          </w:tcPr>
          <w:p>
            <w:pPr>
              <w:pStyle w:val="TableContents"/>
              <w:spacing w:before="0" w:after="283"/>
              <w:rPr/>
            </w:pPr>
            <w:r>
              <w:rPr/>
              <w:t>)</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3.6</w:t>
            </w:r>
          </w:p>
        </w:tc>
        <w:tc>
          <w:tcPr>
            <w:tcW w:w="88"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0"/>
              <w:ind w:left="225" w:right="0" w:hanging="225"/>
              <w:rPr/>
            </w:pPr>
            <w:r>
              <w:rPr/>
              <w:t>Interest expense</w:t>
            </w:r>
          </w:p>
        </w:tc>
        <w:tc>
          <w:tcPr>
            <w:tcW w:w="15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41.2</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(0.1</w:t>
            </w:r>
          </w:p>
        </w:tc>
        <w:tc>
          <w:tcPr>
            <w:tcW w:w="133" w:type="dxa"/>
            <w:tcBorders/>
            <w:shd w:fill="CCEEFF" w:val="clear"/>
            <w:vAlign w:val="bottom"/>
          </w:tcPr>
          <w:p>
            <w:pPr>
              <w:pStyle w:val="TableContents"/>
              <w:spacing w:before="0" w:after="283"/>
              <w:rPr/>
            </w:pPr>
            <w:r>
              <w:rPr/>
              <w:t>)</w:t>
            </w:r>
          </w:p>
        </w:tc>
        <w:tc>
          <w:tcPr>
            <w:tcW w:w="16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41.1</w:t>
            </w:r>
          </w:p>
        </w:tc>
        <w:tc>
          <w:tcPr>
            <w:tcW w:w="88"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Interest and other income (expense)</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0.4</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4.4</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4.8</w:t>
            </w:r>
          </w:p>
        </w:tc>
        <w:tc>
          <w:tcPr>
            <w:tcW w:w="88"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0"/>
              <w:ind w:left="225" w:right="0" w:hanging="225"/>
              <w:rPr/>
            </w:pPr>
            <w:r>
              <w:rPr/>
              <w:t>Income tax expense</w:t>
            </w:r>
          </w:p>
        </w:tc>
        <w:tc>
          <w:tcPr>
            <w:tcW w:w="15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0.1</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0.1</w:t>
            </w:r>
          </w:p>
        </w:tc>
        <w:tc>
          <w:tcPr>
            <w:tcW w:w="88" w:type="dxa"/>
            <w:tcBorders/>
            <w:shd w:fill="CCEEFF" w:val="clear"/>
            <w:vAlign w:val="bottom"/>
          </w:tcPr>
          <w:p>
            <w:pPr>
              <w:pStyle w:val="TableContents"/>
              <w:spacing w:before="0" w:after="283"/>
              <w:rPr/>
            </w:pPr>
            <w:r>
              <w:rPr/>
              <w:t> </w:t>
            </w:r>
          </w:p>
        </w:tc>
      </w:tr>
      <w:tr>
        <w:trPr/>
        <w:tc>
          <w:tcPr>
            <w:tcW w:w="1945" w:type="dxa"/>
            <w:tcBorders/>
            <w:shd w:fill="auto" w:val="clear"/>
            <w:vAlign w:val="center"/>
          </w:tcPr>
          <w:p>
            <w:pPr>
              <w:pStyle w:val="TableContents"/>
              <w:spacing w:before="0" w:after="0"/>
              <w:ind w:left="225" w:right="0" w:hanging="225"/>
              <w:rPr/>
            </w:pPr>
            <w:r>
              <w:rPr/>
              <w:t> </w:t>
            </w:r>
          </w:p>
        </w:tc>
        <w:tc>
          <w:tcPr>
            <w:tcW w:w="1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6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 </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0"/>
              <w:ind w:left="225" w:right="0" w:hanging="225"/>
              <w:rPr/>
            </w:pPr>
            <w:r>
              <w:rPr/>
              <w:t>Net income (loss)</w:t>
            </w:r>
          </w:p>
        </w:tc>
        <w:tc>
          <w:tcPr>
            <w:tcW w:w="15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84.7</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123.5</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jc w:val="left"/>
              <w:rPr/>
            </w:pPr>
            <w:r>
              <w:rPr/>
              <w:t>$</w:t>
            </w:r>
          </w:p>
        </w:tc>
        <w:tc>
          <w:tcPr>
            <w:tcW w:w="1272" w:type="dxa"/>
            <w:tcBorders/>
            <w:shd w:fill="auto" w:val="clear"/>
            <w:vAlign w:val="bottom"/>
          </w:tcPr>
          <w:p>
            <w:pPr>
              <w:pStyle w:val="TableContents"/>
              <w:spacing w:before="0" w:after="283"/>
              <w:jc w:val="right"/>
              <w:rPr/>
            </w:pPr>
            <w:r>
              <w:rPr/>
              <w:t>15.7</w:t>
            </w:r>
          </w:p>
        </w:tc>
        <w:tc>
          <w:tcPr>
            <w:tcW w:w="1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w:t>
            </w:r>
          </w:p>
        </w:tc>
        <w:tc>
          <w:tcPr>
            <w:tcW w:w="1106" w:type="dxa"/>
            <w:tcBorders/>
            <w:shd w:fill="auto" w:val="clear"/>
            <w:vAlign w:val="bottom"/>
          </w:tcPr>
          <w:p>
            <w:pPr>
              <w:pStyle w:val="TableContents"/>
              <w:spacing w:before="0" w:after="283"/>
              <w:jc w:val="right"/>
              <w:rPr/>
            </w:pPr>
            <w:r>
              <w:rPr/>
              <w:t>(139.2</w:t>
            </w:r>
          </w:p>
        </w:tc>
        <w:tc>
          <w:tcPr>
            <w:tcW w:w="133" w:type="dxa"/>
            <w:tcBorders/>
            <w:shd w:fill="auto" w:val="clear"/>
            <w:vAlign w:val="bottom"/>
          </w:tcPr>
          <w:p>
            <w:pPr>
              <w:pStyle w:val="TableContents"/>
              <w:spacing w:before="0" w:after="283"/>
              <w:rPr/>
            </w:pPr>
            <w:r>
              <w:rPr/>
              <w:t>)</w:t>
            </w:r>
          </w:p>
        </w:tc>
        <w:tc>
          <w:tcPr>
            <w:tcW w:w="16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133" w:type="dxa"/>
            <w:tcBorders/>
            <w:shd w:fill="auto" w:val="clear"/>
            <w:vAlign w:val="bottom"/>
          </w:tcPr>
          <w:p>
            <w:pPr>
              <w:pStyle w:val="TableContents"/>
              <w:spacing w:before="0" w:after="283"/>
              <w:jc w:val="right"/>
              <w:rPr/>
            </w:pPr>
            <w:r>
              <w:rPr/>
              <w:t>84.7</w:t>
            </w:r>
          </w:p>
        </w:tc>
        <w:tc>
          <w:tcPr>
            <w:tcW w:w="88" w:type="dxa"/>
            <w:tcBorders/>
            <w:shd w:fill="auto" w:val="clear"/>
            <w:vAlign w:val="bottom"/>
          </w:tcPr>
          <w:p>
            <w:pPr>
              <w:pStyle w:val="TableContents"/>
              <w:spacing w:before="0" w:after="283"/>
              <w:rPr/>
            </w:pPr>
            <w:r>
              <w:rPr/>
              <w:t> </w:t>
            </w:r>
          </w:p>
        </w:tc>
      </w:tr>
      <w:tr>
        <w:trPr/>
        <w:tc>
          <w:tcPr>
            <w:tcW w:w="1945" w:type="dxa"/>
            <w:tcBorders/>
            <w:shd w:fill="auto" w:val="clear"/>
            <w:vAlign w:val="center"/>
          </w:tcPr>
          <w:p>
            <w:pPr>
              <w:pStyle w:val="TableContents"/>
              <w:spacing w:before="0" w:after="0"/>
              <w:ind w:left="225" w:right="0" w:hanging="225"/>
              <w:rPr/>
            </w:pPr>
            <w:r>
              <w:rPr/>
              <w:t> </w:t>
            </w:r>
          </w:p>
        </w:tc>
        <w:tc>
          <w:tcPr>
            <w:tcW w:w="155"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6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43"/>
        <w:gridCol w:w="2296"/>
        <w:gridCol w:w="966"/>
      </w:tblGrid>
      <w:tr>
        <w:trPr/>
        <w:tc>
          <w:tcPr>
            <w:tcW w:w="6943"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43" w:type="dxa"/>
            <w:tcBorders/>
            <w:shd w:fill="auto" w:val="clear"/>
          </w:tcPr>
          <w:p>
            <w:pPr>
              <w:pStyle w:val="TableContents"/>
              <w:spacing w:before="0" w:after="283"/>
              <w:jc w:val="left"/>
              <w:rPr>
                <w:position w:val="8"/>
                <w:sz w:val="19"/>
              </w:rPr>
            </w:pPr>
            <w:r>
              <w:rPr>
                <w:position w:val="8"/>
                <w:sz w:val="19"/>
              </w:rPr>
              <w:t>(1)</w:t>
            </w:r>
          </w:p>
        </w:tc>
        <w:tc>
          <w:tcPr>
            <w:tcW w:w="2296"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Net operating revenues are calculated as Total revenues less Crude oil, refined products and LPG purchases and related costs.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531"/>
        <w:gridCol w:w="97"/>
        <w:gridCol w:w="188"/>
        <w:gridCol w:w="860"/>
        <w:gridCol w:w="100"/>
        <w:gridCol w:w="97"/>
        <w:gridCol w:w="296"/>
        <w:gridCol w:w="1347"/>
        <w:gridCol w:w="203"/>
        <w:gridCol w:w="161"/>
        <w:gridCol w:w="346"/>
        <w:gridCol w:w="1288"/>
        <w:gridCol w:w="203"/>
        <w:gridCol w:w="161"/>
        <w:gridCol w:w="296"/>
        <w:gridCol w:w="1349"/>
        <w:gridCol w:w="100"/>
        <w:gridCol w:w="97"/>
        <w:gridCol w:w="246"/>
        <w:gridCol w:w="1125"/>
        <w:gridCol w:w="114"/>
      </w:tblGrid>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5650" w:type="dxa"/>
            <w:gridSpan w:val="10"/>
            <w:tcBorders/>
            <w:shd w:fill="auto" w:val="clear"/>
            <w:vAlign w:val="bottom"/>
          </w:tcPr>
          <w:p>
            <w:pPr>
              <w:pStyle w:val="TableContents"/>
              <w:spacing w:before="0" w:after="283"/>
              <w:jc w:val="center"/>
              <w:rPr>
                <w:b/>
              </w:rPr>
            </w:pPr>
            <w:r>
              <w:rPr>
                <w:b/>
              </w:rPr>
              <w:t>Condensed Consolidating Statements of Cash Flows</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565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March 31, 2007</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48" w:type="dxa"/>
            <w:gridSpan w:val="2"/>
            <w:tcBorders/>
            <w:shd w:fill="auto" w:val="clear"/>
            <w:vAlign w:val="bottom"/>
          </w:tcPr>
          <w:p>
            <w:pPr>
              <w:pStyle w:val="TableContents"/>
              <w:spacing w:before="0" w:after="283"/>
              <w:jc w:val="center"/>
              <w:rPr>
                <w:b/>
              </w:rPr>
            </w:pPr>
            <w:r>
              <w:rPr>
                <w:b/>
              </w:rPr>
              <w:t>Plains</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643" w:type="dxa"/>
            <w:gridSpan w:val="2"/>
            <w:tcBorders/>
            <w:shd w:fill="auto" w:val="clear"/>
            <w:vAlign w:val="bottom"/>
          </w:tcPr>
          <w:p>
            <w:pPr>
              <w:pStyle w:val="TableContents"/>
              <w:spacing w:before="0" w:after="283"/>
              <w:jc w:val="center"/>
              <w:rPr>
                <w:b/>
              </w:rPr>
            </w:pPr>
            <w:r>
              <w:rPr>
                <w:b/>
              </w:rPr>
              <w:t>Combined</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34" w:type="dxa"/>
            <w:gridSpan w:val="2"/>
            <w:tcBorders/>
            <w:shd w:fill="auto" w:val="clear"/>
            <w:vAlign w:val="bottom"/>
          </w:tcPr>
          <w:p>
            <w:pPr>
              <w:pStyle w:val="TableContents"/>
              <w:spacing w:before="0" w:after="283"/>
              <w:jc w:val="center"/>
              <w:rPr>
                <w:b/>
              </w:rPr>
            </w:pPr>
            <w:r>
              <w:rPr>
                <w:b/>
              </w:rPr>
              <w:t>Combined</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45" w:type="dxa"/>
            <w:gridSpan w:val="2"/>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48" w:type="dxa"/>
            <w:gridSpan w:val="2"/>
            <w:tcBorders/>
            <w:shd w:fill="auto" w:val="clear"/>
            <w:vAlign w:val="bottom"/>
          </w:tcPr>
          <w:p>
            <w:pPr>
              <w:pStyle w:val="TableContents"/>
              <w:spacing w:before="0" w:after="283"/>
              <w:jc w:val="center"/>
              <w:rPr>
                <w:b/>
              </w:rPr>
            </w:pPr>
            <w:r>
              <w:rPr>
                <w:b/>
              </w:rPr>
              <w:t>All</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643" w:type="dxa"/>
            <w:gridSpan w:val="2"/>
            <w:tcBorders/>
            <w:shd w:fill="auto" w:val="clear"/>
            <w:vAlign w:val="bottom"/>
          </w:tcPr>
          <w:p>
            <w:pPr>
              <w:pStyle w:val="TableContents"/>
              <w:spacing w:before="0" w:after="283"/>
              <w:jc w:val="center"/>
              <w:rPr>
                <w:b/>
              </w:rPr>
            </w:pPr>
            <w:r>
              <w:rPr>
                <w:b/>
              </w:rPr>
              <w:t>Guarantor</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34" w:type="dxa"/>
            <w:gridSpan w:val="2"/>
            <w:tcBorders/>
            <w:shd w:fill="auto" w:val="clear"/>
            <w:vAlign w:val="bottom"/>
          </w:tcPr>
          <w:p>
            <w:pPr>
              <w:pStyle w:val="TableContents"/>
              <w:spacing w:before="0" w:after="283"/>
              <w:jc w:val="center"/>
              <w:rPr>
                <w:b/>
              </w:rPr>
            </w:pPr>
            <w:r>
              <w:rPr>
                <w:b/>
              </w:rPr>
              <w:t>Non-Guarantor</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45" w:type="dxa"/>
            <w:gridSpan w:val="2"/>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6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463" w:type="dxa"/>
            <w:gridSpan w:val="18"/>
            <w:tcBorders/>
            <w:shd w:fill="auto" w:val="clear"/>
            <w:vAlign w:val="bottom"/>
          </w:tcPr>
          <w:p>
            <w:pPr>
              <w:pStyle w:val="TableContents"/>
              <w:spacing w:before="0" w:after="283"/>
              <w:jc w:val="center"/>
              <w:rPr>
                <w:b/>
              </w:rPr>
            </w:pPr>
            <w:r>
              <w:rPr>
                <w:b/>
              </w:rPr>
              <w:t>(in millions)</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463" w:type="dxa"/>
            <w:gridSpan w:val="18"/>
            <w:tcBorders/>
            <w:shd w:fill="auto" w:val="clear"/>
            <w:vAlign w:val="bottom"/>
          </w:tcPr>
          <w:p>
            <w:pPr>
              <w:pStyle w:val="TableContents"/>
              <w:spacing w:before="0" w:after="283"/>
              <w:jc w:val="center"/>
              <w:rPr>
                <w:b/>
              </w:rPr>
            </w:pPr>
            <w:r>
              <w:rPr>
                <w:b/>
              </w:rPr>
              <w:t>(unaudited)</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225" w:right="0" w:hanging="225"/>
              <w:rPr/>
            </w:pPr>
            <w:r>
              <w:rPr/>
              <w:t>CASH FLOWS FROM OPERATING ACTIVITIES: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225" w:right="0" w:hanging="225"/>
              <w:rPr/>
            </w:pPr>
            <w:r>
              <w:rPr/>
              <w:t>Net income</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84.7</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1347" w:type="dxa"/>
            <w:tcBorders/>
            <w:shd w:fill="auto" w:val="clear"/>
            <w:vAlign w:val="bottom"/>
          </w:tcPr>
          <w:p>
            <w:pPr>
              <w:pStyle w:val="TableContents"/>
              <w:spacing w:before="0" w:after="283"/>
              <w:jc w:val="right"/>
              <w:rPr/>
            </w:pPr>
            <w:r>
              <w:rPr/>
              <w:t>123.5</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1288" w:type="dxa"/>
            <w:tcBorders/>
            <w:shd w:fill="auto" w:val="clear"/>
            <w:vAlign w:val="bottom"/>
          </w:tcPr>
          <w:p>
            <w:pPr>
              <w:pStyle w:val="TableContents"/>
              <w:spacing w:before="0" w:after="283"/>
              <w:jc w:val="right"/>
              <w:rPr/>
            </w:pPr>
            <w:r>
              <w:rPr/>
              <w:t>15.7</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1349" w:type="dxa"/>
            <w:tcBorders/>
            <w:shd w:fill="auto" w:val="clear"/>
            <w:vAlign w:val="bottom"/>
          </w:tcPr>
          <w:p>
            <w:pPr>
              <w:pStyle w:val="TableContents"/>
              <w:spacing w:before="0" w:after="283"/>
              <w:jc w:val="right"/>
              <w:rPr/>
            </w:pPr>
            <w:r>
              <w:rPr/>
              <w:t>(139.2</w:t>
            </w:r>
          </w:p>
        </w:tc>
        <w:tc>
          <w:tcPr>
            <w:tcW w:w="100" w:type="dxa"/>
            <w:tcBorders/>
            <w:shd w:fill="auto" w:val="clear"/>
            <w:vAlign w:val="bottom"/>
          </w:tcPr>
          <w:p>
            <w:pPr>
              <w:pStyle w:val="TableContents"/>
              <w:spacing w:before="0" w:after="283"/>
              <w:rPr/>
            </w:pPr>
            <w:r>
              <w:rPr/>
              <w:t>)</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84.7</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450" w:right="0" w:hanging="225"/>
              <w:rPr/>
            </w:pPr>
            <w:r>
              <w:rPr/>
              <w:t>Depreciation, amortization and other</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0.7</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pPr>
            <w:r>
              <w:rPr/>
              <w:t>34.2</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5.0</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39.9</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450" w:right="0" w:hanging="225"/>
              <w:rPr/>
            </w:pPr>
            <w:r>
              <w:rPr/>
              <w:t>Inventory valuation adjustment</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1.0</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1.0</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450" w:right="0" w:hanging="225"/>
              <w:rPr/>
            </w:pPr>
            <w:r>
              <w:rPr/>
              <w:t>Gain on sale of investment assets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(3.9</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(3.9</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450" w:right="0" w:hanging="225"/>
              <w:rPr/>
            </w:pPr>
            <w:r>
              <w:rPr/>
              <w:t>SFAS 133 mark-to-market adjustment</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17.0</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17.0</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450" w:right="0" w:hanging="225"/>
              <w:rPr/>
            </w:pPr>
            <w:r>
              <w:rPr/>
              <w:t>Long-Term Incentive Plan charge</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pPr>
            <w:r>
              <w:rPr/>
              <w:t>18.6</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18.6</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450" w:right="0" w:hanging="225"/>
              <w:rPr/>
            </w:pPr>
            <w:r>
              <w:rPr/>
              <w:t>Noncash amortization of terminated interest rate hedging instruments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0.2</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0.2</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450" w:right="0" w:hanging="225"/>
              <w:rPr/>
            </w:pPr>
            <w:r>
              <w:rPr/>
              <w:t>Loss on foreign currency revaluation</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(0.2</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(0.2</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450" w:right="0" w:hanging="225"/>
              <w:rPr/>
            </w:pPr>
            <w:r>
              <w:rPr/>
              <w:t>Equity earnings in unconsolidated entities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(126.2</w:t>
            </w:r>
          </w:p>
        </w:tc>
        <w:tc>
          <w:tcPr>
            <w:tcW w:w="100" w:type="dxa"/>
            <w:tcBorders/>
            <w:shd w:fill="CCEEFF" w:val="clear"/>
            <w:vAlign w:val="bottom"/>
          </w:tcPr>
          <w:p>
            <w:pPr>
              <w:pStyle w:val="TableContents"/>
              <w:spacing w:before="0" w:after="283"/>
              <w:rPr/>
            </w:pPr>
            <w:r>
              <w:rPr/>
              <w:t>)</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347" w:type="dxa"/>
            <w:tcBorders/>
            <w:shd w:fill="CCEEFF" w:val="clear"/>
            <w:vAlign w:val="bottom"/>
          </w:tcPr>
          <w:p>
            <w:pPr>
              <w:pStyle w:val="TableContents"/>
              <w:spacing w:before="0" w:after="283"/>
              <w:jc w:val="right"/>
              <w:rPr/>
            </w:pPr>
            <w:r>
              <w:rPr/>
              <w:t>(16.6</w:t>
            </w:r>
          </w:p>
        </w:tc>
        <w:tc>
          <w:tcPr>
            <w:tcW w:w="203"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139.2</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(3.6</w:t>
            </w:r>
          </w:p>
        </w:tc>
        <w:tc>
          <w:tcPr>
            <w:tcW w:w="114" w:type="dxa"/>
            <w:tcBorders/>
            <w:shd w:fill="CCEEFF" w:val="clear"/>
            <w:vAlign w:val="bottom"/>
          </w:tcPr>
          <w:p>
            <w:pPr>
              <w:pStyle w:val="TableContents"/>
              <w:spacing w:before="0" w:after="283"/>
              <w:rPr/>
            </w:pPr>
            <w:r>
              <w:rPr/>
              <w:t>)</w:t>
            </w:r>
          </w:p>
        </w:tc>
      </w:tr>
      <w:tr>
        <w:trPr/>
        <w:tc>
          <w:tcPr>
            <w:tcW w:w="1531" w:type="dxa"/>
            <w:tcBorders/>
            <w:shd w:fill="auto" w:val="clear"/>
            <w:vAlign w:val="bottom"/>
          </w:tcPr>
          <w:p>
            <w:pPr>
              <w:pStyle w:val="TableContents"/>
              <w:spacing w:before="0" w:after="0"/>
              <w:ind w:left="225" w:right="0" w:hanging="225"/>
              <w:rPr/>
            </w:pPr>
            <w:r>
              <w:rPr/>
              <w:t>Net change in assets and liabilities, net of acquisitions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155.4</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pPr>
            <w:r>
              <w:rPr/>
              <w:t>82.3</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 </w:t>
            </w:r>
          </w:p>
        </w:tc>
        <w:tc>
          <w:tcPr>
            <w:tcW w:w="1288" w:type="dxa"/>
            <w:tcBorders/>
            <w:shd w:fill="auto" w:val="clear"/>
            <w:vAlign w:val="bottom"/>
          </w:tcPr>
          <w:p>
            <w:pPr>
              <w:pStyle w:val="TableContents"/>
              <w:spacing w:before="0" w:after="283"/>
              <w:jc w:val="right"/>
              <w:rPr/>
            </w:pPr>
            <w:r>
              <w:rPr/>
              <w:t>(19.9</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0.2</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218.0</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CCEEFF" w:val="clear"/>
            <w:vAlign w:val="bottom"/>
          </w:tcPr>
          <w:p>
            <w:pPr>
              <w:pStyle w:val="TableContents"/>
              <w:spacing w:before="0" w:after="0"/>
              <w:ind w:left="675" w:right="0" w:hanging="225"/>
              <w:rPr/>
            </w:pPr>
            <w:r>
              <w:rPr/>
              <w:t>Net cash provided by operating activities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114.8</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255.9</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0.8</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0.2</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371.7</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bottom"/>
          </w:tcPr>
          <w:p>
            <w:pPr>
              <w:pStyle w:val="TableContents"/>
              <w:spacing w:before="0" w:after="0"/>
              <w:ind w:left="225" w:right="0" w:hanging="225"/>
              <w:rPr/>
            </w:pPr>
            <w:r>
              <w:rPr/>
              <w:t>CASH FLOWS FROM INVESTING ACTIVITIES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225" w:right="0" w:hanging="225"/>
              <w:rPr/>
            </w:pPr>
            <w:r>
              <w:rPr/>
              <w:t>Cash paid in connection with acquisition</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347" w:type="dxa"/>
            <w:tcBorders/>
            <w:shd w:fill="CCEEFF" w:val="clear"/>
            <w:vAlign w:val="bottom"/>
          </w:tcPr>
          <w:p>
            <w:pPr>
              <w:pStyle w:val="TableContents"/>
              <w:spacing w:before="0" w:after="283"/>
              <w:jc w:val="right"/>
              <w:rPr/>
            </w:pPr>
            <w:r>
              <w:rPr/>
              <w:t>(17.3</w:t>
            </w:r>
          </w:p>
        </w:tc>
        <w:tc>
          <w:tcPr>
            <w:tcW w:w="203"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(17.3</w:t>
            </w:r>
          </w:p>
        </w:tc>
        <w:tc>
          <w:tcPr>
            <w:tcW w:w="114" w:type="dxa"/>
            <w:tcBorders/>
            <w:shd w:fill="CCEEFF" w:val="clear"/>
            <w:vAlign w:val="bottom"/>
          </w:tcPr>
          <w:p>
            <w:pPr>
              <w:pStyle w:val="TableContents"/>
              <w:spacing w:before="0" w:after="283"/>
              <w:rPr/>
            </w:pPr>
            <w:r>
              <w:rPr/>
              <w:t>)</w:t>
            </w:r>
          </w:p>
        </w:tc>
      </w:tr>
      <w:tr>
        <w:trPr/>
        <w:tc>
          <w:tcPr>
            <w:tcW w:w="1531" w:type="dxa"/>
            <w:tcBorders/>
            <w:shd w:fill="auto" w:val="clear"/>
            <w:vAlign w:val="bottom"/>
          </w:tcPr>
          <w:p>
            <w:pPr>
              <w:pStyle w:val="TableContents"/>
              <w:spacing w:before="0" w:after="0"/>
              <w:ind w:left="225" w:right="0" w:hanging="225"/>
              <w:rPr/>
            </w:pPr>
            <w:r>
              <w:rPr/>
              <w:t>Additions to property and equipment</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(133.3</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 </w:t>
            </w:r>
          </w:p>
        </w:tc>
        <w:tc>
          <w:tcPr>
            <w:tcW w:w="1288" w:type="dxa"/>
            <w:tcBorders/>
            <w:shd w:fill="auto" w:val="clear"/>
            <w:vAlign w:val="bottom"/>
          </w:tcPr>
          <w:p>
            <w:pPr>
              <w:pStyle w:val="TableContents"/>
              <w:spacing w:before="0" w:after="283"/>
              <w:jc w:val="right"/>
              <w:rPr/>
            </w:pPr>
            <w:r>
              <w:rPr/>
              <w:t>(0.8</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(134.1</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225" w:right="0" w:hanging="225"/>
              <w:rPr/>
            </w:pPr>
            <w:r>
              <w:rPr/>
              <w:t>Investment in unconsolidated entities, net</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(9.1</w:t>
            </w:r>
          </w:p>
        </w:tc>
        <w:tc>
          <w:tcPr>
            <w:tcW w:w="100" w:type="dxa"/>
            <w:tcBorders/>
            <w:shd w:fill="CCEEFF" w:val="clear"/>
            <w:vAlign w:val="bottom"/>
          </w:tcPr>
          <w:p>
            <w:pPr>
              <w:pStyle w:val="TableContents"/>
              <w:spacing w:before="0" w:after="283"/>
              <w:rPr/>
            </w:pPr>
            <w:r>
              <w:rPr/>
              <w:t>)</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0.2</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349" w:type="dxa"/>
            <w:tcBorders/>
            <w:shd w:fill="CCEEFF" w:val="clear"/>
            <w:vAlign w:val="bottom"/>
          </w:tcPr>
          <w:p>
            <w:pPr>
              <w:pStyle w:val="TableContents"/>
              <w:spacing w:before="0" w:after="283"/>
              <w:jc w:val="right"/>
              <w:rPr/>
            </w:pPr>
            <w:r>
              <w:rPr/>
              <w:t>(0.2</w:t>
            </w:r>
          </w:p>
        </w:tc>
        <w:tc>
          <w:tcPr>
            <w:tcW w:w="100" w:type="dxa"/>
            <w:tcBorders/>
            <w:shd w:fill="CCEEFF" w:val="clear"/>
            <w:vAlign w:val="bottom"/>
          </w:tcPr>
          <w:p>
            <w:pPr>
              <w:pStyle w:val="TableContents"/>
              <w:spacing w:before="0" w:after="283"/>
              <w:rPr/>
            </w:pPr>
            <w:r>
              <w:rPr/>
              <w:t>)</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(9.1</w:t>
            </w:r>
          </w:p>
        </w:tc>
        <w:tc>
          <w:tcPr>
            <w:tcW w:w="114" w:type="dxa"/>
            <w:tcBorders/>
            <w:shd w:fill="CCEEFF" w:val="clear"/>
            <w:vAlign w:val="bottom"/>
          </w:tcPr>
          <w:p>
            <w:pPr>
              <w:pStyle w:val="TableContents"/>
              <w:spacing w:before="0" w:after="283"/>
              <w:rPr/>
            </w:pPr>
            <w:r>
              <w:rPr/>
              <w:t>)</w:t>
            </w:r>
          </w:p>
        </w:tc>
      </w:tr>
      <w:tr>
        <w:trPr/>
        <w:tc>
          <w:tcPr>
            <w:tcW w:w="1531" w:type="dxa"/>
            <w:tcBorders/>
            <w:shd w:fill="auto" w:val="clear"/>
            <w:vAlign w:val="bottom"/>
          </w:tcPr>
          <w:p>
            <w:pPr>
              <w:pStyle w:val="TableContents"/>
              <w:spacing w:before="0" w:after="0"/>
              <w:ind w:left="225" w:right="0" w:hanging="225"/>
              <w:rPr/>
            </w:pPr>
            <w:r>
              <w:rPr/>
              <w:t>Cash paid for linefill in assets owned</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(4.5</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(4.5</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225" w:right="0" w:hanging="225"/>
              <w:rPr/>
            </w:pPr>
            <w:r>
              <w:rPr/>
              <w:t>Proceeds from sales of assets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4.3</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4.3</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auto" w:val="clear"/>
            <w:vAlign w:val="bottom"/>
          </w:tcPr>
          <w:p>
            <w:pPr>
              <w:pStyle w:val="TableContents"/>
              <w:spacing w:before="0" w:after="0"/>
              <w:ind w:left="675" w:right="0" w:hanging="225"/>
              <w:rPr/>
            </w:pPr>
            <w:r>
              <w:rPr/>
              <w:t>Net cash used in investing activities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(9.1</w:t>
            </w:r>
          </w:p>
        </w:tc>
        <w:tc>
          <w:tcPr>
            <w:tcW w:w="100" w:type="dxa"/>
            <w:tcBorders/>
            <w:shd w:fill="auto" w:val="clear"/>
            <w:vAlign w:val="bottom"/>
          </w:tcPr>
          <w:p>
            <w:pPr>
              <w:pStyle w:val="TableContents"/>
              <w:spacing w:before="0" w:after="283"/>
              <w:rPr/>
            </w:pPr>
            <w:r>
              <w:rPr/>
              <w:t>)</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(150.6</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 </w:t>
            </w:r>
          </w:p>
        </w:tc>
        <w:tc>
          <w:tcPr>
            <w:tcW w:w="1288" w:type="dxa"/>
            <w:tcBorders/>
            <w:shd w:fill="auto" w:val="clear"/>
            <w:vAlign w:val="bottom"/>
          </w:tcPr>
          <w:p>
            <w:pPr>
              <w:pStyle w:val="TableContents"/>
              <w:spacing w:before="0" w:after="283"/>
              <w:jc w:val="right"/>
              <w:rPr/>
            </w:pPr>
            <w:r>
              <w:rPr/>
              <w:t>(0.8</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9" w:type="dxa"/>
            <w:tcBorders/>
            <w:shd w:fill="auto" w:val="clear"/>
            <w:vAlign w:val="bottom"/>
          </w:tcPr>
          <w:p>
            <w:pPr>
              <w:pStyle w:val="TableContents"/>
              <w:spacing w:before="0" w:after="283"/>
              <w:jc w:val="right"/>
              <w:rPr/>
            </w:pPr>
            <w:r>
              <w:rPr/>
              <w:t>(0.2</w:t>
            </w:r>
          </w:p>
        </w:tc>
        <w:tc>
          <w:tcPr>
            <w:tcW w:w="100" w:type="dxa"/>
            <w:tcBorders/>
            <w:shd w:fill="auto" w:val="clear"/>
            <w:vAlign w:val="bottom"/>
          </w:tcPr>
          <w:p>
            <w:pPr>
              <w:pStyle w:val="TableContents"/>
              <w:spacing w:before="0" w:after="283"/>
              <w:rPr/>
            </w:pPr>
            <w:r>
              <w:rPr/>
              <w:t>)</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(160.7</w:t>
            </w:r>
          </w:p>
        </w:tc>
        <w:tc>
          <w:tcPr>
            <w:tcW w:w="114" w:type="dxa"/>
            <w:tcBorders/>
            <w:shd w:fill="auto" w:val="clear"/>
            <w:vAlign w:val="bottom"/>
          </w:tcPr>
          <w:p>
            <w:pPr>
              <w:pStyle w:val="TableContents"/>
              <w:spacing w:before="0" w:after="283"/>
              <w:rPr/>
            </w:pPr>
            <w:r>
              <w:rPr/>
              <w:t>)</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CCEEFF" w:val="clear"/>
            <w:vAlign w:val="bottom"/>
          </w:tcPr>
          <w:p>
            <w:pPr>
              <w:pStyle w:val="TableContents"/>
              <w:spacing w:before="0" w:after="0"/>
              <w:ind w:left="225" w:right="0" w:hanging="225"/>
              <w:rPr/>
            </w:pPr>
            <w:r>
              <w:rPr/>
              <w:t>CASH FLOWS FROM FINANCING ACTIVITIES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auto" w:val="clear"/>
            <w:vAlign w:val="bottom"/>
          </w:tcPr>
          <w:p>
            <w:pPr>
              <w:pStyle w:val="TableContents"/>
              <w:spacing w:before="0" w:after="0"/>
              <w:ind w:left="225" w:right="0" w:hanging="225"/>
              <w:rPr/>
            </w:pPr>
            <w:r>
              <w:rPr/>
              <w:t>Net repayments on working capital revolving credit facility</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(69.9</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(69.9</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225" w:right="0" w:hanging="225"/>
              <w:rPr/>
            </w:pPr>
            <w:r>
              <w:rPr/>
              <w:t>Net repayments on short-term letter of credit and hedged inventory facility</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347" w:type="dxa"/>
            <w:tcBorders/>
            <w:shd w:fill="CCEEFF" w:val="clear"/>
            <w:vAlign w:val="bottom"/>
          </w:tcPr>
          <w:p>
            <w:pPr>
              <w:pStyle w:val="TableContents"/>
              <w:spacing w:before="0" w:after="283"/>
              <w:jc w:val="right"/>
              <w:rPr/>
            </w:pPr>
            <w:r>
              <w:rPr/>
              <w:t>(32.1</w:t>
            </w:r>
          </w:p>
        </w:tc>
        <w:tc>
          <w:tcPr>
            <w:tcW w:w="203"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(32.1</w:t>
            </w:r>
          </w:p>
        </w:tc>
        <w:tc>
          <w:tcPr>
            <w:tcW w:w="114" w:type="dxa"/>
            <w:tcBorders/>
            <w:shd w:fill="CCEEFF" w:val="clear"/>
            <w:vAlign w:val="bottom"/>
          </w:tcPr>
          <w:p>
            <w:pPr>
              <w:pStyle w:val="TableContents"/>
              <w:spacing w:before="0" w:after="283"/>
              <w:rPr/>
            </w:pPr>
            <w:r>
              <w:rPr/>
              <w:t>)</w:t>
            </w:r>
          </w:p>
        </w:tc>
      </w:tr>
      <w:tr>
        <w:trPr/>
        <w:tc>
          <w:tcPr>
            <w:tcW w:w="1531" w:type="dxa"/>
            <w:tcBorders/>
            <w:shd w:fill="auto" w:val="clear"/>
            <w:vAlign w:val="bottom"/>
          </w:tcPr>
          <w:p>
            <w:pPr>
              <w:pStyle w:val="TableContents"/>
              <w:spacing w:before="0" w:after="0"/>
              <w:ind w:left="225" w:right="0" w:hanging="225"/>
              <w:rPr/>
            </w:pPr>
            <w:r>
              <w:rPr/>
              <w:t>Distributions paid to unitholders and general partner</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(104.6</w:t>
            </w:r>
          </w:p>
        </w:tc>
        <w:tc>
          <w:tcPr>
            <w:tcW w:w="100" w:type="dxa"/>
            <w:tcBorders/>
            <w:shd w:fill="auto" w:val="clear"/>
            <w:vAlign w:val="bottom"/>
          </w:tcPr>
          <w:p>
            <w:pPr>
              <w:pStyle w:val="TableContents"/>
              <w:spacing w:before="0" w:after="283"/>
              <w:rPr/>
            </w:pPr>
            <w:r>
              <w:rPr/>
              <w:t>)</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(104.6</w:t>
            </w:r>
          </w:p>
        </w:tc>
        <w:tc>
          <w:tcPr>
            <w:tcW w:w="114" w:type="dxa"/>
            <w:tcBorders/>
            <w:shd w:fill="auto" w:val="clear"/>
            <w:vAlign w:val="bottom"/>
          </w:tcPr>
          <w:p>
            <w:pPr>
              <w:pStyle w:val="TableContents"/>
              <w:spacing w:before="0" w:after="283"/>
              <w:rPr/>
            </w:pPr>
            <w:r>
              <w:rPr/>
              <w:t>)</w:t>
            </w:r>
          </w:p>
        </w:tc>
      </w:tr>
      <w:tr>
        <w:trPr/>
        <w:tc>
          <w:tcPr>
            <w:tcW w:w="1531" w:type="dxa"/>
            <w:tcBorders/>
            <w:shd w:fill="CCEEFF" w:val="clear"/>
            <w:vAlign w:val="bottom"/>
          </w:tcPr>
          <w:p>
            <w:pPr>
              <w:pStyle w:val="TableContents"/>
              <w:spacing w:before="0" w:after="0"/>
              <w:ind w:left="225" w:right="0" w:hanging="225"/>
              <w:rPr/>
            </w:pPr>
            <w:r>
              <w:rPr/>
              <w:t>Other financing activities</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347" w:type="dxa"/>
            <w:tcBorders/>
            <w:shd w:fill="CCEEFF" w:val="clear"/>
            <w:vAlign w:val="bottom"/>
          </w:tcPr>
          <w:p>
            <w:pPr>
              <w:pStyle w:val="TableContents"/>
              <w:spacing w:before="0" w:after="283"/>
              <w:jc w:val="right"/>
              <w:rPr/>
            </w:pPr>
            <w:r>
              <w:rPr/>
              <w:t>(0.2</w:t>
            </w:r>
          </w:p>
        </w:tc>
        <w:tc>
          <w:tcPr>
            <w:tcW w:w="203"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(0.2</w:t>
            </w:r>
          </w:p>
        </w:tc>
        <w:tc>
          <w:tcPr>
            <w:tcW w:w="114" w:type="dxa"/>
            <w:tcBorders/>
            <w:shd w:fill="CCEEFF" w:val="clear"/>
            <w:vAlign w:val="bottom"/>
          </w:tcPr>
          <w:p>
            <w:pPr>
              <w:pStyle w:val="TableContents"/>
              <w:spacing w:before="0" w:after="283"/>
              <w:rPr/>
            </w:pPr>
            <w:r>
              <w:rPr/>
              <w:t>)</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bottom"/>
          </w:tcPr>
          <w:p>
            <w:pPr>
              <w:pStyle w:val="TableContents"/>
              <w:spacing w:before="0" w:after="0"/>
              <w:ind w:left="675" w:right="0" w:hanging="225"/>
              <w:rPr/>
            </w:pPr>
            <w:r>
              <w:rPr/>
              <w:t>Net cash used in financing activities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(104.6</w:t>
            </w:r>
          </w:p>
        </w:tc>
        <w:tc>
          <w:tcPr>
            <w:tcW w:w="100" w:type="dxa"/>
            <w:tcBorders/>
            <w:shd w:fill="auto" w:val="clear"/>
            <w:vAlign w:val="bottom"/>
          </w:tcPr>
          <w:p>
            <w:pPr>
              <w:pStyle w:val="TableContents"/>
              <w:spacing w:before="0" w:after="283"/>
              <w:rPr/>
            </w:pPr>
            <w:r>
              <w:rPr/>
              <w:t>)</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347" w:type="dxa"/>
            <w:tcBorders/>
            <w:shd w:fill="auto" w:val="clear"/>
            <w:vAlign w:val="bottom"/>
          </w:tcPr>
          <w:p>
            <w:pPr>
              <w:pStyle w:val="TableContents"/>
              <w:spacing w:before="0" w:after="283"/>
              <w:jc w:val="right"/>
              <w:rPr/>
            </w:pPr>
            <w:r>
              <w:rPr/>
              <w:t>(102.2</w:t>
            </w:r>
          </w:p>
        </w:tc>
        <w:tc>
          <w:tcPr>
            <w:tcW w:w="203"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(206.8</w:t>
            </w:r>
          </w:p>
        </w:tc>
        <w:tc>
          <w:tcPr>
            <w:tcW w:w="114" w:type="dxa"/>
            <w:tcBorders/>
            <w:shd w:fill="auto" w:val="clear"/>
            <w:vAlign w:val="bottom"/>
          </w:tcPr>
          <w:p>
            <w:pPr>
              <w:pStyle w:val="TableContents"/>
              <w:spacing w:before="0" w:after="283"/>
              <w:rPr/>
            </w:pPr>
            <w:r>
              <w:rPr/>
              <w:t>)</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CCEEFF" w:val="clear"/>
            <w:vAlign w:val="bottom"/>
          </w:tcPr>
          <w:p>
            <w:pPr>
              <w:pStyle w:val="TableContents"/>
              <w:spacing w:before="0" w:after="0"/>
              <w:ind w:left="225" w:right="0" w:hanging="225"/>
              <w:rPr/>
            </w:pPr>
            <w:r>
              <w:rPr/>
              <w:t>Effect of translation adjustment on cash</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1.1</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1.1</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bottom"/>
          </w:tcPr>
          <w:p>
            <w:pPr>
              <w:pStyle w:val="TableContents"/>
              <w:spacing w:before="0" w:after="0"/>
              <w:ind w:left="225" w:right="0" w:hanging="225"/>
              <w:rPr/>
            </w:pPr>
            <w:r>
              <w:rPr/>
              <w:t>Net increase in cash and cash equivalents</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1.1</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pPr>
            <w:r>
              <w:rPr/>
              <w:t>4.2</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5.3</w:t>
            </w:r>
          </w:p>
        </w:tc>
        <w:tc>
          <w:tcPr>
            <w:tcW w:w="114" w:type="dxa"/>
            <w:tcBorders/>
            <w:shd w:fill="auto" w:val="clear"/>
            <w:vAlign w:val="bottom"/>
          </w:tcPr>
          <w:p>
            <w:pPr>
              <w:pStyle w:val="TableContents"/>
              <w:spacing w:before="0" w:after="283"/>
              <w:rPr/>
            </w:pPr>
            <w:r>
              <w:rPr/>
              <w:t> </w:t>
            </w:r>
          </w:p>
        </w:tc>
      </w:tr>
      <w:tr>
        <w:trPr/>
        <w:tc>
          <w:tcPr>
            <w:tcW w:w="1531" w:type="dxa"/>
            <w:tcBorders/>
            <w:shd w:fill="CCEEFF" w:val="clear"/>
            <w:vAlign w:val="bottom"/>
          </w:tcPr>
          <w:p>
            <w:pPr>
              <w:pStyle w:val="TableContents"/>
              <w:spacing w:before="0" w:after="0"/>
              <w:ind w:left="225" w:right="0" w:hanging="225"/>
              <w:rPr/>
            </w:pPr>
            <w:r>
              <w:rPr/>
              <w:t>Cash and cash equivalents, beginning of period</w:t>
            </w:r>
          </w:p>
        </w:tc>
        <w:tc>
          <w:tcPr>
            <w:tcW w:w="9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2.3</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pPr>
            <w:r>
              <w:rPr/>
              <w:t>9.0</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20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11.3</w:t>
            </w:r>
          </w:p>
        </w:tc>
        <w:tc>
          <w:tcPr>
            <w:tcW w:w="114" w:type="dxa"/>
            <w:tcBorders/>
            <w:shd w:fill="CCEEFF"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1531" w:type="dxa"/>
            <w:tcBorders/>
            <w:shd w:fill="auto" w:val="clear"/>
            <w:vAlign w:val="center"/>
          </w:tcPr>
          <w:p>
            <w:pPr>
              <w:pStyle w:val="TableContents"/>
              <w:spacing w:before="0" w:after="283"/>
              <w:rPr/>
            </w:pPr>
            <w:r>
              <w:rPr/>
              <w:t> </w:t>
            </w:r>
          </w:p>
        </w:tc>
        <w:tc>
          <w:tcPr>
            <w:tcW w:w="8674" w:type="dxa"/>
            <w:gridSpan w:val="20"/>
            <w:tcBorders/>
            <w:shd w:fill="auto" w:val="clear"/>
          </w:tcPr>
          <w:p>
            <w:pPr>
              <w:pStyle w:val="TableContents"/>
              <w:spacing w:before="0" w:after="283"/>
              <w:rPr>
                <w:sz w:val="4"/>
                <w:szCs w:val="4"/>
              </w:rPr>
            </w:pPr>
            <w:r>
              <w:rPr>
                <w:sz w:val="4"/>
                <w:szCs w:val="4"/>
              </w:rPr>
            </w:r>
          </w:p>
        </w:tc>
      </w:tr>
      <w:tr>
        <w:trPr/>
        <w:tc>
          <w:tcPr>
            <w:tcW w:w="1531" w:type="dxa"/>
            <w:tcBorders/>
            <w:shd w:fill="auto" w:val="clear"/>
            <w:vAlign w:val="bottom"/>
          </w:tcPr>
          <w:p>
            <w:pPr>
              <w:pStyle w:val="TableContents"/>
              <w:spacing w:before="0" w:after="0"/>
              <w:ind w:left="225" w:right="0" w:hanging="225"/>
              <w:rPr/>
            </w:pPr>
            <w:r>
              <w:rPr/>
              <w:t>Cash and cash equivalents, end of period</w:t>
            </w:r>
          </w:p>
        </w:tc>
        <w:tc>
          <w:tcPr>
            <w:tcW w:w="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3.4</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1347" w:type="dxa"/>
            <w:tcBorders/>
            <w:shd w:fill="auto" w:val="clear"/>
            <w:vAlign w:val="bottom"/>
          </w:tcPr>
          <w:p>
            <w:pPr>
              <w:pStyle w:val="TableContents"/>
              <w:spacing w:before="0" w:after="283"/>
              <w:jc w:val="right"/>
              <w:rPr/>
            </w:pPr>
            <w:r>
              <w:rPr/>
              <w:t>13.2</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1288" w:type="dxa"/>
            <w:tcBorders/>
            <w:shd w:fill="auto" w:val="clear"/>
            <w:vAlign w:val="bottom"/>
          </w:tcPr>
          <w:p>
            <w:pPr>
              <w:pStyle w:val="TableContents"/>
              <w:spacing w:before="0" w:after="283"/>
              <w:jc w:val="right"/>
              <w:rPr/>
            </w:pPr>
            <w:r>
              <w:rPr/>
              <w:t></w:t>
            </w:r>
          </w:p>
        </w:tc>
        <w:tc>
          <w:tcPr>
            <w:tcW w:w="2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134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16.6</w:t>
            </w:r>
          </w:p>
        </w:tc>
        <w:tc>
          <w:tcPr>
            <w:tcW w:w="114" w:type="dxa"/>
            <w:tcBorders/>
            <w:shd w:fill="auto" w:val="clear"/>
            <w:vAlign w:val="bottom"/>
          </w:tcPr>
          <w:p>
            <w:pPr>
              <w:pStyle w:val="TableContents"/>
              <w:spacing w:before="0" w:after="283"/>
              <w:rPr/>
            </w:pPr>
            <w:r>
              <w:rPr/>
              <w:t> </w:t>
            </w:r>
          </w:p>
        </w:tc>
      </w:tr>
      <w:tr>
        <w:trPr/>
        <w:tc>
          <w:tcPr>
            <w:tcW w:w="1531" w:type="dxa"/>
            <w:tcBorders/>
            <w:shd w:fill="auto" w:val="clear"/>
            <w:vAlign w:val="center"/>
          </w:tcPr>
          <w:p>
            <w:pPr>
              <w:pStyle w:val="TableContents"/>
              <w:spacing w:before="0" w:after="0"/>
              <w:ind w:left="225" w:right="0" w:hanging="225"/>
              <w:rPr/>
            </w:pPr>
            <w:r>
              <w:rPr/>
              <w:t> </w:t>
            </w:r>
          </w:p>
        </w:tc>
        <w:tc>
          <w:tcPr>
            <w:tcW w:w="97"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6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For the three months ended March 31, 2006, the Non-Guarantor Subsidiaries were considered minor, as defined by Regulation S-X rule 3-10(h)(6) and thus, supplemental condensed consolidating financial information is not presented for that period.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3" w:name="110"/>
      <w:bookmarkEnd w:id="13"/>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Introduction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discussion is intended to provide investors with an understanding of our financial condition and results of our operations and should be read in conjunction with our historical consolidated financial statements and accompanying notes. For more detailed information regarding the basis of presentation for the following financial information, see the Notes to the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Highlights  First Quarter of 2007</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income for the first quarter of 2007 was approximately $85 million, or $0.61 per diluted limited partner unit, which is an increase of 34% and a decrease of 14%, respectively, over net income of $63 million, or $0.71 per diluted limited partner unit for the first quarter of 2006. </w:t>
      </w:r>
    </w:p>
    <w:p>
      <w:pPr>
        <w:pStyle w:val="TextBody"/>
        <w:spacing w:before="120" w:after="283"/>
        <w:jc w:val="left"/>
        <w:rPr/>
      </w:pPr>
      <w:r>
        <w:rPr/>
        <w:t>     </w:t>
      </w:r>
      <w:r>
        <w:rPr>
          <w:rFonts w:ascii="Times New Roman;Times;serif" w:hAnsi="Times New Roman;Times;serif"/>
          <w:sz w:val="17"/>
        </w:rPr>
        <w:t xml:space="preserve">Earnings per limited partner unit (both basic and diluted) was reduced by $0.04 for the three months ended March 31, 2006, attributable to the application of Emerging Issues Task Force (EITF) Issue No. 03-06, Participating Securities and the Two-Class Method under Financial Accounting Standards Board (FASB) Statement No. 128. There was no impact of EITF 03-06 for the three months ended March 31, 2007. See Note 6 to our Consolidated Financial Statements. </w:t>
      </w:r>
    </w:p>
    <w:p>
      <w:pPr>
        <w:pStyle w:val="TextBody"/>
        <w:spacing w:before="120" w:after="283"/>
        <w:jc w:val="left"/>
        <w:rPr/>
      </w:pPr>
      <w:r>
        <w:rPr/>
        <w:t>     </w:t>
      </w:r>
      <w:r>
        <w:rPr>
          <w:rFonts w:ascii="Times New Roman;Times;serif" w:hAnsi="Times New Roman;Times;serif"/>
          <w:sz w:val="17"/>
        </w:rPr>
        <w:t xml:space="preserve">Key items impacting the first three months of 2007 include: </w:t>
      </w:r>
    </w:p>
    <w:p>
      <w:pPr>
        <w:pStyle w:val="TextBody"/>
        <w:spacing w:before="120" w:after="283"/>
        <w:jc w:val="left"/>
        <w:rPr/>
      </w:pPr>
      <w:r>
        <w:rPr/>
        <w:t>     </w:t>
      </w:r>
      <w:r>
        <w:rPr>
          <w:rFonts w:ascii="Times New Roman;Times;serif" w:hAnsi="Times New Roman;Times;serif"/>
          <w:i/>
          <w:sz w:val="17"/>
        </w:rPr>
        <w:t>Balance Sheet and Capital Structure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completion of two acquisitions for aggregate consideration of approximately $17 million.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Capital expenditures for internal growth projects of $131 million for the first quarter of 2007, which represents approximately 26% of the 2007 planned expansion capital expenditures.</w:t>
            </w:r>
          </w:p>
        </w:tc>
      </w:tr>
    </w:tbl>
    <w:p>
      <w:pPr>
        <w:pStyle w:val="TextBody"/>
        <w:spacing w:before="120" w:after="283"/>
        <w:jc w:val="left"/>
        <w:rPr/>
      </w:pPr>
      <w:r>
        <w:rPr/>
        <w:t>     </w:t>
      </w:r>
      <w:r>
        <w:rPr>
          <w:rFonts w:ascii="Times New Roman;Times;serif" w:hAnsi="Times New Roman;Times;serif"/>
          <w:i/>
          <w:sz w:val="17"/>
        </w:rPr>
        <w:t>Income Statement</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sz w:val="4"/>
                <w:szCs w:val="4"/>
              </w:rPr>
            </w:pPr>
            <w:r>
              <w:rPr>
                <w:sz w:val="4"/>
                <w:szCs w:val="4"/>
              </w:rPr>
            </w:r>
          </w:p>
        </w:tc>
        <w:tc>
          <w:tcPr>
            <w:tcW w:w="9391" w:type="dxa"/>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Contributions from the November 2006 acquisition of Pacific Energy Partners L.P. (Pacific) as well as eight additional 2006 acquisitions.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Increased volumes and related tariff revenues on our pipeline systems.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Favorable execution of our risk management strategies around our marketing assets in a pronounced contango market with a high level of overall crude oil volatility.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Long-Term Incentive Plan (LTIP) expense of $19 million (compared to approximately $10 million for the first quarter of 2006), including a catch-up expense of approximately $8 million associated with an increase in the price of the units.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increase in costs and expenses primarily associated with our continued growth from internal growth projects and acquisitions.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approximate $4 million gain on the sale of a portion of our stock ownership in the NYMEX.</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 loss of approximately $17 million related to the mark-to-market impact for derivative instruments (compared to $1 million for the first quarter of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Acquisitions and 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capital expenditures incurred in the periods indicated (in millions): </w:t>
      </w:r>
    </w:p>
    <w:tbl>
      <w:tblPr>
        <w:tblW w:w="5000" w:type="pct"/>
        <w:jc w:val="center"/>
        <w:tblInd w:w="0" w:type="dxa"/>
        <w:tblCellMar>
          <w:top w:w="0" w:type="dxa"/>
          <w:left w:w="0" w:type="dxa"/>
          <w:bottom w:w="0" w:type="dxa"/>
          <w:right w:w="0" w:type="dxa"/>
        </w:tblCellMar>
      </w:tblPr>
      <w:tblGrid>
        <w:gridCol w:w="6781"/>
        <w:gridCol w:w="442"/>
        <w:gridCol w:w="221"/>
        <w:gridCol w:w="967"/>
        <w:gridCol w:w="140"/>
        <w:gridCol w:w="463"/>
        <w:gridCol w:w="221"/>
        <w:gridCol w:w="847"/>
        <w:gridCol w:w="123"/>
      </w:tblGrid>
      <w:tr>
        <w:trPr/>
        <w:tc>
          <w:tcPr>
            <w:tcW w:w="678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78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859" w:type="dxa"/>
            <w:gridSpan w:val="6"/>
            <w:tcBorders/>
            <w:shd w:fill="auto" w:val="clear"/>
            <w:vAlign w:val="bottom"/>
          </w:tcPr>
          <w:p>
            <w:pPr>
              <w:pStyle w:val="TableContents"/>
              <w:spacing w:before="0" w:after="283"/>
              <w:jc w:val="center"/>
              <w:rPr>
                <w:b/>
              </w:rPr>
            </w:pPr>
            <w:r>
              <w:rPr>
                <w:b/>
              </w:rPr>
              <w:t>Three Months Ended</w:t>
            </w:r>
          </w:p>
        </w:tc>
        <w:tc>
          <w:tcPr>
            <w:tcW w:w="123" w:type="dxa"/>
            <w:tcBorders/>
            <w:shd w:fill="auto" w:val="clear"/>
            <w:vAlign w:val="bottom"/>
          </w:tcPr>
          <w:p>
            <w:pPr>
              <w:pStyle w:val="TableContents"/>
              <w:spacing w:before="0" w:after="283"/>
              <w:rPr/>
            </w:pPr>
            <w:r>
              <w:rPr/>
              <w:t> </w:t>
            </w:r>
          </w:p>
        </w:tc>
      </w:tr>
      <w:tr>
        <w:trPr/>
        <w:tc>
          <w:tcPr>
            <w:tcW w:w="678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85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23" w:type="dxa"/>
            <w:tcBorders/>
            <w:shd w:fill="auto" w:val="clear"/>
            <w:vAlign w:val="bottom"/>
          </w:tcPr>
          <w:p>
            <w:pPr>
              <w:pStyle w:val="TableContents"/>
              <w:spacing w:before="0" w:after="283"/>
              <w:rPr/>
            </w:pPr>
            <w:r>
              <w:rPr/>
              <w:t> </w:t>
            </w:r>
          </w:p>
        </w:tc>
      </w:tr>
      <w:tr>
        <w:trPr/>
        <w:tc>
          <w:tcPr>
            <w:tcW w:w="678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3" w:type="dxa"/>
            <w:tcBorders/>
            <w:shd w:fill="auto" w:val="clear"/>
            <w:vAlign w:val="bottom"/>
          </w:tcPr>
          <w:p>
            <w:pPr>
              <w:pStyle w:val="TableContents"/>
              <w:spacing w:before="0" w:after="283"/>
              <w:rPr/>
            </w:pPr>
            <w:r>
              <w:rPr/>
              <w:t> </w:t>
            </w:r>
          </w:p>
        </w:tc>
      </w:tr>
      <w:tr>
        <w:trPr/>
        <w:tc>
          <w:tcPr>
            <w:tcW w:w="6781" w:type="dxa"/>
            <w:tcBorders/>
            <w:shd w:fill="CCEEFF" w:val="clear"/>
            <w:vAlign w:val="bottom"/>
          </w:tcPr>
          <w:p>
            <w:pPr>
              <w:pStyle w:val="TableContents"/>
              <w:spacing w:before="0" w:after="0"/>
              <w:ind w:left="225" w:right="0" w:hanging="225"/>
              <w:rPr/>
            </w:pPr>
            <w:r>
              <w:rPr/>
              <w:t>Acquisition capital (1) (2)</w:t>
            </w:r>
          </w:p>
        </w:tc>
        <w:tc>
          <w:tcPr>
            <w:tcW w:w="442"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967" w:type="dxa"/>
            <w:tcBorders/>
            <w:shd w:fill="CCEEFF" w:val="clear"/>
            <w:vAlign w:val="bottom"/>
          </w:tcPr>
          <w:p>
            <w:pPr>
              <w:pStyle w:val="TableContents"/>
              <w:spacing w:before="0" w:after="283"/>
              <w:jc w:val="right"/>
              <w:rPr/>
            </w:pPr>
            <w:r>
              <w:rPr/>
              <w:t>23.7</w:t>
            </w:r>
          </w:p>
        </w:tc>
        <w:tc>
          <w:tcPr>
            <w:tcW w:w="14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6781" w:type="dxa"/>
            <w:tcBorders/>
            <w:shd w:fill="auto" w:val="clear"/>
            <w:vAlign w:val="bottom"/>
          </w:tcPr>
          <w:p>
            <w:pPr>
              <w:pStyle w:val="TableContents"/>
              <w:spacing w:before="0" w:after="0"/>
              <w:ind w:left="225" w:right="0" w:hanging="225"/>
              <w:rPr/>
            </w:pPr>
            <w:r>
              <w:rPr/>
              <w:t>Internal growth projects</w:t>
            </w:r>
          </w:p>
        </w:tc>
        <w:tc>
          <w:tcPr>
            <w:tcW w:w="44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131.3</w:t>
            </w:r>
          </w:p>
        </w:tc>
        <w:tc>
          <w:tcPr>
            <w:tcW w:w="14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44.7</w:t>
            </w:r>
          </w:p>
        </w:tc>
        <w:tc>
          <w:tcPr>
            <w:tcW w:w="123" w:type="dxa"/>
            <w:tcBorders/>
            <w:shd w:fill="auto" w:val="clear"/>
            <w:vAlign w:val="bottom"/>
          </w:tcPr>
          <w:p>
            <w:pPr>
              <w:pStyle w:val="TableContents"/>
              <w:spacing w:before="0" w:after="283"/>
              <w:rPr/>
            </w:pPr>
            <w:r>
              <w:rPr/>
              <w:t> </w:t>
            </w:r>
          </w:p>
        </w:tc>
      </w:tr>
      <w:tr>
        <w:trPr/>
        <w:tc>
          <w:tcPr>
            <w:tcW w:w="6781" w:type="dxa"/>
            <w:tcBorders/>
            <w:shd w:fill="CCEEFF" w:val="clear"/>
            <w:vAlign w:val="bottom"/>
          </w:tcPr>
          <w:p>
            <w:pPr>
              <w:pStyle w:val="TableContents"/>
              <w:spacing w:before="0" w:after="0"/>
              <w:ind w:left="225" w:right="0" w:hanging="225"/>
              <w:rPr/>
            </w:pPr>
            <w:r>
              <w:rPr/>
              <w:t>Maintenance capital</w:t>
            </w:r>
          </w:p>
        </w:tc>
        <w:tc>
          <w:tcPr>
            <w:tcW w:w="442"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10.7</w:t>
            </w:r>
          </w:p>
        </w:tc>
        <w:tc>
          <w:tcPr>
            <w:tcW w:w="14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4.7</w:t>
            </w:r>
          </w:p>
        </w:tc>
        <w:tc>
          <w:tcPr>
            <w:tcW w:w="123" w:type="dxa"/>
            <w:tcBorders/>
            <w:shd w:fill="CCEEFF" w:val="clear"/>
            <w:vAlign w:val="bottom"/>
          </w:tcPr>
          <w:p>
            <w:pPr>
              <w:pStyle w:val="TableContents"/>
              <w:spacing w:before="0" w:after="283"/>
              <w:rPr/>
            </w:pPr>
            <w:r>
              <w:rPr/>
              <w:t> </w:t>
            </w:r>
          </w:p>
        </w:tc>
      </w:tr>
      <w:tr>
        <w:trPr/>
        <w:tc>
          <w:tcPr>
            <w:tcW w:w="6781"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781" w:type="dxa"/>
            <w:tcBorders/>
            <w:shd w:fill="auto" w:val="clear"/>
            <w:vAlign w:val="bottom"/>
          </w:tcPr>
          <w:p>
            <w:pPr>
              <w:pStyle w:val="TableContents"/>
              <w:spacing w:before="0" w:after="0"/>
              <w:ind w:left="225" w:right="0" w:hanging="225"/>
              <w:rPr/>
            </w:pPr>
            <w:r>
              <w:rPr/>
              <w:t> </w:t>
            </w:r>
          </w:p>
        </w:tc>
        <w:tc>
          <w:tcPr>
            <w:tcW w:w="44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967" w:type="dxa"/>
            <w:tcBorders/>
            <w:shd w:fill="auto" w:val="clear"/>
            <w:vAlign w:val="bottom"/>
          </w:tcPr>
          <w:p>
            <w:pPr>
              <w:pStyle w:val="TableContents"/>
              <w:spacing w:before="0" w:after="283"/>
              <w:jc w:val="right"/>
              <w:rPr/>
            </w:pPr>
            <w:r>
              <w:rPr/>
              <w:t>165.7</w:t>
            </w:r>
          </w:p>
        </w:tc>
        <w:tc>
          <w:tcPr>
            <w:tcW w:w="14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847" w:type="dxa"/>
            <w:tcBorders/>
            <w:shd w:fill="auto" w:val="clear"/>
            <w:vAlign w:val="bottom"/>
          </w:tcPr>
          <w:p>
            <w:pPr>
              <w:pStyle w:val="TableContents"/>
              <w:spacing w:before="0" w:after="283"/>
              <w:jc w:val="right"/>
              <w:rPr/>
            </w:pPr>
            <w:r>
              <w:rPr/>
              <w:t>49.4</w:t>
            </w:r>
          </w:p>
        </w:tc>
        <w:tc>
          <w:tcPr>
            <w:tcW w:w="123" w:type="dxa"/>
            <w:tcBorders/>
            <w:shd w:fill="auto" w:val="clear"/>
            <w:vAlign w:val="bottom"/>
          </w:tcPr>
          <w:p>
            <w:pPr>
              <w:pStyle w:val="TableContents"/>
              <w:spacing w:before="0" w:after="283"/>
              <w:rPr/>
            </w:pPr>
            <w:r>
              <w:rPr/>
              <w:t> </w:t>
            </w:r>
          </w:p>
        </w:tc>
      </w:tr>
      <w:tr>
        <w:trPr/>
        <w:tc>
          <w:tcPr>
            <w:tcW w:w="6781"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11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9"/>
        <w:gridCol w:w="2195"/>
        <w:gridCol w:w="1371"/>
      </w:tblGrid>
      <w:tr>
        <w:trPr/>
        <w:tc>
          <w:tcPr>
            <w:tcW w:w="6639"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39" w:type="dxa"/>
            <w:tcBorders/>
            <w:shd w:fill="auto" w:val="clear"/>
          </w:tcPr>
          <w:p>
            <w:pPr>
              <w:pStyle w:val="TableContents"/>
              <w:spacing w:before="0" w:after="283"/>
              <w:jc w:val="left"/>
              <w:rPr>
                <w:position w:val="8"/>
                <w:sz w:val="19"/>
              </w:rPr>
            </w:pPr>
            <w:r>
              <w:rPr>
                <w:position w:val="8"/>
                <w:sz w:val="19"/>
              </w:rPr>
              <w:t>(1)</w:t>
            </w:r>
          </w:p>
        </w:tc>
        <w:tc>
          <w:tcPr>
            <w:tcW w:w="2195"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The amount for the first quarter of 2007 includes purchase price adjustments of approximately $7 million related to 2006 acquisitions.</w:t>
            </w:r>
          </w:p>
        </w:tc>
      </w:tr>
      <w:tr>
        <w:trPr/>
        <w:tc>
          <w:tcPr>
            <w:tcW w:w="6639" w:type="dxa"/>
            <w:tcBorders/>
            <w:shd w:fill="auto" w:val="clear"/>
            <w:vAlign w:val="center"/>
          </w:tcPr>
          <w:p>
            <w:pPr>
              <w:pStyle w:val="TableContents"/>
              <w:spacing w:before="0" w:after="283"/>
              <w:rPr/>
            </w:pPr>
            <w:r>
              <w:rPr/>
              <w:t> </w:t>
            </w:r>
          </w:p>
        </w:tc>
        <w:tc>
          <w:tcPr>
            <w:tcW w:w="3566" w:type="dxa"/>
            <w:gridSpan w:val="2"/>
            <w:tcBorders/>
            <w:shd w:fill="auto" w:val="clear"/>
          </w:tcPr>
          <w:p>
            <w:pPr>
              <w:pStyle w:val="TableContents"/>
              <w:spacing w:before="0" w:after="283"/>
              <w:rPr>
                <w:sz w:val="4"/>
                <w:szCs w:val="4"/>
              </w:rPr>
            </w:pPr>
            <w:r>
              <w:rPr>
                <w:sz w:val="4"/>
                <w:szCs w:val="4"/>
              </w:rPr>
            </w:r>
          </w:p>
        </w:tc>
      </w:tr>
      <w:tr>
        <w:trPr/>
        <w:tc>
          <w:tcPr>
            <w:tcW w:w="6639" w:type="dxa"/>
            <w:tcBorders/>
            <w:shd w:fill="auto" w:val="clear"/>
          </w:tcPr>
          <w:p>
            <w:pPr>
              <w:pStyle w:val="TableContents"/>
              <w:spacing w:before="0" w:after="283"/>
              <w:jc w:val="left"/>
              <w:rPr>
                <w:position w:val="8"/>
                <w:sz w:val="19"/>
              </w:rPr>
            </w:pPr>
            <w:r>
              <w:rPr>
                <w:position w:val="8"/>
                <w:sz w:val="19"/>
              </w:rPr>
              <w:t>(2)</w:t>
            </w:r>
          </w:p>
        </w:tc>
        <w:tc>
          <w:tcPr>
            <w:tcW w:w="2195"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During the first quarter of 2006 we paid approximately $17 million into escrow for an acquisition that closed in April 2006.</w:t>
            </w:r>
          </w:p>
        </w:tc>
      </w:tr>
    </w:tbl>
    <w:p>
      <w:pPr>
        <w:pStyle w:val="TextBody"/>
        <w:spacing w:before="120" w:after="283"/>
        <w:jc w:val="left"/>
        <w:rPr/>
      </w:pPr>
      <w:r>
        <w:rPr/>
        <w:t>     </w:t>
      </w:r>
      <w:r>
        <w:rPr>
          <w:rFonts w:ascii="Times New Roman;Times;serif" w:hAnsi="Times New Roman;Times;serif"/>
          <w:b/>
          <w:i/>
          <w:sz w:val="17"/>
        </w:rPr>
        <w:t>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During the first quarter of 2007, we acquired (i) certain commercial refined products supply and marketing businesses (which are reflected in our marketing segment) for approximately $8 million in cash (including approximately $7 million of goodwill) and (ii) a trucking business (which is reflected in our transportation segment) for approximately $9 million in cash (including approximately $4 million of goodwill). Also, during the first quarter of 2007, we signed an agreement to acquire the Bumstead LPG storage facility located near Phoenix, Arizona for approximately $52 million. The acquisition is expected to close early in the second half of 2007 and will be reflected in our facilities segment.</w:t>
      </w:r>
    </w:p>
    <w:p>
      <w:pPr>
        <w:pStyle w:val="TextBody"/>
        <w:spacing w:before="120" w:after="283"/>
        <w:jc w:val="left"/>
        <w:rPr/>
      </w:pPr>
      <w:r>
        <w:rPr/>
        <w:t>     </w:t>
      </w:r>
      <w:r>
        <w:rPr>
          <w:rFonts w:ascii="Times New Roman;Times;serif" w:hAnsi="Times New Roman;Times;serif"/>
          <w:b/>
          <w:i/>
          <w:sz w:val="17"/>
        </w:rPr>
        <w:t>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Capital expenditures for expansion projects are forecast to be approximately $500 million during calendar 2007, of which approximately $131 million was incurred in the first three months. These projects include the construction and expansion of pipeline systems and crude oil and LPG storage facilities. Following are some of the more notable projects to be undertaken in 2007 and the estimated expenditures for the year (in millions): </w:t>
      </w:r>
    </w:p>
    <w:tbl>
      <w:tblPr>
        <w:tblW w:w="5000" w:type="pct"/>
        <w:jc w:val="center"/>
        <w:tblInd w:w="0" w:type="dxa"/>
        <w:tblCellMar>
          <w:top w:w="0" w:type="dxa"/>
          <w:left w:w="0" w:type="dxa"/>
          <w:bottom w:w="0" w:type="dxa"/>
          <w:right w:w="0" w:type="dxa"/>
        </w:tblCellMar>
      </w:tblPr>
      <w:tblGrid>
        <w:gridCol w:w="8722"/>
        <w:gridCol w:w="499"/>
        <w:gridCol w:w="145"/>
        <w:gridCol w:w="720"/>
        <w:gridCol w:w="119"/>
      </w:tblGrid>
      <w:tr>
        <w:trPr/>
        <w:tc>
          <w:tcPr>
            <w:tcW w:w="8722"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8722" w:type="dxa"/>
            <w:tcBorders>
              <w:bottom w:val="single" w:sz="2" w:space="0" w:color="000000"/>
            </w:tcBorders>
            <w:shd w:fill="auto" w:val="clear"/>
            <w:tcMar>
              <w:bottom w:w="28" w:type="dxa"/>
            </w:tcMar>
            <w:vAlign w:val="bottom"/>
          </w:tcPr>
          <w:p>
            <w:pPr>
              <w:pStyle w:val="TableContents"/>
              <w:spacing w:before="0" w:after="0"/>
              <w:jc w:val="left"/>
              <w:rPr>
                <w:b/>
                <w:bdr w:val="single" w:sz="2" w:space="1" w:color="000000"/>
              </w:rPr>
            </w:pPr>
            <w:r>
              <w:rPr>
                <w:b/>
                <w:bdr w:val="single" w:sz="2" w:space="1" w:color="000000"/>
              </w:rPr>
              <w:t>Projects</w:t>
            </w:r>
          </w:p>
        </w:tc>
        <w:tc>
          <w:tcPr>
            <w:tcW w:w="499" w:type="dxa"/>
            <w:tcBorders/>
            <w:shd w:fill="auto" w:val="clear"/>
            <w:vAlign w:val="bottom"/>
          </w:tcPr>
          <w:p>
            <w:pPr>
              <w:pStyle w:val="TableContents"/>
              <w:spacing w:before="0" w:after="283"/>
              <w:rPr/>
            </w:pPr>
            <w:r>
              <w:rPr/>
              <w:t> </w:t>
            </w:r>
          </w:p>
        </w:tc>
        <w:tc>
          <w:tcPr>
            <w:tcW w:w="8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St. James, Louisiana Crude Oil Storage Facility</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w:t>
            </w:r>
          </w:p>
        </w:tc>
        <w:tc>
          <w:tcPr>
            <w:tcW w:w="720" w:type="dxa"/>
            <w:tcBorders/>
            <w:shd w:fill="CCEEFF" w:val="clear"/>
            <w:vAlign w:val="bottom"/>
          </w:tcPr>
          <w:p>
            <w:pPr>
              <w:pStyle w:val="TableContents"/>
              <w:spacing w:before="0" w:after="283"/>
              <w:jc w:val="right"/>
              <w:rPr/>
            </w:pPr>
            <w:r>
              <w:rPr/>
              <w:t>75.0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Salt Lake City Pipeline Expansion</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55.0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Patoka Crude Oil Tankage</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40.0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Cheyenne Pipeline Expansion</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39.0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Fort Laramie Tank Expansion</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28.0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Martinez Terminal</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27.0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Cushing Tankage - Phase VI</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27.0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West Hynes Tanks</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15.0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High Prairie Rail Terminal</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12.0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Kerrobert Tankage</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10.0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Pier 400</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10.0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bottom"/>
          </w:tcPr>
          <w:p>
            <w:pPr>
              <w:pStyle w:val="TableContents"/>
              <w:spacing w:before="0" w:after="0"/>
              <w:ind w:left="225" w:right="0" w:hanging="225"/>
              <w:rPr/>
            </w:pPr>
            <w:r>
              <w:rPr/>
              <w:t>Paulsboro Expansion</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8.0</w:t>
            </w:r>
          </w:p>
        </w:tc>
        <w:tc>
          <w:tcPr>
            <w:tcW w:w="119" w:type="dxa"/>
            <w:tcBorders/>
            <w:shd w:fill="auto" w:val="clear"/>
            <w:vAlign w:val="bottom"/>
          </w:tcPr>
          <w:p>
            <w:pPr>
              <w:pStyle w:val="TableContents"/>
              <w:spacing w:before="0" w:after="283"/>
              <w:rPr/>
            </w:pPr>
            <w:r>
              <w:rPr/>
              <w:t> </w:t>
            </w:r>
          </w:p>
        </w:tc>
      </w:tr>
      <w:tr>
        <w:trPr/>
        <w:tc>
          <w:tcPr>
            <w:tcW w:w="8722" w:type="dxa"/>
            <w:tcBorders/>
            <w:shd w:fill="CCEEFF" w:val="clear"/>
            <w:vAlign w:val="bottom"/>
          </w:tcPr>
          <w:p>
            <w:pPr>
              <w:pStyle w:val="TableContents"/>
              <w:spacing w:before="0" w:after="0"/>
              <w:ind w:left="225" w:right="0" w:hanging="225"/>
              <w:rPr/>
            </w:pPr>
            <w:r>
              <w:rPr/>
              <w:t>Other Projects</w:t>
            </w:r>
          </w:p>
        </w:tc>
        <w:tc>
          <w:tcPr>
            <w:tcW w:w="4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pPr>
            <w:r>
              <w:rPr/>
              <w:t>154.0</w:t>
            </w:r>
          </w:p>
        </w:tc>
        <w:tc>
          <w:tcPr>
            <w:tcW w:w="119" w:type="dxa"/>
            <w:tcBorders/>
            <w:shd w:fill="CCEEFF" w:val="clear"/>
            <w:vAlign w:val="bottom"/>
          </w:tcPr>
          <w:p>
            <w:pPr>
              <w:pStyle w:val="TableContents"/>
              <w:spacing w:before="0" w:after="283"/>
              <w:rPr/>
            </w:pPr>
            <w:r>
              <w:rPr/>
              <w:t> </w:t>
            </w:r>
          </w:p>
        </w:tc>
      </w:tr>
      <w:tr>
        <w:trPr/>
        <w:tc>
          <w:tcPr>
            <w:tcW w:w="8722" w:type="dxa"/>
            <w:tcBorders/>
            <w:shd w:fill="auto" w:val="clear"/>
            <w:vAlign w:val="center"/>
          </w:tcPr>
          <w:p>
            <w:pPr>
              <w:pStyle w:val="TableContents"/>
              <w:spacing w:before="0" w:after="0"/>
              <w:ind w:left="225" w:right="0" w:hanging="225"/>
              <w:rPr/>
            </w:pPr>
            <w:r>
              <w:rPr/>
              <w:t> </w:t>
            </w:r>
          </w:p>
        </w:tc>
        <w:tc>
          <w:tcPr>
            <w:tcW w:w="499" w:type="dxa"/>
            <w:tcBorders/>
            <w:shd w:fill="auto" w:val="clear"/>
            <w:vAlign w:val="center"/>
          </w:tcPr>
          <w:p>
            <w:pPr>
              <w:pStyle w:val="TableContents"/>
              <w:spacing w:before="0" w:after="283"/>
              <w:rPr/>
            </w:pPr>
            <w:r>
              <w:rPr/>
              <w:t> </w:t>
            </w:r>
          </w:p>
        </w:tc>
        <w:tc>
          <w:tcPr>
            <w:tcW w:w="8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8722" w:type="dxa"/>
            <w:tcBorders/>
            <w:shd w:fill="auto" w:val="clear"/>
            <w:vAlign w:val="bottom"/>
          </w:tcPr>
          <w:p>
            <w:pPr>
              <w:pStyle w:val="TableContents"/>
              <w:spacing w:before="0" w:after="0"/>
              <w:ind w:left="450" w:right="0" w:hanging="225"/>
              <w:rPr/>
            </w:pPr>
            <w:r>
              <w:rPr/>
              <w:t>Total</w:t>
            </w:r>
          </w:p>
        </w:tc>
        <w:tc>
          <w:tcPr>
            <w:tcW w:w="49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pPr>
            <w:r>
              <w:rPr/>
              <w:t>$500.0</w:t>
            </w:r>
          </w:p>
        </w:tc>
        <w:tc>
          <w:tcPr>
            <w:tcW w:w="119" w:type="dxa"/>
            <w:tcBorders/>
            <w:shd w:fill="auto" w:val="clear"/>
            <w:vAlign w:val="bottom"/>
          </w:tcPr>
          <w:p>
            <w:pPr>
              <w:pStyle w:val="TableContents"/>
              <w:spacing w:before="0" w:after="283"/>
              <w:rPr/>
            </w:pPr>
            <w:r>
              <w:rPr/>
              <w:t> </w:t>
            </w:r>
          </w:p>
        </w:tc>
      </w:tr>
      <w:tr>
        <w:trPr/>
        <w:tc>
          <w:tcPr>
            <w:tcW w:w="8722" w:type="dxa"/>
            <w:tcBorders/>
            <w:shd w:fill="auto" w:val="clear"/>
            <w:vAlign w:val="center"/>
          </w:tcPr>
          <w:p>
            <w:pPr>
              <w:pStyle w:val="TableContents"/>
              <w:spacing w:before="0" w:after="0"/>
              <w:ind w:left="225" w:right="0" w:hanging="225"/>
              <w:rPr/>
            </w:pPr>
            <w:r>
              <w:rPr/>
              <w:t> </w:t>
            </w:r>
          </w:p>
        </w:tc>
        <w:tc>
          <w:tcPr>
            <w:tcW w:w="499" w:type="dxa"/>
            <w:tcBorders/>
            <w:shd w:fill="auto" w:val="clear"/>
            <w:vAlign w:val="center"/>
          </w:tcPr>
          <w:p>
            <w:pPr>
              <w:pStyle w:val="TableContents"/>
              <w:spacing w:before="0" w:after="283"/>
              <w:rPr/>
            </w:pPr>
            <w:r>
              <w:rPr/>
              <w:t> </w:t>
            </w:r>
          </w:p>
        </w:tc>
        <w:tc>
          <w:tcPr>
            <w:tcW w:w="8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We do not expect these projects to contribute significantly to net income or cash flow from operations in 2007, but expect them to have a more significant impact in 2008.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Analysis of Operating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13 to our Consolidated Financial Statements for a discussion on how we evaluate our segment performance and for a reconciliation of segment profit to consolidated income before cumulative effect of change in accounting principle.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Transportation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March 31, 2007, we owned active gathering and mainline crude oil and refined products pipelines located throughout the United States and Canada as well as active above-ground crude oil, refined products and LPG storage tanks, of which approximately half are utilized in our transportation segment. Our activities from transportation operations generally consist of (i) transporting crude oil and refined products for a fee; (ii) third-party leases of pipeline capacity (collectively referred to as tariff activities); (iii) the transportation of crude oil for third parties for a fee using our trucks; and (iv) barge transportation services provided by Settoon Towing (we own a 50% equity investment in Settoon Towing). Our transportation segment also includes our equity in earnings from our minority interests in the Butte and Frontier pipeline systems. In connection with certain of our merchant activities conducted under our marketing business, we are also shippers on a number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costs of operating the pipeline. Segment profit from our pipeline capacity leases generally reflects a negotiated amount.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Transportation segment for the periods indicated: </w:t>
      </w:r>
    </w:p>
    <w:tbl>
      <w:tblPr>
        <w:tblW w:w="5000" w:type="pct"/>
        <w:jc w:val="center"/>
        <w:tblInd w:w="0" w:type="dxa"/>
        <w:tblCellMar>
          <w:top w:w="0" w:type="dxa"/>
          <w:left w:w="0" w:type="dxa"/>
          <w:bottom w:w="0" w:type="dxa"/>
          <w:right w:w="0" w:type="dxa"/>
        </w:tblCellMar>
      </w:tblPr>
      <w:tblGrid>
        <w:gridCol w:w="6861"/>
        <w:gridCol w:w="439"/>
        <w:gridCol w:w="198"/>
        <w:gridCol w:w="876"/>
        <w:gridCol w:w="160"/>
        <w:gridCol w:w="453"/>
        <w:gridCol w:w="198"/>
        <w:gridCol w:w="878"/>
        <w:gridCol w:w="142"/>
      </w:tblGrid>
      <w:tr>
        <w:trPr/>
        <w:tc>
          <w:tcPr>
            <w:tcW w:w="686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763" w:type="dxa"/>
            <w:gridSpan w:val="6"/>
            <w:tcBorders/>
            <w:shd w:fill="auto" w:val="clear"/>
            <w:vAlign w:val="bottom"/>
          </w:tcPr>
          <w:p>
            <w:pPr>
              <w:pStyle w:val="TableContents"/>
              <w:spacing w:before="0" w:after="283"/>
              <w:jc w:val="center"/>
              <w:rPr>
                <w:b/>
              </w:rPr>
            </w:pPr>
            <w:r>
              <w:rPr>
                <w:b/>
              </w:rPr>
              <w:t>Three Months Ended</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76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225" w:right="0" w:hanging="225"/>
              <w:rPr/>
            </w:pPr>
            <w:r>
              <w:rPr>
                <w:b/>
              </w:rPr>
              <w:t xml:space="preserve">Operating Results </w:t>
            </w:r>
            <w:r>
              <w:rPr/>
              <w:t>(1) (in millions)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225" w:right="0" w:hanging="225"/>
              <w:rPr/>
            </w:pPr>
            <w:r>
              <w:rPr/>
              <w:t> </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Revenues</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675" w:right="0" w:hanging="225"/>
              <w:rPr/>
            </w:pPr>
            <w:r>
              <w:rPr/>
              <w:t>Tariff revenue</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153.0</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95.5</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675" w:right="0" w:hanging="225"/>
              <w:rPr/>
            </w:pPr>
            <w:r>
              <w:rPr/>
              <w:t>Third-party trucking</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25.2</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22.4</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290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861" w:type="dxa"/>
            <w:tcBorders/>
            <w:shd w:fill="CCEEFF" w:val="clear"/>
            <w:vAlign w:val="bottom"/>
          </w:tcPr>
          <w:p>
            <w:pPr>
              <w:pStyle w:val="TableContents"/>
              <w:spacing w:before="0" w:after="0"/>
              <w:ind w:left="450" w:right="0" w:hanging="225"/>
              <w:rPr/>
            </w:pPr>
            <w:r>
              <w:rPr/>
              <w:t>Total transportation revenues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178.2</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117.9</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225" w:right="0" w:hanging="225"/>
              <w:rPr/>
            </w:pPr>
            <w:r>
              <w:rPr/>
              <w:t> </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Costs and Expenses</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675" w:right="0" w:hanging="225"/>
              <w:rPr/>
            </w:pPr>
            <w:r>
              <w:rPr/>
              <w:t>Third-party trucking costs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(17.5</w:t>
            </w:r>
          </w:p>
        </w:tc>
        <w:tc>
          <w:tcPr>
            <w:tcW w:w="160" w:type="dxa"/>
            <w:tcBorders/>
            <w:shd w:fill="CCEEFF" w:val="clear"/>
            <w:vAlign w:val="bottom"/>
          </w:tcPr>
          <w:p>
            <w:pPr>
              <w:pStyle w:val="TableContents"/>
              <w:spacing w:before="0" w:after="283"/>
              <w:rPr/>
            </w:pPr>
            <w:r>
              <w:rPr/>
              <w:t>)</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(18.2</w:t>
            </w:r>
          </w:p>
        </w:tc>
        <w:tc>
          <w:tcPr>
            <w:tcW w:w="142" w:type="dxa"/>
            <w:tcBorders/>
            <w:shd w:fill="CCEEFF" w:val="clear"/>
            <w:vAlign w:val="bottom"/>
          </w:tcPr>
          <w:p>
            <w:pPr>
              <w:pStyle w:val="TableContents"/>
              <w:spacing w:before="0" w:after="283"/>
              <w:rPr/>
            </w:pPr>
            <w:r>
              <w:rPr/>
              <w:t>)</w:t>
            </w:r>
          </w:p>
        </w:tc>
      </w:tr>
      <w:tr>
        <w:trPr/>
        <w:tc>
          <w:tcPr>
            <w:tcW w:w="6861" w:type="dxa"/>
            <w:tcBorders/>
            <w:shd w:fill="auto" w:val="clear"/>
            <w:vAlign w:val="bottom"/>
          </w:tcPr>
          <w:p>
            <w:pPr>
              <w:pStyle w:val="TableContents"/>
              <w:spacing w:before="0" w:after="0"/>
              <w:ind w:left="675" w:right="0" w:hanging="225"/>
              <w:rPr/>
            </w:pPr>
            <w:r>
              <w:rPr/>
              <w:t>Field operating costs (excluding LTIP charge)</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(66.4</w:t>
            </w:r>
          </w:p>
        </w:tc>
        <w:tc>
          <w:tcPr>
            <w:tcW w:w="160" w:type="dxa"/>
            <w:tcBorders/>
            <w:shd w:fill="auto" w:val="clear"/>
            <w:vAlign w:val="bottom"/>
          </w:tcPr>
          <w:p>
            <w:pPr>
              <w:pStyle w:val="TableContents"/>
              <w:spacing w:before="0" w:after="283"/>
              <w:rPr/>
            </w:pPr>
            <w:r>
              <w:rPr/>
              <w:t>)</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(46.9</w:t>
            </w:r>
          </w:p>
        </w:tc>
        <w:tc>
          <w:tcPr>
            <w:tcW w:w="142" w:type="dxa"/>
            <w:tcBorders/>
            <w:shd w:fill="auto" w:val="clear"/>
            <w:vAlign w:val="bottom"/>
          </w:tcPr>
          <w:p>
            <w:pPr>
              <w:pStyle w:val="TableContents"/>
              <w:spacing w:before="0" w:after="283"/>
              <w:rPr/>
            </w:pPr>
            <w:r>
              <w:rPr/>
              <w:t>)</w:t>
            </w:r>
          </w:p>
        </w:tc>
      </w:tr>
      <w:tr>
        <w:trPr/>
        <w:tc>
          <w:tcPr>
            <w:tcW w:w="6861" w:type="dxa"/>
            <w:tcBorders/>
            <w:shd w:fill="CCEEFF" w:val="clear"/>
            <w:vAlign w:val="bottom"/>
          </w:tcPr>
          <w:p>
            <w:pPr>
              <w:pStyle w:val="TableContents"/>
              <w:spacing w:before="0" w:after="0"/>
              <w:ind w:left="675" w:right="0" w:hanging="225"/>
              <w:rPr/>
            </w:pPr>
            <w:r>
              <w:rPr/>
              <w:t>LTIP charge  operations (2)</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(2.1</w:t>
            </w:r>
          </w:p>
        </w:tc>
        <w:tc>
          <w:tcPr>
            <w:tcW w:w="160" w:type="dxa"/>
            <w:tcBorders/>
            <w:shd w:fill="CCEEFF" w:val="clear"/>
            <w:vAlign w:val="bottom"/>
          </w:tcPr>
          <w:p>
            <w:pPr>
              <w:pStyle w:val="TableContents"/>
              <w:spacing w:before="0" w:after="283"/>
              <w:rPr/>
            </w:pPr>
            <w:r>
              <w:rPr/>
              <w:t>)</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(1.1</w:t>
            </w:r>
          </w:p>
        </w:tc>
        <w:tc>
          <w:tcPr>
            <w:tcW w:w="142" w:type="dxa"/>
            <w:tcBorders/>
            <w:shd w:fill="CCEEFF" w:val="clear"/>
            <w:vAlign w:val="bottom"/>
          </w:tcPr>
          <w:p>
            <w:pPr>
              <w:pStyle w:val="TableContents"/>
              <w:spacing w:before="0" w:after="283"/>
              <w:rPr/>
            </w:pPr>
            <w:r>
              <w:rPr/>
              <w:t>)</w:t>
            </w:r>
          </w:p>
        </w:tc>
      </w:tr>
      <w:tr>
        <w:trPr/>
        <w:tc>
          <w:tcPr>
            <w:tcW w:w="6861" w:type="dxa"/>
            <w:tcBorders/>
            <w:shd w:fill="auto" w:val="clear"/>
            <w:vAlign w:val="bottom"/>
          </w:tcPr>
          <w:p>
            <w:pPr>
              <w:pStyle w:val="TableContents"/>
              <w:spacing w:before="0" w:after="0"/>
              <w:ind w:left="675" w:right="0" w:hanging="225"/>
              <w:rPr/>
            </w:pPr>
            <w:r>
              <w:rPr/>
              <w:t>Segment G&amp;A expenses (excluding LTIP charge) (3)</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(12.6</w:t>
            </w:r>
          </w:p>
        </w:tc>
        <w:tc>
          <w:tcPr>
            <w:tcW w:w="160" w:type="dxa"/>
            <w:tcBorders/>
            <w:shd w:fill="auto" w:val="clear"/>
            <w:vAlign w:val="bottom"/>
          </w:tcPr>
          <w:p>
            <w:pPr>
              <w:pStyle w:val="TableContents"/>
              <w:spacing w:before="0" w:after="283"/>
              <w:rPr/>
            </w:pPr>
            <w:r>
              <w:rPr/>
              <w:t>)</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(9.9</w:t>
            </w:r>
          </w:p>
        </w:tc>
        <w:tc>
          <w:tcPr>
            <w:tcW w:w="142" w:type="dxa"/>
            <w:tcBorders/>
            <w:shd w:fill="auto" w:val="clear"/>
            <w:vAlign w:val="bottom"/>
          </w:tcPr>
          <w:p>
            <w:pPr>
              <w:pStyle w:val="TableContents"/>
              <w:spacing w:before="0" w:after="283"/>
              <w:rPr/>
            </w:pPr>
            <w:r>
              <w:rPr/>
              <w:t>)</w:t>
            </w:r>
          </w:p>
        </w:tc>
      </w:tr>
      <w:tr>
        <w:trPr/>
        <w:tc>
          <w:tcPr>
            <w:tcW w:w="6861" w:type="dxa"/>
            <w:tcBorders/>
            <w:shd w:fill="CCEEFF" w:val="clear"/>
            <w:vAlign w:val="bottom"/>
          </w:tcPr>
          <w:p>
            <w:pPr>
              <w:pStyle w:val="TableContents"/>
              <w:spacing w:before="0" w:after="0"/>
              <w:ind w:left="675" w:right="0" w:hanging="225"/>
              <w:rPr/>
            </w:pPr>
            <w:r>
              <w:rPr/>
              <w:t>LTIP charge  general and administrative (2)</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(7.4</w:t>
            </w:r>
          </w:p>
        </w:tc>
        <w:tc>
          <w:tcPr>
            <w:tcW w:w="160" w:type="dxa"/>
            <w:tcBorders/>
            <w:shd w:fill="CCEEFF" w:val="clear"/>
            <w:vAlign w:val="bottom"/>
          </w:tcPr>
          <w:p>
            <w:pPr>
              <w:pStyle w:val="TableContents"/>
              <w:spacing w:before="0" w:after="283"/>
              <w:rPr/>
            </w:pPr>
            <w:r>
              <w:rPr/>
              <w:t>)</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(4.0</w:t>
            </w:r>
          </w:p>
        </w:tc>
        <w:tc>
          <w:tcPr>
            <w:tcW w:w="142" w:type="dxa"/>
            <w:tcBorders/>
            <w:shd w:fill="CCEEFF" w:val="clear"/>
            <w:vAlign w:val="bottom"/>
          </w:tcPr>
          <w:p>
            <w:pPr>
              <w:pStyle w:val="TableContents"/>
              <w:spacing w:before="0" w:after="283"/>
              <w:rPr/>
            </w:pPr>
            <w:r>
              <w:rPr/>
              <w:t>)</w:t>
            </w:r>
          </w:p>
        </w:tc>
      </w:tr>
      <w:tr>
        <w:trPr/>
        <w:tc>
          <w:tcPr>
            <w:tcW w:w="6861" w:type="dxa"/>
            <w:tcBorders/>
            <w:shd w:fill="auto" w:val="clear"/>
            <w:vAlign w:val="bottom"/>
          </w:tcPr>
          <w:p>
            <w:pPr>
              <w:pStyle w:val="TableContents"/>
              <w:spacing w:before="0" w:after="0"/>
              <w:ind w:left="450" w:right="0" w:hanging="225"/>
              <w:rPr/>
            </w:pPr>
            <w:r>
              <w:rPr/>
              <w:t>Equity earnings in unconsolidated entities</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0.9</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0.3</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Segment profit</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73.1</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38.1</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Maintenance capital</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3.2</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3.0</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Segment profit per barrel</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0.31</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0.23</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auto" w:val="clear"/>
            <w:vAlign w:val="bottom"/>
          </w:tcPr>
          <w:p>
            <w:pPr>
              <w:pStyle w:val="TableContents"/>
              <w:spacing w:before="0" w:after="0"/>
              <w:ind w:left="225" w:right="0" w:hanging="225"/>
              <w:rPr/>
            </w:pPr>
            <w:r>
              <w:rPr/>
              <w:t> </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225" w:right="0" w:hanging="225"/>
              <w:rPr/>
            </w:pPr>
            <w:r>
              <w:rPr>
                <w:b/>
              </w:rPr>
              <w:t xml:space="preserve">Average Daily Volumes </w:t>
            </w:r>
            <w:r>
              <w:rPr/>
              <w:t>(thousands of barrels per day)(4)</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Tariff activities: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All American</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50</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44</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Basin</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342</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314</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BOA/CAM</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181</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N/A</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Capline</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235</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86</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Line 63 / 2000</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181</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N/A</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Salt Lake City</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61</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N/A</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North Dakota/Trenton</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95</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82</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West Texas/New Mexico area systems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368</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399</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Manito</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74</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66</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Other</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908</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823</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 </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2,495</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1,814</w:t>
            </w:r>
          </w:p>
        </w:tc>
        <w:tc>
          <w:tcPr>
            <w:tcW w:w="142" w:type="dxa"/>
            <w:tcBorders/>
            <w:shd w:fill="auto" w:val="clear"/>
            <w:vAlign w:val="bottom"/>
          </w:tcPr>
          <w:p>
            <w:pPr>
              <w:pStyle w:val="TableContents"/>
              <w:spacing w:before="0" w:after="283"/>
              <w:rPr/>
            </w:pPr>
            <w:r>
              <w:rPr/>
              <w:t> </w:t>
            </w:r>
          </w:p>
        </w:tc>
      </w:tr>
      <w:tr>
        <w:trPr/>
        <w:tc>
          <w:tcPr>
            <w:tcW w:w="6861" w:type="dxa"/>
            <w:tcBorders/>
            <w:shd w:fill="CCEEFF" w:val="clear"/>
            <w:vAlign w:val="bottom"/>
          </w:tcPr>
          <w:p>
            <w:pPr>
              <w:pStyle w:val="TableContents"/>
              <w:spacing w:before="0" w:after="0"/>
              <w:ind w:left="450" w:right="0" w:hanging="225"/>
              <w:rPr/>
            </w:pPr>
            <w:r>
              <w:rPr/>
              <w:t>Refined Products</w:t>
            </w:r>
          </w:p>
        </w:tc>
        <w:tc>
          <w:tcPr>
            <w:tcW w:w="4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115</w:t>
            </w:r>
          </w:p>
        </w:tc>
        <w:tc>
          <w:tcPr>
            <w:tcW w:w="16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N/A</w:t>
            </w:r>
          </w:p>
        </w:tc>
        <w:tc>
          <w:tcPr>
            <w:tcW w:w="142" w:type="dxa"/>
            <w:tcBorders/>
            <w:shd w:fill="CCEEFF"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61" w:type="dxa"/>
            <w:tcBorders/>
            <w:shd w:fill="auto" w:val="clear"/>
            <w:vAlign w:val="bottom"/>
          </w:tcPr>
          <w:p>
            <w:pPr>
              <w:pStyle w:val="TableContents"/>
              <w:spacing w:before="0" w:after="0"/>
              <w:ind w:left="450" w:right="0" w:hanging="225"/>
              <w:rPr/>
            </w:pPr>
            <w:r>
              <w:rPr/>
              <w:t>Total tariff activities</w:t>
            </w:r>
          </w:p>
        </w:tc>
        <w:tc>
          <w:tcPr>
            <w:tcW w:w="4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2,610</w:t>
            </w:r>
          </w:p>
        </w:tc>
        <w:tc>
          <w:tcPr>
            <w:tcW w:w="16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1,814</w:t>
            </w:r>
          </w:p>
        </w:tc>
        <w:tc>
          <w:tcPr>
            <w:tcW w:w="142" w:type="dxa"/>
            <w:tcBorders/>
            <w:shd w:fill="auto" w:val="clear"/>
            <w:vAlign w:val="bottom"/>
          </w:tcPr>
          <w:p>
            <w:pPr>
              <w:pStyle w:val="TableContents"/>
              <w:spacing w:before="0" w:after="283"/>
              <w:rPr/>
            </w:pPr>
            <w:r>
              <w:rPr/>
              <w:t> </w:t>
            </w:r>
          </w:p>
        </w:tc>
      </w:tr>
      <w:tr>
        <w:trPr/>
        <w:tc>
          <w:tcPr>
            <w:tcW w:w="6861"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and purchases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LTIP.</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Segment profit, our primary measure of segment performance, was impacted in the first quarter of 2007 compared to the first quarter of 2006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volumes and related tariff revenues  The increase in tariff revenues resulted from (i) higher volumes primarily from multi-year contracts on our Basin and Capline systems entered into during the second quarter of 2006, (ii) increased volumes associated with the acquisition of systems in the second, third and fourth quarters of 2006, (iii) higher volumes on various other systems, (iv) an annual tariff escalation, and (v) increased revenues from loss allowance oil.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subsequent sales of allowance oil barrels are also included in tariff revenues. Increased volumes during the first quarter of 2007 as compared to the first quarter of 2006 have resulted in increased revenues related to loss allowance oil.</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field operating costs  Field operating costs have increased for most categories of costs for the first quarter of 2007 compared to the first quarter of 2006 as we have continued to grow through acquisitions and expansion projects. The most significant cost increases in the first quarter of 2007 have been related to (i) payroll and benefits, (ii) utilities, (iii) pipeline integrity work, and (iv) property taxes. Payroll and benefits increased approximately $7 million primarily due to the 2006 acquisitions.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segment G&amp;A expenses  Segment G&amp;A expenses excluding LTIP charges increased in the first quarter of 2007 compared to the first quarter of 2006 primarily due to payroll and benefits relating to our growth through acquisitions.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LTIP expenses  LTIP charges included in field operating costs and segment G&amp;A expenses increased approximately $4 million in the first quarter of 2007 over the first quarter of 2006, primarily as a result of additional units issued and an increase in our unit price to $57.61 at March 31, 2007 from $51.20 at December 31, 2006. The first quarter of 2007 includes a catch-up expense associated with the increase in the price of the units. See Note 8 to our Consolidated Financial Statements.</w:t>
            </w:r>
          </w:p>
        </w:tc>
      </w:tr>
    </w:tbl>
    <w:p>
      <w:pPr>
        <w:pStyle w:val="TextBody"/>
        <w:spacing w:before="120" w:after="283"/>
        <w:jc w:val="left"/>
        <w:rPr/>
      </w:pPr>
      <w:r>
        <w:rPr/>
        <w:t>     </w:t>
      </w:r>
      <w:r>
        <w:rPr>
          <w:rFonts w:ascii="Times New Roman;Times;serif" w:hAnsi="Times New Roman;Times;serif"/>
          <w:sz w:val="17"/>
        </w:rPr>
        <w:t xml:space="preserve">In the first quarter of 2007, average daily volumes from our tariff activities increased by approximately 800,000 barrels per day or 44% and tariff revenues increased by approximately $58 million or 60%. The increase in volumes and tariff revenues is attributable to a combination of the following factors: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sz w:val="4"/>
                <w:szCs w:val="4"/>
              </w:rPr>
            </w:pPr>
            <w:r>
              <w:rPr>
                <w:sz w:val="4"/>
                <w:szCs w:val="4"/>
              </w:rPr>
            </w:r>
          </w:p>
        </w:tc>
        <w:tc>
          <w:tcPr>
            <w:tcW w:w="9594" w:type="dxa"/>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Pipeline systems acquired or brought into service during the last nine months of 2006, which contributed approximately 714,000 barrels per day and $45 million of revenues during the first quarter of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Volumes and revenues from pipeline systems in which we entered into new multi-year contracts with shippers;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An increase of approximately $2 million from our loss allowance oil primarily resulting from increased volumes.</w:t>
            </w:r>
          </w:p>
        </w:tc>
      </w:tr>
    </w:tbl>
    <w:p>
      <w:pPr>
        <w:pStyle w:val="TextBody"/>
        <w:spacing w:before="240" w:after="283"/>
        <w:jc w:val="left"/>
        <w:rPr/>
      </w:pPr>
      <w:r>
        <w:rPr/>
        <w:t>     </w:t>
      </w:r>
      <w:r>
        <w:rPr>
          <w:rFonts w:ascii="Times New Roman;Times;serif" w:hAnsi="Times New Roman;Times;serif"/>
          <w:b/>
          <w:i/>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March 31, 2007, we owned active above-ground crude oil, refined products and LPG storage tanks, of which approximately half are included in our facilities segment. The remaining tanks are utilized in our transportation segment. At March 31, 2007, we were in the process of constructing additional above ground terminalling and storage facilities, which we expect to place in service during the remainder of 2007 and during 2008.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Our facilities segment operations generally consist of fee-based activities associated with providing storage, terminalling and throughput services for crude oil, refined products and LPG, as well as LPG fractionation and isomerization services. On a stand-alone basis, segment profit from facilities activities is dependent on the storage capacity leased, volume of throughput and the level of fees for such services. </w:t>
      </w:r>
    </w:p>
    <w:p>
      <w:pPr>
        <w:pStyle w:val="TextBody"/>
        <w:spacing w:before="120" w:after="283"/>
        <w:jc w:val="left"/>
        <w:rPr/>
      </w:pPr>
      <w:r>
        <w:rPr/>
        <w:t>     </w:t>
      </w:r>
      <w:r>
        <w:rPr>
          <w:rFonts w:ascii="Times New Roman;Times;serif" w:hAnsi="Times New Roman;Times;serif"/>
          <w:sz w:val="17"/>
        </w:rPr>
        <w:t xml:space="preserve">We generate fees through a combination of month-to-month and multi-year leases and processing arrangements with third parties and with our marketing segment. Fees generated in this segment include (i) storage fees that are generated when we lease tank capacity and (ii) terminalling fees, or throughput fees, that are generated when we receive crude oil or refined products from one connecting pipeline and redeliver crude oil or refined products to another connecting carrier. </w:t>
      </w:r>
    </w:p>
    <w:p>
      <w:pPr>
        <w:pStyle w:val="TextBody"/>
        <w:spacing w:before="120" w:after="283"/>
        <w:jc w:val="left"/>
        <w:rPr/>
      </w:pPr>
      <w:r>
        <w:rPr/>
        <w:t>     </w:t>
      </w:r>
      <w:r>
        <w:rPr>
          <w:rFonts w:ascii="Times New Roman;Times;serif" w:hAnsi="Times New Roman;Times;serif"/>
          <w:sz w:val="17"/>
        </w:rPr>
        <w:t xml:space="preserve">Our facilities segment also includes our equity earnings from our investment in PAA/Vulcan Gas Storage, LLC (PAA/Vulcan). </w:t>
      </w:r>
    </w:p>
    <w:p>
      <w:pPr>
        <w:pStyle w:val="TextBody"/>
        <w:spacing w:before="120" w:after="283"/>
        <w:jc w:val="left"/>
        <w:rPr/>
      </w:pPr>
      <w:r>
        <w:rPr/>
        <w:t>     </w:t>
      </w:r>
      <w:r>
        <w:rPr>
          <w:rFonts w:ascii="Times New Roman;Times;serif" w:hAnsi="Times New Roman;Times;serif"/>
          <w:sz w:val="17"/>
        </w:rPr>
        <w:t xml:space="preserve">Total revenues for our facilities segment in 2007 have increased compared to 2006. The revenue increase is driven primarily by increased volumes resulting from our acquisition activities and, to a lesser extent, tankage construction projects completed in 2006 and 2007.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facilities segment for the periods indicated: </w:t>
      </w:r>
    </w:p>
    <w:tbl>
      <w:tblPr>
        <w:tblW w:w="5000" w:type="pct"/>
        <w:jc w:val="center"/>
        <w:tblInd w:w="0" w:type="dxa"/>
        <w:tblCellMar>
          <w:top w:w="0" w:type="dxa"/>
          <w:left w:w="0" w:type="dxa"/>
          <w:bottom w:w="0" w:type="dxa"/>
          <w:right w:w="0" w:type="dxa"/>
        </w:tblCellMar>
      </w:tblPr>
      <w:tblGrid>
        <w:gridCol w:w="6779"/>
        <w:gridCol w:w="432"/>
        <w:gridCol w:w="222"/>
        <w:gridCol w:w="924"/>
        <w:gridCol w:w="176"/>
        <w:gridCol w:w="455"/>
        <w:gridCol w:w="222"/>
        <w:gridCol w:w="849"/>
        <w:gridCol w:w="146"/>
      </w:tblGrid>
      <w:tr>
        <w:trPr/>
        <w:tc>
          <w:tcPr>
            <w:tcW w:w="6779"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848" w:type="dxa"/>
            <w:gridSpan w:val="6"/>
            <w:tcBorders/>
            <w:shd w:fill="auto" w:val="clear"/>
            <w:vAlign w:val="bottom"/>
          </w:tcPr>
          <w:p>
            <w:pPr>
              <w:pStyle w:val="TableContents"/>
              <w:spacing w:before="0" w:after="283"/>
              <w:jc w:val="center"/>
              <w:rPr>
                <w:b/>
              </w:rPr>
            </w:pPr>
            <w:r>
              <w:rPr>
                <w:b/>
              </w:rPr>
              <w:t>Three Months Ended</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84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14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0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225" w:right="0" w:hanging="225"/>
              <w:rPr>
                <w:b/>
              </w:rPr>
            </w:pPr>
            <w:r>
              <w:rPr>
                <w:b/>
              </w:rPr>
              <w:t>Operating Results (in millions)</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0"/>
              <w:ind w:left="450" w:right="0" w:hanging="225"/>
              <w:rPr/>
            </w:pPr>
            <w:r>
              <w:rPr/>
              <w:t>Storage and Terminalling Revenues (1)</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45.1</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11.9</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450" w:right="0" w:hanging="225"/>
              <w:rPr/>
            </w:pPr>
            <w:r>
              <w:rPr/>
              <w:t>Field Operating costs (excluding LTIP charge)</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283"/>
              <w:jc w:val="right"/>
              <w:rPr/>
            </w:pPr>
            <w:r>
              <w:rPr/>
              <w:t>(18.9</w:t>
            </w:r>
          </w:p>
        </w:tc>
        <w:tc>
          <w:tcPr>
            <w:tcW w:w="176"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(5.5</w:t>
            </w:r>
          </w:p>
        </w:tc>
        <w:tc>
          <w:tcPr>
            <w:tcW w:w="146" w:type="dxa"/>
            <w:tcBorders/>
            <w:shd w:fill="CCEEFF" w:val="clear"/>
            <w:vAlign w:val="bottom"/>
          </w:tcPr>
          <w:p>
            <w:pPr>
              <w:pStyle w:val="TableContents"/>
              <w:spacing w:before="0" w:after="283"/>
              <w:rPr/>
            </w:pPr>
            <w:r>
              <w:rPr/>
              <w:t>)</w:t>
            </w:r>
          </w:p>
        </w:tc>
      </w:tr>
      <w:tr>
        <w:trPr/>
        <w:tc>
          <w:tcPr>
            <w:tcW w:w="6779" w:type="dxa"/>
            <w:tcBorders/>
            <w:shd w:fill="auto" w:val="clear"/>
            <w:vAlign w:val="bottom"/>
          </w:tcPr>
          <w:p>
            <w:pPr>
              <w:pStyle w:val="TableContents"/>
              <w:spacing w:before="0" w:after="0"/>
              <w:ind w:left="450" w:right="0" w:hanging="225"/>
              <w:rPr/>
            </w:pPr>
            <w:r>
              <w:rPr/>
              <w:t>LTIP charge  operations (3)</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450" w:right="0" w:hanging="225"/>
              <w:rPr/>
            </w:pPr>
            <w:r>
              <w:rPr/>
              <w:t>Segment G&amp;A expenses (excluding LTIP charge) (2)</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283"/>
              <w:jc w:val="right"/>
              <w:rPr/>
            </w:pPr>
            <w:r>
              <w:rPr/>
              <w:t>(4.9</w:t>
            </w:r>
          </w:p>
        </w:tc>
        <w:tc>
          <w:tcPr>
            <w:tcW w:w="176"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(2.5</w:t>
            </w:r>
          </w:p>
        </w:tc>
        <w:tc>
          <w:tcPr>
            <w:tcW w:w="146" w:type="dxa"/>
            <w:tcBorders/>
            <w:shd w:fill="CCEEFF" w:val="clear"/>
            <w:vAlign w:val="bottom"/>
          </w:tcPr>
          <w:p>
            <w:pPr>
              <w:pStyle w:val="TableContents"/>
              <w:spacing w:before="0" w:after="283"/>
              <w:rPr/>
            </w:pPr>
            <w:r>
              <w:rPr/>
              <w:t>)</w:t>
            </w:r>
          </w:p>
        </w:tc>
      </w:tr>
      <w:tr>
        <w:trPr/>
        <w:tc>
          <w:tcPr>
            <w:tcW w:w="6779" w:type="dxa"/>
            <w:tcBorders/>
            <w:shd w:fill="auto" w:val="clear"/>
            <w:vAlign w:val="bottom"/>
          </w:tcPr>
          <w:p>
            <w:pPr>
              <w:pStyle w:val="TableContents"/>
              <w:spacing w:before="0" w:after="0"/>
              <w:ind w:left="450" w:right="0" w:hanging="225"/>
              <w:rPr/>
            </w:pPr>
            <w:r>
              <w:rPr/>
              <w:t>LTIP charge  general and administrative (3)</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(2.1</w:t>
            </w:r>
          </w:p>
        </w:tc>
        <w:tc>
          <w:tcPr>
            <w:tcW w:w="176" w:type="dxa"/>
            <w:tcBorders/>
            <w:shd w:fill="auto" w:val="clear"/>
            <w:vAlign w:val="bottom"/>
          </w:tcPr>
          <w:p>
            <w:pPr>
              <w:pStyle w:val="TableContents"/>
              <w:spacing w:before="0" w:after="283"/>
              <w:rPr/>
            </w:pPr>
            <w:r>
              <w:rPr/>
              <w:t>)</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(1.2</w:t>
            </w:r>
          </w:p>
        </w:tc>
        <w:tc>
          <w:tcPr>
            <w:tcW w:w="146" w:type="dxa"/>
            <w:tcBorders/>
            <w:shd w:fill="auto" w:val="clear"/>
            <w:vAlign w:val="bottom"/>
          </w:tcPr>
          <w:p>
            <w:pPr>
              <w:pStyle w:val="TableContents"/>
              <w:spacing w:before="0" w:after="283"/>
              <w:rPr/>
            </w:pPr>
            <w:r>
              <w:rPr/>
              <w:t>)</w:t>
            </w:r>
          </w:p>
        </w:tc>
      </w:tr>
      <w:tr>
        <w:trPr/>
        <w:tc>
          <w:tcPr>
            <w:tcW w:w="6779" w:type="dxa"/>
            <w:tcBorders/>
            <w:shd w:fill="CCEEFF" w:val="clear"/>
            <w:vAlign w:val="bottom"/>
          </w:tcPr>
          <w:p>
            <w:pPr>
              <w:pStyle w:val="TableContents"/>
              <w:spacing w:before="0" w:after="0"/>
              <w:ind w:left="450" w:right="0" w:hanging="225"/>
              <w:rPr/>
            </w:pPr>
            <w:r>
              <w:rPr/>
              <w:t>Equity earnings in unconsolidated entities</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2.7</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(0.2</w:t>
            </w:r>
          </w:p>
        </w:tc>
        <w:tc>
          <w:tcPr>
            <w:tcW w:w="146" w:type="dxa"/>
            <w:tcBorders/>
            <w:shd w:fill="CCEEFF" w:val="clear"/>
            <w:vAlign w:val="bottom"/>
          </w:tcPr>
          <w:p>
            <w:pPr>
              <w:pStyle w:val="TableContents"/>
              <w:spacing w:before="0" w:after="283"/>
              <w:rPr/>
            </w:pPr>
            <w:r>
              <w:rPr/>
              <w:t>)</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450" w:right="0" w:hanging="225"/>
              <w:rPr/>
            </w:pPr>
            <w:r>
              <w:rPr/>
              <w:t>Segment profit</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21.9</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2.5</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450" w:right="0" w:hanging="225"/>
              <w:rPr/>
            </w:pPr>
            <w:r>
              <w:rPr/>
              <w:t>Maintenance capital</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924" w:type="dxa"/>
            <w:tcBorders/>
            <w:shd w:fill="CCEEFF" w:val="clear"/>
            <w:vAlign w:val="bottom"/>
          </w:tcPr>
          <w:p>
            <w:pPr>
              <w:pStyle w:val="TableContents"/>
              <w:spacing w:before="0" w:after="283"/>
              <w:jc w:val="right"/>
              <w:rPr/>
            </w:pPr>
            <w:r>
              <w:rPr/>
              <w:t>3.8</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0.8</w:t>
            </w:r>
          </w:p>
        </w:tc>
        <w:tc>
          <w:tcPr>
            <w:tcW w:w="146" w:type="dxa"/>
            <w:tcBorders/>
            <w:shd w:fill="CCEEFF"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450" w:right="0" w:hanging="225"/>
              <w:rPr/>
            </w:pPr>
            <w:r>
              <w:rPr/>
              <w:t>Segment profit per barrel</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0.19</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0.05</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225" w:right="0" w:hanging="225"/>
              <w:rPr>
                <w:b/>
              </w:rPr>
            </w:pPr>
            <w:r>
              <w:rPr>
                <w:b/>
              </w:rPr>
              <w:t>Volumes (4)</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0"/>
              <w:ind w:left="450" w:right="0" w:hanging="225"/>
              <w:rPr/>
            </w:pPr>
            <w:r>
              <w:rPr/>
              <w:t>Crude oil, refined products and LPG storage (average monthly capacity in millions of barrels)</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35.2</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16.8</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450" w:right="0" w:hanging="225"/>
              <w:rPr/>
            </w:pPr>
            <w:r>
              <w:rPr/>
              <w:t>Natural gas storage, net to our 50% interest (average monthly capacity in billions of cubic feet)</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12.9</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11.5</w:t>
            </w:r>
          </w:p>
        </w:tc>
        <w:tc>
          <w:tcPr>
            <w:tcW w:w="146" w:type="dxa"/>
            <w:tcBorders/>
            <w:shd w:fill="CCEEFF"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bottom"/>
          </w:tcPr>
          <w:p>
            <w:pPr>
              <w:pStyle w:val="TableContents"/>
              <w:spacing w:before="0" w:after="0"/>
              <w:ind w:left="450" w:right="0" w:hanging="225"/>
              <w:rPr/>
            </w:pPr>
            <w:r>
              <w:rPr/>
              <w:t>LPG processing (thousands of barrels per day)</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13.7</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N/A</w:t>
            </w:r>
          </w:p>
        </w:tc>
        <w:tc>
          <w:tcPr>
            <w:tcW w:w="146" w:type="dxa"/>
            <w:tcBorders/>
            <w:shd w:fill="auto"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6779"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6779" w:type="dxa"/>
            <w:tcBorders/>
            <w:shd w:fill="CCEEFF" w:val="clear"/>
            <w:vAlign w:val="bottom"/>
          </w:tcPr>
          <w:p>
            <w:pPr>
              <w:pStyle w:val="TableContents"/>
              <w:spacing w:before="0" w:after="0"/>
              <w:ind w:left="450" w:right="0" w:hanging="225"/>
              <w:rPr>
                <w:b/>
              </w:rPr>
            </w:pPr>
            <w:r>
              <w:rPr>
                <w:b/>
              </w:rPr>
              <w:t>Facilities activities total (average monthly capacity in millions of barrels) (5)</w:t>
            </w:r>
          </w:p>
        </w:tc>
        <w:tc>
          <w:tcPr>
            <w:tcW w:w="43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37.8</w:t>
            </w:r>
          </w:p>
        </w:tc>
        <w:tc>
          <w:tcPr>
            <w:tcW w:w="176"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18.7</w:t>
            </w:r>
          </w:p>
        </w:tc>
        <w:tc>
          <w:tcPr>
            <w:tcW w:w="146" w:type="dxa"/>
            <w:tcBorders/>
            <w:shd w:fill="CCEEFF" w:val="clear"/>
            <w:vAlign w:val="bottom"/>
          </w:tcPr>
          <w:p>
            <w:pPr>
              <w:pStyle w:val="TableContents"/>
              <w:spacing w:before="0" w:after="283"/>
              <w:rPr/>
            </w:pPr>
            <w:r>
              <w:rPr/>
              <w:t> </w:t>
            </w:r>
          </w:p>
        </w:tc>
      </w:tr>
      <w:tr>
        <w:trPr/>
        <w:tc>
          <w:tcPr>
            <w:tcW w:w="6779" w:type="dxa"/>
            <w:tcBorders/>
            <w:shd w:fill="auto" w:val="clear"/>
            <w:vAlign w:val="center"/>
          </w:tcPr>
          <w:p>
            <w:pPr>
              <w:pStyle w:val="TableContents"/>
              <w:spacing w:before="0" w:after="0"/>
              <w:ind w:left="450" w:right="0" w:hanging="225"/>
              <w:rPr/>
            </w:pPr>
            <w:r>
              <w:rPr/>
              <w:t> </w:t>
            </w:r>
          </w:p>
        </w:tc>
        <w:tc>
          <w:tcPr>
            <w:tcW w:w="4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LTIP.</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months we actually owned the assets divided by the number of months in the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(5)</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Calculated as the sum of: (i) crude oil, refined products and LPG storage capacity; (ii) natural gas storage capacity divided by 6 to account for the 6:1 mcf of gas to crude oil barrel ratio; and (iii) LPG and crude processing volumes multiplied by the number of days in the month and divided by 1,000 to convert to monthly volumes in millions.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Segment profit (our primary measure of segment performance) and revenues were impacted in the first quarter of 2007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storage and terminalling revenues from crude facilities  The increase in volumes and related revenues during the first quarter of 2007 primarily relates to (i) the acquisition of Pacific in the fourth quarter of 2006 and other acquisitions completed during 2006, (ii) the utilization of capacity at the Mobile facility that was acquired from Link in 2004 but not used extensively until the last nine months of 2006, and (iii) additional capacity resulting from the St. James construction project, which was placed in early stage operation in early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storage and terminalling revenues from LPG facilities  The increase in volumes and related revenues during the first quarter of 2007 primarily relates to expansions completed during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Revenues from refined product storage and terminalling  We had no revenue from refined products storage and terminalling until the acquisition of Pacific, which contributed additional revenues of approximately $10 million in the first quarter of 2007;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revenues from LPG processing  The acquisition of the Shafter processing facility during the second quarter of 2006 resulted in additional processing revenues of approximately $8 million for the first quarter of 2007.</w:t>
            </w:r>
          </w:p>
        </w:tc>
      </w:tr>
    </w:tbl>
    <w:p>
      <w:pPr>
        <w:pStyle w:val="TextBody"/>
        <w:spacing w:before="120" w:after="283"/>
        <w:jc w:val="left"/>
        <w:rPr/>
      </w:pPr>
      <w:r>
        <w:rPr/>
        <w:t>     </w:t>
      </w:r>
      <w:r>
        <w:rPr>
          <w:rFonts w:ascii="Times New Roman;Times;serif" w:hAnsi="Times New Roman;Times;serif"/>
          <w:sz w:val="17"/>
        </w:rPr>
        <w:t xml:space="preserve">Segment profit was also impacted in the first quarter of 2007 by the following: </w:t>
      </w:r>
    </w:p>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field operating costs  Our continued growth, primarily from the acquisitions completed during 2007 and 2006 and the additional tankage added in 2007 and 2006, is the principal cause of the increase in field operating costs in the first quarter of 2007. Of the total increase, $4 million relates to the operating costs associated with the Shafter processing facility, which we acquired in the second quarter of 2006 and $7 million relates to the operating costs associated with the Pacific acquisition. The remainder of the increase in operating costs primarily relate to (i) payroll and benefits, (ii) maintenance and (iii) utilities;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segment G&amp;A expenses  Segment G&amp;A expenses excluding LTIP charges increased in the first quarter of 2007 compared to the same period in 2006, primarily as a result of an increase in payroll and benefits in the first quarter of 2007 as the operations have grown since the first quarter of 2006;</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LTIP expenses  LTIP charges included in field operating costs and segment G&amp;A expenses increased approximately $1 million in the first quarter of 2007 over the first quarter of 2006, primarily as a result of additional units issued and an increase in our unit price to $57.61 at March 31, 2007 from $51.20 at December 31, 2006. The first quarter of 2007 includes a catch-up expense associated with the increase in the price of the units. See Note 8 to our Consolidated Financial Statements; and</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equity earnings in unconsolidated entities  Our investment in PAA/Vulcan contributed approximately $3 million in additional earnings, reflecting increased value for storage leased.</w:t>
            </w:r>
          </w:p>
        </w:tc>
      </w:tr>
    </w:tbl>
    <w:p>
      <w:pPr>
        <w:pStyle w:val="TextBody"/>
        <w:spacing w:before="240" w:after="283"/>
        <w:jc w:val="left"/>
        <w:rPr/>
      </w:pPr>
      <w:r>
        <w:rPr/>
        <w:t>     </w:t>
      </w:r>
      <w:r>
        <w:rPr>
          <w:rFonts w:ascii="Times New Roman;Times;serif" w:hAnsi="Times New Roman;Times;serif"/>
          <w:b/>
          <w:i/>
          <w:sz w:val="17"/>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revenues from marketing activities reflect the sale of gathered and bulk-purchased crude oil, refined products and LPG volumes. These revenues also include the marketing of natural gas liquids,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We do not anticipate that future changes in revenues will be a primary driver of segment profit. Generally, we expect our segment profit to increase or decrease directionally with increases or decreases in our marketing segment volumes (which consist of (i) lease gathered crude oil volumes, (ii) refined products volumes, (iii) LPG sales volumes, and (iv) waterborne foreign crude imported volumes), as well as the overall volatility and strength or weakness of market conditions and the allocation of our assets among our various risk management strategies. In addition, the execution of our risk management strategies in conjunction with our assets can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provide upside in certain markets. Although we believe that the combination of our lease gathered business and our risk management activities provides a counter-cyclical balance that provides stability in our margins, these margins are not fixed and will vary from period to period. </w:t>
      </w:r>
    </w:p>
    <w:p>
      <w:pPr>
        <w:pStyle w:val="TextBody"/>
        <w:spacing w:before="120" w:after="283"/>
        <w:jc w:val="left"/>
        <w:rPr/>
      </w:pPr>
      <w:r>
        <w:rPr/>
        <w:t>     </w:t>
      </w:r>
      <w:r>
        <w:rPr>
          <w:rFonts w:ascii="Times New Roman;Times;serif" w:hAnsi="Times New Roman;Times;serif"/>
          <w:sz w:val="17"/>
        </w:rPr>
        <w:t xml:space="preserve">In order to evaluate the performance of this segment, management focuses on the following metrics: (i) segment profit, (ii) marketing segment volumes and (iii) segment profit per barrel calculated on these volumes. The following table sets forth our operating results from our marketing segment for the comparable periods indicated: </w:t>
      </w:r>
    </w:p>
    <w:tbl>
      <w:tblPr>
        <w:tblW w:w="5000" w:type="pct"/>
        <w:jc w:val="center"/>
        <w:tblInd w:w="0" w:type="dxa"/>
        <w:tblCellMar>
          <w:top w:w="0" w:type="dxa"/>
          <w:left w:w="0" w:type="dxa"/>
          <w:bottom w:w="0" w:type="dxa"/>
          <w:right w:w="0" w:type="dxa"/>
        </w:tblCellMar>
      </w:tblPr>
      <w:tblGrid>
        <w:gridCol w:w="6942"/>
        <w:gridCol w:w="444"/>
        <w:gridCol w:w="163"/>
        <w:gridCol w:w="886"/>
        <w:gridCol w:w="137"/>
        <w:gridCol w:w="446"/>
        <w:gridCol w:w="163"/>
        <w:gridCol w:w="887"/>
        <w:gridCol w:w="137"/>
      </w:tblGrid>
      <w:tr>
        <w:trPr/>
        <w:tc>
          <w:tcPr>
            <w:tcW w:w="6942"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82" w:type="dxa"/>
            <w:gridSpan w:val="6"/>
            <w:tcBorders/>
            <w:shd w:fill="auto" w:val="clear"/>
            <w:vAlign w:val="bottom"/>
          </w:tcPr>
          <w:p>
            <w:pPr>
              <w:pStyle w:val="TableContents"/>
              <w:spacing w:before="0" w:after="283"/>
              <w:jc w:val="center"/>
              <w:rPr>
                <w:b/>
              </w:rPr>
            </w:pPr>
            <w:r>
              <w:rPr>
                <w:b/>
              </w:rPr>
              <w:t>Three Months Ended</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8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225" w:right="0" w:hanging="225"/>
              <w:rPr/>
            </w:pPr>
            <w:r>
              <w:rPr>
                <w:b/>
              </w:rPr>
              <w:t>Operating Results</w:t>
            </w:r>
            <w:r>
              <w:rPr/>
              <w:t>(1)  </w:t>
            </w:r>
            <w:r>
              <w:rPr>
                <w:b/>
              </w:rPr>
              <w:t>(in millions)</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0"/>
              <w:ind w:left="450" w:right="0" w:hanging="225"/>
              <w:rPr/>
            </w:pPr>
            <w:r>
              <w:rPr/>
              <w:t xml:space="preserve">Revenues (2) (3) </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4,109.6</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8,560.3</w:t>
            </w:r>
          </w:p>
        </w:tc>
        <w:tc>
          <w:tcPr>
            <w:tcW w:w="137" w:type="dxa"/>
            <w:tcBorders/>
            <w:shd w:fill="auto" w:val="clear"/>
            <w:vAlign w:val="bottom"/>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450" w:right="0" w:hanging="225"/>
              <w:rPr/>
            </w:pPr>
            <w:r>
              <w:rPr/>
              <w:t>Purchases and related costs (4) (5)</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(3,985.5</w:t>
            </w:r>
          </w:p>
        </w:tc>
        <w:tc>
          <w:tcPr>
            <w:tcW w:w="137" w:type="dxa"/>
            <w:tcBorders/>
            <w:shd w:fill="CCEEFF" w:val="clear"/>
            <w:vAlign w:val="bottom"/>
          </w:tcPr>
          <w:p>
            <w:pPr>
              <w:pStyle w:val="TableContents"/>
              <w:spacing w:before="0" w:after="283"/>
              <w:rPr/>
            </w:pPr>
            <w:r>
              <w:rPr/>
              <w:t>)</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(8,461.3</w:t>
            </w:r>
          </w:p>
        </w:tc>
        <w:tc>
          <w:tcPr>
            <w:tcW w:w="137" w:type="dxa"/>
            <w:tcBorders/>
            <w:shd w:fill="CCEEFF" w:val="clear"/>
            <w:vAlign w:val="bottom"/>
          </w:tcPr>
          <w:p>
            <w:pPr>
              <w:pStyle w:val="TableContents"/>
              <w:spacing w:before="0" w:after="283"/>
              <w:rPr/>
            </w:pPr>
            <w:r>
              <w:rPr/>
              <w:t>)</w:t>
            </w:r>
          </w:p>
        </w:tc>
      </w:tr>
      <w:tr>
        <w:trPr/>
        <w:tc>
          <w:tcPr>
            <w:tcW w:w="6942" w:type="dxa"/>
            <w:tcBorders/>
            <w:shd w:fill="auto" w:val="clear"/>
            <w:vAlign w:val="bottom"/>
          </w:tcPr>
          <w:p>
            <w:pPr>
              <w:pStyle w:val="TableContents"/>
              <w:spacing w:before="0" w:after="0"/>
              <w:ind w:left="450" w:right="0" w:hanging="225"/>
              <w:rPr/>
            </w:pPr>
            <w:r>
              <w:rPr/>
              <w:t>Field operating costs (excluding LTIP charge)</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86" w:type="dxa"/>
            <w:tcBorders/>
            <w:shd w:fill="auto" w:val="clear"/>
            <w:vAlign w:val="bottom"/>
          </w:tcPr>
          <w:p>
            <w:pPr>
              <w:pStyle w:val="TableContents"/>
              <w:spacing w:before="0" w:after="283"/>
              <w:jc w:val="right"/>
              <w:rPr/>
            </w:pPr>
            <w:r>
              <w:rPr/>
              <w:t>(38.2</w:t>
            </w:r>
          </w:p>
        </w:tc>
        <w:tc>
          <w:tcPr>
            <w:tcW w:w="137" w:type="dxa"/>
            <w:tcBorders/>
            <w:shd w:fill="auto" w:val="clear"/>
            <w:vAlign w:val="bottom"/>
          </w:tcPr>
          <w:p>
            <w:pPr>
              <w:pStyle w:val="TableContents"/>
              <w:spacing w:before="0" w:after="283"/>
              <w:rPr/>
            </w:pPr>
            <w:r>
              <w:rPr/>
              <w:t>)</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(31.6</w:t>
            </w:r>
          </w:p>
        </w:tc>
        <w:tc>
          <w:tcPr>
            <w:tcW w:w="137" w:type="dxa"/>
            <w:tcBorders/>
            <w:shd w:fill="auto" w:val="clear"/>
            <w:vAlign w:val="bottom"/>
          </w:tcPr>
          <w:p>
            <w:pPr>
              <w:pStyle w:val="TableContents"/>
              <w:spacing w:before="0" w:after="283"/>
              <w:rPr/>
            </w:pPr>
            <w:r>
              <w:rPr/>
              <w:t>)</w:t>
            </w:r>
          </w:p>
        </w:tc>
      </w:tr>
      <w:tr>
        <w:trPr/>
        <w:tc>
          <w:tcPr>
            <w:tcW w:w="6942" w:type="dxa"/>
            <w:tcBorders/>
            <w:shd w:fill="CCEEFF" w:val="clear"/>
            <w:vAlign w:val="bottom"/>
          </w:tcPr>
          <w:p>
            <w:pPr>
              <w:pStyle w:val="TableContents"/>
              <w:spacing w:before="0" w:after="0"/>
              <w:ind w:left="450" w:right="0" w:hanging="225"/>
              <w:rPr/>
            </w:pPr>
            <w:r>
              <w:rPr/>
              <w:t>LTIP charge  operations (6)</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(0.1</w:t>
            </w:r>
          </w:p>
        </w:tc>
        <w:tc>
          <w:tcPr>
            <w:tcW w:w="137" w:type="dxa"/>
            <w:tcBorders/>
            <w:shd w:fill="CCEEFF" w:val="clear"/>
            <w:vAlign w:val="bottom"/>
          </w:tcPr>
          <w:p>
            <w:pPr>
              <w:pStyle w:val="TableContents"/>
              <w:spacing w:before="0" w:after="283"/>
              <w:rPr/>
            </w:pPr>
            <w:r>
              <w:rPr/>
              <w:t>)</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(0.1</w:t>
            </w:r>
          </w:p>
        </w:tc>
        <w:tc>
          <w:tcPr>
            <w:tcW w:w="137" w:type="dxa"/>
            <w:tcBorders/>
            <w:shd w:fill="CCEEFF" w:val="clear"/>
            <w:vAlign w:val="bottom"/>
          </w:tcPr>
          <w:p>
            <w:pPr>
              <w:pStyle w:val="TableContents"/>
              <w:spacing w:before="0" w:after="283"/>
              <w:rPr/>
            </w:pPr>
            <w:r>
              <w:rPr/>
              <w:t>)</w:t>
            </w:r>
          </w:p>
        </w:tc>
      </w:tr>
      <w:tr>
        <w:trPr/>
        <w:tc>
          <w:tcPr>
            <w:tcW w:w="6942" w:type="dxa"/>
            <w:tcBorders/>
            <w:shd w:fill="auto" w:val="clear"/>
            <w:vAlign w:val="bottom"/>
          </w:tcPr>
          <w:p>
            <w:pPr>
              <w:pStyle w:val="TableContents"/>
              <w:spacing w:before="0" w:after="0"/>
              <w:ind w:left="450" w:right="0" w:hanging="225"/>
              <w:rPr/>
            </w:pPr>
            <w:r>
              <w:rPr/>
              <w:t>Segment G&amp;A expenses (excluding LTIP charge) (7)</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86" w:type="dxa"/>
            <w:tcBorders/>
            <w:shd w:fill="auto" w:val="clear"/>
            <w:vAlign w:val="bottom"/>
          </w:tcPr>
          <w:p>
            <w:pPr>
              <w:pStyle w:val="TableContents"/>
              <w:spacing w:before="0" w:after="283"/>
              <w:jc w:val="right"/>
              <w:rPr/>
            </w:pPr>
            <w:r>
              <w:rPr/>
              <w:t>(12.9</w:t>
            </w:r>
          </w:p>
        </w:tc>
        <w:tc>
          <w:tcPr>
            <w:tcW w:w="137" w:type="dxa"/>
            <w:tcBorders/>
            <w:shd w:fill="auto" w:val="clear"/>
            <w:vAlign w:val="bottom"/>
          </w:tcPr>
          <w:p>
            <w:pPr>
              <w:pStyle w:val="TableContents"/>
              <w:spacing w:before="0" w:after="283"/>
              <w:rPr/>
            </w:pPr>
            <w:r>
              <w:rPr/>
              <w:t>)</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(10.0</w:t>
            </w:r>
          </w:p>
        </w:tc>
        <w:tc>
          <w:tcPr>
            <w:tcW w:w="137" w:type="dxa"/>
            <w:tcBorders/>
            <w:shd w:fill="auto" w:val="clear"/>
            <w:vAlign w:val="bottom"/>
          </w:tcPr>
          <w:p>
            <w:pPr>
              <w:pStyle w:val="TableContents"/>
              <w:spacing w:before="0" w:after="283"/>
              <w:rPr/>
            </w:pPr>
            <w:r>
              <w:rPr/>
              <w:t>)</w:t>
            </w:r>
          </w:p>
        </w:tc>
      </w:tr>
      <w:tr>
        <w:trPr/>
        <w:tc>
          <w:tcPr>
            <w:tcW w:w="6942" w:type="dxa"/>
            <w:tcBorders/>
            <w:shd w:fill="CCEEFF" w:val="clear"/>
            <w:vAlign w:val="bottom"/>
          </w:tcPr>
          <w:p>
            <w:pPr>
              <w:pStyle w:val="TableContents"/>
              <w:spacing w:before="0" w:after="0"/>
              <w:ind w:left="450" w:right="0" w:hanging="225"/>
              <w:rPr/>
            </w:pPr>
            <w:r>
              <w:rPr/>
              <w:t>LTIP charge  general and administrative (6)</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(6.9</w:t>
            </w:r>
          </w:p>
        </w:tc>
        <w:tc>
          <w:tcPr>
            <w:tcW w:w="137" w:type="dxa"/>
            <w:tcBorders/>
            <w:shd w:fill="CCEEFF" w:val="clear"/>
            <w:vAlign w:val="bottom"/>
          </w:tcPr>
          <w:p>
            <w:pPr>
              <w:pStyle w:val="TableContents"/>
              <w:spacing w:before="0" w:after="283"/>
              <w:rPr/>
            </w:pPr>
            <w:r>
              <w:rPr/>
              <w:t>)</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(4.2</w:t>
            </w:r>
          </w:p>
        </w:tc>
        <w:tc>
          <w:tcPr>
            <w:tcW w:w="137" w:type="dxa"/>
            <w:tcBorders/>
            <w:shd w:fill="CCEEFF" w:val="clear"/>
            <w:vAlign w:val="bottom"/>
          </w:tcPr>
          <w:p>
            <w:pPr>
              <w:pStyle w:val="TableContents"/>
              <w:spacing w:before="0" w:after="283"/>
              <w:rPr/>
            </w:pPr>
            <w:r>
              <w:rPr/>
              <w:t>)</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auto" w:val="clear"/>
            <w:vAlign w:val="bottom"/>
          </w:tcPr>
          <w:p>
            <w:pPr>
              <w:pStyle w:val="TableContents"/>
              <w:spacing w:before="0" w:after="0"/>
              <w:ind w:left="450" w:right="0" w:hanging="225"/>
              <w:rPr/>
            </w:pPr>
            <w:r>
              <w:rPr/>
              <w:t xml:space="preserve">Segment profit (3) </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66.0</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53.1</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450" w:right="0" w:hanging="225"/>
              <w:rPr/>
            </w:pPr>
            <w:r>
              <w:rPr/>
              <w:t>SFAS 133 mark-to-market adjustment (3)</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(17.0</w:t>
            </w:r>
          </w:p>
        </w:tc>
        <w:tc>
          <w:tcPr>
            <w:tcW w:w="137" w:type="dxa"/>
            <w:tcBorders/>
            <w:shd w:fill="CCEEFF" w:val="clear"/>
            <w:vAlign w:val="bottom"/>
          </w:tcPr>
          <w:p>
            <w:pPr>
              <w:pStyle w:val="TableContents"/>
              <w:spacing w:before="0" w:after="283"/>
              <w:rPr/>
            </w:pPr>
            <w:r>
              <w:rPr/>
              <w:t>)</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(0.7</w:t>
            </w:r>
          </w:p>
        </w:tc>
        <w:tc>
          <w:tcPr>
            <w:tcW w:w="137" w:type="dxa"/>
            <w:tcBorders/>
            <w:shd w:fill="CCEEFF" w:val="clear"/>
            <w:vAlign w:val="bottom"/>
          </w:tcPr>
          <w:p>
            <w:pPr>
              <w:pStyle w:val="TableContents"/>
              <w:spacing w:before="0" w:after="283"/>
              <w:rPr/>
            </w:pPr>
            <w:r>
              <w:rPr/>
              <w:t>)</w:t>
            </w:r>
          </w:p>
        </w:tc>
      </w:tr>
      <w:tr>
        <w:trPr/>
        <w:tc>
          <w:tcPr>
            <w:tcW w:w="6942"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auto" w:val="clear"/>
            <w:vAlign w:val="bottom"/>
          </w:tcPr>
          <w:p>
            <w:pPr>
              <w:pStyle w:val="TableContents"/>
              <w:spacing w:before="0" w:after="0"/>
              <w:ind w:left="450" w:right="0" w:hanging="225"/>
              <w:rPr/>
            </w:pPr>
            <w:r>
              <w:rPr/>
              <w:t>Maintenance capital</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3.7</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0.9</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450" w:right="0" w:hanging="225"/>
              <w:rPr/>
            </w:pPr>
            <w:r>
              <w:rPr/>
              <w:t xml:space="preserve">Segment profit per barrel (8) </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0.83</w:t>
            </w:r>
          </w:p>
        </w:tc>
        <w:tc>
          <w:tcPr>
            <w:tcW w:w="13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0.79</w:t>
            </w:r>
          </w:p>
        </w:tc>
        <w:tc>
          <w:tcPr>
            <w:tcW w:w="137" w:type="dxa"/>
            <w:tcBorders/>
            <w:shd w:fill="CCEEFF" w:val="clear"/>
            <w:vAlign w:val="bottom"/>
          </w:tcPr>
          <w:p>
            <w:pPr>
              <w:pStyle w:val="TableContents"/>
              <w:spacing w:before="0" w:after="283"/>
              <w:rPr/>
            </w:pPr>
            <w:r>
              <w:rPr/>
              <w:t> </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auto" w:val="clear"/>
            <w:vAlign w:val="bottom"/>
          </w:tcPr>
          <w:p>
            <w:pPr>
              <w:pStyle w:val="TableContents"/>
              <w:spacing w:before="0" w:after="0"/>
              <w:ind w:left="225" w:right="0" w:hanging="225"/>
              <w:rPr/>
            </w:pPr>
            <w:r>
              <w:rPr>
                <w:b/>
              </w:rPr>
              <w:t xml:space="preserve">Average Daily Volumes </w:t>
            </w:r>
            <w:r>
              <w:rPr/>
              <w:t>(thousands of barrels per day) (9)</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225" w:right="0" w:hanging="225"/>
              <w:rPr/>
            </w:pPr>
            <w:r>
              <w:rPr/>
              <w:t>Crude oil lease gathering</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680</w:t>
            </w:r>
          </w:p>
        </w:tc>
        <w:tc>
          <w:tcPr>
            <w:tcW w:w="13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615</w:t>
            </w:r>
          </w:p>
        </w:tc>
        <w:tc>
          <w:tcPr>
            <w:tcW w:w="137" w:type="dxa"/>
            <w:tcBorders/>
            <w:shd w:fill="CCEEFF"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0"/>
              <w:ind w:left="225" w:right="0" w:hanging="225"/>
              <w:rPr/>
            </w:pPr>
            <w:r>
              <w:rPr/>
              <w:t>Refined Products</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3</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N/A</w:t>
            </w:r>
          </w:p>
        </w:tc>
        <w:tc>
          <w:tcPr>
            <w:tcW w:w="137" w:type="dxa"/>
            <w:tcBorders/>
            <w:shd w:fill="auto" w:val="clear"/>
            <w:vAlign w:val="bottom"/>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225" w:right="0" w:hanging="225"/>
              <w:rPr/>
            </w:pPr>
            <w:r>
              <w:rPr/>
              <w:t>LPG sales</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133</w:t>
            </w:r>
          </w:p>
        </w:tc>
        <w:tc>
          <w:tcPr>
            <w:tcW w:w="13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84</w:t>
            </w:r>
          </w:p>
        </w:tc>
        <w:tc>
          <w:tcPr>
            <w:tcW w:w="137" w:type="dxa"/>
            <w:tcBorders/>
            <w:shd w:fill="CCEEFF" w:val="clear"/>
            <w:vAlign w:val="bottom"/>
          </w:tcPr>
          <w:p>
            <w:pPr>
              <w:pStyle w:val="TableContents"/>
              <w:spacing w:before="0" w:after="283"/>
              <w:rPr/>
            </w:pPr>
            <w:r>
              <w:rPr/>
              <w:t> </w:t>
            </w:r>
          </w:p>
        </w:tc>
      </w:tr>
      <w:tr>
        <w:trPr/>
        <w:tc>
          <w:tcPr>
            <w:tcW w:w="6942" w:type="dxa"/>
            <w:tcBorders/>
            <w:shd w:fill="auto" w:val="clear"/>
            <w:vAlign w:val="bottom"/>
          </w:tcPr>
          <w:p>
            <w:pPr>
              <w:pStyle w:val="TableContents"/>
              <w:spacing w:before="0" w:after="0"/>
              <w:ind w:left="225" w:right="0" w:hanging="225"/>
              <w:rPr/>
            </w:pPr>
            <w:r>
              <w:rPr/>
              <w:t>Waterborne foreign crude imported</w:t>
            </w:r>
          </w:p>
        </w:tc>
        <w:tc>
          <w:tcPr>
            <w:tcW w:w="44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67</w:t>
            </w:r>
          </w:p>
        </w:tc>
        <w:tc>
          <w:tcPr>
            <w:tcW w:w="13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48</w:t>
            </w:r>
          </w:p>
        </w:tc>
        <w:tc>
          <w:tcPr>
            <w:tcW w:w="137" w:type="dxa"/>
            <w:tcBorders/>
            <w:shd w:fill="auto" w:val="clear"/>
            <w:vAlign w:val="bottom"/>
          </w:tcPr>
          <w:p>
            <w:pPr>
              <w:pStyle w:val="TableContents"/>
              <w:spacing w:before="0" w:after="283"/>
              <w:rPr/>
            </w:pPr>
            <w:r>
              <w:rPr/>
              <w:t> </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42" w:type="dxa"/>
            <w:tcBorders/>
            <w:shd w:fill="CCEEFF" w:val="clear"/>
            <w:vAlign w:val="bottom"/>
          </w:tcPr>
          <w:p>
            <w:pPr>
              <w:pStyle w:val="TableContents"/>
              <w:spacing w:before="0" w:after="0"/>
              <w:ind w:left="225" w:right="0" w:hanging="225"/>
              <w:rPr>
                <w:b/>
              </w:rPr>
            </w:pPr>
            <w:r>
              <w:rPr>
                <w:b/>
              </w:rPr>
              <w:t>Marketing activities total</w:t>
            </w:r>
          </w:p>
        </w:tc>
        <w:tc>
          <w:tcPr>
            <w:tcW w:w="44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883</w:t>
            </w:r>
          </w:p>
        </w:tc>
        <w:tc>
          <w:tcPr>
            <w:tcW w:w="13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747</w:t>
            </w:r>
          </w:p>
        </w:tc>
        <w:tc>
          <w:tcPr>
            <w:tcW w:w="137" w:type="dxa"/>
            <w:tcBorders/>
            <w:shd w:fill="CCEEFF" w:val="clear"/>
            <w:vAlign w:val="bottom"/>
          </w:tcPr>
          <w:p>
            <w:pPr>
              <w:pStyle w:val="TableContents"/>
              <w:spacing w:before="0" w:after="283"/>
              <w:rPr/>
            </w:pPr>
            <w:r>
              <w:rPr/>
              <w:t> </w:t>
            </w:r>
          </w:p>
        </w:tc>
      </w:tr>
      <w:tr>
        <w:trPr/>
        <w:tc>
          <w:tcPr>
            <w:tcW w:w="6942" w:type="dxa"/>
            <w:tcBorders/>
            <w:shd w:fill="auto" w:val="clear"/>
            <w:vAlign w:val="center"/>
          </w:tcPr>
          <w:p>
            <w:pPr>
              <w:pStyle w:val="TableContents"/>
              <w:spacing w:before="0" w:after="0"/>
              <w:ind w:left="450" w:right="0" w:hanging="225"/>
              <w:rPr/>
            </w:pPr>
            <w:r>
              <w:rPr/>
              <w:t> </w:t>
            </w:r>
          </w:p>
        </w:tc>
        <w:tc>
          <w:tcPr>
            <w:tcW w:w="444"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73"/>
        <w:gridCol w:w="2151"/>
        <w:gridCol w:w="1581"/>
      </w:tblGrid>
      <w:tr>
        <w:trPr/>
        <w:tc>
          <w:tcPr>
            <w:tcW w:w="6473"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(1)</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Revenues and purchases and related costs include intersegment amounts.</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(2)</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Includes revenues associated with buy/sell arrangements of $0 and $4,761.9 million for the three months ended March 31, 2007 and 2006, respectively. Volumes associated with these arrangements were approximately 919,500 barrels per day for the three months ended March 31, 2006. The previously referenced amounts include certain estimates based on managements judgment; such estimates are not expected to have a material impact on the balances.</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(3)</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Amounts related to SFAS 133 are included in revenues and impact segment profit.</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(4)</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Includes purchases associated with buy/sell arrangements of $0 and $4,795.1 million for the three months ended March 31, 2007 and 2006, respectively. Volumes associated with these arrangements were approximately 926,800 barrels per day for the three months ended March 31, 2006. The previously referenced amounts include certain estimates based on managements judgment; such estimates are not expected to have a material impact on the balances.</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(5)</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Purchases and related costs include interest expense on contango inventory purchases of $11.2 million and $8.6 million for the three months ended March 31, 2007 and 2006, respectively.</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(6)</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Compensation expense related to our LTIP.</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(7)</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(8)</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Calculated based on crude oil lease gathered volumes, refined products volumes, LPG sales volumes, and waterborne foreign crude volumes.</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(9)</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Our first quarter 2007 revenues decreased compared to the first quarter of 2006 due to the adoption in the second quarter of 2006 of EITF Issue No. 04-13 Accounting for Purchases and Sales of Inventory with the Same Counterparty (EITF 04-13). According to EITF 04-13, inventory purchases and sales transactions with the same counterparty should be combined for accounting purposes if they were entered into in contemplation of each other. The adoption of EITF 04-13 in the second quarter of 2006 resulted in inventory purchases and sales under buy/sell transactions, which historically would have been recorded gross as purchases and sales, to be treated as inventory exchanges in our consolidated statement of operations. The treatment of buy/sell transactions under EITF 04-13 reduces both revenues and purchases on our income statement but does not impact our financial position, net income, or liquidity.</w:t>
            </w:r>
          </w:p>
        </w:tc>
      </w:tr>
    </w:tbl>
    <w:p>
      <w:pPr>
        <w:pStyle w:val="TextBody"/>
        <w:spacing w:before="120" w:after="283"/>
        <w:jc w:val="left"/>
        <w:rPr/>
      </w:pPr>
      <w:r>
        <w:rPr/>
        <w:t>     </w:t>
      </w:r>
      <w:r>
        <w:rPr>
          <w:rFonts w:ascii="Times New Roman;Times;serif" w:hAnsi="Times New Roman;Times;serif"/>
          <w:sz w:val="17"/>
        </w:rPr>
        <w:t xml:space="preserve">The primary factors affecting revenues and segment profit were: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sz w:val="4"/>
                <w:szCs w:val="4"/>
              </w:rPr>
            </w:pPr>
            <w:r>
              <w:rPr>
                <w:sz w:val="4"/>
                <w:szCs w:val="4"/>
              </w:rPr>
            </w:r>
          </w:p>
        </w:tc>
        <w:tc>
          <w:tcPr>
            <w:tcW w:w="9594" w:type="dxa"/>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Acquisitions  During the last nine months of 2006 we purchased certain crude oil gathering assets and related contracts in South Louisiana, and completed the acquisitions of Pacific and Andrews Petroleum and Lone Star Trucking (Andrews).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Favorable market conditions and execution of our risk management strategies  During the first quarter of 2007 and the first quarter of 2006, the crude oil market experienced significantly high volatility in prices and market structure. The NYMEX benchmark price of crude oil ranged from $49.90 to $68.09 during the first quarter of 2007. The volatile market allowed us to utilize risk management strategies to optimize and enhance the margins of our gathering and marketing activities. The volatile market also led to favorable basis differentials for various delivery points and grades of crude oil. The market was in contango for the first quarter of 2007 and the monthly time spread of prices averaged approximately $1.21 versus $1.14 for the first quarter of 2006; this increase in spreads was partially offset by an increase in the per barrel cost to carry the inventory that was impacted by the increase in LIBOR rates. Marketing segment profit is net of contango and other hedged inventory related interest expense (which is incurred to store the crude oil) of approximately $11.2 million for the first quarter of 2007 (compared to $8.6 million in the first quarter of 2006). This cost is included in Purchases and related costs in the table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SFAS 133 mark-to-market  The first quarter of 2007 includes SFAS 133 mark-to-market losses of $17.0 million compared to a loss of $0.7 million for the first quarter of 2006. See Note 9 to our Consolidated Financial Statements.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Field operating costs and segment G&amp;A expenses  Field operating costs (excluding LTIP charges) increased in the first quarter of 2007 compared to the first quarter of 2006, primarily as a result of increases in payroll and benefits and contract transportation as a result of 2006 acquisitions and changes in driver incentive programs. The increase in general and administrative expenses (excluding LTIP charges) is primarily the result of an increase in the payroll and benefits, and indirect costs allocated to the marketing segment in the first quarter of 2007 as the operations have grown.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Increased LTIP expenses  LTIP charges included in field operating costs and segment G&amp;A expenses increased approximately $3 million in the first quarter of 2007 over the first quarter of 2006, primarily as a result of additional phantom units issued and an increase in our unit price to $57.61 at March 31, 2007 from $51.20 at December 31, 2006. The first quarter of 2007 includes a catch-up expense associated with the increase in the price of the units. See Note 8 to our Consolidated Financial Statements.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per barrel (calculated based on our marketing volumes included in the table above) was $0.83 for the first quarter of 2007, compared to $0.79 for the first quarter of 2006. As discussed above, our current period results were impacted by (i) SFAS 133 mark-to-market losses of $17 million, the majority of which relates to inventory hedges and will be offset by gains in future periods when the physical inventory is sold, (ii) favorable market conditions and (iii) a change in the business mix to include the Pacific and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Andrews acquisitions. We are not able to predict with any reasonable level of accuracy whether market conditions will remain as favorable as we have recently experienced, and these operating results may not be indicative of sustainable performance. </w:t>
      </w:r>
    </w:p>
    <w:p>
      <w:pPr>
        <w:pStyle w:val="TextBody"/>
        <w:spacing w:before="120" w:after="283"/>
        <w:jc w:val="left"/>
        <w:rPr/>
      </w:pPr>
      <w:r>
        <w:rPr/>
        <w:t>     </w:t>
      </w:r>
      <w:r>
        <w:rPr>
          <w:rFonts w:ascii="Times New Roman;Times;serif" w:hAnsi="Times New Roman;Times;serif"/>
          <w:b/>
          <w:i/>
          <w:sz w:val="17"/>
        </w:rPr>
        <w:t>Other Expenses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Depreciation and Amortization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Depreciation and amortization expense increased $18.3 million for the first quarter of 2007 compared to the comparable 2006 period primarily as a result of a continued expansion in our asset base from acquisitions and internal growth projects. Amortization of debt issue costs totaled approximately $1 million for the first three months of 2007 and was relatively constant compared to the same period in 2006. </w:t>
      </w:r>
    </w:p>
    <w:p>
      <w:pPr>
        <w:pStyle w:val="TextBody"/>
        <w:spacing w:before="120" w:after="283"/>
        <w:jc w:val="left"/>
        <w:rPr/>
      </w:pPr>
      <w:r>
        <w:rPr/>
        <w:t>     </w:t>
      </w:r>
      <w:r>
        <w:rPr>
          <w:rFonts w:ascii="Times New Roman;Times;serif" w:hAnsi="Times New Roman;Times;serif"/>
          <w:i/>
          <w:sz w:val="17"/>
        </w:rPr>
        <w:t>Interest Expense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Interest expense is primarily impacted by: </w:t>
      </w:r>
    </w:p>
    <w:tbl>
      <w:tblPr>
        <w:tblW w:w="5000" w:type="pct"/>
        <w:jc w:val="left"/>
        <w:tblInd w:w="0" w:type="dxa"/>
        <w:tblCellMar>
          <w:top w:w="0" w:type="dxa"/>
          <w:left w:w="0" w:type="dxa"/>
          <w:bottom w:w="0" w:type="dxa"/>
          <w:right w:w="0" w:type="dxa"/>
        </w:tblCellMar>
      </w:tblPr>
      <w:tblGrid>
        <w:gridCol w:w="202"/>
        <w:gridCol w:w="306"/>
        <w:gridCol w:w="102"/>
        <w:gridCol w:w="9595"/>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our average debt balances;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level and maturity of fixed rate debt and interest rates associated therewith; and</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market interest rates and our interest rate hedging activities on floating rate debt.</w:t>
            </w:r>
          </w:p>
        </w:tc>
      </w:tr>
    </w:tbl>
    <w:p>
      <w:pPr>
        <w:pStyle w:val="TextBody"/>
        <w:spacing w:before="120" w:after="283"/>
        <w:jc w:val="left"/>
        <w:rPr/>
      </w:pPr>
      <w:r>
        <w:rPr/>
        <w:t>     </w:t>
      </w:r>
      <w:r>
        <w:rPr>
          <w:rFonts w:ascii="Times New Roman;Times;serif" w:hAnsi="Times New Roman;Times;serif"/>
          <w:sz w:val="17"/>
        </w:rPr>
        <w:t xml:space="preserve">Interest expense increased approximately 169% in the first quarter of 2007, as compared to the first of 2006, primarily due to higher average debt balances during 2007 partially offset by increased capitalized interest associated with certain capital projects under construction. The higher average debt balance in the first three months of 2007 was primarily related to the addition or assumption of $1.7 billion of senior notes in the last nine months of 2006 to finance acquisitions. Our financial growth strategy is to fund our acquisitions and expansion capital expenditures using approximately 50% debt, with the balance funded through retained cash flow and equity issuances. </w:t>
      </w:r>
    </w:p>
    <w:p>
      <w:pPr>
        <w:pStyle w:val="TextBody"/>
        <w:spacing w:before="120" w:after="283"/>
        <w:jc w:val="left"/>
        <w:rPr/>
      </w:pPr>
      <w:r>
        <w:rPr/>
        <w:t>     </w:t>
      </w:r>
      <w:r>
        <w:rPr>
          <w:rFonts w:ascii="Times New Roman;Times;serif" w:hAnsi="Times New Roman;Times;serif"/>
          <w:sz w:val="17"/>
        </w:rPr>
        <w:t xml:space="preserve">Interest costs attributable to borrowings for inventory stored in a contango market are included in purchases and related costs in our marketing segment profit as we consider interest on these borrowings a direct cost to storing the inventory. These borrowings are primarily under our senior secured hedged inventory facility. These costs were approximately $11.2 million and $8.6 million for the first quarter of 2007 and the first quarter of 2006, respectively.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Outlook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section identifies certain matters of risk and uncertainty that may affect our financial performance and results of operations in the future. </w:t>
      </w:r>
    </w:p>
    <w:p>
      <w:pPr>
        <w:pStyle w:val="TextBody"/>
        <w:spacing w:before="120" w:after="283"/>
        <w:jc w:val="left"/>
        <w:rPr/>
      </w:pPr>
      <w:r>
        <w:rPr/>
        <w:t>     </w:t>
      </w:r>
      <w:r>
        <w:rPr>
          <w:rFonts w:ascii="Times New Roman;Times;serif" w:hAnsi="Times New Roman;Times;serif"/>
          <w:i/>
          <w:sz w:val="17"/>
        </w:rPr>
        <w:t xml:space="preserve">Ongoing Acquisition Activities. </w:t>
      </w:r>
      <w:r>
        <w:rPr>
          <w:rFonts w:ascii="Times New Roman;Times;serif" w:hAnsi="Times New Roman;Times;serif"/>
          <w:sz w:val="17"/>
        </w:rPr>
        <w:t xml:space="preserve">Consistent with our business strategy, we are continuously engaged in discussions regarding potential acquisitions by us of transportation, gathering, terminalling or storage assets and related midstream businesses. These acquisition efforts often involve assets that,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current operations, but with respect to which these resources effectively can be applied. For example, during the first quarter of 2007, we entered the refined products marketing business and during 2006 we entered the refined products transportation and storage business as well as the barge transportation business. We are presently engaged in discussions and negotiations with various parties regarding the acquisition of assets and businesses described above, but we can give no assurance that our current or future acquisition efforts will be successful or that any such acquisition will be completed on terms considered favorable to us.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i/>
          <w:sz w:val="17"/>
        </w:rPr>
        <w:t xml:space="preserve">Pipeline Integrity and Storage Tank Testing Compliance. </w:t>
      </w:r>
      <w:r>
        <w:rPr>
          <w:rFonts w:ascii="Times New Roman;Times;serif" w:hAnsi="Times New Roman;Times;serif"/>
          <w:sz w:val="17"/>
        </w:rPr>
        <w:t xml:space="preserve">Although we believe our previously disclosed short-term estimates of costs under the pipeline integrity management rules and API 653 (and similar regulations in Canada) are reasonable, a high degree of uncertainty exists with respect to estimating such costs, as we continue to test existing assets and as we acquire additional assets. In our annual report on Form 10-K for the year ended December 31, 2006, we reported that the DOT will be issuing by December 31, 2007, new regulations governing hazardous liquid pipelines operated at low stress. We do not currently know what, if any, impact these developments will have on our operating expenses and, thus, cannot provide any assurances that future costs related to these programs will not be material. </w:t>
      </w:r>
    </w:p>
    <w:p>
      <w:pPr>
        <w:pStyle w:val="TextBody"/>
        <w:spacing w:before="120" w:after="283"/>
        <w:jc w:val="left"/>
        <w:rPr/>
      </w:pPr>
      <w:r>
        <w:rPr/>
        <w:t>     </w:t>
      </w:r>
      <w:r>
        <w:rPr>
          <w:rFonts w:ascii="Times New Roman;Times;serif" w:hAnsi="Times New Roman;Times;serif"/>
          <w:i/>
          <w:sz w:val="17"/>
        </w:rPr>
        <w:t xml:space="preserve">Longer-Term Outlook. </w:t>
      </w:r>
      <w:r>
        <w:rPr>
          <w:rFonts w:ascii="Times New Roman;Times;serif" w:hAnsi="Times New Roman;Times;serif"/>
          <w:sz w:val="17"/>
        </w:rPr>
        <w:t xml:space="preserve">In our annual report on Form 10-K for the year ended December 31, 2006, we identified certain trends, factors and developments, many of which are beyond our control, that may affect our business in the future. We believe the collective impact of these trends, factors and developments will result in an increasingly volatile crude oil market that is subject to more frequent short-term swings in market prices and grade differentials and shifts in market structure. In an environment of tight supply and demand balances, even relatively minor supply disruptions can cause significant price swings, which were evident in 2005 and 2006.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 </w:t>
      </w:r>
    </w:p>
    <w:p>
      <w:pPr>
        <w:pStyle w:val="TextBody"/>
        <w:spacing w:before="120" w:after="283"/>
        <w:jc w:val="left"/>
        <w:rPr/>
      </w:pPr>
      <w:r>
        <w:rPr/>
        <w:t>     </w:t>
      </w:r>
      <w:r>
        <w:rPr>
          <w:rFonts w:ascii="Times New Roman;Times;serif" w:hAnsi="Times New Roman;Times;serif"/>
          <w:sz w:val="17"/>
        </w:rPr>
        <w:t xml:space="preserve">We are also regularly evaluating midstream businesses that are complementary to our existing businesses and that possess attractive long-term growth prospects. Through PAA/Vulcans acquisition of ECI in 2005, the Partnership entered the natural gas storage business. During 2006, we entered the refined products transportation and storage business. We intend to grow both of these areas of our business through future acquisitions and expansion projects. We also intend to apply our business model to the refined products business by expanding a recently acquired marketing and distribution business to complement our strategically located assets.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Liquidity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flow from operations and our credit facilities are our primary sources of liquidity. At March 31, 2007, we had a working capital deficit of approximately $41 million, approximately $1.4 billion of availability under our committed revolving credit facilities and approximately $0.4 billion of availability under our uncommitted hedged inventory facility. Our working capital decreased approximately $174 million in the first quarter of 2007. See </w:t>
      </w:r>
      <w:r>
        <w:rPr>
          <w:rFonts w:ascii="Times New Roman;Times;serif" w:hAnsi="Times New Roman;Times;serif"/>
          <w:i/>
          <w:sz w:val="17"/>
        </w:rPr>
        <w:t>Cash flow from operations</w:t>
      </w:r>
      <w:r>
        <w:rPr>
          <w:rFonts w:ascii="Times New Roman;Times;serif" w:hAnsi="Times New Roman;Times;serif"/>
          <w:sz w:val="17"/>
        </w:rPr>
        <w:t xml:space="preserve">, below, for discussion of the relationship between working capital items and our short-term borrowings. Usage of the credit facilities is subject to ongoing compliance with covenants. We believe we are currently in compliance with all covenants. </w:t>
      </w:r>
    </w:p>
    <w:p>
      <w:pPr>
        <w:pStyle w:val="TextBody"/>
        <w:spacing w:before="120" w:after="283"/>
        <w:jc w:val="left"/>
        <w:rPr/>
      </w:pPr>
      <w:r>
        <w:rPr/>
        <w:t>  </w:t>
      </w:r>
      <w:r>
        <w:rPr>
          <w:rFonts w:ascii="Times New Roman;Times;serif" w:hAnsi="Times New Roman;Times;serif"/>
          <w:b/>
          <w:i/>
          <w:sz w:val="17"/>
        </w:rPr>
        <w:t>Cash flow from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crude oil market was in contango for the first quarter of 2007 and for much of 2006.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 </w:t>
      </w:r>
    </w:p>
    <w:p>
      <w:pPr>
        <w:pStyle w:val="TextBody"/>
        <w:spacing w:before="120" w:after="283"/>
        <w:jc w:val="left"/>
        <w:rPr/>
      </w:pPr>
      <w:r>
        <w:rPr/>
        <w:t>     </w:t>
      </w:r>
      <w:r>
        <w:rPr>
          <w:rFonts w:ascii="Times New Roman;Times;serif" w:hAnsi="Times New Roman;Times;serif"/>
          <w:sz w:val="17"/>
        </w:rPr>
        <w:t xml:space="preserve">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The storage of crude oil in periods of a contango market can have a material negative impact on our cash flows from operating activities for the period in which we pay for and store the crude oil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 </w:t>
      </w:r>
    </w:p>
    <w:p>
      <w:pPr>
        <w:pStyle w:val="TextBody"/>
        <w:spacing w:before="120" w:after="283"/>
        <w:jc w:val="left"/>
        <w:rPr/>
      </w:pPr>
      <w:r>
        <w:rPr/>
        <w:t>     </w:t>
      </w:r>
      <w:r>
        <w:rPr>
          <w:rFonts w:ascii="Times New Roman;Times;serif" w:hAnsi="Times New Roman;Times;serif"/>
          <w:sz w:val="17"/>
        </w:rPr>
        <w:t xml:space="preserve">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 </w:t>
      </w:r>
    </w:p>
    <w:p>
      <w:pPr>
        <w:pStyle w:val="TextBody"/>
        <w:spacing w:before="120" w:after="283"/>
        <w:jc w:val="left"/>
        <w:rPr/>
      </w:pPr>
      <w:r>
        <w:rPr/>
        <w:t>     </w:t>
      </w:r>
      <w:r>
        <w:rPr>
          <w:rFonts w:ascii="Times New Roman;Times;serif" w:hAnsi="Times New Roman;Times;serif"/>
          <w:sz w:val="17"/>
        </w:rPr>
        <w:t xml:space="preserve">Our cash flow provided by operating activities in the first quarter of 2007 was $371.7 million compared to cash used in operating activities of $457.6 million in the first quarter of 2006. This change reflects cash generated by our recurring operations in addition to a decrease in certain working capital items of approximately $218.0 million. In the first quarter of 2007, although the market was in contango, due to the sale of some of our LPG inventory (resulting from customers heating requirements in the winter months), and due to the timing of receipts and deliveries of crude oil, we decreased our storage of crude oil and LPG and made repayments under our credit facilities, resulting in a positive impact on our cash flows from operating activities for the period, as explained above.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pPr>
      <w:r>
        <w:rPr/>
        <w:t>  </w:t>
      </w:r>
      <w:r>
        <w:rPr>
          <w:b/>
          <w:i/>
          <w:sz w:val="17"/>
        </w:rPr>
        <w:t>Cash provided by equity and debt financing activities</w:t>
      </w:r>
      <w:r>
        <w:rPr>
          <w:sz w:val="17"/>
        </w:rPr>
        <w:t xml:space="preserve"> </w:t>
      </w:r>
    </w:p>
    <w:p>
      <w:pPr>
        <w:pStyle w:val="TextBody"/>
        <w:spacing w:before="120" w:after="283"/>
        <w:jc w:val="left"/>
        <w:rPr/>
      </w:pPr>
      <w:r>
        <w:rPr/>
        <w:t>     </w:t>
      </w:r>
      <w:r>
        <w:rPr>
          <w:sz w:val="17"/>
        </w:rPr>
        <w:t xml:space="preserve">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 billion of debt or equity securities. At March 31, 2007, we have approximately $1.1 billion of unissued securities remaining available under this registration statement. </w:t>
      </w:r>
    </w:p>
    <w:p>
      <w:pPr>
        <w:pStyle w:val="TextBody"/>
        <w:spacing w:before="120" w:after="283"/>
        <w:jc w:val="left"/>
        <w:rPr/>
      </w:pPr>
      <w:r>
        <w:rPr/>
        <w:t>     </w:t>
      </w:r>
      <w:r>
        <w:rPr>
          <w:sz w:val="17"/>
        </w:rPr>
        <w:t xml:space="preserve">Cash used in financing activities was $206.8 million for the three months ended March 31, 2007 and cash provided by financing activities was $541.5 million for the three months ended March 31, 2006. During the three months ended March 31, 2007 we had net repayments of our working capital and hedged inventory borrowings of approximately $102.0 million and during the three months ended March 31, 2006, we had net working capital borrowings and hedged inventory borrowings of approximately $498.3 million, respectively. Our financing activities primarily relate to (i) funding acquisitions and internal capital projects and (ii) funding and repayments under our short-term working capital and hedged inventory facilities related to our contango market activities. Our financing activities have primarily consisted of equity offerings, senior notes offerings and borrowings and repayments under our credit facilities. During the first quarter of 2007, we made repayments under our credit facilities as a result of the decrease in the storage of crude oil and LPG and also borrowed under our credit facilities to fund capital expenditures. </w:t>
      </w:r>
    </w:p>
    <w:p>
      <w:pPr>
        <w:pStyle w:val="TextBody"/>
        <w:spacing w:before="240" w:after="283"/>
        <w:jc w:val="left"/>
        <w:rPr/>
      </w:pPr>
      <w:r>
        <w:rPr/>
        <w:t>  </w:t>
      </w:r>
      <w:r>
        <w:rPr>
          <w:b/>
          <w:i/>
          <w:sz w:val="17"/>
        </w:rPr>
        <w:t>Capital Expenditures and Distributions Paid to Unitholders and General Partner</w:t>
      </w:r>
      <w:r>
        <w:rPr>
          <w:sz w:val="17"/>
        </w:rPr>
        <w:t xml:space="preserve"> </w:t>
      </w:r>
    </w:p>
    <w:p>
      <w:pPr>
        <w:pStyle w:val="TextBody"/>
        <w:spacing w:before="120" w:after="283"/>
        <w:jc w:val="left"/>
        <w:rPr/>
      </w:pPr>
      <w:r>
        <w:rPr/>
        <w:t>     </w:t>
      </w:r>
      <w:r>
        <w:rPr>
          <w:sz w:val="17"/>
        </w:rPr>
        <w:t xml:space="preserve">We have made and will continue to make capital expenditures for acquisitions, expansion capital and maintenance capital. Historically, we have financed these expenditures primarily with cash generated by operations and the financing activities discussed above. Our primary uses of cash are for our acquisition activities, capital expenditures for internal growth projects and distributions paid to our unitholders and general partner. See  Acquisitions and Internal Growth Projects. The price of the acquisitions includes cash paid, transaction costs and assumed liabilities and net working capital items. Because of the non-cash items included in the total price of the acquisition and the timing of certain cash payments, the net cash paid may differ significantly from the total value of the acquisitions completed during the year. </w:t>
      </w:r>
    </w:p>
    <w:p>
      <w:pPr>
        <w:pStyle w:val="TextBody"/>
        <w:spacing w:before="120" w:after="283"/>
        <w:jc w:val="left"/>
        <w:rPr/>
      </w:pPr>
      <w:r>
        <w:rPr/>
        <w:t>     </w:t>
      </w:r>
      <w:r>
        <w:rPr>
          <w:i/>
          <w:sz w:val="17"/>
        </w:rPr>
        <w:t xml:space="preserve">Distributions to unitholders and general partner. </w:t>
      </w:r>
      <w:r>
        <w:rPr>
          <w:sz w:val="17"/>
        </w:rPr>
        <w:t xml:space="preserve">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Total cash distributions made during the first quarter of 2007 and the first quarter of 2006 were as follows (in millions, except per unit amounts): </w:t>
      </w:r>
    </w:p>
    <w:tbl>
      <w:tblPr>
        <w:tblW w:w="5000" w:type="pct"/>
        <w:jc w:val="center"/>
        <w:tblInd w:w="0" w:type="dxa"/>
        <w:tblCellMar>
          <w:top w:w="0" w:type="dxa"/>
          <w:left w:w="0" w:type="dxa"/>
          <w:bottom w:w="0" w:type="dxa"/>
          <w:right w:w="0" w:type="dxa"/>
        </w:tblCellMar>
      </w:tblPr>
      <w:tblGrid>
        <w:gridCol w:w="2855"/>
        <w:gridCol w:w="353"/>
        <w:gridCol w:w="233"/>
        <w:gridCol w:w="850"/>
        <w:gridCol w:w="106"/>
        <w:gridCol w:w="353"/>
        <w:gridCol w:w="230"/>
        <w:gridCol w:w="841"/>
        <w:gridCol w:w="106"/>
        <w:gridCol w:w="352"/>
        <w:gridCol w:w="165"/>
        <w:gridCol w:w="545"/>
        <w:gridCol w:w="106"/>
        <w:gridCol w:w="353"/>
        <w:gridCol w:w="165"/>
        <w:gridCol w:w="722"/>
        <w:gridCol w:w="106"/>
        <w:gridCol w:w="353"/>
        <w:gridCol w:w="218"/>
        <w:gridCol w:w="1074"/>
        <w:gridCol w:w="119"/>
      </w:tblGrid>
      <w:tr>
        <w:trPr/>
        <w:tc>
          <w:tcPr>
            <w:tcW w:w="28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28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6878"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Distributions Paid</w:t>
            </w:r>
          </w:p>
        </w:tc>
        <w:tc>
          <w:tcPr>
            <w:tcW w:w="119" w:type="dxa"/>
            <w:tcBorders/>
            <w:shd w:fill="auto" w:val="clear"/>
            <w:vAlign w:val="bottom"/>
          </w:tcPr>
          <w:p>
            <w:pPr>
              <w:pStyle w:val="TableContents"/>
              <w:spacing w:before="0" w:after="283"/>
              <w:rPr/>
            </w:pPr>
            <w:r>
              <w:rPr/>
              <w:t> </w:t>
            </w:r>
          </w:p>
        </w:tc>
      </w:tr>
      <w:tr>
        <w:trPr/>
        <w:tc>
          <w:tcPr>
            <w:tcW w:w="28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Common</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23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GP</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b/>
              </w:rPr>
            </w:pPr>
            <w:r>
              <w:rPr>
                <w:b/>
              </w:rPr>
              <w:t>Distribution</w:t>
            </w:r>
          </w:p>
        </w:tc>
        <w:tc>
          <w:tcPr>
            <w:tcW w:w="119" w:type="dxa"/>
            <w:tcBorders/>
            <w:shd w:fill="auto" w:val="clear"/>
            <w:vAlign w:val="bottom"/>
          </w:tcPr>
          <w:p>
            <w:pPr>
              <w:pStyle w:val="TableContents"/>
              <w:spacing w:before="0" w:after="283"/>
              <w:rPr/>
            </w:pPr>
            <w:r>
              <w:rPr/>
              <w:t> </w:t>
            </w:r>
          </w:p>
        </w:tc>
      </w:tr>
      <w:tr>
        <w:trPr/>
        <w:tc>
          <w:tcPr>
            <w:tcW w:w="28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0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Incentive</w:t>
            </w:r>
          </w:p>
        </w:tc>
        <w:tc>
          <w:tcPr>
            <w:tcW w:w="106"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 unit</w:t>
            </w:r>
          </w:p>
        </w:tc>
        <w:tc>
          <w:tcPr>
            <w:tcW w:w="119" w:type="dxa"/>
            <w:tcBorders/>
            <w:shd w:fill="auto" w:val="clear"/>
            <w:vAlign w:val="bottom"/>
          </w:tcPr>
          <w:p>
            <w:pPr>
              <w:pStyle w:val="TableContents"/>
              <w:spacing w:before="0" w:after="283"/>
              <w:rPr/>
            </w:pPr>
            <w:r>
              <w:rPr/>
              <w:t> </w:t>
            </w:r>
          </w:p>
        </w:tc>
      </w:tr>
      <w:tr>
        <w:trPr/>
        <w:tc>
          <w:tcPr>
            <w:tcW w:w="2855" w:type="dxa"/>
            <w:tcBorders/>
            <w:shd w:fill="auto" w:val="clear"/>
            <w:vAlign w:val="bottom"/>
          </w:tcPr>
          <w:p>
            <w:pPr>
              <w:pStyle w:val="TableContents"/>
              <w:spacing w:before="0" w:after="0"/>
              <w:ind w:left="225" w:right="0" w:hanging="225"/>
              <w:rPr/>
            </w:pPr>
            <w:r>
              <w:rPr/>
              <w:t>1st Quarter 2007</w:t>
            </w:r>
          </w:p>
        </w:tc>
        <w:tc>
          <w:tcPr>
            <w:tcW w:w="3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87.5</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15.3</w:t>
            </w:r>
          </w:p>
        </w:tc>
        <w:tc>
          <w:tcPr>
            <w:tcW w:w="106"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545" w:type="dxa"/>
            <w:tcBorders/>
            <w:shd w:fill="auto" w:val="clear"/>
            <w:vAlign w:val="bottom"/>
          </w:tcPr>
          <w:p>
            <w:pPr>
              <w:pStyle w:val="TableContents"/>
              <w:spacing w:before="0" w:after="283"/>
              <w:jc w:val="right"/>
              <w:rPr/>
            </w:pPr>
            <w:r>
              <w:rPr/>
              <w:t>1.8</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722" w:type="dxa"/>
            <w:tcBorders/>
            <w:shd w:fill="auto" w:val="clear"/>
            <w:vAlign w:val="bottom"/>
          </w:tcPr>
          <w:p>
            <w:pPr>
              <w:pStyle w:val="TableContents"/>
              <w:spacing w:before="0" w:after="283"/>
              <w:jc w:val="right"/>
              <w:rPr/>
            </w:pPr>
            <w:r>
              <w:rPr/>
              <w:t>104.6</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0.8000</w:t>
            </w:r>
          </w:p>
        </w:tc>
        <w:tc>
          <w:tcPr>
            <w:tcW w:w="119" w:type="dxa"/>
            <w:tcBorders/>
            <w:shd w:fill="auto" w:val="clear"/>
            <w:vAlign w:val="bottom"/>
          </w:tcPr>
          <w:p>
            <w:pPr>
              <w:pStyle w:val="TableContents"/>
              <w:spacing w:before="0" w:after="283"/>
              <w:rPr/>
            </w:pPr>
            <w:r>
              <w:rPr/>
              <w:t> </w:t>
            </w:r>
          </w:p>
        </w:tc>
      </w:tr>
      <w:tr>
        <w:trPr/>
        <w:tc>
          <w:tcPr>
            <w:tcW w:w="2855" w:type="dxa"/>
            <w:tcBorders/>
            <w:shd w:fill="auto" w:val="clear"/>
            <w:vAlign w:val="bottom"/>
          </w:tcPr>
          <w:p>
            <w:pPr>
              <w:pStyle w:val="TableContents"/>
              <w:spacing w:before="0" w:after="0"/>
              <w:ind w:left="225" w:right="0" w:hanging="225"/>
              <w:rPr/>
            </w:pPr>
            <w:r>
              <w:rPr/>
              <w:t>1st Quarter 2006</w:t>
            </w:r>
          </w:p>
        </w:tc>
        <w:tc>
          <w:tcPr>
            <w:tcW w:w="3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50.7</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5.6</w:t>
            </w:r>
          </w:p>
        </w:tc>
        <w:tc>
          <w:tcPr>
            <w:tcW w:w="106"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545" w:type="dxa"/>
            <w:tcBorders/>
            <w:shd w:fill="auto" w:val="clear"/>
            <w:vAlign w:val="bottom"/>
          </w:tcPr>
          <w:p>
            <w:pPr>
              <w:pStyle w:val="TableContents"/>
              <w:spacing w:before="0" w:after="283"/>
              <w:jc w:val="right"/>
              <w:rPr/>
            </w:pPr>
            <w:r>
              <w:rPr/>
              <w:t>1.0</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722" w:type="dxa"/>
            <w:tcBorders/>
            <w:shd w:fill="auto" w:val="clear"/>
            <w:vAlign w:val="bottom"/>
          </w:tcPr>
          <w:p>
            <w:pPr>
              <w:pStyle w:val="TableContents"/>
              <w:spacing w:before="0" w:after="283"/>
              <w:jc w:val="right"/>
              <w:rPr/>
            </w:pPr>
            <w:r>
              <w:rPr/>
              <w:t>57.3</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0.6875</w:t>
            </w:r>
          </w:p>
        </w:tc>
        <w:tc>
          <w:tcPr>
            <w:tcW w:w="119"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sz w:val="17"/>
        </w:rPr>
        <w:t xml:space="preserve">On April 17, 2007, we declared a cash distribution of $0.8125 per unit on our outstanding common units. The distribution is payable on May 15, 2007, to unitholders of record on May 4, 2007, for the period January 1, 2007 through March 31, 2007. The total distribution to be paid is approximately $107.4 million, with approximately $88.9 million to be paid to our common unitholders and approximately $1.8 million and $16.7 million to be paid to our general partner for its general partner and incentive distribution interests, respectively. </w:t>
      </w:r>
    </w:p>
    <w:p>
      <w:pPr>
        <w:pStyle w:val="TextBody"/>
        <w:spacing w:before="120" w:after="283"/>
        <w:jc w:val="left"/>
        <w:rPr/>
      </w:pPr>
      <w:r>
        <w:rPr/>
        <w:t>     </w:t>
      </w:r>
      <w:r>
        <w:rPr>
          <w:b/>
          <w:i/>
          <w:sz w:val="17"/>
        </w:rPr>
        <w:t>Contingencies</w:t>
      </w:r>
      <w:r>
        <w:rPr>
          <w:sz w:val="17"/>
        </w:rPr>
        <w:t xml:space="preserve"> </w:t>
      </w:r>
    </w:p>
    <w:p>
      <w:pPr>
        <w:pStyle w:val="TextBody"/>
        <w:spacing w:before="120" w:after="283"/>
        <w:jc w:val="left"/>
        <w:rPr/>
      </w:pPr>
      <w:r>
        <w:rPr/>
        <w:t>     </w:t>
      </w:r>
      <w:r>
        <w:rPr>
          <w:sz w:val="17"/>
        </w:rPr>
        <w:t xml:space="preserve">See Note 12 to our Consolidated Financial Statements. </w:t>
      </w:r>
    </w:p>
    <w:p>
      <w:pPr>
        <w:pStyle w:val="TextBody"/>
        <w:spacing w:before="120" w:after="283"/>
        <w:jc w:val="center"/>
        <w:rPr>
          <w:sz w:val="17"/>
        </w:rPr>
      </w:pPr>
      <w:r>
        <w:rPr>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sz w:val="17"/>
        </w:rPr>
        <w:t>Commitments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Contractual Obligations. </w:t>
      </w:r>
      <w:r>
        <w:rPr>
          <w:rFonts w:ascii="Times New Roman;Times;serif" w:hAnsi="Times New Roman;Times;serif"/>
          <w:sz w:val="17"/>
        </w:rPr>
        <w:t xml:space="preserve">In the ordinary course of doing business we purchase crude oil, LPG and refined products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purchases and sales and future delivery obligations. At March 31, 2007 and December 31, 2006, these obligations amounted to $6.4 billion and $4.6 billion, respectively. Other contractual obligations did not vary significantly since December 31, 2006. Where applicable, the amounts presented in the table below represent the net obligations associated with buy/sell contracts and those subject to a net settlement arrangement with the counterparty. We do not expect to use a significant amount of internal capital to meet these obligations, as the obligations will be funded by hedged inventory borrowings and by corresponding sales to creditworthy entities. </w:t>
      </w:r>
    </w:p>
    <w:p>
      <w:pPr>
        <w:pStyle w:val="TextBody"/>
        <w:spacing w:before="120" w:after="283"/>
        <w:jc w:val="left"/>
        <w:rPr/>
      </w:pPr>
      <w:r>
        <w:rPr/>
        <w:t>     </w:t>
      </w:r>
      <w:r>
        <w:rPr>
          <w:rFonts w:ascii="Times New Roman;Times;serif" w:hAnsi="Times New Roman;Times;serif"/>
          <w:sz w:val="17"/>
        </w:rPr>
        <w:t xml:space="preserve">The following table includes our best estimate of the amount and timing of these payments due under the specified contractual obligations as of March 31, 2007. </w:t>
      </w:r>
    </w:p>
    <w:tbl>
      <w:tblPr>
        <w:tblW w:w="5000" w:type="pct"/>
        <w:jc w:val="center"/>
        <w:tblInd w:w="0" w:type="dxa"/>
        <w:tblCellMar>
          <w:top w:w="0" w:type="dxa"/>
          <w:left w:w="0" w:type="dxa"/>
          <w:bottom w:w="0" w:type="dxa"/>
          <w:right w:w="0" w:type="dxa"/>
        </w:tblCellMar>
      </w:tblPr>
      <w:tblGrid>
        <w:gridCol w:w="1628"/>
        <w:gridCol w:w="218"/>
        <w:gridCol w:w="156"/>
        <w:gridCol w:w="814"/>
        <w:gridCol w:w="91"/>
        <w:gridCol w:w="218"/>
        <w:gridCol w:w="156"/>
        <w:gridCol w:w="814"/>
        <w:gridCol w:w="91"/>
        <w:gridCol w:w="218"/>
        <w:gridCol w:w="155"/>
        <w:gridCol w:w="668"/>
        <w:gridCol w:w="91"/>
        <w:gridCol w:w="218"/>
        <w:gridCol w:w="156"/>
        <w:gridCol w:w="668"/>
        <w:gridCol w:w="91"/>
        <w:gridCol w:w="218"/>
        <w:gridCol w:w="155"/>
        <w:gridCol w:w="668"/>
        <w:gridCol w:w="91"/>
        <w:gridCol w:w="218"/>
        <w:gridCol w:w="156"/>
        <w:gridCol w:w="668"/>
        <w:gridCol w:w="91"/>
        <w:gridCol w:w="218"/>
        <w:gridCol w:w="223"/>
        <w:gridCol w:w="938"/>
        <w:gridCol w:w="110"/>
      </w:tblGrid>
      <w:tr>
        <w:trPr/>
        <w:tc>
          <w:tcPr>
            <w:tcW w:w="16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16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161" w:type="dxa"/>
            <w:gridSpan w:val="2"/>
            <w:tcBorders/>
            <w:shd w:fill="auto" w:val="clear"/>
            <w:vAlign w:val="bottom"/>
          </w:tcPr>
          <w:p>
            <w:pPr>
              <w:pStyle w:val="TableContents"/>
              <w:spacing w:before="0" w:after="283"/>
              <w:jc w:val="center"/>
              <w:rPr>
                <w:b/>
              </w:rPr>
            </w:pPr>
            <w:r>
              <w:rPr>
                <w:b/>
              </w:rPr>
              <w:t>2012 and</w:t>
            </w:r>
          </w:p>
        </w:tc>
        <w:tc>
          <w:tcPr>
            <w:tcW w:w="110" w:type="dxa"/>
            <w:tcBorders/>
            <w:shd w:fill="auto" w:val="clear"/>
            <w:vAlign w:val="bottom"/>
          </w:tcPr>
          <w:p>
            <w:pPr>
              <w:pStyle w:val="TableContents"/>
              <w:spacing w:before="0" w:after="283"/>
              <w:rPr/>
            </w:pPr>
            <w:r>
              <w:rPr/>
              <w:t> </w:t>
            </w:r>
          </w:p>
        </w:tc>
      </w:tr>
      <w:tr>
        <w:trPr/>
        <w:tc>
          <w:tcPr>
            <w:tcW w:w="16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2011</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1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Thereafter</w:t>
            </w:r>
          </w:p>
        </w:tc>
        <w:tc>
          <w:tcPr>
            <w:tcW w:w="110" w:type="dxa"/>
            <w:tcBorders/>
            <w:shd w:fill="auto" w:val="clear"/>
            <w:vAlign w:val="bottom"/>
          </w:tcPr>
          <w:p>
            <w:pPr>
              <w:pStyle w:val="TableContents"/>
              <w:spacing w:before="0" w:after="283"/>
              <w:rPr/>
            </w:pPr>
            <w:r>
              <w:rPr/>
              <w:t> </w:t>
            </w:r>
          </w:p>
        </w:tc>
      </w:tr>
      <w:tr>
        <w:trPr/>
        <w:tc>
          <w:tcPr>
            <w:tcW w:w="16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249" w:type="dxa"/>
            <w:gridSpan w:val="26"/>
            <w:tcBorders/>
            <w:shd w:fill="auto" w:val="clear"/>
            <w:vAlign w:val="bottom"/>
          </w:tcPr>
          <w:p>
            <w:pPr>
              <w:pStyle w:val="TableContents"/>
              <w:spacing w:before="0" w:after="283"/>
              <w:jc w:val="center"/>
              <w:rPr>
                <w:b/>
              </w:rPr>
            </w:pPr>
            <w:r>
              <w:rPr>
                <w:b/>
              </w:rPr>
              <w:t>(In millions)</w:t>
            </w:r>
          </w:p>
        </w:tc>
        <w:tc>
          <w:tcPr>
            <w:tcW w:w="110" w:type="dxa"/>
            <w:tcBorders/>
            <w:shd w:fill="auto" w:val="clear"/>
            <w:vAlign w:val="bottom"/>
          </w:tcPr>
          <w:p>
            <w:pPr>
              <w:pStyle w:val="TableContents"/>
              <w:spacing w:before="0" w:after="283"/>
              <w:rPr/>
            </w:pPr>
            <w:r>
              <w:rPr/>
              <w:t> </w:t>
            </w:r>
          </w:p>
        </w:tc>
      </w:tr>
      <w:tr>
        <w:trPr/>
        <w:tc>
          <w:tcPr>
            <w:tcW w:w="1628" w:type="dxa"/>
            <w:tcBorders/>
            <w:shd w:fill="auto" w:val="clear"/>
            <w:vAlign w:val="bottom"/>
          </w:tcPr>
          <w:p>
            <w:pPr>
              <w:pStyle w:val="TableContents"/>
              <w:spacing w:before="0" w:after="0"/>
              <w:ind w:left="225" w:right="0" w:hanging="225"/>
              <w:rPr/>
            </w:pPr>
            <w:r>
              <w:rPr/>
              <w:t>Crude oil and LPG purchases(1)</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6,384.7</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3,608.8</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668" w:type="dxa"/>
            <w:tcBorders/>
            <w:shd w:fill="auto" w:val="clear"/>
            <w:vAlign w:val="bottom"/>
          </w:tcPr>
          <w:p>
            <w:pPr>
              <w:pStyle w:val="TableContents"/>
              <w:spacing w:before="0" w:after="283"/>
              <w:jc w:val="right"/>
              <w:rPr/>
            </w:pPr>
            <w:r>
              <w:rPr/>
              <w:t>931.8</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668" w:type="dxa"/>
            <w:tcBorders/>
            <w:shd w:fill="auto" w:val="clear"/>
            <w:vAlign w:val="bottom"/>
          </w:tcPr>
          <w:p>
            <w:pPr>
              <w:pStyle w:val="TableContents"/>
              <w:spacing w:before="0" w:after="283"/>
              <w:jc w:val="right"/>
              <w:rPr/>
            </w:pPr>
            <w:r>
              <w:rPr/>
              <w:t>643.6</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668" w:type="dxa"/>
            <w:tcBorders/>
            <w:shd w:fill="auto" w:val="clear"/>
            <w:vAlign w:val="bottom"/>
          </w:tcPr>
          <w:p>
            <w:pPr>
              <w:pStyle w:val="TableContents"/>
              <w:spacing w:before="0" w:after="283"/>
              <w:jc w:val="right"/>
              <w:rPr/>
            </w:pPr>
            <w:r>
              <w:rPr/>
              <w:t>470.1</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668" w:type="dxa"/>
            <w:tcBorders/>
            <w:shd w:fill="auto" w:val="clear"/>
            <w:vAlign w:val="bottom"/>
          </w:tcPr>
          <w:p>
            <w:pPr>
              <w:pStyle w:val="TableContents"/>
              <w:spacing w:before="0" w:after="283"/>
              <w:jc w:val="right"/>
              <w:rPr/>
            </w:pPr>
            <w:r>
              <w:rPr/>
              <w:t>383.0</w:t>
            </w:r>
          </w:p>
        </w:tc>
        <w:tc>
          <w:tcPr>
            <w:tcW w:w="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8" w:type="dxa"/>
            <w:tcBorders/>
            <w:shd w:fill="auto" w:val="clear"/>
            <w:vAlign w:val="bottom"/>
          </w:tcPr>
          <w:p>
            <w:pPr>
              <w:pStyle w:val="TableContents"/>
              <w:spacing w:before="0" w:after="283"/>
              <w:jc w:val="right"/>
              <w:rPr/>
            </w:pPr>
            <w:r>
              <w:rPr/>
              <w:t>347.4</w:t>
            </w:r>
          </w:p>
        </w:tc>
        <w:tc>
          <w:tcPr>
            <w:tcW w:w="110" w:type="dxa"/>
            <w:tcBorders/>
            <w:shd w:fill="auto" w:val="clear"/>
            <w:vAlign w:val="bottom"/>
          </w:tcPr>
          <w:p>
            <w:pPr>
              <w:pStyle w:val="TableContents"/>
              <w:spacing w:before="0" w:after="283"/>
              <w:rPr/>
            </w:pPr>
            <w:r>
              <w:rPr/>
              <w:t> </w:t>
            </w:r>
          </w:p>
        </w:tc>
      </w:tr>
      <w:tr>
        <w:trPr/>
        <w:tc>
          <w:tcPr>
            <w:tcW w:w="1628" w:type="dxa"/>
            <w:tcBorders/>
            <w:shd w:fill="auto" w:val="clear"/>
            <w:vAlign w:val="center"/>
          </w:tcPr>
          <w:p>
            <w:pPr>
              <w:pStyle w:val="TableContents"/>
              <w:spacing w:before="0" w:after="0"/>
              <w:ind w:left="225" w:right="0" w:hanging="225"/>
              <w:rPr/>
            </w:pPr>
            <w:r>
              <w:rPr/>
              <w:t> </w:t>
            </w:r>
          </w:p>
        </w:tc>
        <w:tc>
          <w:tcPr>
            <w:tcW w:w="218" w:type="dxa"/>
            <w:tcBorders/>
            <w:shd w:fill="auto" w:val="clear"/>
            <w:vAlign w:val="center"/>
          </w:tcPr>
          <w:p>
            <w:pPr>
              <w:pStyle w:val="TableContents"/>
              <w:spacing w:before="0" w:after="283"/>
              <w:rPr/>
            </w:pPr>
            <w:r>
              <w:rPr/>
              <w:t> </w:t>
            </w:r>
          </w:p>
        </w:tc>
        <w:tc>
          <w:tcPr>
            <w:tcW w:w="9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9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1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5"/>
        <w:gridCol w:w="2224"/>
        <w:gridCol w:w="1266"/>
      </w:tblGrid>
      <w:tr>
        <w:trPr/>
        <w:tc>
          <w:tcPr>
            <w:tcW w:w="6715"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(1)</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tc>
      </w:tr>
    </w:tbl>
    <w:p>
      <w:pPr>
        <w:pStyle w:val="TextBody"/>
        <w:spacing w:before="120" w:after="283"/>
        <w:jc w:val="left"/>
        <w:rPr/>
      </w:pPr>
      <w:r>
        <w:rPr/>
        <w:t>     </w:t>
      </w:r>
      <w:r>
        <w:rPr>
          <w:rFonts w:ascii="Times New Roman;Times;serif" w:hAnsi="Times New Roman;Times;serif"/>
          <w:i/>
          <w:sz w:val="17"/>
        </w:rPr>
        <w:t xml:space="preserve">Letters of Credit. </w:t>
      </w:r>
      <w:r>
        <w:rPr>
          <w:rFonts w:ascii="Times New Roman;Times;serif" w:hAnsi="Times New Roman;Times;serif"/>
          <w:sz w:val="17"/>
        </w:rPr>
        <w:t xml:space="preserve">In connection with our crude oil marketing,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70 days and are terminated upon completion of each transaction. At March 31, 2007, we had outstanding letters of credit of approximately $120.0 million. </w:t>
      </w:r>
    </w:p>
    <w:p>
      <w:pPr>
        <w:pStyle w:val="TextBody"/>
        <w:spacing w:before="120" w:after="283"/>
        <w:jc w:val="left"/>
        <w:rPr/>
      </w:pPr>
      <w:r>
        <w:rPr/>
        <w:t>     </w:t>
      </w:r>
      <w:r>
        <w:rPr>
          <w:rFonts w:ascii="Times New Roman;Times;serif" w:hAnsi="Times New Roman;Times;serif"/>
          <w:i/>
          <w:sz w:val="17"/>
        </w:rPr>
        <w:t xml:space="preserve">Capital Contributions to PAA/Vulcan Gas Storage, LLC. </w:t>
      </w:r>
      <w:r>
        <w:rPr>
          <w:rFonts w:ascii="Times New Roman;Times;serif" w:hAnsi="Times New Roman;Times;serif"/>
          <w:sz w:val="17"/>
        </w:rPr>
        <w:t xml:space="preserve">We and Vulcan Gas Storage are both required to make capital contributions in equal proportions to fund equity requests associated with certain projects specified in the joint venture agreement.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During the first quarter of 2007, we made an additional contribution of approximately $9 million to PAA/Vulcan. Such contribution did not result in an increase to our ownership interest. See Note 10 to our Consolidated Financial Statements. </w:t>
      </w:r>
    </w:p>
    <w:p>
      <w:pPr>
        <w:pStyle w:val="TextBody"/>
        <w:spacing w:before="120" w:after="283"/>
        <w:jc w:val="left"/>
        <w:rPr/>
      </w:pPr>
      <w:r>
        <w:rPr/>
        <w:t>     </w:t>
      </w:r>
      <w:r>
        <w:rPr>
          <w:rFonts w:ascii="Times New Roman;Times;serif" w:hAnsi="Times New Roman;Times;serif"/>
          <w:i/>
          <w:sz w:val="17"/>
        </w:rPr>
        <w:t xml:space="preserve">Distributions. </w:t>
      </w:r>
      <w:r>
        <w:rPr>
          <w:rFonts w:ascii="Times New Roman;Times;serif" w:hAnsi="Times New Roman;Times;serif"/>
          <w:sz w:val="17"/>
        </w:rPr>
        <w:t xml:space="preserve">We plan to distribute 100% of our available cash within 45 days after the end of each quarter to unitholders of record and to our general partner. Available cash is generally defined as all cash and cash equivalents on hand at the end of the quarter, less reserves established in the discretion of our general partner for future requirements. On April 17, 2007, we declared a cash distribution of $0.8125 per unit on our outstanding common units. The distribution is payable on May 15, 2007, to unitholders of record on May 4, 2007, for the period January 1, 2007 through March 31, 2007. The total distribution to be paid is approximately $107.4 million, with approximately $88.9 million to be paid to our common unitholders and approximately $1.8 million and $16.7 million to be paid to our general partner for its general partner and incentive distribution interests, respectively. On February 14, 2007, we paid a cash distribution of $0.80 per unit on all outstanding units. The total distribution paid was approximately $104.6 million, with approximately $87.5 million paid to our common unitholders and approximately $17.1 million paid to our general partner for its general partner interest ($1.8 million) and incentive distribution interest ($15.3 million).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w:t>
      </w:r>
    </w:p>
    <w:p>
      <w:pPr>
        <w:pStyle w:val="TextBody"/>
        <w:spacing w:before="120" w:after="283"/>
        <w:jc w:val="left"/>
        <w:rPr/>
      </w:pPr>
      <w:r>
        <w:rPr/>
        <w:t>     </w:t>
      </w:r>
      <w:r>
        <w:rPr>
          <w:rFonts w:ascii="Times New Roman;Times;serif" w:hAnsi="Times New Roman;Times;serif"/>
          <w:sz w:val="17"/>
        </w:rPr>
        <w:t xml:space="preserve">Upon closing of the Pacific acquisition, our general partner agreed to reduce the amounts of its incentive distributions as follows: (i) $5 million per quarter for the first four quarters, (ii) $3.75 million per quarter for the next eight quarters, (iii) $2.5 million per quarter for the next four quarters, and (iv) $1.25 million per quarter for the final four quarters. Pursuant to this agreement, the first quarterly reduction of $5 million occurred with the incentive distribution paid to the general partner on February 14, 2007. The incentive distribution to be paid in May 2007 also reflects a reduction of $5 million. The total reduction in incentive distributions will be $65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Recent Accounting Pronouncements and Change in Accounting Principle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14 to our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Critical Accounting Policies and Estimates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a discussion regarding our critical accounting policies and estimates, see Item 7 of our 2006 Annual Report on Form 10-K.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failure to realize the anticipated synergies and other benefits of the merger with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success of our risk management activities;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maintenance of our credit rating and ability to receive open credit from our suppliers and trade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failure to implement or capitalize on planned internal growth projects;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adequate third party production volumes for transportation and marketing in the areas in which we operate, and other factors that could cause declines in volumes shipped on our pipelines by us and third 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refinery capacity in areas supplied by our mainlines, and other factors affecting demand for various grades of crude oil, refined products and natural gas and resulting changes in pricing conditions or transmission throughput requirements;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our access to capital to fund additional acquisitions and our ability to obtain debt or equity financing on satisfactory terms;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effects of competition;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interruptions in service and fluctuations in tariffs or volumes on third-party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costs or lack of availability of insurance;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other factors and uncertainties inherent in the transportation, storage, terminalling and marketing of crude oil, refined products and liquefied petroleum gas and other natural gas related petroleum products.</w:t>
            </w:r>
          </w:p>
        </w:tc>
      </w:tr>
    </w:tbl>
    <w:p>
      <w:pPr>
        <w:pStyle w:val="TextBody"/>
        <w:spacing w:before="120" w:after="283"/>
        <w:jc w:val="left"/>
        <w:rPr/>
      </w:pPr>
      <w:r>
        <w:rPr/>
        <w:t>     </w:t>
      </w:r>
      <w:r>
        <w:rPr>
          <w:rFonts w:ascii="Times New Roman;Times;serif" w:hAnsi="Times New Roman;Times;serif"/>
          <w:sz w:val="17"/>
        </w:rPr>
        <w:t xml:space="preserve">Other factors, such as the Risks Related to Our Business discussed in Item 1A. Risk Factors of our most recent annual report on Form 10-K and factors that are unknown or unpredictable, could also have a material adverse effect on future results. Except as required by applicable securities laws, we do not intend to update these forward-looking statements and information. </w:t>
      </w:r>
    </w:p>
    <w:p>
      <w:pPr>
        <w:pStyle w:val="TextBody"/>
        <w:spacing w:before="240" w:after="283"/>
        <w:jc w:val="left"/>
        <w:rPr>
          <w:rFonts w:ascii="Times New Roman;Times;serif" w:hAnsi="Times New Roman;Times;serif"/>
          <w:sz w:val="17"/>
        </w:rPr>
      </w:pPr>
      <w:bookmarkStart w:id="14" w:name="111"/>
      <w:bookmarkEnd w:id="14"/>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should be read in conjunction with Quantitative and Qualitative Disclosures About Market Risks included in Item 7A in our 2006 Annual Report on Form 10-K. There have been no material changes in that information other than as discussed below. Also, see Note 9 to our Consolidated Financial Statements for additional discussion related to derivative instruments and hedging activities. </w:t>
      </w:r>
    </w:p>
    <w:p>
      <w:pPr>
        <w:pStyle w:val="TextBody"/>
        <w:spacing w:before="120" w:after="283"/>
        <w:jc w:val="left"/>
        <w:rPr/>
      </w:pPr>
      <w:r>
        <w:rPr/>
        <w:t>     </w:t>
      </w:r>
      <w:r>
        <w:rPr>
          <w:rFonts w:ascii="Times New Roman;Times;serif" w:hAnsi="Times New Roman;Times;serif"/>
          <w:b/>
          <w:i/>
          <w:sz w:val="17"/>
        </w:rPr>
        <w:t xml:space="preserve">Commodity Price Risk </w:t>
      </w:r>
    </w:p>
    <w:p>
      <w:pPr>
        <w:pStyle w:val="TextBody"/>
        <w:spacing w:before="120" w:after="283"/>
        <w:jc w:val="left"/>
        <w:rPr/>
      </w:pPr>
      <w:r>
        <w:rPr/>
        <w:t>     </w:t>
      </w:r>
      <w:r>
        <w:rPr>
          <w:rFonts w:ascii="Times New Roman;Times;serif" w:hAnsi="Times New Roman;Times;serif"/>
          <w:sz w:val="17"/>
        </w:rPr>
        <w:t xml:space="preserve">All of our open commodity price risk derivatives at March 31, 2007 were categorized as non-trading. The fair value of these instruments and the change in fair value that would be expected from a 10 percent price increase are shown in the table below: </w:t>
      </w:r>
    </w:p>
    <w:tbl>
      <w:tblPr>
        <w:tblW w:w="5000" w:type="pct"/>
        <w:jc w:val="center"/>
        <w:tblInd w:w="0" w:type="dxa"/>
        <w:tblCellMar>
          <w:top w:w="0" w:type="dxa"/>
          <w:left w:w="0" w:type="dxa"/>
          <w:bottom w:w="0" w:type="dxa"/>
          <w:right w:w="0" w:type="dxa"/>
        </w:tblCellMar>
      </w:tblPr>
      <w:tblGrid>
        <w:gridCol w:w="6236"/>
        <w:gridCol w:w="412"/>
        <w:gridCol w:w="255"/>
        <w:gridCol w:w="1037"/>
        <w:gridCol w:w="146"/>
        <w:gridCol w:w="412"/>
        <w:gridCol w:w="311"/>
        <w:gridCol w:w="1245"/>
        <w:gridCol w:w="151"/>
      </w:tblGrid>
      <w:tr>
        <w:trPr/>
        <w:tc>
          <w:tcPr>
            <w:tcW w:w="623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623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556" w:type="dxa"/>
            <w:gridSpan w:val="2"/>
            <w:tcBorders/>
            <w:shd w:fill="auto" w:val="clear"/>
            <w:vAlign w:val="bottom"/>
          </w:tcPr>
          <w:p>
            <w:pPr>
              <w:pStyle w:val="TableContents"/>
              <w:spacing w:before="0" w:after="283"/>
              <w:jc w:val="center"/>
              <w:rPr>
                <w:b/>
              </w:rPr>
            </w:pPr>
            <w:r>
              <w:rPr>
                <w:b/>
              </w:rPr>
              <w:t>Effect of 10%</w:t>
            </w:r>
          </w:p>
        </w:tc>
        <w:tc>
          <w:tcPr>
            <w:tcW w:w="151" w:type="dxa"/>
            <w:tcBorders/>
            <w:shd w:fill="auto" w:val="clear"/>
            <w:vAlign w:val="bottom"/>
          </w:tcPr>
          <w:p>
            <w:pPr>
              <w:pStyle w:val="TableContents"/>
              <w:spacing w:before="0" w:after="283"/>
              <w:rPr/>
            </w:pPr>
            <w:r>
              <w:rPr/>
              <w:t> </w:t>
            </w:r>
          </w:p>
        </w:tc>
      </w:tr>
      <w:tr>
        <w:trPr/>
        <w:tc>
          <w:tcPr>
            <w:tcW w:w="623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c>
          <w:tcPr>
            <w:tcW w:w="14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5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 Increase</w:t>
            </w:r>
          </w:p>
        </w:tc>
        <w:tc>
          <w:tcPr>
            <w:tcW w:w="151" w:type="dxa"/>
            <w:tcBorders/>
            <w:shd w:fill="auto" w:val="clear"/>
            <w:vAlign w:val="bottom"/>
          </w:tcPr>
          <w:p>
            <w:pPr>
              <w:pStyle w:val="TableContents"/>
              <w:spacing w:before="0" w:after="283"/>
              <w:rPr/>
            </w:pPr>
            <w:r>
              <w:rPr/>
              <w:t> </w:t>
            </w:r>
          </w:p>
        </w:tc>
      </w:tr>
      <w:tr>
        <w:trPr/>
        <w:tc>
          <w:tcPr>
            <w:tcW w:w="6236"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3406" w:type="dxa"/>
            <w:gridSpan w:val="6"/>
            <w:tcBorders/>
            <w:shd w:fill="auto" w:val="clear"/>
            <w:vAlign w:val="bottom"/>
          </w:tcPr>
          <w:p>
            <w:pPr>
              <w:pStyle w:val="TableContents"/>
              <w:spacing w:before="0" w:after="283"/>
              <w:jc w:val="center"/>
              <w:rPr>
                <w:b/>
              </w:rPr>
            </w:pPr>
            <w:r>
              <w:rPr>
                <w:b/>
              </w:rPr>
              <w:t>(In millions)</w:t>
            </w:r>
          </w:p>
        </w:tc>
        <w:tc>
          <w:tcPr>
            <w:tcW w:w="151" w:type="dxa"/>
            <w:tcBorders/>
            <w:shd w:fill="auto" w:val="clear"/>
            <w:vAlign w:val="bottom"/>
          </w:tcPr>
          <w:p>
            <w:pPr>
              <w:pStyle w:val="TableContents"/>
              <w:spacing w:before="0" w:after="283"/>
              <w:rPr/>
            </w:pPr>
            <w:r>
              <w:rPr/>
              <w:t> </w:t>
            </w:r>
          </w:p>
        </w:tc>
      </w:tr>
      <w:tr>
        <w:trPr/>
        <w:tc>
          <w:tcPr>
            <w:tcW w:w="6236" w:type="dxa"/>
            <w:tcBorders/>
            <w:shd w:fill="CCEEFF" w:val="clear"/>
          </w:tcPr>
          <w:p>
            <w:pPr>
              <w:pStyle w:val="TableContents"/>
              <w:spacing w:before="0" w:after="0"/>
              <w:ind w:left="0" w:right="0" w:hanging="0"/>
              <w:rPr/>
            </w:pPr>
            <w:r>
              <w:rPr/>
              <w:t>Crude oil:</w:t>
            </w:r>
          </w:p>
        </w:tc>
        <w:tc>
          <w:tcPr>
            <w:tcW w:w="412" w:type="dxa"/>
            <w:tcBorders/>
            <w:shd w:fill="CCEEFF" w:val="clear"/>
            <w:vAlign w:val="bottom"/>
          </w:tcPr>
          <w:p>
            <w:pPr>
              <w:pStyle w:val="TableContents"/>
              <w:spacing w:before="0" w:after="283"/>
              <w:rPr/>
            </w:pPr>
            <w:r>
              <w:rPr/>
              <w:t> </w:t>
            </w:r>
          </w:p>
        </w:tc>
        <w:tc>
          <w:tcPr>
            <w:tcW w:w="255" w:type="dxa"/>
            <w:tcBorders/>
            <w:shd w:fill="CCEEFF" w:val="clear"/>
          </w:tcPr>
          <w:p>
            <w:pPr>
              <w:pStyle w:val="TableContents"/>
              <w:spacing w:before="0" w:after="283"/>
              <w:jc w:val="left"/>
              <w:rPr/>
            </w:pPr>
            <w:r>
              <w:rPr/>
              <w:t> </w:t>
            </w:r>
          </w:p>
        </w:tc>
        <w:tc>
          <w:tcPr>
            <w:tcW w:w="1037" w:type="dxa"/>
            <w:tcBorders/>
            <w:shd w:fill="CCEEFF" w:val="clear"/>
            <w:vAlign w:val="bottom"/>
          </w:tcPr>
          <w:p>
            <w:pPr>
              <w:pStyle w:val="TableContents"/>
              <w:spacing w:before="0" w:after="283"/>
              <w:rPr/>
            </w:pPr>
            <w:r>
              <w:rPr/>
              <w:t> </w:t>
            </w:r>
          </w:p>
        </w:tc>
        <w:tc>
          <w:tcPr>
            <w:tcW w:w="146" w:type="dxa"/>
            <w:tcBorders/>
            <w:shd w:fill="CCEEFF" w:val="clear"/>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pPr>
            <w:r>
              <w:rPr/>
              <w:t> </w:t>
            </w:r>
          </w:p>
        </w:tc>
        <w:tc>
          <w:tcPr>
            <w:tcW w:w="311" w:type="dxa"/>
            <w:tcBorders/>
            <w:shd w:fill="CCEEFF" w:val="clear"/>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jc w:val="left"/>
              <w:rPr/>
            </w:pPr>
            <w:r>
              <w:rPr/>
              <w:t> </w:t>
            </w:r>
          </w:p>
        </w:tc>
      </w:tr>
      <w:tr>
        <w:trPr/>
        <w:tc>
          <w:tcPr>
            <w:tcW w:w="6236" w:type="dxa"/>
            <w:tcBorders/>
            <w:shd w:fill="auto" w:val="clear"/>
          </w:tcPr>
          <w:p>
            <w:pPr>
              <w:pStyle w:val="TableContents"/>
              <w:spacing w:before="0" w:after="0"/>
              <w:ind w:left="225" w:right="0" w:hanging="0"/>
              <w:rPr/>
            </w:pPr>
            <w:r>
              <w:rPr/>
              <w:t xml:space="preserve">Futures contracts </w:t>
            </w:r>
          </w:p>
        </w:tc>
        <w:tc>
          <w:tcPr>
            <w:tcW w:w="412" w:type="dxa"/>
            <w:tcBorders/>
            <w:shd w:fill="auto" w:val="clear"/>
            <w:vAlign w:val="bottom"/>
          </w:tcPr>
          <w:p>
            <w:pPr>
              <w:pStyle w:val="TableContents"/>
              <w:spacing w:before="0" w:after="283"/>
              <w:rPr/>
            </w:pPr>
            <w:r>
              <w:rPr/>
              <w:t> </w:t>
            </w:r>
          </w:p>
        </w:tc>
        <w:tc>
          <w:tcPr>
            <w:tcW w:w="255" w:type="dxa"/>
            <w:tcBorders/>
            <w:shd w:fill="auto" w:val="clear"/>
          </w:tcPr>
          <w:p>
            <w:pPr>
              <w:pStyle w:val="TableContents"/>
              <w:spacing w:before="0" w:after="283"/>
              <w:jc w:val="left"/>
              <w:rPr/>
            </w:pPr>
            <w:r>
              <w:rPr/>
              <w:t>$</w:t>
            </w:r>
          </w:p>
        </w:tc>
        <w:tc>
          <w:tcPr>
            <w:tcW w:w="1037" w:type="dxa"/>
            <w:tcBorders/>
            <w:shd w:fill="auto" w:val="clear"/>
          </w:tcPr>
          <w:p>
            <w:pPr>
              <w:pStyle w:val="TableContents"/>
              <w:spacing w:before="0" w:after="283"/>
              <w:jc w:val="right"/>
              <w:rPr/>
            </w:pPr>
            <w:r>
              <w:rPr/>
              <w:t>(35.6</w:t>
            </w:r>
          </w:p>
        </w:tc>
        <w:tc>
          <w:tcPr>
            <w:tcW w:w="146" w:type="dxa"/>
            <w:tcBorders/>
            <w:shd w:fill="auto" w:val="clear"/>
          </w:tcPr>
          <w:p>
            <w:pPr>
              <w:pStyle w:val="TableContents"/>
              <w:spacing w:before="0" w:after="283"/>
              <w:jc w:val="left"/>
              <w:rPr/>
            </w:pPr>
            <w:r>
              <w:rPr/>
              <w:t>)</w:t>
            </w:r>
          </w:p>
        </w:tc>
        <w:tc>
          <w:tcPr>
            <w:tcW w:w="412"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w:t>
            </w:r>
          </w:p>
        </w:tc>
        <w:tc>
          <w:tcPr>
            <w:tcW w:w="1245" w:type="dxa"/>
            <w:tcBorders/>
            <w:shd w:fill="auto" w:val="clear"/>
          </w:tcPr>
          <w:p>
            <w:pPr>
              <w:pStyle w:val="TableContents"/>
              <w:spacing w:before="0" w:after="283"/>
              <w:jc w:val="right"/>
              <w:rPr/>
            </w:pPr>
            <w:r>
              <w:rPr/>
              <w:t>(33.3</w:t>
            </w:r>
          </w:p>
        </w:tc>
        <w:tc>
          <w:tcPr>
            <w:tcW w:w="151" w:type="dxa"/>
            <w:tcBorders/>
            <w:shd w:fill="auto" w:val="clear"/>
          </w:tcPr>
          <w:p>
            <w:pPr>
              <w:pStyle w:val="TableContents"/>
              <w:spacing w:before="0" w:after="283"/>
              <w:jc w:val="left"/>
              <w:rPr/>
            </w:pPr>
            <w:r>
              <w:rPr/>
              <w:t>)</w:t>
            </w:r>
          </w:p>
        </w:tc>
      </w:tr>
      <w:tr>
        <w:trPr/>
        <w:tc>
          <w:tcPr>
            <w:tcW w:w="6236" w:type="dxa"/>
            <w:tcBorders/>
            <w:shd w:fill="CCEEFF" w:val="clear"/>
          </w:tcPr>
          <w:p>
            <w:pPr>
              <w:pStyle w:val="TableContents"/>
              <w:spacing w:before="0" w:after="0"/>
              <w:ind w:left="225" w:right="0" w:hanging="0"/>
              <w:rPr/>
            </w:pPr>
            <w:r>
              <w:rPr/>
              <w:t xml:space="preserve">Swaps and options contracts </w:t>
            </w:r>
          </w:p>
        </w:tc>
        <w:tc>
          <w:tcPr>
            <w:tcW w:w="412" w:type="dxa"/>
            <w:tcBorders/>
            <w:shd w:fill="CCEEFF" w:val="clear"/>
            <w:vAlign w:val="bottom"/>
          </w:tcPr>
          <w:p>
            <w:pPr>
              <w:pStyle w:val="TableContents"/>
              <w:spacing w:before="0" w:after="283"/>
              <w:rPr/>
            </w:pPr>
            <w:r>
              <w:rPr/>
              <w:t> </w:t>
            </w:r>
          </w:p>
        </w:tc>
        <w:tc>
          <w:tcPr>
            <w:tcW w:w="255" w:type="dxa"/>
            <w:tcBorders/>
            <w:shd w:fill="CCEEFF" w:val="clear"/>
          </w:tcPr>
          <w:p>
            <w:pPr>
              <w:pStyle w:val="TableContents"/>
              <w:spacing w:before="0" w:after="283"/>
              <w:jc w:val="left"/>
              <w:rPr/>
            </w:pPr>
            <w:r>
              <w:rPr/>
              <w:t>$</w:t>
            </w:r>
          </w:p>
        </w:tc>
        <w:tc>
          <w:tcPr>
            <w:tcW w:w="1037" w:type="dxa"/>
            <w:tcBorders/>
            <w:shd w:fill="CCEEFF" w:val="clear"/>
          </w:tcPr>
          <w:p>
            <w:pPr>
              <w:pStyle w:val="TableContents"/>
              <w:spacing w:before="0" w:after="283"/>
              <w:jc w:val="right"/>
              <w:rPr/>
            </w:pPr>
            <w:r>
              <w:rPr/>
              <w:t xml:space="preserve">(46.7 </w:t>
            </w:r>
          </w:p>
        </w:tc>
        <w:tc>
          <w:tcPr>
            <w:tcW w:w="146" w:type="dxa"/>
            <w:tcBorders/>
            <w:shd w:fill="CCEEFF" w:val="clear"/>
          </w:tcPr>
          <w:p>
            <w:pPr>
              <w:pStyle w:val="TableContents"/>
              <w:spacing w:before="0" w:after="283"/>
              <w:jc w:val="left"/>
              <w:rPr/>
            </w:pPr>
            <w:r>
              <w:rPr/>
              <w:t>)</w:t>
            </w:r>
          </w:p>
        </w:tc>
        <w:tc>
          <w:tcPr>
            <w:tcW w:w="412" w:type="dxa"/>
            <w:tcBorders/>
            <w:shd w:fill="CCEEFF" w:val="clear"/>
            <w:vAlign w:val="bottom"/>
          </w:tcPr>
          <w:p>
            <w:pPr>
              <w:pStyle w:val="TableContents"/>
              <w:spacing w:before="0" w:after="283"/>
              <w:rPr/>
            </w:pPr>
            <w:r>
              <w:rPr/>
              <w:t> </w:t>
            </w:r>
          </w:p>
        </w:tc>
        <w:tc>
          <w:tcPr>
            <w:tcW w:w="311" w:type="dxa"/>
            <w:tcBorders/>
            <w:shd w:fill="CCEEFF" w:val="clear"/>
          </w:tcPr>
          <w:p>
            <w:pPr>
              <w:pStyle w:val="TableContents"/>
              <w:spacing w:before="0" w:after="283"/>
              <w:jc w:val="left"/>
              <w:rPr/>
            </w:pPr>
            <w:r>
              <w:rPr/>
              <w:t>$</w:t>
            </w:r>
          </w:p>
        </w:tc>
        <w:tc>
          <w:tcPr>
            <w:tcW w:w="1245" w:type="dxa"/>
            <w:tcBorders/>
            <w:shd w:fill="CCEEFF" w:val="clear"/>
          </w:tcPr>
          <w:p>
            <w:pPr>
              <w:pStyle w:val="TableContents"/>
              <w:spacing w:before="0" w:after="283"/>
              <w:jc w:val="right"/>
              <w:rPr/>
            </w:pPr>
            <w:r>
              <w:rPr/>
              <w:t>(19.4</w:t>
            </w:r>
          </w:p>
        </w:tc>
        <w:tc>
          <w:tcPr>
            <w:tcW w:w="151" w:type="dxa"/>
            <w:tcBorders/>
            <w:shd w:fill="CCEEFF" w:val="clear"/>
          </w:tcPr>
          <w:p>
            <w:pPr>
              <w:pStyle w:val="TableContents"/>
              <w:spacing w:before="0" w:after="283"/>
              <w:jc w:val="left"/>
              <w:rPr/>
            </w:pPr>
            <w:r>
              <w:rPr/>
              <w:t>)</w:t>
            </w:r>
          </w:p>
        </w:tc>
      </w:tr>
      <w:tr>
        <w:trPr/>
        <w:tc>
          <w:tcPr>
            <w:tcW w:w="6236" w:type="dxa"/>
            <w:tcBorders/>
            <w:shd w:fill="auto" w:val="clear"/>
          </w:tcPr>
          <w:p>
            <w:pPr>
              <w:pStyle w:val="TableContents"/>
              <w:spacing w:before="0" w:after="0"/>
              <w:ind w:left="0" w:right="0" w:hanging="0"/>
              <w:rPr/>
            </w:pPr>
            <w:r>
              <w:rPr/>
              <w:t>LPG and other:</w:t>
            </w:r>
          </w:p>
        </w:tc>
        <w:tc>
          <w:tcPr>
            <w:tcW w:w="412" w:type="dxa"/>
            <w:tcBorders/>
            <w:shd w:fill="auto" w:val="clear"/>
            <w:vAlign w:val="bottom"/>
          </w:tcPr>
          <w:p>
            <w:pPr>
              <w:pStyle w:val="TableContents"/>
              <w:spacing w:before="0" w:after="283"/>
              <w:rPr/>
            </w:pPr>
            <w:r>
              <w:rPr/>
              <w:t> </w:t>
            </w:r>
          </w:p>
        </w:tc>
        <w:tc>
          <w:tcPr>
            <w:tcW w:w="255" w:type="dxa"/>
            <w:tcBorders/>
            <w:shd w:fill="auto" w:val="clear"/>
          </w:tcPr>
          <w:p>
            <w:pPr>
              <w:pStyle w:val="TableContents"/>
              <w:spacing w:before="0" w:after="283"/>
              <w:jc w:val="left"/>
              <w:rPr/>
            </w:pPr>
            <w:r>
              <w:rPr/>
              <w:t> </w:t>
            </w:r>
          </w:p>
        </w:tc>
        <w:tc>
          <w:tcPr>
            <w:tcW w:w="1037" w:type="dxa"/>
            <w:tcBorders/>
            <w:shd w:fill="auto" w:val="clear"/>
            <w:vAlign w:val="bottom"/>
          </w:tcPr>
          <w:p>
            <w:pPr>
              <w:pStyle w:val="TableContents"/>
              <w:spacing w:before="0" w:after="283"/>
              <w:rPr/>
            </w:pPr>
            <w:r>
              <w:rPr/>
              <w:t> </w:t>
            </w:r>
          </w:p>
        </w:tc>
        <w:tc>
          <w:tcPr>
            <w:tcW w:w="146" w:type="dxa"/>
            <w:tcBorders/>
            <w:shd w:fill="auto" w:val="clea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pPr>
            <w:r>
              <w:rPr/>
              <w:t> </w:t>
            </w:r>
          </w:p>
        </w:tc>
        <w:tc>
          <w:tcPr>
            <w:tcW w:w="151" w:type="dxa"/>
            <w:tcBorders/>
            <w:shd w:fill="auto" w:val="clear"/>
          </w:tcPr>
          <w:p>
            <w:pPr>
              <w:pStyle w:val="TableContents"/>
              <w:spacing w:before="0" w:after="283"/>
              <w:jc w:val="left"/>
              <w:rPr/>
            </w:pPr>
            <w:r>
              <w:rPr/>
              <w:t> </w:t>
            </w:r>
          </w:p>
        </w:tc>
      </w:tr>
      <w:tr>
        <w:trPr/>
        <w:tc>
          <w:tcPr>
            <w:tcW w:w="6236" w:type="dxa"/>
            <w:tcBorders/>
            <w:shd w:fill="CCEEFF" w:val="clear"/>
          </w:tcPr>
          <w:p>
            <w:pPr>
              <w:pStyle w:val="TableContents"/>
              <w:spacing w:before="0" w:after="0"/>
              <w:ind w:left="225" w:right="0" w:hanging="0"/>
              <w:rPr/>
            </w:pPr>
            <w:r>
              <w:rPr/>
              <w:t xml:space="preserve">Futures contracts </w:t>
            </w:r>
          </w:p>
        </w:tc>
        <w:tc>
          <w:tcPr>
            <w:tcW w:w="412" w:type="dxa"/>
            <w:tcBorders/>
            <w:shd w:fill="CCEEFF" w:val="clear"/>
            <w:vAlign w:val="bottom"/>
          </w:tcPr>
          <w:p>
            <w:pPr>
              <w:pStyle w:val="TableContents"/>
              <w:spacing w:before="0" w:after="283"/>
              <w:rPr/>
            </w:pPr>
            <w:r>
              <w:rPr/>
              <w:t> </w:t>
            </w:r>
          </w:p>
        </w:tc>
        <w:tc>
          <w:tcPr>
            <w:tcW w:w="255" w:type="dxa"/>
            <w:tcBorders/>
            <w:shd w:fill="CCEEFF" w:val="clear"/>
          </w:tcPr>
          <w:p>
            <w:pPr>
              <w:pStyle w:val="TableContents"/>
              <w:spacing w:before="0" w:after="283"/>
              <w:jc w:val="left"/>
              <w:rPr/>
            </w:pPr>
            <w:r>
              <w:rPr/>
              <w:t>$</w:t>
            </w:r>
          </w:p>
        </w:tc>
        <w:tc>
          <w:tcPr>
            <w:tcW w:w="1037" w:type="dxa"/>
            <w:tcBorders/>
            <w:shd w:fill="CCEEFF" w:val="clear"/>
          </w:tcPr>
          <w:p>
            <w:pPr>
              <w:pStyle w:val="TableContents"/>
              <w:spacing w:before="0" w:after="283"/>
              <w:jc w:val="right"/>
              <w:rPr/>
            </w:pPr>
            <w:r>
              <w:rPr/>
              <w:t>0.3</w:t>
            </w:r>
          </w:p>
        </w:tc>
        <w:tc>
          <w:tcPr>
            <w:tcW w:w="146" w:type="dxa"/>
            <w:tcBorders/>
            <w:shd w:fill="CCEEFF" w:val="clear"/>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pPr>
            <w:r>
              <w:rPr/>
              <w:t> </w:t>
            </w:r>
          </w:p>
        </w:tc>
        <w:tc>
          <w:tcPr>
            <w:tcW w:w="311" w:type="dxa"/>
            <w:tcBorders/>
            <w:shd w:fill="CCEEFF" w:val="clear"/>
          </w:tcPr>
          <w:p>
            <w:pPr>
              <w:pStyle w:val="TableContents"/>
              <w:spacing w:before="0" w:after="283"/>
              <w:jc w:val="left"/>
              <w:rPr/>
            </w:pPr>
            <w:r>
              <w:rPr/>
              <w:t>$</w:t>
            </w:r>
          </w:p>
        </w:tc>
        <w:tc>
          <w:tcPr>
            <w:tcW w:w="1245" w:type="dxa"/>
            <w:tcBorders/>
            <w:shd w:fill="CCEEFF" w:val="clear"/>
          </w:tcPr>
          <w:p>
            <w:pPr>
              <w:pStyle w:val="TableContents"/>
              <w:spacing w:before="0" w:after="283"/>
              <w:jc w:val="right"/>
              <w:rPr/>
            </w:pPr>
            <w:r>
              <w:rPr/>
              <w:t>6.4</w:t>
            </w:r>
          </w:p>
        </w:tc>
        <w:tc>
          <w:tcPr>
            <w:tcW w:w="151" w:type="dxa"/>
            <w:tcBorders/>
            <w:shd w:fill="CCEEFF" w:val="clear"/>
          </w:tcPr>
          <w:p>
            <w:pPr>
              <w:pStyle w:val="TableContents"/>
              <w:spacing w:before="0" w:after="283"/>
              <w:rPr>
                <w:sz w:val="4"/>
                <w:szCs w:val="4"/>
              </w:rPr>
            </w:pPr>
            <w:r>
              <w:rPr>
                <w:sz w:val="4"/>
                <w:szCs w:val="4"/>
              </w:rPr>
            </w:r>
          </w:p>
        </w:tc>
      </w:tr>
      <w:tr>
        <w:trPr/>
        <w:tc>
          <w:tcPr>
            <w:tcW w:w="6236" w:type="dxa"/>
            <w:tcBorders/>
            <w:shd w:fill="auto" w:val="clear"/>
          </w:tcPr>
          <w:p>
            <w:pPr>
              <w:pStyle w:val="TableContents"/>
              <w:spacing w:before="0" w:after="0"/>
              <w:ind w:left="225" w:right="0" w:hanging="0"/>
              <w:rPr/>
            </w:pPr>
            <w:r>
              <w:rPr/>
              <w:t xml:space="preserve">Swaps and options contracts </w:t>
            </w:r>
          </w:p>
        </w:tc>
        <w:tc>
          <w:tcPr>
            <w:tcW w:w="412" w:type="dxa"/>
            <w:tcBorders/>
            <w:shd w:fill="auto" w:val="clear"/>
            <w:vAlign w:val="bottom"/>
          </w:tcPr>
          <w:p>
            <w:pPr>
              <w:pStyle w:val="TableContents"/>
              <w:spacing w:before="0" w:after="283"/>
              <w:rPr/>
            </w:pPr>
            <w:r>
              <w:rPr/>
              <w:t> </w:t>
            </w:r>
          </w:p>
        </w:tc>
        <w:tc>
          <w:tcPr>
            <w:tcW w:w="255" w:type="dxa"/>
            <w:tcBorders/>
            <w:shd w:fill="auto" w:val="clear"/>
          </w:tcPr>
          <w:p>
            <w:pPr>
              <w:pStyle w:val="TableContents"/>
              <w:spacing w:before="0" w:after="283"/>
              <w:jc w:val="left"/>
              <w:rPr/>
            </w:pPr>
            <w:r>
              <w:rPr/>
              <w:t>$</w:t>
            </w:r>
          </w:p>
        </w:tc>
        <w:tc>
          <w:tcPr>
            <w:tcW w:w="1037" w:type="dxa"/>
            <w:tcBorders/>
            <w:shd w:fill="auto" w:val="clear"/>
          </w:tcPr>
          <w:p>
            <w:pPr>
              <w:pStyle w:val="TableContents"/>
              <w:spacing w:before="0" w:after="283"/>
              <w:jc w:val="right"/>
              <w:rPr/>
            </w:pPr>
            <w:r>
              <w:rPr/>
              <w:t>11.3</w:t>
            </w:r>
          </w:p>
        </w:tc>
        <w:tc>
          <w:tcPr>
            <w:tcW w:w="146" w:type="dxa"/>
            <w:tcBorders/>
            <w:shd w:fill="auto" w:val="clea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w:t>
            </w:r>
          </w:p>
        </w:tc>
        <w:tc>
          <w:tcPr>
            <w:tcW w:w="1245" w:type="dxa"/>
            <w:tcBorders/>
            <w:shd w:fill="auto" w:val="clear"/>
          </w:tcPr>
          <w:p>
            <w:pPr>
              <w:pStyle w:val="TableContents"/>
              <w:spacing w:before="0" w:after="283"/>
              <w:jc w:val="right"/>
              <w:rPr/>
            </w:pPr>
            <w:r>
              <w:rPr/>
              <w:t>1.4</w:t>
            </w:r>
          </w:p>
        </w:tc>
        <w:tc>
          <w:tcPr>
            <w:tcW w:w="151" w:type="dxa"/>
            <w:tcBorders/>
            <w:shd w:fill="auto" w:val="clear"/>
          </w:tcPr>
          <w:p>
            <w:pPr>
              <w:pStyle w:val="TableContents"/>
              <w:spacing w:before="0" w:after="283"/>
              <w:rPr>
                <w:sz w:val="4"/>
                <w:szCs w:val="4"/>
              </w:rPr>
            </w:pPr>
            <w:r>
              <w:rPr>
                <w:sz w:val="4"/>
                <w:szCs w:val="4"/>
              </w:rPr>
            </w:r>
          </w:p>
        </w:tc>
      </w:tr>
      <w:tr>
        <w:trPr/>
        <w:tc>
          <w:tcPr>
            <w:tcW w:w="6236" w:type="dxa"/>
            <w:tcBorders/>
            <w:shd w:fill="auto" w:val="clear"/>
          </w:tcPr>
          <w:p>
            <w:pPr>
              <w:pStyle w:val="TableContents"/>
              <w:spacing w:before="0" w:after="0"/>
              <w:ind w:left="0" w:right="0" w:hanging="0"/>
              <w:rPr/>
            </w:pPr>
            <w:r>
              <w:rPr/>
              <w:t xml:space="preserve">  </w:t>
            </w:r>
          </w:p>
        </w:tc>
        <w:tc>
          <w:tcPr>
            <w:tcW w:w="412"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46"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r>
      <w:tr>
        <w:trPr/>
        <w:tc>
          <w:tcPr>
            <w:tcW w:w="6236" w:type="dxa"/>
            <w:tcBorders/>
            <w:shd w:fill="CCEEFF" w:val="clear"/>
          </w:tcPr>
          <w:p>
            <w:pPr>
              <w:pStyle w:val="TableContents"/>
              <w:spacing w:before="0" w:after="0"/>
              <w:ind w:left="0" w:right="0" w:hanging="0"/>
              <w:rPr/>
            </w:pPr>
            <w:r>
              <w:rPr/>
              <w:t xml:space="preserve">Total Fair Value </w:t>
            </w:r>
          </w:p>
        </w:tc>
        <w:tc>
          <w:tcPr>
            <w:tcW w:w="412" w:type="dxa"/>
            <w:tcBorders/>
            <w:shd w:fill="CCEEFF" w:val="clear"/>
            <w:vAlign w:val="bottom"/>
          </w:tcPr>
          <w:p>
            <w:pPr>
              <w:pStyle w:val="TableContents"/>
              <w:spacing w:before="0" w:after="283"/>
              <w:rPr/>
            </w:pPr>
            <w:r>
              <w:rPr/>
              <w:t> </w:t>
            </w:r>
          </w:p>
        </w:tc>
        <w:tc>
          <w:tcPr>
            <w:tcW w:w="255" w:type="dxa"/>
            <w:tcBorders/>
            <w:shd w:fill="CCEEFF" w:val="clear"/>
          </w:tcPr>
          <w:p>
            <w:pPr>
              <w:pStyle w:val="TableContents"/>
              <w:spacing w:before="0" w:after="283"/>
              <w:jc w:val="left"/>
              <w:rPr/>
            </w:pPr>
            <w:r>
              <w:rPr/>
              <w:t>$</w:t>
            </w:r>
          </w:p>
        </w:tc>
        <w:tc>
          <w:tcPr>
            <w:tcW w:w="1037" w:type="dxa"/>
            <w:tcBorders/>
            <w:shd w:fill="CCEEFF" w:val="clear"/>
          </w:tcPr>
          <w:p>
            <w:pPr>
              <w:pStyle w:val="TableContents"/>
              <w:spacing w:before="0" w:after="283"/>
              <w:jc w:val="right"/>
              <w:rPr/>
            </w:pPr>
            <w:r>
              <w:rPr/>
              <w:t>(70.7</w:t>
            </w:r>
          </w:p>
        </w:tc>
        <w:tc>
          <w:tcPr>
            <w:tcW w:w="146" w:type="dxa"/>
            <w:tcBorders/>
            <w:shd w:fill="CCEEFF" w:val="clear"/>
          </w:tcPr>
          <w:p>
            <w:pPr>
              <w:pStyle w:val="TableContents"/>
              <w:spacing w:before="0" w:after="283"/>
              <w:jc w:val="left"/>
              <w:rPr/>
            </w:pPr>
            <w:r>
              <w:rPr/>
              <w:t>)</w:t>
            </w:r>
          </w:p>
        </w:tc>
        <w:tc>
          <w:tcPr>
            <w:tcW w:w="412" w:type="dxa"/>
            <w:tcBorders/>
            <w:shd w:fill="CCEEFF" w:val="clear"/>
            <w:vAlign w:val="bottom"/>
          </w:tcPr>
          <w:p>
            <w:pPr>
              <w:pStyle w:val="TableContents"/>
              <w:spacing w:before="0" w:after="283"/>
              <w:rPr/>
            </w:pPr>
            <w:r>
              <w:rPr/>
              <w:t> </w:t>
            </w:r>
          </w:p>
        </w:tc>
        <w:tc>
          <w:tcPr>
            <w:tcW w:w="311" w:type="dxa"/>
            <w:tcBorders/>
            <w:shd w:fill="CCEEFF" w:val="clear"/>
          </w:tcPr>
          <w:p>
            <w:pPr>
              <w:pStyle w:val="TableContents"/>
              <w:spacing w:before="0" w:after="283"/>
              <w:jc w:val="left"/>
              <w:rPr/>
            </w:pPr>
            <w:r>
              <w:rPr/>
              <w:t> </w:t>
            </w:r>
          </w:p>
        </w:tc>
        <w:tc>
          <w:tcPr>
            <w:tcW w:w="1245"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jc w:val="left"/>
              <w:rPr/>
            </w:pPr>
            <w:r>
              <w:rPr/>
              <w:t> </w:t>
            </w:r>
          </w:p>
        </w:tc>
      </w:tr>
      <w:tr>
        <w:trPr/>
        <w:tc>
          <w:tcPr>
            <w:tcW w:w="6236" w:type="dxa"/>
            <w:tcBorders/>
            <w:shd w:fill="auto" w:val="clear"/>
          </w:tcPr>
          <w:p>
            <w:pPr>
              <w:pStyle w:val="TableContents"/>
              <w:spacing w:before="0" w:after="0"/>
              <w:ind w:left="0" w:right="0" w:hanging="0"/>
              <w:rPr/>
            </w:pPr>
            <w:r>
              <w:rPr/>
              <w:t xml:space="preserve">  </w:t>
            </w:r>
          </w:p>
        </w:tc>
        <w:tc>
          <w:tcPr>
            <w:tcW w:w="412"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tcPr>
          <w:p>
            <w:pPr>
              <w:pStyle w:val="TableContents"/>
              <w:spacing w:before="0" w:after="283"/>
              <w:jc w:val="left"/>
              <w:rPr/>
            </w:pPr>
            <w:r>
              <w:rPr/>
              <w:t> </w:t>
            </w:r>
          </w:p>
        </w:tc>
        <w:tc>
          <w:tcPr>
            <w:tcW w:w="146"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556" w:type="dxa"/>
            <w:gridSpan w:val="2"/>
            <w:tcBorders>
              <w:top w:val="double" w:sz="2" w:space="0" w:color="000000"/>
            </w:tcBorders>
            <w:shd w:fill="auto" w:val="clear"/>
            <w:tcMar>
              <w:top w:w="28" w:type="dxa"/>
            </w:tcM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Interest Rate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use both fixed and variable rate debt, and are exposed to market risk due to the floating interest rates on our credit facilities. Therefore, from time to time we use interest rate swaps and collars to hedge interest obligations on specific debt issuances, including anticipated debt issuances. In addition, in connection with the Pacific merger in the fourth quarter of 2006, we assumed interest rate swaps with an aggregate notional amount of $80 million. The interest rate swaps are a hedge against changes in the fair value of the 7.125% Senior Notes resulting from market fluctuations to LIBOR. The table below presents principal payments and the related weighted average interest rates by expected maturity dates for variable rate debt outstanding at March 31, 2007. All of our senior notes are fixed rate notes and thus not subject to market risk. Our variable rate debt bears interest at LIBOR, prime or the bankers acceptance rate plus the applicable margin. The average interest rates presented below are based upon rates in effect at March 31, 2007. The carrying values of the variable rate instruments in our credit facilities approximate fair value primarily because interest rates fluctuate with prevailing market rates, and the credit spread on outstanding borrowings reflects market. </w:t>
      </w:r>
    </w:p>
    <w:tbl>
      <w:tblPr>
        <w:tblW w:w="5000" w:type="pct"/>
        <w:jc w:val="center"/>
        <w:tblInd w:w="0" w:type="dxa"/>
        <w:tblCellMar>
          <w:top w:w="0" w:type="dxa"/>
          <w:left w:w="0" w:type="dxa"/>
          <w:bottom w:w="0" w:type="dxa"/>
          <w:right w:w="0" w:type="dxa"/>
        </w:tblCellMar>
      </w:tblPr>
      <w:tblGrid>
        <w:gridCol w:w="1724"/>
        <w:gridCol w:w="228"/>
        <w:gridCol w:w="170"/>
        <w:gridCol w:w="724"/>
        <w:gridCol w:w="238"/>
        <w:gridCol w:w="228"/>
        <w:gridCol w:w="229"/>
        <w:gridCol w:w="484"/>
        <w:gridCol w:w="97"/>
        <w:gridCol w:w="228"/>
        <w:gridCol w:w="229"/>
        <w:gridCol w:w="484"/>
        <w:gridCol w:w="97"/>
        <w:gridCol w:w="228"/>
        <w:gridCol w:w="228"/>
        <w:gridCol w:w="484"/>
        <w:gridCol w:w="97"/>
        <w:gridCol w:w="228"/>
        <w:gridCol w:w="229"/>
        <w:gridCol w:w="484"/>
        <w:gridCol w:w="97"/>
        <w:gridCol w:w="228"/>
        <w:gridCol w:w="459"/>
        <w:gridCol w:w="811"/>
        <w:gridCol w:w="97"/>
        <w:gridCol w:w="228"/>
        <w:gridCol w:w="170"/>
        <w:gridCol w:w="723"/>
        <w:gridCol w:w="254"/>
      </w:tblGrid>
      <w:tr>
        <w:trPr/>
        <w:tc>
          <w:tcPr>
            <w:tcW w:w="172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r>
      <w:tr>
        <w:trPr/>
        <w:tc>
          <w:tcPr>
            <w:tcW w:w="172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999" w:type="dxa"/>
            <w:gridSpan w:val="26"/>
            <w:tcBorders>
              <w:bottom w:val="single" w:sz="2" w:space="0" w:color="000000"/>
            </w:tcBorders>
            <w:shd w:fill="auto" w:val="clear"/>
            <w:tcMar>
              <w:bottom w:w="28" w:type="dxa"/>
            </w:tcMar>
            <w:vAlign w:val="bottom"/>
          </w:tcPr>
          <w:p>
            <w:pPr>
              <w:pStyle w:val="TableContents"/>
              <w:spacing w:before="0" w:after="283"/>
              <w:jc w:val="center"/>
              <w:rPr>
                <w:b/>
              </w:rPr>
            </w:pPr>
            <w:r>
              <w:rPr>
                <w:b/>
              </w:rPr>
              <w:t>Expected Year of Maturity</w:t>
            </w:r>
          </w:p>
        </w:tc>
        <w:tc>
          <w:tcPr>
            <w:tcW w:w="254" w:type="dxa"/>
            <w:tcBorders/>
            <w:shd w:fill="auto" w:val="clear"/>
            <w:vAlign w:val="bottom"/>
          </w:tcPr>
          <w:p>
            <w:pPr>
              <w:pStyle w:val="TableContents"/>
              <w:spacing w:before="0" w:after="283"/>
              <w:rPr/>
            </w:pPr>
            <w:r>
              <w:rPr/>
              <w:t> </w:t>
            </w:r>
          </w:p>
        </w:tc>
      </w:tr>
      <w:tr>
        <w:trPr/>
        <w:tc>
          <w:tcPr>
            <w:tcW w:w="172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3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2011</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Thereafter</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254" w:type="dxa"/>
            <w:tcBorders/>
            <w:shd w:fill="auto" w:val="clear"/>
            <w:vAlign w:val="bottom"/>
          </w:tcPr>
          <w:p>
            <w:pPr>
              <w:pStyle w:val="TableContents"/>
              <w:spacing w:before="0" w:after="283"/>
              <w:rPr/>
            </w:pPr>
            <w:r>
              <w:rPr/>
              <w:t> </w:t>
            </w:r>
          </w:p>
        </w:tc>
      </w:tr>
      <w:tr>
        <w:trPr/>
        <w:tc>
          <w:tcPr>
            <w:tcW w:w="172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999" w:type="dxa"/>
            <w:gridSpan w:val="26"/>
            <w:tcBorders/>
            <w:shd w:fill="auto" w:val="clear"/>
            <w:vAlign w:val="bottom"/>
          </w:tcPr>
          <w:p>
            <w:pPr>
              <w:pStyle w:val="TableContents"/>
              <w:spacing w:before="0" w:after="283"/>
              <w:jc w:val="center"/>
              <w:rPr>
                <w:b/>
              </w:rPr>
            </w:pPr>
            <w:r>
              <w:rPr>
                <w:b/>
              </w:rPr>
              <w:t>(Dollars in millions)</w:t>
            </w:r>
          </w:p>
        </w:tc>
        <w:tc>
          <w:tcPr>
            <w:tcW w:w="254" w:type="dxa"/>
            <w:tcBorders/>
            <w:shd w:fill="auto" w:val="clear"/>
            <w:vAlign w:val="bottom"/>
          </w:tcPr>
          <w:p>
            <w:pPr>
              <w:pStyle w:val="TableContents"/>
              <w:spacing w:before="0" w:after="283"/>
              <w:rPr/>
            </w:pPr>
            <w:r>
              <w:rPr/>
              <w:t> </w:t>
            </w:r>
          </w:p>
        </w:tc>
      </w:tr>
      <w:tr>
        <w:trPr/>
        <w:tc>
          <w:tcPr>
            <w:tcW w:w="1724" w:type="dxa"/>
            <w:tcBorders/>
            <w:shd w:fill="CCEEFF" w:val="clear"/>
            <w:vAlign w:val="bottom"/>
          </w:tcPr>
          <w:p>
            <w:pPr>
              <w:pStyle w:val="TableContents"/>
              <w:spacing w:before="0" w:after="0"/>
              <w:ind w:left="225" w:right="0" w:hanging="225"/>
              <w:rPr/>
            </w:pPr>
            <w:r>
              <w:rPr/>
              <w:t>Liabilities:</w:t>
            </w:r>
          </w:p>
        </w:tc>
        <w:tc>
          <w:tcPr>
            <w:tcW w:w="2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r>
      <w:tr>
        <w:trPr/>
        <w:tc>
          <w:tcPr>
            <w:tcW w:w="1724" w:type="dxa"/>
            <w:tcBorders/>
            <w:shd w:fill="auto" w:val="clear"/>
            <w:vAlign w:val="bottom"/>
          </w:tcPr>
          <w:p>
            <w:pPr>
              <w:pStyle w:val="TableContents"/>
              <w:spacing w:before="0" w:after="0"/>
              <w:ind w:left="225" w:right="0" w:hanging="225"/>
              <w:rPr/>
            </w:pPr>
            <w:r>
              <w:rPr/>
              <w:t>Short-term debt  variable rate</w:t>
            </w:r>
          </w:p>
        </w:tc>
        <w:tc>
          <w:tcPr>
            <w:tcW w:w="2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893.4</w:t>
            </w:r>
          </w:p>
        </w:tc>
        <w:tc>
          <w:tcPr>
            <w:tcW w:w="23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484"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484"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484"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484"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23" w:type="dxa"/>
            <w:tcBorders/>
            <w:shd w:fill="auto" w:val="clear"/>
            <w:vAlign w:val="bottom"/>
          </w:tcPr>
          <w:p>
            <w:pPr>
              <w:pStyle w:val="TableContents"/>
              <w:spacing w:before="0" w:after="283"/>
              <w:jc w:val="right"/>
              <w:rPr/>
            </w:pPr>
            <w:r>
              <w:rPr/>
              <w:t>893.4</w:t>
            </w:r>
          </w:p>
        </w:tc>
        <w:tc>
          <w:tcPr>
            <w:tcW w:w="254" w:type="dxa"/>
            <w:tcBorders/>
            <w:shd w:fill="auto" w:val="clear"/>
            <w:vAlign w:val="bottom"/>
          </w:tcPr>
          <w:p>
            <w:pPr>
              <w:pStyle w:val="TableContents"/>
              <w:spacing w:before="0" w:after="283"/>
              <w:rPr/>
            </w:pPr>
            <w:r>
              <w:rPr/>
              <w:t> </w:t>
            </w:r>
          </w:p>
        </w:tc>
      </w:tr>
      <w:tr>
        <w:trPr/>
        <w:tc>
          <w:tcPr>
            <w:tcW w:w="1724" w:type="dxa"/>
            <w:tcBorders/>
            <w:shd w:fill="CCEEFF" w:val="clear"/>
            <w:vAlign w:val="bottom"/>
          </w:tcPr>
          <w:p>
            <w:pPr>
              <w:pStyle w:val="TableContents"/>
              <w:spacing w:before="0" w:after="0"/>
              <w:ind w:left="225" w:right="0" w:hanging="225"/>
              <w:rPr/>
            </w:pPr>
            <w:r>
              <w:rPr/>
              <w:t>Average interest rate</w:t>
            </w:r>
          </w:p>
        </w:tc>
        <w:tc>
          <w:tcPr>
            <w:tcW w:w="2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24" w:type="dxa"/>
            <w:tcBorders/>
            <w:shd w:fill="CCEEFF" w:val="clear"/>
            <w:vAlign w:val="bottom"/>
          </w:tcPr>
          <w:p>
            <w:pPr>
              <w:pStyle w:val="TableContents"/>
              <w:spacing w:before="0" w:after="283"/>
              <w:jc w:val="right"/>
              <w:rPr/>
            </w:pPr>
            <w:r>
              <w:rPr/>
              <w:t>5.8</w:t>
            </w:r>
          </w:p>
        </w:tc>
        <w:tc>
          <w:tcPr>
            <w:tcW w:w="238"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23" w:type="dxa"/>
            <w:tcBorders/>
            <w:shd w:fill="CCEEFF" w:val="clear"/>
            <w:vAlign w:val="bottom"/>
          </w:tcPr>
          <w:p>
            <w:pPr>
              <w:pStyle w:val="TableContents"/>
              <w:spacing w:before="0" w:after="283"/>
              <w:jc w:val="right"/>
              <w:rPr/>
            </w:pPr>
            <w:r>
              <w:rPr/>
              <w:t>5.8</w:t>
            </w:r>
          </w:p>
        </w:tc>
        <w:tc>
          <w:tcPr>
            <w:tcW w:w="254" w:type="dxa"/>
            <w:tcBorders/>
            <w:shd w:fill="CCEEFF" w:val="clear"/>
            <w:vAlign w:val="bottom"/>
          </w:tcPr>
          <w:p>
            <w:pPr>
              <w:pStyle w:val="TableContents"/>
              <w:spacing w:before="0" w:after="283"/>
              <w:rPr/>
            </w:pPr>
            <w:r>
              <w:rPr/>
              <w:t>%</w:t>
            </w:r>
          </w:p>
        </w:tc>
      </w:tr>
    </w:tbl>
    <w:p>
      <w:pPr>
        <w:pStyle w:val="TextBody"/>
        <w:spacing w:before="240" w:after="283"/>
        <w:jc w:val="left"/>
        <w:rPr>
          <w:rFonts w:ascii="Times New Roman;Times;serif" w:hAnsi="Times New Roman;Times;serif"/>
          <w:sz w:val="17"/>
        </w:rPr>
      </w:pPr>
      <w:bookmarkStart w:id="15" w:name="112"/>
      <w:bookmarkEnd w:id="15"/>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 </w:t>
      </w:r>
    </w:p>
    <w:p>
      <w:pPr>
        <w:pStyle w:val="TextBody"/>
        <w:spacing w:before="120" w:after="283"/>
        <w:jc w:val="left"/>
        <w:rPr/>
      </w:pPr>
      <w:r>
        <w:rPr/>
        <w:t>     </w:t>
      </w:r>
      <w:r>
        <w:rPr>
          <w:rFonts w:ascii="Times New Roman;Times;serif" w:hAnsi="Times New Roman;Times;serif"/>
          <w:sz w:val="17"/>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March 31, 2007,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spacing w:before="120" w:after="283"/>
        <w:jc w:val="left"/>
        <w:rPr/>
      </w:pPr>
      <w:r>
        <w:rPr/>
        <w:t>     </w:t>
      </w:r>
      <w:r>
        <w:rPr>
          <w:rFonts w:ascii="Times New Roman;Times;serif" w:hAnsi="Times New Roman;Times;serif"/>
          <w:sz w:val="17"/>
        </w:rPr>
        <w:t xml:space="preserve">SEC rules also require an annual evaluation of the effectiveness of our internal control over financial reporting (internal control), and a quarterly evaluation of any changes in our internal control. In the course of such evaluations, we have made changes, and will continue to make changes, to refine and improve our internal control. We are required to disclose any change in our internal control that occurred during the quarter that has materially affected, or is reasonably likely to materially affect, our internal control. As a result of their evaluation of changes in internal control, management identified no changes during the first quarter of 2007 that materially affected, or would be reasonably likely to materially affect, our internal control. </w:t>
      </w:r>
    </w:p>
    <w:p>
      <w:pPr>
        <w:pStyle w:val="TextBody"/>
        <w:spacing w:before="120" w:after="283"/>
        <w:jc w:val="left"/>
        <w:rPr/>
      </w:pPr>
      <w:r>
        <w:rPr/>
        <w:t>     </w:t>
      </w:r>
      <w:r>
        <w:rPr>
          <w:rFonts w:ascii="Times New Roman;Times;serif" w:hAnsi="Times New Roman;Times;serif"/>
          <w:sz w:val="17"/>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113"/>
      <w:bookmarkEnd w:id="16"/>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7" w:name="114"/>
      <w:bookmarkEnd w:id="17"/>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Consolidated Financial Statements. </w:t>
      </w:r>
    </w:p>
    <w:p>
      <w:pPr>
        <w:pStyle w:val="TextBody"/>
        <w:spacing w:before="240" w:after="283"/>
        <w:jc w:val="left"/>
        <w:rPr>
          <w:rFonts w:ascii="Times New Roman;Times;serif" w:hAnsi="Times New Roman;Times;serif"/>
          <w:sz w:val="17"/>
        </w:rPr>
      </w:pPr>
      <w:bookmarkStart w:id="18" w:name="115"/>
      <w:bookmarkEnd w:id="18"/>
      <w:r>
        <w:rPr>
          <w:rFonts w:ascii="Times New Roman;Times;serif" w:hAnsi="Times New Roman;Times;serif"/>
          <w:b/>
          <w:sz w:val="17"/>
        </w:rPr>
        <w:t>Item 1A. RISK FACTORS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a discussion regarding our risk factors, see Item 1A of our 2006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 </w:t>
      </w:r>
    </w:p>
    <w:p>
      <w:pPr>
        <w:pStyle w:val="TextBody"/>
        <w:spacing w:before="240" w:after="283"/>
        <w:jc w:val="left"/>
        <w:rPr>
          <w:rFonts w:ascii="Times New Roman;Times;serif" w:hAnsi="Times New Roman;Times;serif"/>
          <w:sz w:val="17"/>
        </w:rPr>
      </w:pPr>
      <w:bookmarkStart w:id="19" w:name="116"/>
      <w:bookmarkEnd w:id="19"/>
      <w:r>
        <w:rPr>
          <w:rFonts w:ascii="Times New Roman;Times;serif" w:hAnsi="Times New Roman;Times;serif"/>
          <w:b/>
          <w:sz w:val="17"/>
        </w:rPr>
        <w:t>Item 2. UNREGISTERED SALES OF EQUITY SECURITIES AND USE OF PROCEEDS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0" w:name="117"/>
      <w:bookmarkEnd w:id="20"/>
      <w:r>
        <w:rPr>
          <w:rFonts w:ascii="Times New Roman;Times;serif" w:hAnsi="Times New Roman;Times;serif"/>
          <w:b/>
          <w:sz w:val="17"/>
        </w:rPr>
        <w:t>Item 3. DEFAULTS UPON SENIOR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1" w:name="118"/>
      <w:bookmarkEnd w:id="21"/>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2" w:name="119"/>
      <w:bookmarkEnd w:id="22"/>
      <w:r>
        <w:rPr>
          <w:rFonts w:ascii="Times New Roman;Times;serif" w:hAnsi="Times New Roman;Times;serif"/>
          <w:b/>
          <w:sz w:val="17"/>
        </w:rPr>
        <w:t>Item 5. OTHER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3" w:name="120"/>
      <w:bookmarkEnd w:id="23"/>
      <w:r>
        <w:rPr>
          <w:rFonts w:ascii="Times New Roman;Times;serif" w:hAnsi="Times New Roman;Times;serif"/>
          <w:b/>
          <w:sz w:val="17"/>
        </w:rPr>
        <w:t>Item 6. EXHIBITS</w:t>
      </w:r>
      <w:r>
        <w:rPr>
          <w:rFonts w:ascii="Times New Roman;Times;serif" w:hAnsi="Times New Roman;Times;serif"/>
          <w:sz w:val="17"/>
        </w:rPr>
        <w:t xml:space="preserve"> </w:t>
      </w:r>
    </w:p>
    <w:tbl>
      <w:tblPr>
        <w:tblW w:w="4900" w:type="pct"/>
        <w:jc w:val="right"/>
        <w:tblInd w:w="0" w:type="dxa"/>
        <w:tblCellMar>
          <w:top w:w="0" w:type="dxa"/>
          <w:left w:w="0" w:type="dxa"/>
          <w:bottom w:w="0" w:type="dxa"/>
          <w:right w:w="0" w:type="dxa"/>
        </w:tblCellMar>
      </w:tblPr>
      <w:tblGrid>
        <w:gridCol w:w="507"/>
        <w:gridCol w:w="200"/>
        <w:gridCol w:w="203"/>
        <w:gridCol w:w="200"/>
        <w:gridCol w:w="8890"/>
      </w:tblGrid>
      <w:tr>
        <w:trPr/>
        <w:tc>
          <w:tcPr>
            <w:tcW w:w="50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0"/>
              <w:ind w:left="0" w:right="0" w:hanging="0"/>
              <w:jc w:val="right"/>
              <w:rPr/>
            </w:pPr>
            <w:r>
              <w:rPr/>
              <w:t xml:space="preserve">3.1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3.2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3.3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3.4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3.5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3.6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3.7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3.8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3.9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3.10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3.11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4.2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4.3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510"/>
        <w:gridCol w:w="199"/>
        <w:gridCol w:w="204"/>
        <w:gridCol w:w="199"/>
        <w:gridCol w:w="8888"/>
      </w:tblGrid>
      <w:tr>
        <w:trPr/>
        <w:tc>
          <w:tcPr>
            <w:tcW w:w="51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spacing w:before="0" w:after="283"/>
              <w:rPr/>
            </w:pPr>
            <w:r>
              <w:rPr/>
              <w:t> </w:t>
            </w:r>
          </w:p>
        </w:tc>
      </w:tr>
      <w:tr>
        <w:trPr/>
        <w:tc>
          <w:tcPr>
            <w:tcW w:w="510" w:type="dxa"/>
            <w:tcBorders/>
            <w:shd w:fill="auto" w:val="clear"/>
          </w:tcPr>
          <w:p>
            <w:pPr>
              <w:pStyle w:val="TableContents"/>
              <w:spacing w:before="0" w:after="0"/>
              <w:ind w:left="0" w:right="0" w:hanging="0"/>
              <w:jc w:val="right"/>
              <w:rPr/>
            </w:pPr>
            <w:r>
              <w:rPr/>
              <w:t xml:space="preserve">4.4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4.5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4.6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4.7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4.8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4.9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4.10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4.11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4.12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4.13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 1 / 8 % senior notes due 2014 (incorporated by reference to Exhibit 4.21 to Pacifics Quarterly Report on Form 10-Q for the quarter ended June 30, 2004).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510"/>
        <w:gridCol w:w="199"/>
        <w:gridCol w:w="204"/>
        <w:gridCol w:w="199"/>
        <w:gridCol w:w="8888"/>
      </w:tblGrid>
      <w:tr>
        <w:trPr/>
        <w:tc>
          <w:tcPr>
            <w:tcW w:w="51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spacing w:before="0" w:after="283"/>
              <w:rPr/>
            </w:pPr>
            <w:r>
              <w:rPr/>
              <w:t> </w:t>
            </w:r>
          </w:p>
        </w:tc>
      </w:tr>
      <w:tr>
        <w:trPr/>
        <w:tc>
          <w:tcPr>
            <w:tcW w:w="510" w:type="dxa"/>
            <w:tcBorders/>
            <w:shd w:fill="auto" w:val="clear"/>
          </w:tcPr>
          <w:p>
            <w:pPr>
              <w:pStyle w:val="TableContents"/>
              <w:spacing w:before="0" w:after="0"/>
              <w:ind w:left="0" w:right="0" w:hanging="0"/>
              <w:jc w:val="right"/>
              <w:rPr/>
            </w:pPr>
            <w:r>
              <w:rPr/>
              <w:t xml:space="preserve">4.14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 </w:t>
            </w:r>
            <w:r>
              <w:rPr>
                <w:position w:val="8"/>
                <w:sz w:val="19"/>
              </w:rPr>
              <w:t>1</w:t>
            </w:r>
            <w:r>
              <w:rPr/>
              <w:t>/8% senior notes due 2014 (incorporated by reference to Exhibit 4.1 to Pacifics Current Report on Form 8-K filed March 9,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4.15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 </w:t>
            </w:r>
            <w:r>
              <w:rPr>
                <w:position w:val="8"/>
                <w:sz w:val="19"/>
              </w:rPr>
              <w:t>1</w:t>
            </w:r>
            <w:r>
              <w:rPr/>
              <w:t>/8% senior notes due 2014 (incorporated by reference to Exhibit 4.17 to the Annual Report on Form 10-K for the year ended December 31,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4.16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4.17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 </w:t>
            </w:r>
            <w:r>
              <w:rPr>
                <w:position w:val="8"/>
                <w:sz w:val="19"/>
              </w:rPr>
              <w:t>1</w:t>
            </w:r>
            <w:r>
              <w:rPr/>
              <w:t>/4% senior notes due 2015 (incorporated by reference to Exhibit 4.1 to Pacifics Current Report on Form 8-K filed September 28,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4.18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4.19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867"/>
        <w:gridCol w:w="205"/>
        <w:gridCol w:w="275"/>
        <w:gridCol w:w="205"/>
        <w:gridCol w:w="8448"/>
      </w:tblGrid>
      <w:tr>
        <w:trPr/>
        <w:tc>
          <w:tcPr>
            <w:tcW w:w="8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vAlign w:val="bottom"/>
          </w:tcPr>
          <w:p>
            <w:pPr>
              <w:pStyle w:val="TableContents"/>
              <w:spacing w:before="0" w:after="283"/>
              <w:rPr/>
            </w:pPr>
            <w:r>
              <w:rPr/>
              <w:t> </w:t>
            </w:r>
          </w:p>
        </w:tc>
      </w:tr>
      <w:tr>
        <w:trPr/>
        <w:tc>
          <w:tcPr>
            <w:tcW w:w="867" w:type="dxa"/>
            <w:tcBorders/>
            <w:shd w:fill="auto" w:val="clear"/>
          </w:tcPr>
          <w:p>
            <w:pPr>
              <w:pStyle w:val="TableContents"/>
              <w:spacing w:before="0" w:after="0"/>
              <w:ind w:left="0" w:right="0" w:hanging="0"/>
              <w:jc w:val="right"/>
              <w:rPr/>
            </w:pPr>
            <w:r>
              <w:rPr/>
              <w:t xml:space="preserve">4.20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**10.1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Final Forms of LTIP Grant Letters dated February 22, 2007 (Named Executive Officers).</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31.1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31.2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*32.1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Executive Officer pursuant to 18 U.S.C. 1350.</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*32.2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54"/>
        <w:gridCol w:w="2210"/>
        <w:gridCol w:w="1341"/>
      </w:tblGrid>
      <w:tr>
        <w:trPr/>
        <w:tc>
          <w:tcPr>
            <w:tcW w:w="6654"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Filed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Furnished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Management compensatory plan or arrangement.</w:t>
            </w:r>
          </w:p>
        </w:tc>
      </w:tr>
    </w:tbl>
    <w:p>
      <w:pPr>
        <w:pStyle w:val="TextBody"/>
        <w:spacing w:before="360" w:after="283"/>
        <w:jc w:val="center"/>
        <w:rPr>
          <w:rFonts w:ascii="Times New Roman;Times;serif" w:hAnsi="Times New Roman;Times;serif"/>
          <w:sz w:val="17"/>
        </w:rPr>
      </w:pPr>
      <w:bookmarkStart w:id="24" w:name="121"/>
      <w:bookmarkEnd w:id="2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3981"/>
        <w:gridCol w:w="978"/>
        <w:gridCol w:w="1324"/>
        <w:gridCol w:w="2775"/>
        <w:gridCol w:w="1147"/>
      </w:tblGrid>
      <w:tr>
        <w:trPr/>
        <w:tc>
          <w:tcPr>
            <w:tcW w:w="3981"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rPr/>
            </w:pPr>
            <w:r>
              <w:rPr/>
              <w:t> </w:t>
            </w:r>
          </w:p>
        </w:tc>
        <w:tc>
          <w:tcPr>
            <w:tcW w:w="1324" w:type="dxa"/>
            <w:tcBorders/>
            <w:shd w:fill="auto" w:val="clear"/>
            <w:vAlign w:val="center"/>
          </w:tcPr>
          <w:p>
            <w:pPr>
              <w:pStyle w:val="TableContents"/>
              <w:spacing w:before="0" w:after="283"/>
              <w:rPr/>
            </w:pPr>
            <w:r>
              <w:rPr/>
              <w:t> </w:t>
            </w:r>
          </w:p>
        </w:tc>
        <w:tc>
          <w:tcPr>
            <w:tcW w:w="2775" w:type="dxa"/>
            <w:tcBorders/>
            <w:shd w:fill="auto" w:val="clear"/>
            <w:vAlign w:val="center"/>
          </w:tcPr>
          <w:p>
            <w:pPr>
              <w:pStyle w:val="TableContents"/>
              <w:spacing w:before="0" w:after="283"/>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PLAINS ALL AMERICAN PIPELINE, L.P.</w:t>
              <w:b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tcPr>
          <w:p>
            <w:pPr>
              <w:pStyle w:val="TableContents"/>
              <w:spacing w:before="0" w:after="283"/>
              <w:rPr/>
            </w:pPr>
            <w:r>
              <w:rPr/>
              <w:t>By:  </w:t>
            </w:r>
          </w:p>
        </w:tc>
        <w:tc>
          <w:tcPr>
            <w:tcW w:w="4099" w:type="dxa"/>
            <w:gridSpan w:val="2"/>
            <w:tcBorders/>
            <w:shd w:fill="auto" w:val="clear"/>
            <w:vAlign w:val="center"/>
          </w:tcPr>
          <w:p>
            <w:pPr>
              <w:pStyle w:val="TableContents"/>
              <w:spacing w:before="0" w:after="283"/>
              <w:jc w:val="left"/>
              <w:rPr/>
            </w:pPr>
            <w:r>
              <w:rPr/>
              <w:t>PLAINS AAP, L.P., its general partner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tcPr>
          <w:p>
            <w:pPr>
              <w:pStyle w:val="TableContents"/>
              <w:spacing w:before="0" w:after="283"/>
              <w:rPr/>
            </w:pPr>
            <w:r>
              <w:rPr/>
              <w:t>By:  </w:t>
            </w:r>
          </w:p>
        </w:tc>
        <w:tc>
          <w:tcPr>
            <w:tcW w:w="4099" w:type="dxa"/>
            <w:gridSpan w:val="2"/>
            <w:tcBorders/>
            <w:shd w:fill="auto" w:val="clear"/>
            <w:vAlign w:val="center"/>
          </w:tcPr>
          <w:p>
            <w:pPr>
              <w:pStyle w:val="TableContents"/>
              <w:spacing w:before="0" w:after="283"/>
              <w:jc w:val="left"/>
              <w:rPr/>
            </w:pPr>
            <w:r>
              <w:rPr/>
              <w:t>PLAINS ALL AMERICAN GP LLC, its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general partner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Date: May 9, 2007 </w:t>
            </w:r>
          </w:p>
        </w:tc>
        <w:tc>
          <w:tcPr>
            <w:tcW w:w="978" w:type="dxa"/>
            <w:tcBorders/>
            <w:shd w:fill="auto" w:val="clear"/>
          </w:tcPr>
          <w:p>
            <w:pPr>
              <w:pStyle w:val="TableContents"/>
              <w:spacing w:before="0" w:after="283"/>
              <w:rPr/>
            </w:pPr>
            <w:r>
              <w:rPr/>
              <w:t>By:  </w:t>
            </w:r>
          </w:p>
        </w:tc>
        <w:tc>
          <w:tcPr>
            <w:tcW w:w="4099" w:type="dxa"/>
            <w:gridSpan w:val="2"/>
            <w:tcBorders>
              <w:bottom w:val="single" w:sz="2" w:space="0" w:color="000000"/>
            </w:tcBorders>
            <w:shd w:fill="auto" w:val="clear"/>
            <w:tcMar>
              <w:bottom w:w="28" w:type="dxa"/>
            </w:tcMar>
            <w:vAlign w:val="center"/>
          </w:tcPr>
          <w:p>
            <w:pPr>
              <w:pStyle w:val="TableContents"/>
              <w:spacing w:before="0" w:after="283"/>
              <w:jc w:val="center"/>
              <w:rPr/>
            </w:pPr>
            <w:r>
              <w:rPr/>
              <w:t>/s/ GREG L. ARMSTRONG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center"/>
              <w:rPr/>
            </w:pPr>
            <w:r>
              <w:rPr/>
              <w:t xml:space="preserve">Greg L. Armstrong, </w:t>
            </w:r>
            <w:r>
              <w:rPr>
                <w:i/>
              </w:rPr>
              <w:t>Chairman of the Board,</w:t>
            </w: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center"/>
              <w:rPr/>
            </w:pPr>
            <w:r>
              <w:rPr>
                <w:i/>
              </w:rPr>
              <w:t>Chief Executive Officer and Director (Principal Executive Officer)</w:t>
            </w:r>
            <w:r>
              <w:rPr/>
              <w:t>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Date: May 9, 2007 </w:t>
            </w:r>
          </w:p>
        </w:tc>
        <w:tc>
          <w:tcPr>
            <w:tcW w:w="978" w:type="dxa"/>
            <w:tcBorders/>
            <w:shd w:fill="auto" w:val="clear"/>
          </w:tcPr>
          <w:p>
            <w:pPr>
              <w:pStyle w:val="TableContents"/>
              <w:spacing w:before="0" w:after="283"/>
              <w:rPr/>
            </w:pPr>
            <w:r>
              <w:rPr/>
              <w:t>By:  </w:t>
            </w:r>
          </w:p>
        </w:tc>
        <w:tc>
          <w:tcPr>
            <w:tcW w:w="4099" w:type="dxa"/>
            <w:gridSpan w:val="2"/>
            <w:tcBorders>
              <w:bottom w:val="single" w:sz="2" w:space="0" w:color="000000"/>
            </w:tcBorders>
            <w:shd w:fill="auto" w:val="clear"/>
            <w:tcMar>
              <w:bottom w:w="28" w:type="dxa"/>
            </w:tcMar>
            <w:vAlign w:val="center"/>
          </w:tcPr>
          <w:p>
            <w:pPr>
              <w:pStyle w:val="TableContents"/>
              <w:spacing w:before="0" w:after="283"/>
              <w:jc w:val="center"/>
              <w:rPr/>
            </w:pPr>
            <w:r>
              <w:rPr/>
              <w:t>/s/ PHIL KRAMER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center"/>
              <w:rPr/>
            </w:pPr>
            <w:r>
              <w:rPr/>
              <w:t xml:space="preserve">Phil Kramer, </w:t>
            </w:r>
            <w:r>
              <w:rPr>
                <w:i/>
              </w:rPr>
              <w:t>Executive Vice President and</w:t>
            </w: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center"/>
              <w:rPr/>
            </w:pPr>
            <w:r>
              <w:rPr>
                <w:i/>
              </w:rPr>
              <w:t>Chief Financial Officer (Principal Financial Officer)</w:t>
            </w:r>
            <w:r>
              <w:rPr/>
              <w:t> </w:t>
            </w:r>
          </w:p>
        </w:tc>
        <w:tc>
          <w:tcPr>
            <w:tcW w:w="114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4900" w:type="pct"/>
        <w:jc w:val="right"/>
        <w:tblInd w:w="0" w:type="dxa"/>
        <w:tblCellMar>
          <w:top w:w="0" w:type="dxa"/>
          <w:left w:w="0" w:type="dxa"/>
          <w:bottom w:w="0" w:type="dxa"/>
          <w:right w:w="0" w:type="dxa"/>
        </w:tblCellMar>
      </w:tblPr>
      <w:tblGrid>
        <w:gridCol w:w="507"/>
        <w:gridCol w:w="200"/>
        <w:gridCol w:w="203"/>
        <w:gridCol w:w="200"/>
        <w:gridCol w:w="8890"/>
      </w:tblGrid>
      <w:tr>
        <w:trPr/>
        <w:tc>
          <w:tcPr>
            <w:tcW w:w="50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0"/>
              <w:ind w:left="0" w:right="0" w:hanging="0"/>
              <w:jc w:val="right"/>
              <w:rPr/>
            </w:pPr>
            <w:r>
              <w:rPr/>
              <w:t xml:space="preserve">3.1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3.2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3.3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3.4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3.5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3.6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3.7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3.8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3.9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3.10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3.11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4.1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4.2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507" w:type="dxa"/>
            <w:tcBorders/>
            <w:shd w:fill="auto" w:val="clear"/>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 </w:t>
            </w:r>
          </w:p>
        </w:tc>
      </w:tr>
      <w:tr>
        <w:trPr/>
        <w:tc>
          <w:tcPr>
            <w:tcW w:w="507" w:type="dxa"/>
            <w:tcBorders/>
            <w:shd w:fill="auto" w:val="clear"/>
          </w:tcPr>
          <w:p>
            <w:pPr>
              <w:pStyle w:val="TableContents"/>
              <w:spacing w:before="0" w:after="0"/>
              <w:ind w:left="0" w:right="0" w:hanging="0"/>
              <w:jc w:val="right"/>
              <w:rPr/>
            </w:pPr>
            <w:r>
              <w:rPr/>
              <w:t xml:space="preserve">4.3 </w:t>
            </w:r>
          </w:p>
        </w:tc>
        <w:tc>
          <w:tcPr>
            <w:tcW w:w="200"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center"/>
              <w:rPr/>
            </w:pPr>
            <w:r>
              <w:rPr/>
              <w:t xml:space="preserve"> </w:t>
            </w:r>
          </w:p>
        </w:tc>
        <w:tc>
          <w:tcPr>
            <w:tcW w:w="200" w:type="dxa"/>
            <w:tcBorders/>
            <w:shd w:fill="auto" w:val="clear"/>
            <w:vAlign w:val="bottom"/>
          </w:tcPr>
          <w:p>
            <w:pPr>
              <w:pStyle w:val="TableContents"/>
              <w:spacing w:before="0" w:after="283"/>
              <w:rPr/>
            </w:pPr>
            <w:r>
              <w:rPr/>
              <w:t> </w:t>
            </w:r>
          </w:p>
        </w:tc>
        <w:tc>
          <w:tcPr>
            <w:tcW w:w="8890"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510"/>
        <w:gridCol w:w="199"/>
        <w:gridCol w:w="204"/>
        <w:gridCol w:w="199"/>
        <w:gridCol w:w="8888"/>
      </w:tblGrid>
      <w:tr>
        <w:trPr/>
        <w:tc>
          <w:tcPr>
            <w:tcW w:w="51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spacing w:before="0" w:after="283"/>
              <w:rPr/>
            </w:pPr>
            <w:r>
              <w:rPr/>
              <w:t> </w:t>
            </w:r>
          </w:p>
        </w:tc>
      </w:tr>
      <w:tr>
        <w:trPr/>
        <w:tc>
          <w:tcPr>
            <w:tcW w:w="510" w:type="dxa"/>
            <w:tcBorders/>
            <w:shd w:fill="auto" w:val="clear"/>
          </w:tcPr>
          <w:p>
            <w:pPr>
              <w:pStyle w:val="TableContents"/>
              <w:spacing w:before="0" w:after="0"/>
              <w:ind w:left="0" w:right="0" w:hanging="0"/>
              <w:jc w:val="right"/>
              <w:rPr/>
            </w:pPr>
            <w:r>
              <w:rPr/>
              <w:t xml:space="preserve">4.4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4.5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4.6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4.7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4.8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4.9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4.10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4.11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4.12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4.13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7⅛% senior notes due 2014 (incorporated by reference to Exhibit 4.21 to Pacifics Quarterly Report on Form 10-Q for the quarter ended June 30, 2004).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510"/>
        <w:gridCol w:w="199"/>
        <w:gridCol w:w="204"/>
        <w:gridCol w:w="199"/>
        <w:gridCol w:w="8888"/>
      </w:tblGrid>
      <w:tr>
        <w:trPr/>
        <w:tc>
          <w:tcPr>
            <w:tcW w:w="51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spacing w:before="0" w:after="283"/>
              <w:rPr/>
            </w:pPr>
            <w:r>
              <w:rPr/>
              <w:t> </w:t>
            </w:r>
          </w:p>
        </w:tc>
      </w:tr>
      <w:tr>
        <w:trPr/>
        <w:tc>
          <w:tcPr>
            <w:tcW w:w="510" w:type="dxa"/>
            <w:tcBorders/>
            <w:shd w:fill="auto" w:val="clear"/>
          </w:tcPr>
          <w:p>
            <w:pPr>
              <w:pStyle w:val="TableContents"/>
              <w:spacing w:before="0" w:after="0"/>
              <w:ind w:left="0" w:right="0" w:hanging="0"/>
              <w:jc w:val="right"/>
              <w:rPr/>
            </w:pPr>
            <w:r>
              <w:rPr/>
              <w:t xml:space="preserve">4.14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w:t>
            </w:r>
            <w:r>
              <w:rPr>
                <w:position w:val="8"/>
                <w:sz w:val="19"/>
              </w:rPr>
              <w:t>1</w:t>
            </w:r>
            <w:r>
              <w:rPr/>
              <w:t>/8% senior notes due 2014 (incorporated by reference to Exhibit 4.1 to Pacifics Current Report on Form 8-K filed March 9,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4.15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w:t>
            </w:r>
            <w:r>
              <w:rPr>
                <w:position w:val="8"/>
                <w:sz w:val="19"/>
              </w:rPr>
              <w:t>1</w:t>
            </w:r>
            <w:r>
              <w:rPr/>
              <w:t>/8% senior notes due 2014 (incorporated by reference to Exhibit 4.17 to the Annual Report on Form 10-K for the year ended December 31,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4.16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4.17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w:t>
            </w:r>
            <w:r>
              <w:rPr>
                <w:position w:val="8"/>
                <w:sz w:val="19"/>
              </w:rPr>
              <w:t>1</w:t>
            </w:r>
            <w:r>
              <w:rPr/>
              <w:t>/4% senior notes due 2015 (incorporated by reference to Exhibit 4.1 to Pacifics Current Report on Form 8-K filed September 28, 2005).</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4.18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510" w:type="dxa"/>
            <w:tcBorders/>
            <w:shd w:fill="auto" w:val="clear"/>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 </w:t>
            </w:r>
          </w:p>
        </w:tc>
      </w:tr>
      <w:tr>
        <w:trPr/>
        <w:tc>
          <w:tcPr>
            <w:tcW w:w="510" w:type="dxa"/>
            <w:tcBorders/>
            <w:shd w:fill="auto" w:val="clear"/>
          </w:tcPr>
          <w:p>
            <w:pPr>
              <w:pStyle w:val="TableContents"/>
              <w:spacing w:before="0" w:after="0"/>
              <w:ind w:left="0" w:right="0" w:hanging="0"/>
              <w:jc w:val="right"/>
              <w:rPr/>
            </w:pPr>
            <w:r>
              <w:rPr/>
              <w:t xml:space="preserve">4.19 </w:t>
            </w:r>
          </w:p>
        </w:tc>
        <w:tc>
          <w:tcPr>
            <w:tcW w:w="199"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199"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right"/>
        <w:tblInd w:w="0" w:type="dxa"/>
        <w:tblCellMar>
          <w:top w:w="0" w:type="dxa"/>
          <w:left w:w="0" w:type="dxa"/>
          <w:bottom w:w="0" w:type="dxa"/>
          <w:right w:w="0" w:type="dxa"/>
        </w:tblCellMar>
      </w:tblPr>
      <w:tblGrid>
        <w:gridCol w:w="867"/>
        <w:gridCol w:w="205"/>
        <w:gridCol w:w="275"/>
        <w:gridCol w:w="205"/>
        <w:gridCol w:w="8448"/>
      </w:tblGrid>
      <w:tr>
        <w:trPr/>
        <w:tc>
          <w:tcPr>
            <w:tcW w:w="8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vAlign w:val="bottom"/>
          </w:tcPr>
          <w:p>
            <w:pPr>
              <w:pStyle w:val="TableContents"/>
              <w:spacing w:before="0" w:after="283"/>
              <w:rPr/>
            </w:pPr>
            <w:r>
              <w:rPr/>
              <w:t> </w:t>
            </w:r>
          </w:p>
        </w:tc>
      </w:tr>
      <w:tr>
        <w:trPr/>
        <w:tc>
          <w:tcPr>
            <w:tcW w:w="867" w:type="dxa"/>
            <w:tcBorders/>
            <w:shd w:fill="auto" w:val="clear"/>
          </w:tcPr>
          <w:p>
            <w:pPr>
              <w:pStyle w:val="TableContents"/>
              <w:spacing w:before="0" w:after="0"/>
              <w:ind w:left="0" w:right="0" w:hanging="0"/>
              <w:jc w:val="right"/>
              <w:rPr/>
            </w:pPr>
            <w:r>
              <w:rPr/>
              <w:t xml:space="preserve">4.20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**10.1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Final Forms of LTIP Grant Letters dated February 22, 2007 (Named Executive Officers).</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31.1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31.2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*32.1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Executive Officer pursuant to 18 U.S.C. 1350.</w:t>
            </w:r>
          </w:p>
        </w:tc>
      </w:tr>
      <w:tr>
        <w:trPr/>
        <w:tc>
          <w:tcPr>
            <w:tcW w:w="867"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 </w:t>
            </w:r>
          </w:p>
        </w:tc>
      </w:tr>
      <w:tr>
        <w:trPr/>
        <w:tc>
          <w:tcPr>
            <w:tcW w:w="867" w:type="dxa"/>
            <w:tcBorders/>
            <w:shd w:fill="auto" w:val="clear"/>
          </w:tcPr>
          <w:p>
            <w:pPr>
              <w:pStyle w:val="TableContents"/>
              <w:spacing w:before="0" w:after="0"/>
              <w:ind w:left="0" w:right="0" w:hanging="0"/>
              <w:jc w:val="right"/>
              <w:rPr/>
            </w:pPr>
            <w:r>
              <w:rPr/>
              <w:t xml:space="preserve">*32.2 </w:t>
            </w:r>
          </w:p>
        </w:tc>
        <w:tc>
          <w:tcPr>
            <w:tcW w:w="205" w:type="dxa"/>
            <w:tcBorders/>
            <w:shd w:fill="auto" w:val="clear"/>
            <w:vAlign w:val="bottom"/>
          </w:tcPr>
          <w:p>
            <w:pPr>
              <w:pStyle w:val="TableContents"/>
              <w:spacing w:before="0" w:after="283"/>
              <w:rPr/>
            </w:pPr>
            <w:r>
              <w:rPr/>
              <w:t> </w:t>
            </w:r>
          </w:p>
        </w:tc>
        <w:tc>
          <w:tcPr>
            <w:tcW w:w="275" w:type="dxa"/>
            <w:tcBorders/>
            <w:shd w:fill="auto" w:val="clear"/>
          </w:tcPr>
          <w:p>
            <w:pPr>
              <w:pStyle w:val="TableContents"/>
              <w:spacing w:before="0" w:after="283"/>
              <w:jc w:val="center"/>
              <w:rPr/>
            </w:pPr>
            <w:r>
              <w:rPr/>
              <w:t xml:space="preserve"> </w:t>
            </w:r>
          </w:p>
        </w:tc>
        <w:tc>
          <w:tcPr>
            <w:tcW w:w="205" w:type="dxa"/>
            <w:tcBorders/>
            <w:shd w:fill="auto" w:val="clear"/>
            <w:vAlign w:val="bottom"/>
          </w:tcPr>
          <w:p>
            <w:pPr>
              <w:pStyle w:val="TableContents"/>
              <w:spacing w:before="0" w:after="283"/>
              <w:rPr/>
            </w:pPr>
            <w:r>
              <w:rPr/>
              <w:t> </w:t>
            </w:r>
          </w:p>
        </w:tc>
        <w:tc>
          <w:tcPr>
            <w:tcW w:w="8448"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54"/>
        <w:gridCol w:w="2210"/>
        <w:gridCol w:w="1341"/>
      </w:tblGrid>
      <w:tr>
        <w:trPr/>
        <w:tc>
          <w:tcPr>
            <w:tcW w:w="6654"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Filed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Furnished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Management compensatory plan or arrangement.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47 </w:t>
      </w:r>
      <w:r>
        <w:br w:type="page"/>
      </w:r>
    </w:p>
    <w:p>
      <w:pPr>
        <w:pStyle w:val="Heading5"/>
        <w:jc w:val="left"/>
        <w:rPr/>
      </w:pPr>
      <w:bookmarkStart w:id="25" w:name="h45939exv10w1.htm"/>
      <w:bookmarkStart w:id="26" w:name="ksh45939exv10w1"/>
      <w:bookmarkEnd w:id="25"/>
      <w:bookmarkEnd w:id="26"/>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Exhibit 10.1</w:t>
        <w:br/>
        <w:t xml:space="preserve">(unit settled)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Final Form of LTIP Grant Letter</w:t>
        <w:br/>
        <w:t xml:space="preserve">(Armstrong, Pefanis, Kramer and vonBerg) </w:t>
      </w:r>
    </w:p>
    <w:p>
      <w:pPr>
        <w:pStyle w:val="TextBody"/>
        <w:spacing w:before="360" w:after="283"/>
        <w:jc w:val="center"/>
        <w:rPr/>
      </w:pPr>
      <w:r>
        <w:rPr/>
        <w:drawing>
          <wp:inline distT="0" distB="0" distL="0" distR="0">
            <wp:extent cx="26289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28900" cy="714375"/>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February 22, 2007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«AddressBlock» </w:t>
      </w:r>
    </w:p>
    <w:p>
      <w:pPr>
        <w:pStyle w:val="TextBody"/>
        <w:spacing w:before="120" w:after="283"/>
        <w:jc w:val="left"/>
        <w:rPr/>
      </w:pPr>
      <w:r>
        <w:rPr/>
        <w:t>     </w:t>
      </w:r>
      <w:r>
        <w:rPr>
          <w:rFonts w:ascii="Times New Roman;Times;serif" w:hAnsi="Times New Roman;Times;serif"/>
          <w:sz w:val="17"/>
        </w:rPr>
        <w:t xml:space="preserve">Re:       Grant of Phantom Units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«GreetingLine» </w:t>
      </w:r>
    </w:p>
    <w:p>
      <w:pPr>
        <w:pStyle w:val="TextBody"/>
        <w:spacing w:before="120" w:after="283"/>
        <w:jc w:val="left"/>
        <w:rPr/>
      </w:pPr>
      <w:r>
        <w:rPr/>
        <w:t>     </w:t>
      </w:r>
      <w:r>
        <w:rPr>
          <w:rFonts w:ascii="Times New Roman;Times;serif" w:hAnsi="Times New Roman;Times;serif"/>
          <w:sz w:val="17"/>
        </w:rPr>
        <w:t xml:space="preserve">I am pleased to inform you that you have been granted «Units» Phantom Units as of the above date pursuant to the Companys Long-Term Incentive Plan (the Plan). In addition, in tandem with each Phantom Unit you have been granted a distribution equivalent right (a DER). The terms and conditions of this grant are as set forth below. </w:t>
      </w:r>
    </w:p>
    <w:tbl>
      <w:tblPr>
        <w:tblW w:w="5000" w:type="pct"/>
        <w:jc w:val="left"/>
        <w:tblInd w:w="0" w:type="dxa"/>
        <w:tblCellMar>
          <w:top w:w="0" w:type="dxa"/>
          <w:left w:w="0" w:type="dxa"/>
          <w:bottom w:w="0" w:type="dxa"/>
          <w:right w:w="0" w:type="dxa"/>
        </w:tblCellMar>
      </w:tblPr>
      <w:tblGrid>
        <w:gridCol w:w="202"/>
        <w:gridCol w:w="306"/>
        <w:gridCol w:w="101"/>
        <w:gridCol w:w="9596"/>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Subject to the further provisions of this Agreement, your Phantom Units shall vest (become payable in the form of one Common Unit of Plains All American Pipeline, L.P. for each Phantom Unit) as follows: (i) 33.33% shall vest upon the later to occur of the May 2011 Distribution Date and the date on which the Partnership pays a quarterly distribution of at least $0.875 per unit, (ii) 33.33% shall vest upon the later to occur of the May 2011 Distribution Date and the date on which the Partnership pays a quarterly distribution of at least $1.00 per unit, and (iii) 33.34% shall vest upon the later to occur of the May 2012 Distribution Date and the date on which the Partnership pays a quarterly distribution of at least $0.9375 per unit. Any remaining Phantom Units that are not vested by the May 2014 Distribution Date, and any tandem DERs (regardless of vesting) associated with such Phantom Units, shall expire on such date.</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Subject to the further provisions of this Agreement, your DERs shall vest (become payable in cash) as follows: (i) 25% shall vest upon and effective with the date on which the Partnership pays a quarterly distribution of at least $0.85 per unit, (ii) 25% shall vest upon and effective with date on which the Partnership pays a quarterly distribution of at least $0.90 per unit, (iii) 25% shall vest upon and effective with the date on which the Partnership pays a quarterly distribution of at least $0.95 per unit, and (iv) 25% shall vest upon and effective with date on which the Partnership pays a quarterly distribution of at least $1.00 per unit.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Your DERs shall not accrue payments prior to vesting.</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distribution level required for vesting under paragraphs 1 or 2 above shall be proportionately reduced or increased for any split or reverse split, respectively, of the Units, or any event or transaction having similar effect.</w:t>
            </w:r>
          </w:p>
        </w:tc>
      </w:tr>
    </w:tbl>
    <w:tbl>
      <w:tblPr>
        <w:tblW w:w="5000" w:type="pct"/>
        <w:jc w:val="center"/>
        <w:tblInd w:w="0" w:type="dxa"/>
        <w:tblCellMar>
          <w:top w:w="0" w:type="dxa"/>
          <w:left w:w="0" w:type="dxa"/>
          <w:bottom w:w="0" w:type="dxa"/>
          <w:right w:w="0" w:type="dxa"/>
        </w:tblCellMar>
      </w:tblPr>
      <w:tblGrid>
        <w:gridCol w:w="3189"/>
        <w:gridCol w:w="318"/>
        <w:gridCol w:w="3190"/>
        <w:gridCol w:w="318"/>
        <w:gridCol w:w="3190"/>
      </w:tblGrid>
      <w:tr>
        <w:trPr/>
        <w:tc>
          <w:tcPr>
            <w:tcW w:w="318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19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190" w:type="dxa"/>
            <w:tcBorders/>
            <w:shd w:fill="auto" w:val="clear"/>
            <w:vAlign w:val="bottom"/>
          </w:tcPr>
          <w:p>
            <w:pPr>
              <w:pStyle w:val="TableContents"/>
              <w:spacing w:before="0" w:after="283"/>
              <w:rPr/>
            </w:pPr>
            <w:r>
              <w:rPr/>
              <w:t> </w:t>
            </w:r>
          </w:p>
        </w:tc>
      </w:tr>
      <w:tr>
        <w:trPr/>
        <w:tc>
          <w:tcPr>
            <w:tcW w:w="3189" w:type="dxa"/>
            <w:tcBorders/>
            <w:shd w:fill="auto" w:val="clear"/>
          </w:tcPr>
          <w:p>
            <w:pPr>
              <w:pStyle w:val="TableContents"/>
              <w:spacing w:before="0" w:after="0"/>
              <w:ind w:left="0" w:right="0" w:hanging="0"/>
              <w:rPr/>
            </w:pPr>
            <w:r>
              <w:rPr/>
              <w:t xml:space="preserve">333 Clay Street, Suite 1600 </w:t>
            </w:r>
          </w:p>
        </w:tc>
        <w:tc>
          <w:tcPr>
            <w:tcW w:w="318" w:type="dxa"/>
            <w:tcBorders/>
            <w:shd w:fill="auto" w:val="clear"/>
            <w:vAlign w:val="bottom"/>
          </w:tcPr>
          <w:p>
            <w:pPr>
              <w:pStyle w:val="TableContents"/>
              <w:spacing w:before="0" w:after="283"/>
              <w:rPr>
                <w:rFonts w:ascii="Wingdings" w:hAnsi="Wingdings"/>
              </w:rPr>
            </w:pPr>
            <w:r>
              <w:rPr>
                <w:rFonts w:ascii="Wingdings" w:hAnsi="Wingdings"/>
              </w:rPr>
              <w:t>n</w:t>
            </w:r>
          </w:p>
        </w:tc>
        <w:tc>
          <w:tcPr>
            <w:tcW w:w="3190" w:type="dxa"/>
            <w:tcBorders/>
            <w:shd w:fill="auto" w:val="clear"/>
          </w:tcPr>
          <w:p>
            <w:pPr>
              <w:pStyle w:val="TableContents"/>
              <w:spacing w:before="0" w:after="283"/>
              <w:jc w:val="center"/>
              <w:rPr/>
            </w:pPr>
            <w:r>
              <w:rPr/>
              <w:t xml:space="preserve">Houston, Texas 77002 </w:t>
            </w:r>
          </w:p>
        </w:tc>
        <w:tc>
          <w:tcPr>
            <w:tcW w:w="318" w:type="dxa"/>
            <w:tcBorders/>
            <w:shd w:fill="auto" w:val="clear"/>
            <w:vAlign w:val="bottom"/>
          </w:tcPr>
          <w:p>
            <w:pPr>
              <w:pStyle w:val="TableContents"/>
              <w:spacing w:before="0" w:after="283"/>
              <w:rPr>
                <w:rFonts w:ascii="Wingdings" w:hAnsi="Wingdings"/>
              </w:rPr>
            </w:pPr>
            <w:r>
              <w:rPr>
                <w:rFonts w:ascii="Wingdings" w:hAnsi="Wingdings"/>
              </w:rPr>
              <w:t>n</w:t>
            </w:r>
          </w:p>
        </w:tc>
        <w:tc>
          <w:tcPr>
            <w:tcW w:w="3190" w:type="dxa"/>
            <w:tcBorders/>
            <w:shd w:fill="auto" w:val="clear"/>
          </w:tcPr>
          <w:p>
            <w:pPr>
              <w:pStyle w:val="TableContents"/>
              <w:spacing w:before="0" w:after="283"/>
              <w:jc w:val="right"/>
              <w:rPr/>
            </w:pPr>
            <w:r>
              <w:rPr/>
              <w:t>713/646-4100 or 800-564-3036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3"/>
        <w:gridCol w:w="462"/>
        <w:gridCol w:w="3094"/>
        <w:gridCol w:w="462"/>
        <w:gridCol w:w="3094"/>
      </w:tblGrid>
      <w:tr>
        <w:trPr/>
        <w:tc>
          <w:tcPr>
            <w:tcW w:w="309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r>
      <w:tr>
        <w:trPr/>
        <w:tc>
          <w:tcPr>
            <w:tcW w:w="3093" w:type="dxa"/>
            <w:tcBorders/>
            <w:shd w:fill="auto" w:val="clear"/>
          </w:tcPr>
          <w:p>
            <w:pPr>
              <w:pStyle w:val="TableContents"/>
              <w:spacing w:before="0" w:after="0"/>
              <w:ind w:left="0" w:right="0" w:hanging="0"/>
              <w:rPr/>
            </w:pPr>
            <w:r>
              <w:rPr/>
              <w:t xml:space="preserve">«First_Name» «MI» «Last_Name»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center"/>
              <w:rPr/>
            </w:pPr>
            <w:r>
              <w:rPr/>
              <w:t xml:space="preserve">- 2 -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right"/>
              <w:rPr/>
            </w:pPr>
            <w:r>
              <w:rPr/>
              <w:t>February 22, 2007</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Upon vesting of any Phantom Units, an equivalent number of DERs will expire. Any such DERs that are vested prior to, or that would vest as of, the Distribution Date on which the Phantom Units vest, shall be payable on such Distribution Date prior to their expiration.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the termination of your employment with the Company and its Affiliates (other than in connection with a Change in Status or by reason of your death, disability, as defined in paragraph 7 below, or retirement as defined in paragraph 8 below), all of your then outstanding DERs (regardless of vesting) and Phantom Units shall automatically be forfeited as of the date of termination; </w:t>
            </w:r>
            <w:r>
              <w:rPr>
                <w:u w:val="single"/>
              </w:rPr>
              <w:t>provided, however</w:t>
            </w:r>
            <w:r>
              <w:rPr/>
              <w:t>, that if the Company or its Affiliates terminate your employment other than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(i) such DERs shall vest in accordance with paragraph 2 above and expire in accordance with paragraph 1 or paragraph 5 above, as applicable, and (ii) such Phantom Units shall vest or expire in accordance with paragraph 1 above; </w:t>
            </w:r>
            <w:r>
              <w:rPr>
                <w:i/>
              </w:rPr>
              <w:t xml:space="preserve">provided, however, </w:t>
            </w:r>
            <w:r>
              <w:rPr/>
              <w:t>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7, payment will be made in cash in an amount equal to the Market Value of the number of Phantom Units vesting.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8.</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your Retirement, 50% of any unvested Phantom Units that have satisfied all vesting criteria as of the date of termination but for the passage of time shall be deemed nonforfeitable on the date of termination, and shall vest on the next following Distribution Date; </w:t>
            </w:r>
            <w:r>
              <w:rPr>
                <w:u w:val="single"/>
              </w:rPr>
              <w:t>provided,</w:t>
            </w:r>
            <w:r>
              <w:rPr/>
              <w:t xml:space="preserve"> that any DERs associated with the unvested, nonforfeitable Phantom Units described in this paragraph shall not be forfeited on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3"/>
        <w:gridCol w:w="462"/>
        <w:gridCol w:w="3094"/>
        <w:gridCol w:w="462"/>
        <w:gridCol w:w="3094"/>
      </w:tblGrid>
      <w:tr>
        <w:trPr/>
        <w:tc>
          <w:tcPr>
            <w:tcW w:w="309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r>
      <w:tr>
        <w:trPr/>
        <w:tc>
          <w:tcPr>
            <w:tcW w:w="3093" w:type="dxa"/>
            <w:tcBorders/>
            <w:shd w:fill="auto" w:val="clear"/>
          </w:tcPr>
          <w:p>
            <w:pPr>
              <w:pStyle w:val="TableContents"/>
              <w:spacing w:before="0" w:after="0"/>
              <w:ind w:left="0" w:right="0" w:hanging="0"/>
              <w:rPr/>
            </w:pPr>
            <w:r>
              <w:rPr/>
              <w:t xml:space="preserve">«First_Name» «MI» «Last_Name»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center"/>
              <w:rPr/>
            </w:pPr>
            <w:r>
              <w:rPr/>
              <w:t xml:space="preserve">- 3 -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right"/>
              <w:rPr/>
            </w:pPr>
            <w:r>
              <w:rPr/>
              <w:t>February 22, 2007</w:t>
            </w:r>
          </w:p>
        </w:tc>
      </w:tr>
    </w:tbl>
    <w:tbl>
      <w:tblPr>
        <w:tblW w:w="5000" w:type="pct"/>
        <w:jc w:val="left"/>
        <w:tblInd w:w="0" w:type="dxa"/>
        <w:tblCellMar>
          <w:top w:w="0" w:type="dxa"/>
          <w:left w:w="0" w:type="dxa"/>
          <w:bottom w:w="0" w:type="dxa"/>
          <w:right w:w="0" w:type="dxa"/>
        </w:tblCellMar>
      </w:tblPr>
      <w:tblGrid>
        <w:gridCol w:w="204"/>
        <w:gridCol w:w="326"/>
        <w:gridCol w:w="105"/>
        <w:gridCol w:w="9570"/>
      </w:tblGrid>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the date of termination, but shall be payable and shall expire in accordance with paragraph 5 above. All other unvested Phantom Units and tandem DERs (regardless of vesting) shall automatically be forfeited as of the date of retirement. Retirement means (i) you have reached the age of 60 prior to meeting the time requirement for vesting, (ii) you provide a written statement that you are retiring, and (iii) the written statement includes your agreement not to accept any employment or consulting position with any competitor in the hydrocarbon midstream business for a period of two years after the date of retirement.</w:t>
            </w:r>
          </w:p>
        </w:tc>
      </w:tr>
      <w:tr>
        <w:trPr/>
        <w:tc>
          <w:tcPr>
            <w:tcW w:w="204" w:type="dxa"/>
            <w:tcBorders/>
            <w:shd w:fill="auto" w:val="clear"/>
            <w:vAlign w:val="center"/>
          </w:tcPr>
          <w:p>
            <w:pPr>
              <w:pStyle w:val="TableContents"/>
              <w:spacing w:before="0" w:after="283"/>
              <w:rPr/>
            </w:pPr>
            <w:r>
              <w:rPr/>
              <w:t> </w:t>
            </w:r>
          </w:p>
        </w:tc>
        <w:tc>
          <w:tcPr>
            <w:tcW w:w="10001" w:type="dxa"/>
            <w:gridSpan w:val="3"/>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9.</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In the event of a Change in Status, all of your then outstanding Phantom Units and tandem DERs shall be deemed 100% nonforfeitable on such date, and such Phantom Units shall vest in full upon the next Distribution Date.</w:t>
            </w:r>
          </w:p>
        </w:tc>
      </w:tr>
      <w:tr>
        <w:trPr/>
        <w:tc>
          <w:tcPr>
            <w:tcW w:w="204" w:type="dxa"/>
            <w:tcBorders/>
            <w:shd w:fill="auto" w:val="clear"/>
            <w:vAlign w:val="center"/>
          </w:tcPr>
          <w:p>
            <w:pPr>
              <w:pStyle w:val="TableContents"/>
              <w:spacing w:before="0" w:after="283"/>
              <w:rPr/>
            </w:pPr>
            <w:r>
              <w:rPr/>
              <w:t> </w:t>
            </w:r>
          </w:p>
        </w:tc>
        <w:tc>
          <w:tcPr>
            <w:tcW w:w="10001" w:type="dxa"/>
            <w:gridSpan w:val="3"/>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10.</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tc>
      </w:tr>
    </w:tbl>
    <w:p>
      <w:pPr>
        <w:pStyle w:val="TextBody"/>
        <w:spacing w:before="120" w:after="283"/>
        <w:jc w:val="left"/>
        <w:rPr/>
      </w:pPr>
      <w:r>
        <w:rPr/>
        <w:t>     </w:t>
      </w:r>
      <w:r>
        <w:rPr>
          <w:rFonts w:ascii="Times New Roman;Times;serif" w:hAnsi="Times New Roman;Times;serif"/>
          <w:sz w:val="17"/>
        </w:rPr>
        <w:t xml:space="preserve">As used herein, the phrase Distribution Date means the date, in any given month and year, on which the Partnership pays a quarterly distribution. Market Value means the average of the closing sales prices for a Common Unit on the New York Stock Exchange for the five trading days preceding the then most recent ex dividend date for payment of a distribution by the Partnership. </w:t>
      </w:r>
    </w:p>
    <w:p>
      <w:pPr>
        <w:pStyle w:val="TextBody"/>
        <w:spacing w:before="120" w:after="283"/>
        <w:jc w:val="left"/>
        <w:rPr/>
      </w:pPr>
      <w:r>
        <w:rPr/>
        <w:t>     </w:t>
      </w:r>
      <w:r>
        <w:rPr>
          <w:rFonts w:ascii="Times New Roman;Times;serif" w:hAnsi="Times New Roman;Times;serif"/>
          <w:sz w:val="17"/>
        </w:rPr>
        <w:t xml:space="preserve">The phrase Change in Status means the occurrence, within three months prior to or one year following a Change of Control, of any of the following 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 </w:t>
      </w:r>
    </w:p>
    <w:p>
      <w:pPr>
        <w:pStyle w:val="TextBody"/>
        <w:spacing w:before="120" w:after="283"/>
        <w:jc w:val="left"/>
        <w:rPr/>
      </w:pPr>
      <w:r>
        <w:rPr/>
        <w:t>     </w:t>
      </w:r>
      <w:r>
        <w:rPr>
          <w:rFonts w:ascii="Times New Roman;Times;serif" w:hAnsi="Times New Roman;Times;serif"/>
          <w:sz w:val="17"/>
        </w:rPr>
        <w:t xml:space="preserve">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3"/>
        <w:gridCol w:w="462"/>
        <w:gridCol w:w="3094"/>
        <w:gridCol w:w="462"/>
        <w:gridCol w:w="3094"/>
      </w:tblGrid>
      <w:tr>
        <w:trPr/>
        <w:tc>
          <w:tcPr>
            <w:tcW w:w="309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r>
      <w:tr>
        <w:trPr/>
        <w:tc>
          <w:tcPr>
            <w:tcW w:w="3093" w:type="dxa"/>
            <w:tcBorders/>
            <w:shd w:fill="auto" w:val="clear"/>
          </w:tcPr>
          <w:p>
            <w:pPr>
              <w:pStyle w:val="TableContents"/>
              <w:spacing w:before="0" w:after="0"/>
              <w:ind w:left="0" w:right="0" w:hanging="0"/>
              <w:rPr/>
            </w:pPr>
            <w:r>
              <w:rPr/>
              <w:t xml:space="preserve">«First_Name» «MI» «Last_Name»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center"/>
              <w:rPr/>
            </w:pPr>
            <w:r>
              <w:rPr/>
              <w:t xml:space="preserve">- 4 -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right"/>
              <w:rPr/>
            </w:pPr>
            <w:r>
              <w:rPr/>
              <w:t>February 22, 2007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interest in the Company. Notwithstanding the foregoing, no Change of Control shall be deemed to have occurred in connection with a restructuring or reorganization related to a securitization and sale to the public of direct or indirect equity interests in the general partner if (x) the Company retains direct or indirect control over the general partner and (y) the Persons who own membership interests in the Company on the date hereof continue to beneficially own, directly or indirectly, more than 50% of the membership interest in the Company. </w:t>
      </w:r>
    </w:p>
    <w:p>
      <w:pPr>
        <w:pStyle w:val="TextBody"/>
        <w:spacing w:before="120" w:after="283"/>
        <w:jc w:val="left"/>
        <w:rPr/>
      </w:pPr>
      <w:r>
        <w:rPr/>
        <w:t>     </w:t>
      </w:r>
      <w:r>
        <w:rPr>
          <w:rFonts w:ascii="Times New Roman;Times;serif" w:hAnsi="Times New Roman;Times;serif"/>
          <w:sz w:val="17"/>
        </w:rPr>
        <w:t xml:space="preserve">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 </w:t>
      </w:r>
    </w:p>
    <w:p>
      <w:pPr>
        <w:pStyle w:val="TextBody"/>
        <w:spacing w:before="120" w:after="283"/>
        <w:jc w:val="left"/>
        <w:rPr/>
      </w:pPr>
      <w:r>
        <w:rPr/>
        <w:t>     </w:t>
      </w:r>
      <w:r>
        <w:rPr>
          <w:rFonts w:ascii="Times New Roman;Times;serif" w:hAnsi="Times New Roman;Times;serif"/>
          <w:sz w:val="17"/>
        </w:rPr>
        <w:t xml:space="preserve">The Company refers to Plains All American GP LLC. The Partnership refers to Plains All American Pipeline, L.P. </w:t>
      </w:r>
    </w:p>
    <w:p>
      <w:pPr>
        <w:pStyle w:val="TextBody"/>
        <w:spacing w:before="120" w:after="283"/>
        <w:jc w:val="left"/>
        <w:rPr/>
      </w:pPr>
      <w:r>
        <w:rPr/>
        <w:t>     </w:t>
      </w:r>
      <w:r>
        <w:rPr>
          <w:rFonts w:ascii="Times New Roman;Times;serif" w:hAnsi="Times New Roman;Times;serif"/>
          <w:sz w:val="17"/>
        </w:rPr>
        <w:t xml:space="preserve">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 Please execute and return this Agreement to me. The attached copy of this Agreement is for your records </w:t>
      </w:r>
    </w:p>
    <w:tbl>
      <w:tblPr>
        <w:tblW w:w="5000" w:type="pct"/>
        <w:jc w:val="center"/>
        <w:tblInd w:w="0" w:type="dxa"/>
        <w:tblCellMar>
          <w:top w:w="0" w:type="dxa"/>
          <w:left w:w="0" w:type="dxa"/>
          <w:bottom w:w="0" w:type="dxa"/>
          <w:right w:w="0" w:type="dxa"/>
        </w:tblCellMar>
      </w:tblPr>
      <w:tblGrid>
        <w:gridCol w:w="4105"/>
        <w:gridCol w:w="152"/>
        <w:gridCol w:w="605"/>
        <w:gridCol w:w="152"/>
        <w:gridCol w:w="5191"/>
      </w:tblGrid>
      <w:tr>
        <w:trPr/>
        <w:tc>
          <w:tcPr>
            <w:tcW w:w="4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vAlign w:val="bottom"/>
          </w:tcPr>
          <w:p>
            <w:pPr>
              <w:pStyle w:val="TableContents"/>
              <w:spacing w:before="0" w:after="283"/>
              <w:rPr/>
            </w:pPr>
            <w:r>
              <w:rPr/>
              <w:t> </w:t>
            </w:r>
          </w:p>
        </w:tc>
      </w:tr>
      <w:tr>
        <w:trPr/>
        <w:tc>
          <w:tcPr>
            <w:tcW w:w="4105" w:type="dxa"/>
            <w:tcBorders/>
            <w:shd w:fill="auto" w:val="clear"/>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948" w:type="dxa"/>
            <w:gridSpan w:val="3"/>
            <w:tcBorders/>
            <w:shd w:fill="auto" w:val="clear"/>
          </w:tcPr>
          <w:p>
            <w:pPr>
              <w:pStyle w:val="TableContents"/>
              <w:spacing w:before="0" w:after="283"/>
              <w:jc w:val="left"/>
              <w:rPr/>
            </w:pPr>
            <w:r>
              <w:rPr/>
              <w:t>PLAINS ALL AMERICAN PIPELINE, L.P.</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By: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PLAINS AAP, L.P.</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By: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PLAINS ALL AMERICAN GP LLC</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By:</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center"/>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center"/>
          </w:tcPr>
          <w:p>
            <w:pPr>
              <w:pStyle w:val="TableContents"/>
              <w:spacing w:before="0" w:after="283"/>
              <w:rPr/>
            </w:pPr>
            <w:r>
              <w:rPr/>
              <w:t> </w:t>
            </w:r>
          </w:p>
        </w:tc>
        <w:tc>
          <w:tcPr>
            <w:tcW w:w="51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Name: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Tim Moore</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Title: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Vice President &amp; General Counsel</w:t>
            </w:r>
          </w:p>
        </w:tc>
      </w:tr>
    </w:tbl>
    <w:tbl>
      <w:tblPr>
        <w:tblW w:w="5000" w:type="pct"/>
        <w:jc w:val="center"/>
        <w:tblInd w:w="0" w:type="dxa"/>
        <w:tblCellMar>
          <w:top w:w="0" w:type="dxa"/>
          <w:left w:w="0" w:type="dxa"/>
          <w:bottom w:w="0" w:type="dxa"/>
          <w:right w:w="0" w:type="dxa"/>
        </w:tblCellMar>
      </w:tblPr>
      <w:tblGrid>
        <w:gridCol w:w="642"/>
        <w:gridCol w:w="192"/>
        <w:gridCol w:w="2753"/>
        <w:gridCol w:w="192"/>
        <w:gridCol w:w="6426"/>
      </w:tblGrid>
      <w:tr>
        <w:trPr/>
        <w:tc>
          <w:tcPr>
            <w:tcW w:w="64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vAlign w:val="bottom"/>
          </w:tcPr>
          <w:p>
            <w:pPr>
              <w:pStyle w:val="TableContents"/>
              <w:spacing w:before="0" w:after="283"/>
              <w:rPr/>
            </w:pPr>
            <w:r>
              <w:rPr/>
              <w:t> </w:t>
            </w:r>
          </w:p>
        </w:tc>
      </w:tr>
      <w:tr>
        <w:trPr/>
        <w:tc>
          <w:tcPr>
            <w:tcW w:w="3587"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92" w:type="dxa"/>
            <w:tcBorders/>
            <w:shd w:fill="auto" w:val="clear"/>
            <w:vAlign w:val="center"/>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3587" w:type="dxa"/>
            <w:gridSpan w:val="3"/>
            <w:tcBorders/>
            <w:shd w:fill="auto" w:val="clear"/>
          </w:tcPr>
          <w:p>
            <w:pPr>
              <w:pStyle w:val="TableContents"/>
              <w:spacing w:before="0" w:after="283"/>
              <w:jc w:val="left"/>
              <w:rPr/>
            </w:pPr>
            <w:r>
              <w:rPr/>
              <w:t>«First_Name» «MI» «Last_Name»</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xml:space="preserve">Units: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0"/>
              <w:jc w:val="left"/>
              <w:rPr/>
            </w:pPr>
            <w:r>
              <w:rPr/>
              <w:t xml:space="preserve">«Units» </w:t>
            </w:r>
          </w:p>
          <w:p>
            <w:pPr>
              <w:pStyle w:val="TableContents"/>
              <w:spacing w:before="0" w:after="0"/>
              <w:jc w:val="left"/>
              <w:rPr>
                <w:bdr w:val="single" w:sz="2" w:space="1" w:color="000000"/>
              </w:rPr>
            </w:pPr>
            <w:r>
              <w:rPr>
                <w:bdr w:val="single" w:sz="2" w:space="1" w:color="000000"/>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Dated:</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xml:space="preserve">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0"/>
              <w:jc w:val="left"/>
              <w:rPr>
                <w:bdr w:val="single" w:sz="2" w:space="1" w:color="000000"/>
              </w:rPr>
            </w:pPr>
            <w:r>
              <w:rPr>
                <w:bdr w:val="single" w:sz="2" w:space="1" w:color="000000"/>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(cash settled)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Final Form of LTIP Grant Letter</w:t>
        <w:br/>
        <w:t xml:space="preserve">(Coiner) </w:t>
      </w:r>
    </w:p>
    <w:p>
      <w:pPr>
        <w:pStyle w:val="TextBody"/>
        <w:spacing w:before="360" w:after="283"/>
        <w:jc w:val="center"/>
        <w:rPr/>
      </w:pPr>
      <w:r>
        <w:rPr/>
        <w:drawing>
          <wp:inline distT="0" distB="0" distL="0" distR="0">
            <wp:extent cx="26289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28900" cy="714375"/>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February 22, 2007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«AddressBlock» </w:t>
      </w:r>
    </w:p>
    <w:p>
      <w:pPr>
        <w:pStyle w:val="TextBody"/>
        <w:spacing w:before="120" w:after="283"/>
        <w:jc w:val="left"/>
        <w:rPr/>
      </w:pPr>
      <w:r>
        <w:rPr/>
        <w:t>     </w:t>
      </w:r>
      <w:r>
        <w:rPr>
          <w:rFonts w:ascii="Times New Roman;Times;serif" w:hAnsi="Times New Roman;Times;serif"/>
          <w:sz w:val="17"/>
        </w:rPr>
        <w:t xml:space="preserve">Re:      Grant of Phantom Units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«GreetingLine»: </w:t>
      </w:r>
    </w:p>
    <w:p>
      <w:pPr>
        <w:pStyle w:val="TextBody"/>
        <w:spacing w:before="120" w:after="283"/>
        <w:jc w:val="left"/>
        <w:rPr/>
      </w:pPr>
      <w:r>
        <w:rPr/>
        <w:t>     </w:t>
      </w:r>
      <w:r>
        <w:rPr>
          <w:rFonts w:ascii="Times New Roman;Times;serif" w:hAnsi="Times New Roman;Times;serif"/>
          <w:sz w:val="17"/>
        </w:rPr>
        <w:t xml:space="preserve">I am pleased to inform you that you have been granted «Units» Phantom Units as of the above date pursuant to the Companys 2005 Long-Term Incentive Plan (the Plan). In addition, in tandem with each Phantom Unit you have been granted a distribution equivalent right (a DER). The terms and conditions of this grant are as set forth below. </w:t>
      </w:r>
    </w:p>
    <w:tbl>
      <w:tblPr>
        <w:tblW w:w="5000" w:type="pct"/>
        <w:jc w:val="left"/>
        <w:tblInd w:w="0" w:type="dxa"/>
        <w:tblCellMar>
          <w:top w:w="0" w:type="dxa"/>
          <w:left w:w="0" w:type="dxa"/>
          <w:bottom w:w="0" w:type="dxa"/>
          <w:right w:w="0" w:type="dxa"/>
        </w:tblCellMar>
      </w:tblPr>
      <w:tblGrid>
        <w:gridCol w:w="202"/>
        <w:gridCol w:w="306"/>
        <w:gridCol w:w="101"/>
        <w:gridCol w:w="9596"/>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Subject to the further provisions of this Agreement, your Phantom Units shall vest (become payable in cash based on the Market Value of an equivalent number of Common Units of Plains All American Pipeline, L.P.) as follows: (i) 33.33% shall vest upon the later to occur of the May 2011 Distribution Date and the date on which the Partnership pays a quarterly distribution of at least $0.875 per unit, (ii) 33.33% shall vest upon the later to occur of the May 2011 Distribution Date and the date on which the Partnership pays a quarterly distribution of at least $1.00 per unit, and (iii) 33.34% shall vest upon the later to occur of the May 2012 Distribution Date and the date on which the Partnership pays a quarterly distribution of at least $0.9375 per unit. Any remaining Phantom Units that are not vested by the May 2014 Distribution Date, and any tandem DERs (regardless of vesting) associated with such Phantom Units, shall expire on such date.</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Subject to the further provisions of this Agreement, your DERs shall vest (become payable in cash) as follows: (i) 25% shall vest upon and effective with the date on which the Partnership pays a quarterly distribution of at least $0.85 per unit, (ii) 25% shall vest upon and effective with date on which the Partnership pays a quarterly distribution of at least $0.90 per unit, (iii) 25% shall vest upon and effective with the date on which the Partnership pays a quarterly distribution of at least $0.95 per unit, and (iv) 25% shall vest upon and effective with date on which the Partnership pays a quarterly distribution of at least $1.00 per unit.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Your DERs shall not accrue payments prior to vesting.</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distribution level required for vesting under paragraphs 1 or 2 above shall be proportionately reduced or increased for any split or reverse split, respectively, of the Units, or any event or transaction having similar effect.</w:t>
            </w:r>
          </w:p>
        </w:tc>
      </w:tr>
    </w:tbl>
    <w:tbl>
      <w:tblPr>
        <w:tblW w:w="5000" w:type="pct"/>
        <w:jc w:val="center"/>
        <w:tblInd w:w="0" w:type="dxa"/>
        <w:tblCellMar>
          <w:top w:w="0" w:type="dxa"/>
          <w:left w:w="0" w:type="dxa"/>
          <w:bottom w:w="0" w:type="dxa"/>
          <w:right w:w="0" w:type="dxa"/>
        </w:tblCellMar>
      </w:tblPr>
      <w:tblGrid>
        <w:gridCol w:w="3189"/>
        <w:gridCol w:w="318"/>
        <w:gridCol w:w="3190"/>
        <w:gridCol w:w="318"/>
        <w:gridCol w:w="3190"/>
      </w:tblGrid>
      <w:tr>
        <w:trPr/>
        <w:tc>
          <w:tcPr>
            <w:tcW w:w="318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19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190" w:type="dxa"/>
            <w:tcBorders/>
            <w:shd w:fill="auto" w:val="clear"/>
            <w:vAlign w:val="bottom"/>
          </w:tcPr>
          <w:p>
            <w:pPr>
              <w:pStyle w:val="TableContents"/>
              <w:spacing w:before="0" w:after="283"/>
              <w:rPr/>
            </w:pPr>
            <w:r>
              <w:rPr/>
              <w:t> </w:t>
            </w:r>
          </w:p>
        </w:tc>
      </w:tr>
      <w:tr>
        <w:trPr/>
        <w:tc>
          <w:tcPr>
            <w:tcW w:w="3189" w:type="dxa"/>
            <w:tcBorders/>
            <w:shd w:fill="auto" w:val="clear"/>
          </w:tcPr>
          <w:p>
            <w:pPr>
              <w:pStyle w:val="TableContents"/>
              <w:spacing w:before="0" w:after="0"/>
              <w:ind w:left="0" w:right="0" w:hanging="0"/>
              <w:rPr/>
            </w:pPr>
            <w:r>
              <w:rPr/>
              <w:t xml:space="preserve">333 Clay Street, Suite 1600 </w:t>
            </w:r>
          </w:p>
        </w:tc>
        <w:tc>
          <w:tcPr>
            <w:tcW w:w="318" w:type="dxa"/>
            <w:tcBorders/>
            <w:shd w:fill="auto" w:val="clear"/>
            <w:vAlign w:val="bottom"/>
          </w:tcPr>
          <w:p>
            <w:pPr>
              <w:pStyle w:val="TableContents"/>
              <w:spacing w:before="0" w:after="283"/>
              <w:rPr>
                <w:rFonts w:ascii="Wingdings" w:hAnsi="Wingdings"/>
              </w:rPr>
            </w:pPr>
            <w:r>
              <w:rPr>
                <w:rFonts w:ascii="Wingdings" w:hAnsi="Wingdings"/>
              </w:rPr>
              <w:t>n</w:t>
            </w:r>
          </w:p>
        </w:tc>
        <w:tc>
          <w:tcPr>
            <w:tcW w:w="3190" w:type="dxa"/>
            <w:tcBorders/>
            <w:shd w:fill="auto" w:val="clear"/>
          </w:tcPr>
          <w:p>
            <w:pPr>
              <w:pStyle w:val="TableContents"/>
              <w:spacing w:before="0" w:after="283"/>
              <w:jc w:val="center"/>
              <w:rPr/>
            </w:pPr>
            <w:r>
              <w:rPr/>
              <w:t xml:space="preserve">Houston, Texas 77002 </w:t>
            </w:r>
          </w:p>
        </w:tc>
        <w:tc>
          <w:tcPr>
            <w:tcW w:w="318" w:type="dxa"/>
            <w:tcBorders/>
            <w:shd w:fill="auto" w:val="clear"/>
            <w:vAlign w:val="bottom"/>
          </w:tcPr>
          <w:p>
            <w:pPr>
              <w:pStyle w:val="TableContents"/>
              <w:spacing w:before="0" w:after="283"/>
              <w:rPr>
                <w:rFonts w:ascii="Wingdings" w:hAnsi="Wingdings"/>
              </w:rPr>
            </w:pPr>
            <w:r>
              <w:rPr>
                <w:rFonts w:ascii="Wingdings" w:hAnsi="Wingdings"/>
              </w:rPr>
              <w:t>n</w:t>
            </w:r>
          </w:p>
        </w:tc>
        <w:tc>
          <w:tcPr>
            <w:tcW w:w="3190" w:type="dxa"/>
            <w:tcBorders/>
            <w:shd w:fill="auto" w:val="clear"/>
          </w:tcPr>
          <w:p>
            <w:pPr>
              <w:pStyle w:val="TableContents"/>
              <w:spacing w:before="0" w:after="283"/>
              <w:jc w:val="right"/>
              <w:rPr/>
            </w:pPr>
            <w:r>
              <w:rPr/>
              <w:t>713/646-4100 or 800-564-3036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3"/>
        <w:gridCol w:w="462"/>
        <w:gridCol w:w="3094"/>
        <w:gridCol w:w="462"/>
        <w:gridCol w:w="3094"/>
      </w:tblGrid>
      <w:tr>
        <w:trPr/>
        <w:tc>
          <w:tcPr>
            <w:tcW w:w="309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r>
      <w:tr>
        <w:trPr/>
        <w:tc>
          <w:tcPr>
            <w:tcW w:w="3093" w:type="dxa"/>
            <w:tcBorders/>
            <w:shd w:fill="auto" w:val="clear"/>
          </w:tcPr>
          <w:p>
            <w:pPr>
              <w:pStyle w:val="TableContents"/>
              <w:spacing w:before="0" w:after="0"/>
              <w:ind w:left="0" w:right="0" w:hanging="0"/>
              <w:rPr/>
            </w:pPr>
            <w:r>
              <w:rPr/>
              <w:t xml:space="preserve">«First_Name» «MI» «Last_Name»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center"/>
              <w:rPr/>
            </w:pPr>
            <w:r>
              <w:rPr/>
              <w:t xml:space="preserve">- 2 -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right"/>
              <w:rPr/>
            </w:pPr>
            <w:r>
              <w:rPr/>
              <w:t>February 22, 2007</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Upon vesting of any Phantom Units, an equivalent number of DERs will expire. Any such DERs that are vested prior to, or that would vest as of, the Distribution Date on which the Phantom Units vest, shall be payable on such Distribution Date prior to their expiration.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the termination of your employment with the Company and its Affiliates (other than in connection with a Change in Status or by reason of your death, disability, as defined in paragraph 7 below, or retirement as defined in paragraph 8 below), all of your then outstanding DERs (regardless of vesting) and Phantom Units shall automatically be forfeited as of the date of termination; </w:t>
            </w:r>
            <w:r>
              <w:rPr>
                <w:u w:val="single"/>
              </w:rPr>
              <w:t>provided, however</w:t>
            </w:r>
            <w:r>
              <w:rPr/>
              <w:t>, that if the Company or its Affiliates terminate your employment other than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(i) such DERs shall vest in accordance with paragraph 2 above and expire in accordance with paragraph 1 or paragraph 5 above, as applicable, and (ii) such Phantom Units shall vest or expire in accordance with paragraph 1 above; </w:t>
            </w:r>
            <w:r>
              <w:rPr>
                <w:i/>
              </w:rPr>
              <w:t xml:space="preserve">provided, however, </w:t>
            </w:r>
            <w:r>
              <w:rPr/>
              <w:t>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7, payment will be made in cash in an amount equal to the Market Value of the number of Phantom Units vesting.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8.</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In the event of your Retirement, 50% of any unvested Phantom Units that have satisfied all vesting criteria as of the date of termination but for the passage of time shall be deemed nonforfeitable on the date of termination, and shall vest on the next following Distribution Date; </w:t>
            </w:r>
            <w:r>
              <w:rPr>
                <w:u w:val="single"/>
              </w:rPr>
              <w:t>provided,</w:t>
            </w:r>
            <w:r>
              <w:rPr/>
              <w:t xml:space="preserve"> that any DERs associated with the unvested, nonforfeitable Phantom Units described in this paragraph shall not be forfeited on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2"/>
        <w:gridCol w:w="464"/>
        <w:gridCol w:w="3092"/>
        <w:gridCol w:w="464"/>
        <w:gridCol w:w="3093"/>
      </w:tblGrid>
      <w:tr>
        <w:trPr/>
        <w:tc>
          <w:tcPr>
            <w:tcW w:w="309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09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093" w:type="dxa"/>
            <w:tcBorders/>
            <w:shd w:fill="auto" w:val="clear"/>
            <w:vAlign w:val="bottom"/>
          </w:tcPr>
          <w:p>
            <w:pPr>
              <w:pStyle w:val="TableContents"/>
              <w:spacing w:before="0" w:after="283"/>
              <w:rPr/>
            </w:pPr>
            <w:r>
              <w:rPr/>
              <w:t> </w:t>
            </w:r>
          </w:p>
        </w:tc>
      </w:tr>
      <w:tr>
        <w:trPr/>
        <w:tc>
          <w:tcPr>
            <w:tcW w:w="3092" w:type="dxa"/>
            <w:tcBorders/>
            <w:shd w:fill="auto" w:val="clear"/>
          </w:tcPr>
          <w:p>
            <w:pPr>
              <w:pStyle w:val="TableContents"/>
              <w:spacing w:before="0" w:after="0"/>
              <w:ind w:left="0" w:right="0" w:hanging="0"/>
              <w:rPr/>
            </w:pPr>
            <w:r>
              <w:rPr/>
              <w:t xml:space="preserve">«First_Name» «MI» «Last_Name» </w:t>
            </w:r>
          </w:p>
        </w:tc>
        <w:tc>
          <w:tcPr>
            <w:tcW w:w="464"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center"/>
              <w:rPr/>
            </w:pPr>
            <w:r>
              <w:rPr/>
              <w:t xml:space="preserve">-3- </w:t>
            </w:r>
          </w:p>
        </w:tc>
        <w:tc>
          <w:tcPr>
            <w:tcW w:w="464" w:type="dxa"/>
            <w:tcBorders/>
            <w:shd w:fill="auto" w:val="clear"/>
            <w:vAlign w:val="bottom"/>
          </w:tcPr>
          <w:p>
            <w:pPr>
              <w:pStyle w:val="TableContents"/>
              <w:spacing w:before="0" w:after="283"/>
              <w:rPr/>
            </w:pPr>
            <w:r>
              <w:rPr/>
              <w:t> </w:t>
            </w:r>
          </w:p>
        </w:tc>
        <w:tc>
          <w:tcPr>
            <w:tcW w:w="3093" w:type="dxa"/>
            <w:tcBorders/>
            <w:shd w:fill="auto" w:val="clear"/>
          </w:tcPr>
          <w:p>
            <w:pPr>
              <w:pStyle w:val="TableContents"/>
              <w:spacing w:before="0" w:after="283"/>
              <w:jc w:val="right"/>
              <w:rPr/>
            </w:pPr>
            <w:r>
              <w:rPr/>
              <w:t>February 22, 2007</w:t>
            </w:r>
          </w:p>
        </w:tc>
      </w:tr>
    </w:tbl>
    <w:tbl>
      <w:tblPr>
        <w:tblW w:w="5000" w:type="pct"/>
        <w:jc w:val="left"/>
        <w:tblInd w:w="0" w:type="dxa"/>
        <w:tblCellMar>
          <w:top w:w="0" w:type="dxa"/>
          <w:left w:w="0" w:type="dxa"/>
          <w:bottom w:w="0" w:type="dxa"/>
          <w:right w:w="0" w:type="dxa"/>
        </w:tblCellMar>
      </w:tblPr>
      <w:tblGrid>
        <w:gridCol w:w="204"/>
        <w:gridCol w:w="326"/>
        <w:gridCol w:w="105"/>
        <w:gridCol w:w="9570"/>
      </w:tblGrid>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the date of termination, but shall be payable and shall expire in accordance with paragraph 5 above. All other unvested Phantom Units and tandem DERs (regardless of vesting) shall automatically be forfeited as of the date of retirement. Retirement means (i) you have reached the age of 60 prior to meeting the time requirement for vesting, (ii) you provide a written statement that you are retiring, and (iii) the written statement includes your agreement not to accept any employment or consulting position with any competitor in the hydrocarbon midstream business for a period of two years after the date of retirement.</w:t>
            </w:r>
          </w:p>
        </w:tc>
      </w:tr>
      <w:tr>
        <w:trPr/>
        <w:tc>
          <w:tcPr>
            <w:tcW w:w="204" w:type="dxa"/>
            <w:tcBorders/>
            <w:shd w:fill="auto" w:val="clear"/>
            <w:vAlign w:val="center"/>
          </w:tcPr>
          <w:p>
            <w:pPr>
              <w:pStyle w:val="TableContents"/>
              <w:spacing w:before="0" w:after="283"/>
              <w:rPr/>
            </w:pPr>
            <w:r>
              <w:rPr/>
              <w:t> </w:t>
            </w:r>
          </w:p>
        </w:tc>
        <w:tc>
          <w:tcPr>
            <w:tcW w:w="10001" w:type="dxa"/>
            <w:gridSpan w:val="3"/>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9.</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In the event of a Change in Status, all of your then outstanding Phantom Units and tandem DERs shall be deemed 100% nonforfeitable on such date, and such Phantom Units shall vest in full upon the next Distribution Date.</w:t>
            </w:r>
          </w:p>
        </w:tc>
      </w:tr>
      <w:tr>
        <w:trPr/>
        <w:tc>
          <w:tcPr>
            <w:tcW w:w="204" w:type="dxa"/>
            <w:tcBorders/>
            <w:shd w:fill="auto" w:val="clear"/>
            <w:vAlign w:val="center"/>
          </w:tcPr>
          <w:p>
            <w:pPr>
              <w:pStyle w:val="TableContents"/>
              <w:spacing w:before="0" w:after="283"/>
              <w:rPr/>
            </w:pPr>
            <w:r>
              <w:rPr/>
              <w:t> </w:t>
            </w:r>
          </w:p>
        </w:tc>
        <w:tc>
          <w:tcPr>
            <w:tcW w:w="10001" w:type="dxa"/>
            <w:gridSpan w:val="3"/>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rPr/>
            </w:pPr>
            <w:r>
              <w:rPr/>
              <w:t> </w:t>
            </w:r>
          </w:p>
        </w:tc>
        <w:tc>
          <w:tcPr>
            <w:tcW w:w="326" w:type="dxa"/>
            <w:tcBorders/>
            <w:shd w:fill="auto" w:val="clear"/>
          </w:tcPr>
          <w:p>
            <w:pPr>
              <w:pStyle w:val="TableContents"/>
              <w:spacing w:before="0" w:after="283"/>
              <w:jc w:val="left"/>
              <w:rPr/>
            </w:pPr>
            <w:r>
              <w:rPr/>
              <w:t>10.</w:t>
            </w:r>
          </w:p>
        </w:tc>
        <w:tc>
          <w:tcPr>
            <w:tcW w:w="105" w:type="dxa"/>
            <w:tcBorders/>
            <w:shd w:fill="auto" w:val="clear"/>
          </w:tcPr>
          <w:p>
            <w:pPr>
              <w:pStyle w:val="TableContents"/>
              <w:spacing w:before="0" w:after="283"/>
              <w:rPr/>
            </w:pPr>
            <w:r>
              <w:rPr/>
              <w:t> </w:t>
            </w:r>
          </w:p>
        </w:tc>
        <w:tc>
          <w:tcPr>
            <w:tcW w:w="9570" w:type="dxa"/>
            <w:tcBorders/>
            <w:shd w:fill="auto" w:val="clear"/>
          </w:tcPr>
          <w:p>
            <w:pPr>
              <w:pStyle w:val="TableContents"/>
              <w:spacing w:before="0" w:after="283"/>
              <w:rPr/>
            </w:pPr>
            <w:r>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tc>
      </w:tr>
    </w:tbl>
    <w:p>
      <w:pPr>
        <w:pStyle w:val="TextBody"/>
        <w:spacing w:before="120" w:after="283"/>
        <w:jc w:val="left"/>
        <w:rPr/>
      </w:pPr>
      <w:r>
        <w:rPr/>
        <w:t>     </w:t>
      </w:r>
      <w:r>
        <w:rPr>
          <w:rFonts w:ascii="Times New Roman;Times;serif" w:hAnsi="Times New Roman;Times;serif"/>
          <w:sz w:val="17"/>
        </w:rPr>
        <w:t xml:space="preserve">As used herein, the phrase Distribution Date means the date, in any given month and year, on which the Partnership pays a quarterly distribution. Market Value means the average of the closing sales prices for a Common Unit on the New York Stock Exchange for the five trading days preceding the then most recent ex dividend date for payment of a distribution by the Partnership. </w:t>
      </w:r>
    </w:p>
    <w:p>
      <w:pPr>
        <w:pStyle w:val="TextBody"/>
        <w:spacing w:before="120" w:after="283"/>
        <w:jc w:val="left"/>
        <w:rPr/>
      </w:pPr>
      <w:r>
        <w:rPr/>
        <w:t>     </w:t>
      </w:r>
      <w:r>
        <w:rPr>
          <w:rFonts w:ascii="Times New Roman;Times;serif" w:hAnsi="Times New Roman;Times;serif"/>
          <w:sz w:val="17"/>
        </w:rPr>
        <w:t xml:space="preserve">The phrase Change in Status means the occurrence, within three months prior to or one year following a Change of Control, of any of the following 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 </w:t>
      </w:r>
    </w:p>
    <w:p>
      <w:pPr>
        <w:pStyle w:val="TextBody"/>
        <w:spacing w:before="120" w:after="283"/>
        <w:jc w:val="left"/>
        <w:rPr/>
      </w:pPr>
      <w:r>
        <w:rPr/>
        <w:t>     </w:t>
      </w:r>
      <w:r>
        <w:rPr>
          <w:rFonts w:ascii="Times New Roman;Times;serif" w:hAnsi="Times New Roman;Times;serif"/>
          <w:sz w:val="17"/>
        </w:rPr>
        <w:t xml:space="preserve">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93"/>
        <w:gridCol w:w="462"/>
        <w:gridCol w:w="3094"/>
        <w:gridCol w:w="462"/>
        <w:gridCol w:w="3094"/>
      </w:tblGrid>
      <w:tr>
        <w:trPr/>
        <w:tc>
          <w:tcPr>
            <w:tcW w:w="309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3094" w:type="dxa"/>
            <w:tcBorders/>
            <w:shd w:fill="auto" w:val="clear"/>
            <w:vAlign w:val="bottom"/>
          </w:tcPr>
          <w:p>
            <w:pPr>
              <w:pStyle w:val="TableContents"/>
              <w:spacing w:before="0" w:after="283"/>
              <w:rPr/>
            </w:pPr>
            <w:r>
              <w:rPr/>
              <w:t> </w:t>
            </w:r>
          </w:p>
        </w:tc>
      </w:tr>
      <w:tr>
        <w:trPr/>
        <w:tc>
          <w:tcPr>
            <w:tcW w:w="3093" w:type="dxa"/>
            <w:tcBorders/>
            <w:shd w:fill="auto" w:val="clear"/>
          </w:tcPr>
          <w:p>
            <w:pPr>
              <w:pStyle w:val="TableContents"/>
              <w:spacing w:before="0" w:after="0"/>
              <w:ind w:left="0" w:right="0" w:hanging="0"/>
              <w:rPr/>
            </w:pPr>
            <w:r>
              <w:rPr/>
              <w:t xml:space="preserve">«First_Name» «MI» «Last_Name»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center"/>
              <w:rPr/>
            </w:pPr>
            <w:r>
              <w:rPr/>
              <w:t xml:space="preserve">- 4 - </w:t>
            </w:r>
          </w:p>
        </w:tc>
        <w:tc>
          <w:tcPr>
            <w:tcW w:w="462" w:type="dxa"/>
            <w:tcBorders/>
            <w:shd w:fill="auto" w:val="clear"/>
            <w:vAlign w:val="bottom"/>
          </w:tcPr>
          <w:p>
            <w:pPr>
              <w:pStyle w:val="TableContents"/>
              <w:spacing w:before="0" w:after="283"/>
              <w:rPr/>
            </w:pPr>
            <w:r>
              <w:rPr/>
              <w:t> </w:t>
            </w:r>
          </w:p>
        </w:tc>
        <w:tc>
          <w:tcPr>
            <w:tcW w:w="3094" w:type="dxa"/>
            <w:tcBorders/>
            <w:shd w:fill="auto" w:val="clear"/>
          </w:tcPr>
          <w:p>
            <w:pPr>
              <w:pStyle w:val="TableContents"/>
              <w:spacing w:before="0" w:after="283"/>
              <w:jc w:val="right"/>
              <w:rPr/>
            </w:pPr>
            <w:r>
              <w:rPr/>
              <w:t>February 22, 2007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interest in the Company. Notwithstanding the foregoing, no Change of Control shall be deemed to have occurred in connection with a restructuring or reorganization related to a securitization and sale to the public of direct or indirect equity interests in the general partner if (x) the Company retains direct or indirect control over the general partner and (y) the Persons who own membership interests in the Company on the date hereof continue to beneficially own, directly or indirectly, more than 50% of the membership interest in the Company. </w:t>
      </w:r>
    </w:p>
    <w:p>
      <w:pPr>
        <w:pStyle w:val="TextBody"/>
        <w:spacing w:before="120" w:after="283"/>
        <w:jc w:val="left"/>
        <w:rPr/>
      </w:pPr>
      <w:r>
        <w:rPr/>
        <w:t>     </w:t>
      </w:r>
      <w:r>
        <w:rPr>
          <w:rFonts w:ascii="Times New Roman;Times;serif" w:hAnsi="Times New Roman;Times;serif"/>
          <w:sz w:val="17"/>
        </w:rPr>
        <w:t xml:space="preserve">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 </w:t>
      </w:r>
    </w:p>
    <w:p>
      <w:pPr>
        <w:pStyle w:val="TextBody"/>
        <w:spacing w:before="120" w:after="283"/>
        <w:jc w:val="left"/>
        <w:rPr/>
      </w:pPr>
      <w:r>
        <w:rPr/>
        <w:t>     </w:t>
      </w:r>
      <w:r>
        <w:rPr>
          <w:rFonts w:ascii="Times New Roman;Times;serif" w:hAnsi="Times New Roman;Times;serif"/>
          <w:sz w:val="17"/>
        </w:rPr>
        <w:t xml:space="preserve">The Company refers to Plains All American GP LLC. The Partnership refers to Plains All American Pipeline, L.P. </w:t>
      </w:r>
    </w:p>
    <w:p>
      <w:pPr>
        <w:pStyle w:val="TextBody"/>
        <w:spacing w:before="120" w:after="283"/>
        <w:jc w:val="left"/>
        <w:rPr/>
      </w:pPr>
      <w:r>
        <w:rPr/>
        <w:t>     </w:t>
      </w:r>
      <w:r>
        <w:rPr>
          <w:rFonts w:ascii="Times New Roman;Times;serif" w:hAnsi="Times New Roman;Times;serif"/>
          <w:sz w:val="17"/>
        </w:rPr>
        <w:t xml:space="preserve">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 This letter corrects and replaces a similar letter of the same date. Please execute and return this Agreement to me. The attached copy of this Agreement is for your records </w:t>
      </w:r>
    </w:p>
    <w:tbl>
      <w:tblPr>
        <w:tblW w:w="5000" w:type="pct"/>
        <w:jc w:val="center"/>
        <w:tblInd w:w="0" w:type="dxa"/>
        <w:tblCellMar>
          <w:top w:w="0" w:type="dxa"/>
          <w:left w:w="0" w:type="dxa"/>
          <w:bottom w:w="0" w:type="dxa"/>
          <w:right w:w="0" w:type="dxa"/>
        </w:tblCellMar>
      </w:tblPr>
      <w:tblGrid>
        <w:gridCol w:w="4105"/>
        <w:gridCol w:w="152"/>
        <w:gridCol w:w="605"/>
        <w:gridCol w:w="152"/>
        <w:gridCol w:w="5191"/>
      </w:tblGrid>
      <w:tr>
        <w:trPr/>
        <w:tc>
          <w:tcPr>
            <w:tcW w:w="4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vAlign w:val="bottom"/>
          </w:tcPr>
          <w:p>
            <w:pPr>
              <w:pStyle w:val="TableContents"/>
              <w:spacing w:before="0" w:after="283"/>
              <w:rPr/>
            </w:pPr>
            <w:r>
              <w:rPr/>
              <w:t> </w:t>
            </w:r>
          </w:p>
        </w:tc>
      </w:tr>
      <w:tr>
        <w:trPr/>
        <w:tc>
          <w:tcPr>
            <w:tcW w:w="4105" w:type="dxa"/>
            <w:tcBorders/>
            <w:shd w:fill="auto" w:val="clear"/>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948" w:type="dxa"/>
            <w:gridSpan w:val="3"/>
            <w:tcBorders/>
            <w:shd w:fill="auto" w:val="clear"/>
          </w:tcPr>
          <w:p>
            <w:pPr>
              <w:pStyle w:val="TableContents"/>
              <w:spacing w:before="0" w:after="283"/>
              <w:jc w:val="left"/>
              <w:rPr/>
            </w:pPr>
            <w:r>
              <w:rPr/>
              <w:t>PLAINS ALL AMERICAN PIPELINE, L.P.</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By: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PLAINS AAP, L.P.</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By: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PLAINS ALL AMERICAN GP LLC</w:t>
            </w:r>
          </w:p>
        </w:tc>
      </w:tr>
      <w:tr>
        <w:trPr/>
        <w:tc>
          <w:tcPr>
            <w:tcW w:w="4105" w:type="dxa"/>
            <w:tcBorders/>
            <w:shd w:fill="auto" w:val="clea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By:</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center"/>
          </w:tcPr>
          <w:p>
            <w:pPr>
              <w:pStyle w:val="TableContents"/>
              <w:spacing w:before="0" w:after="283"/>
              <w:rPr/>
            </w:pPr>
            <w:r>
              <w:rPr/>
              <w:t> </w:t>
            </w:r>
          </w:p>
        </w:tc>
        <w:tc>
          <w:tcPr>
            <w:tcW w:w="605" w:type="dxa"/>
            <w:tcBorders/>
            <w:shd w:fill="auto" w:val="clear"/>
          </w:tcPr>
          <w:p>
            <w:pPr>
              <w:pStyle w:val="TableContents"/>
              <w:spacing w:before="0" w:after="283"/>
              <w:jc w:val="left"/>
              <w:rPr/>
            </w:pPr>
            <w:r>
              <w:rPr/>
              <w:t> </w:t>
            </w:r>
          </w:p>
        </w:tc>
        <w:tc>
          <w:tcPr>
            <w:tcW w:w="152" w:type="dxa"/>
            <w:tcBorders/>
            <w:shd w:fill="auto" w:val="clear"/>
            <w:vAlign w:val="center"/>
          </w:tcPr>
          <w:p>
            <w:pPr>
              <w:pStyle w:val="TableContents"/>
              <w:spacing w:before="0" w:after="283"/>
              <w:rPr/>
            </w:pPr>
            <w:r>
              <w:rPr/>
              <w:t> </w:t>
            </w:r>
          </w:p>
        </w:tc>
        <w:tc>
          <w:tcPr>
            <w:tcW w:w="51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Name: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Tim Moore</w:t>
            </w:r>
          </w:p>
        </w:tc>
      </w:tr>
      <w:tr>
        <w:trPr/>
        <w:tc>
          <w:tcPr>
            <w:tcW w:w="4105" w:type="dxa"/>
            <w:tcBorders/>
            <w:shd w:fill="auto" w:val="clear"/>
          </w:tcPr>
          <w:p>
            <w:pPr>
              <w:pStyle w:val="TableContents"/>
              <w:spacing w:before="0" w:after="0"/>
              <w:ind w:left="0" w:right="0" w:hanging="0"/>
              <w:rPr/>
            </w:pPr>
            <w:r>
              <w:rPr/>
              <w:t xml:space="preserve">  </w:t>
            </w:r>
          </w:p>
        </w:tc>
        <w:tc>
          <w:tcPr>
            <w:tcW w:w="152"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283"/>
              <w:jc w:val="left"/>
              <w:rPr/>
            </w:pPr>
            <w:r>
              <w:rPr/>
              <w:t xml:space="preserve">Title: </w:t>
            </w:r>
          </w:p>
        </w:tc>
        <w:tc>
          <w:tcPr>
            <w:tcW w:w="152" w:type="dxa"/>
            <w:tcBorders/>
            <w:shd w:fill="auto" w:val="clear"/>
            <w:vAlign w:val="bottom"/>
          </w:tcPr>
          <w:p>
            <w:pPr>
              <w:pStyle w:val="TableContents"/>
              <w:spacing w:before="0" w:after="283"/>
              <w:rPr/>
            </w:pPr>
            <w:r>
              <w:rPr/>
              <w:t> </w:t>
            </w:r>
          </w:p>
        </w:tc>
        <w:tc>
          <w:tcPr>
            <w:tcW w:w="5191" w:type="dxa"/>
            <w:tcBorders/>
            <w:shd w:fill="auto" w:val="clear"/>
          </w:tcPr>
          <w:p>
            <w:pPr>
              <w:pStyle w:val="TableContents"/>
              <w:spacing w:before="0" w:after="283"/>
              <w:jc w:val="left"/>
              <w:rPr/>
            </w:pPr>
            <w:r>
              <w:rPr/>
              <w:t>Vice President &amp; General Counsel</w:t>
            </w:r>
          </w:p>
        </w:tc>
      </w:tr>
    </w:tbl>
    <w:tbl>
      <w:tblPr>
        <w:tblW w:w="5000" w:type="pct"/>
        <w:jc w:val="center"/>
        <w:tblInd w:w="0" w:type="dxa"/>
        <w:tblCellMar>
          <w:top w:w="0" w:type="dxa"/>
          <w:left w:w="0" w:type="dxa"/>
          <w:bottom w:w="0" w:type="dxa"/>
          <w:right w:w="0" w:type="dxa"/>
        </w:tblCellMar>
      </w:tblPr>
      <w:tblGrid>
        <w:gridCol w:w="642"/>
        <w:gridCol w:w="192"/>
        <w:gridCol w:w="2753"/>
        <w:gridCol w:w="192"/>
        <w:gridCol w:w="6426"/>
      </w:tblGrid>
      <w:tr>
        <w:trPr/>
        <w:tc>
          <w:tcPr>
            <w:tcW w:w="64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vAlign w:val="bottom"/>
          </w:tcPr>
          <w:p>
            <w:pPr>
              <w:pStyle w:val="TableContents"/>
              <w:spacing w:before="0" w:after="283"/>
              <w:rPr/>
            </w:pPr>
            <w:r>
              <w:rPr/>
              <w:t> </w:t>
            </w:r>
          </w:p>
        </w:tc>
      </w:tr>
      <w:tr>
        <w:trPr/>
        <w:tc>
          <w:tcPr>
            <w:tcW w:w="3587"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92" w:type="dxa"/>
            <w:tcBorders/>
            <w:shd w:fill="auto" w:val="clear"/>
            <w:vAlign w:val="center"/>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3587" w:type="dxa"/>
            <w:gridSpan w:val="3"/>
            <w:tcBorders/>
            <w:shd w:fill="auto" w:val="clear"/>
          </w:tcPr>
          <w:p>
            <w:pPr>
              <w:pStyle w:val="TableContents"/>
              <w:spacing w:before="0" w:after="283"/>
              <w:jc w:val="left"/>
              <w:rPr/>
            </w:pPr>
            <w:r>
              <w:rPr/>
              <w:t>«First_Name» «MI» «Last_Name»</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xml:space="preserve">Units: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0"/>
              <w:jc w:val="left"/>
              <w:rPr/>
            </w:pPr>
            <w:r>
              <w:rPr/>
              <w:t xml:space="preserve">«Units» </w:t>
            </w:r>
          </w:p>
          <w:p>
            <w:pPr>
              <w:pStyle w:val="TableContents"/>
              <w:spacing w:before="0" w:after="0"/>
              <w:jc w:val="left"/>
              <w:rPr>
                <w:bdr w:val="single" w:sz="2" w:space="1" w:color="000000"/>
              </w:rPr>
            </w:pPr>
            <w:r>
              <w:rPr>
                <w:bdr w:val="single" w:sz="2" w:space="1" w:color="000000"/>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Dated:</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283"/>
              <w:jc w:val="left"/>
              <w:rPr/>
            </w:pPr>
            <w:r>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r>
        <w:trPr/>
        <w:tc>
          <w:tcPr>
            <w:tcW w:w="642" w:type="dxa"/>
            <w:tcBorders/>
            <w:shd w:fill="auto" w:val="clear"/>
          </w:tcPr>
          <w:p>
            <w:pPr>
              <w:pStyle w:val="TableContents"/>
              <w:spacing w:before="0" w:after="0"/>
              <w:ind w:left="0" w:right="0" w:hanging="0"/>
              <w:rPr/>
            </w:pPr>
            <w:r>
              <w:rPr/>
              <w:t xml:space="preserve">  </w:t>
            </w:r>
          </w:p>
        </w:tc>
        <w:tc>
          <w:tcPr>
            <w:tcW w:w="192" w:type="dxa"/>
            <w:tcBorders/>
            <w:shd w:fill="auto" w:val="clear"/>
            <w:vAlign w:val="bottom"/>
          </w:tcPr>
          <w:p>
            <w:pPr>
              <w:pStyle w:val="TableContents"/>
              <w:spacing w:before="0" w:after="283"/>
              <w:rPr/>
            </w:pPr>
            <w:r>
              <w:rPr/>
              <w:t> </w:t>
            </w:r>
          </w:p>
        </w:tc>
        <w:tc>
          <w:tcPr>
            <w:tcW w:w="2753" w:type="dxa"/>
            <w:tcBorders/>
            <w:shd w:fill="auto" w:val="clear"/>
          </w:tcPr>
          <w:p>
            <w:pPr>
              <w:pStyle w:val="TableContents"/>
              <w:spacing w:before="0" w:after="0"/>
              <w:jc w:val="left"/>
              <w:rPr>
                <w:bdr w:val="single" w:sz="2" w:space="1" w:color="000000"/>
              </w:rPr>
            </w:pPr>
            <w:r>
              <w:rPr>
                <w:bdr w:val="single" w:sz="2" w:space="1" w:color="000000"/>
              </w:rPr>
              <w:t> </w:t>
            </w:r>
          </w:p>
        </w:tc>
        <w:tc>
          <w:tcPr>
            <w:tcW w:w="192" w:type="dxa"/>
            <w:tcBorders/>
            <w:shd w:fill="auto" w:val="clear"/>
            <w:vAlign w:val="bottom"/>
          </w:tcPr>
          <w:p>
            <w:pPr>
              <w:pStyle w:val="TableContents"/>
              <w:spacing w:before="0" w:after="283"/>
              <w:rPr/>
            </w:pPr>
            <w:r>
              <w:rPr/>
              <w:t> </w:t>
            </w:r>
          </w:p>
        </w:tc>
        <w:tc>
          <w:tcPr>
            <w:tcW w:w="6426"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27" w:name="h45939exv31w1.htm"/>
      <w:bookmarkStart w:id="28" w:name="ksh45939exv31w1"/>
      <w:bookmarkEnd w:id="27"/>
      <w:bookmarkEnd w:id="2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EXECUTIVE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Greg L. Armstrong, certify that: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I have reviewed this quarterly report on Form 10-Q of Plains All American Pipeline, L.P.;</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1750" w:type="pct"/>
        <w:jc w:val="left"/>
        <w:tblInd w:w="0" w:type="dxa"/>
        <w:tblCellMar>
          <w:top w:w="0" w:type="dxa"/>
          <w:left w:w="0" w:type="dxa"/>
          <w:bottom w:w="0" w:type="dxa"/>
          <w:right w:w="0" w:type="dxa"/>
        </w:tblCellMar>
      </w:tblPr>
      <w:tblGrid>
        <w:gridCol w:w="3571"/>
      </w:tblGrid>
      <w:tr>
        <w:trPr/>
        <w:tc>
          <w:tcPr>
            <w:tcW w:w="3571"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0"/>
              <w:ind w:left="0" w:right="0" w:hanging="0"/>
              <w:rPr/>
            </w:pPr>
            <w:r>
              <w:rPr/>
              <w:t xml:space="preserve">/s/ </w:t>
            </w:r>
            <w:r>
              <w:rPr>
                <w:smallCaps/>
              </w:rPr>
              <w:t>Greg L. Armstrong</w:t>
            </w:r>
          </w:p>
        </w:tc>
      </w:tr>
      <w:tr>
        <w:trPr/>
        <w:tc>
          <w:tcPr>
            <w:tcW w:w="3571" w:type="dxa"/>
            <w:tcBorders>
              <w:top w:val="single" w:sz="2" w:space="0" w:color="000000"/>
            </w:tcBorders>
            <w:shd w:fill="auto" w:val="clear"/>
            <w:tcMar>
              <w:top w:w="28" w:type="dxa"/>
            </w:tcMar>
          </w:tcPr>
          <w:p>
            <w:pPr>
              <w:pStyle w:val="TableContents"/>
              <w:spacing w:before="0" w:after="0"/>
              <w:ind w:left="0" w:right="0" w:hanging="0"/>
              <w:rPr/>
            </w:pPr>
            <w:r>
              <w:rPr/>
              <w:t> </w:t>
            </w:r>
          </w:p>
        </w:tc>
      </w:tr>
      <w:tr>
        <w:trPr/>
        <w:tc>
          <w:tcPr>
            <w:tcW w:w="3571" w:type="dxa"/>
            <w:tcBorders/>
            <w:shd w:fill="auto" w:val="clear"/>
          </w:tcPr>
          <w:p>
            <w:pPr>
              <w:pStyle w:val="TableContents"/>
              <w:spacing w:before="0" w:after="0"/>
              <w:ind w:left="0" w:right="0" w:hanging="0"/>
              <w:rPr/>
            </w:pPr>
            <w:r>
              <w:rPr/>
              <w:t>Greg L. Armstrong</w:t>
            </w:r>
          </w:p>
        </w:tc>
      </w:tr>
      <w:tr>
        <w:trPr/>
        <w:tc>
          <w:tcPr>
            <w:tcW w:w="3571" w:type="dxa"/>
            <w:tcBorders/>
            <w:shd w:fill="auto" w:val="clear"/>
          </w:tcPr>
          <w:p>
            <w:pPr>
              <w:pStyle w:val="TableContents"/>
              <w:spacing w:before="0" w:after="0"/>
              <w:ind w:left="0" w:right="0" w:hanging="0"/>
              <w:rPr>
                <w:i/>
              </w:rPr>
            </w:pPr>
            <w:r>
              <w:rPr>
                <w:i/>
              </w:rPr>
              <w:t>Chief Executive Officer</w:t>
            </w:r>
          </w:p>
        </w:tc>
      </w:tr>
    </w:tbl>
    <w:p>
      <w:pPr>
        <w:pStyle w:val="TextBody"/>
        <w:jc w:val="center"/>
        <w:rPr/>
      </w:pPr>
      <w:r>
        <w:rPr/>
        <w:t xml:space="preserve">  </w:t>
      </w:r>
      <w:r>
        <w:br w:type="page"/>
      </w:r>
    </w:p>
    <w:p>
      <w:pPr>
        <w:pStyle w:val="Heading5"/>
        <w:jc w:val="left"/>
        <w:rPr/>
      </w:pPr>
      <w:bookmarkStart w:id="29" w:name="h45939exv31w2.htm"/>
      <w:bookmarkStart w:id="30" w:name="ksh45939exv31w2"/>
      <w:bookmarkEnd w:id="29"/>
      <w:bookmarkEnd w:id="3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FINANCIAL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Phil Kramer, certify that: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I have reviewed this quarterly report on Form 10-Q of Plains All American Pipeline, L.P.;</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1750" w:type="pct"/>
        <w:jc w:val="left"/>
        <w:tblInd w:w="0" w:type="dxa"/>
        <w:tblCellMar>
          <w:top w:w="0" w:type="dxa"/>
          <w:left w:w="0" w:type="dxa"/>
          <w:bottom w:w="0" w:type="dxa"/>
          <w:right w:w="0" w:type="dxa"/>
        </w:tblCellMar>
      </w:tblPr>
      <w:tblGrid>
        <w:gridCol w:w="3571"/>
      </w:tblGrid>
      <w:tr>
        <w:trPr/>
        <w:tc>
          <w:tcPr>
            <w:tcW w:w="3571"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0"/>
              <w:ind w:left="0" w:right="0" w:hanging="0"/>
              <w:rPr/>
            </w:pPr>
            <w:r>
              <w:rPr/>
              <w:t xml:space="preserve">/s/ </w:t>
            </w:r>
            <w:r>
              <w:rPr>
                <w:smallCaps/>
              </w:rPr>
              <w:t>Phil Kramer</w:t>
            </w:r>
          </w:p>
        </w:tc>
      </w:tr>
      <w:tr>
        <w:trPr/>
        <w:tc>
          <w:tcPr>
            <w:tcW w:w="3571" w:type="dxa"/>
            <w:tcBorders>
              <w:top w:val="single" w:sz="2" w:space="0" w:color="000000"/>
            </w:tcBorders>
            <w:shd w:fill="auto" w:val="clear"/>
            <w:tcMar>
              <w:top w:w="28" w:type="dxa"/>
            </w:tcMar>
          </w:tcPr>
          <w:p>
            <w:pPr>
              <w:pStyle w:val="TableContents"/>
              <w:spacing w:before="0" w:after="0"/>
              <w:ind w:left="0" w:right="0" w:hanging="0"/>
              <w:rPr/>
            </w:pPr>
            <w:r>
              <w:rPr/>
              <w:t> </w:t>
            </w:r>
          </w:p>
        </w:tc>
      </w:tr>
      <w:tr>
        <w:trPr/>
        <w:tc>
          <w:tcPr>
            <w:tcW w:w="3571" w:type="dxa"/>
            <w:tcBorders/>
            <w:shd w:fill="auto" w:val="clear"/>
          </w:tcPr>
          <w:p>
            <w:pPr>
              <w:pStyle w:val="TableContents"/>
              <w:spacing w:before="0" w:after="0"/>
              <w:ind w:left="0" w:right="0" w:hanging="0"/>
              <w:rPr/>
            </w:pPr>
            <w:r>
              <w:rPr/>
              <w:t>Phil Kramer</w:t>
            </w:r>
          </w:p>
        </w:tc>
      </w:tr>
      <w:tr>
        <w:trPr/>
        <w:tc>
          <w:tcPr>
            <w:tcW w:w="3571" w:type="dxa"/>
            <w:tcBorders/>
            <w:shd w:fill="auto" w:val="clear"/>
          </w:tcPr>
          <w:p>
            <w:pPr>
              <w:pStyle w:val="TableContents"/>
              <w:spacing w:before="0" w:after="0"/>
              <w:ind w:left="0" w:right="0" w:hanging="0"/>
              <w:rPr>
                <w:i/>
              </w:rPr>
            </w:pPr>
            <w:r>
              <w:rPr>
                <w:i/>
              </w:rPr>
              <w:t>Chief Financial Officer</w:t>
            </w:r>
          </w:p>
        </w:tc>
      </w:tr>
    </w:tbl>
    <w:p>
      <w:pPr>
        <w:pStyle w:val="TextBody"/>
        <w:jc w:val="center"/>
        <w:rPr/>
      </w:pPr>
      <w:r>
        <w:rPr/>
        <w:t xml:space="preserve">  </w:t>
      </w:r>
      <w:r>
        <w:br w:type="page"/>
      </w:r>
    </w:p>
    <w:p>
      <w:pPr>
        <w:pStyle w:val="Heading5"/>
        <w:jc w:val="left"/>
        <w:rPr/>
      </w:pPr>
      <w:bookmarkStart w:id="31" w:name="h45939exv32w1.htm"/>
      <w:bookmarkStart w:id="32" w:name="ksh45939exv32w1"/>
      <w:bookmarkEnd w:id="31"/>
      <w:bookmarkEnd w:id="3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EXECUTIVE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Chief Executive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March 31,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left"/>
        <w:tblInd w:w="0" w:type="dxa"/>
        <w:tblCellMar>
          <w:top w:w="0" w:type="dxa"/>
          <w:left w:w="0" w:type="dxa"/>
          <w:bottom w:w="0" w:type="dxa"/>
          <w:right w:w="0" w:type="dxa"/>
        </w:tblCellMar>
      </w:tblPr>
      <w:tblGrid>
        <w:gridCol w:w="3934"/>
        <w:gridCol w:w="1068"/>
        <w:gridCol w:w="589"/>
        <w:gridCol w:w="3343"/>
        <w:gridCol w:w="1271"/>
      </w:tblGrid>
      <w:tr>
        <w:trPr/>
        <w:tc>
          <w:tcPr>
            <w:tcW w:w="3934" w:type="dxa"/>
            <w:tcBorders/>
            <w:shd w:fill="auto" w:val="clear"/>
            <w:vAlign w:val="center"/>
          </w:tcPr>
          <w:p>
            <w:pPr>
              <w:pStyle w:val="TableContents"/>
              <w:spacing w:before="0" w:after="283"/>
              <w:rPr/>
            </w:pPr>
            <w:r>
              <w:rPr/>
              <w:t> </w:t>
            </w:r>
          </w:p>
        </w:tc>
        <w:tc>
          <w:tcPr>
            <w:tcW w:w="1068" w:type="dxa"/>
            <w:tcBorders/>
            <w:shd w:fill="auto" w:val="clear"/>
            <w:vAlign w:val="center"/>
          </w:tcPr>
          <w:p>
            <w:pPr>
              <w:pStyle w:val="TableContents"/>
              <w:spacing w:before="0" w:after="283"/>
              <w:rPr/>
            </w:pPr>
            <w:r>
              <w:rPr/>
              <w:t> </w:t>
            </w:r>
          </w:p>
        </w:tc>
        <w:tc>
          <w:tcPr>
            <w:tcW w:w="589" w:type="dxa"/>
            <w:tcBorders/>
            <w:shd w:fill="auto" w:val="clear"/>
            <w:vAlign w:val="center"/>
          </w:tcPr>
          <w:p>
            <w:pPr>
              <w:pStyle w:val="TableContents"/>
              <w:spacing w:before="0" w:after="283"/>
              <w:rPr/>
            </w:pPr>
            <w:r>
              <w:rPr/>
              <w:t> </w:t>
            </w:r>
          </w:p>
        </w:tc>
        <w:tc>
          <w:tcPr>
            <w:tcW w:w="3343"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283"/>
              <w:rPr/>
            </w:pPr>
            <w:r>
              <w:rPr/>
              <w:t> </w:t>
            </w:r>
          </w:p>
        </w:tc>
      </w:tr>
      <w:tr>
        <w:trPr/>
        <w:tc>
          <w:tcPr>
            <w:tcW w:w="3934" w:type="dxa"/>
            <w:tcBorders/>
            <w:shd w:fill="auto" w:val="clear"/>
          </w:tcPr>
          <w:p>
            <w:pPr>
              <w:pStyle w:val="TableContents"/>
              <w:spacing w:before="0" w:after="283"/>
              <w:jc w:val="left"/>
              <w:rPr/>
            </w:pPr>
            <w:r>
              <w:rPr/>
              <w:t> </w:t>
            </w:r>
          </w:p>
        </w:tc>
        <w:tc>
          <w:tcPr>
            <w:tcW w:w="5000" w:type="dxa"/>
            <w:gridSpan w:val="3"/>
            <w:tcBorders/>
            <w:shd w:fill="auto" w:val="clear"/>
            <w:vAlign w:val="center"/>
          </w:tcPr>
          <w:p>
            <w:pPr>
              <w:pStyle w:val="TableContents"/>
              <w:spacing w:before="0" w:after="283"/>
              <w:jc w:val="left"/>
              <w:rPr/>
            </w:pPr>
            <w:r>
              <w:rPr/>
              <w:t> </w:t>
            </w:r>
          </w:p>
        </w:tc>
        <w:tc>
          <w:tcPr>
            <w:tcW w:w="1271" w:type="dxa"/>
            <w:tcBorders/>
            <w:shd w:fill="auto" w:val="clear"/>
            <w:vAlign w:val="center"/>
          </w:tcPr>
          <w:p>
            <w:pPr>
              <w:pStyle w:val="TableContents"/>
              <w:spacing w:before="0" w:after="283"/>
              <w:rPr/>
            </w:pPr>
            <w:r>
              <w:rPr/>
              <w:t> </w:t>
            </w:r>
          </w:p>
        </w:tc>
      </w:tr>
      <w:tr>
        <w:trPr/>
        <w:tc>
          <w:tcPr>
            <w:tcW w:w="3934" w:type="dxa"/>
            <w:tcBorders/>
            <w:shd w:fill="auto" w:val="clear"/>
            <w:vAlign w:val="center"/>
          </w:tcPr>
          <w:p>
            <w:pPr>
              <w:pStyle w:val="TableContents"/>
              <w:spacing w:before="0" w:after="283"/>
              <w:jc w:val="left"/>
              <w:rPr/>
            </w:pPr>
            <w:r>
              <w:rPr/>
              <w:t> </w:t>
            </w:r>
          </w:p>
        </w:tc>
        <w:tc>
          <w:tcPr>
            <w:tcW w:w="5000" w:type="dxa"/>
            <w:gridSpan w:val="3"/>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Greg L. Armstrong</w:t>
            </w:r>
            <w:r>
              <w:rPr/>
              <w:t xml:space="preserve">  </w:t>
            </w:r>
          </w:p>
        </w:tc>
        <w:tc>
          <w:tcPr>
            <w:tcW w:w="1271" w:type="dxa"/>
            <w:tcBorders/>
            <w:shd w:fill="auto" w:val="clear"/>
            <w:vAlign w:val="center"/>
          </w:tcPr>
          <w:p>
            <w:pPr>
              <w:pStyle w:val="TableContents"/>
              <w:spacing w:before="0" w:after="283"/>
              <w:rPr/>
            </w:pPr>
            <w:r>
              <w:rPr/>
              <w:t> </w:t>
            </w:r>
          </w:p>
        </w:tc>
      </w:tr>
      <w:tr>
        <w:trPr/>
        <w:tc>
          <w:tcPr>
            <w:tcW w:w="3934" w:type="dxa"/>
            <w:tcBorders/>
            <w:shd w:fill="auto" w:val="clear"/>
            <w:vAlign w:val="center"/>
          </w:tcPr>
          <w:p>
            <w:pPr>
              <w:pStyle w:val="TableContents"/>
              <w:spacing w:before="0" w:after="283"/>
              <w:jc w:val="left"/>
              <w:rPr/>
            </w:pPr>
            <w:r>
              <w:rPr/>
              <w:t> </w:t>
            </w:r>
          </w:p>
        </w:tc>
        <w:tc>
          <w:tcPr>
            <w:tcW w:w="1068" w:type="dxa"/>
            <w:tcBorders/>
            <w:shd w:fill="auto" w:val="clear"/>
          </w:tcPr>
          <w:p>
            <w:pPr>
              <w:pStyle w:val="TableContents"/>
              <w:spacing w:before="0" w:after="283"/>
              <w:rPr/>
            </w:pPr>
            <w:r>
              <w:rPr/>
              <w:t>Name:  </w:t>
            </w:r>
          </w:p>
        </w:tc>
        <w:tc>
          <w:tcPr>
            <w:tcW w:w="3932" w:type="dxa"/>
            <w:gridSpan w:val="2"/>
            <w:tcBorders/>
            <w:shd w:fill="auto" w:val="clear"/>
            <w:vAlign w:val="center"/>
          </w:tcPr>
          <w:p>
            <w:pPr>
              <w:pStyle w:val="TableContents"/>
              <w:spacing w:before="0" w:after="283"/>
              <w:jc w:val="left"/>
              <w:rPr/>
            </w:pPr>
            <w:r>
              <w:rPr/>
              <w:t>Greg L. Armstrong </w:t>
            </w:r>
          </w:p>
        </w:tc>
        <w:tc>
          <w:tcPr>
            <w:tcW w:w="1271" w:type="dxa"/>
            <w:tcBorders/>
            <w:shd w:fill="auto" w:val="clear"/>
            <w:vAlign w:val="center"/>
          </w:tcPr>
          <w:p>
            <w:pPr>
              <w:pStyle w:val="TableContents"/>
              <w:spacing w:before="0" w:after="283"/>
              <w:rPr/>
            </w:pPr>
            <w:r>
              <w:rPr/>
              <w:t> </w:t>
            </w:r>
          </w:p>
        </w:tc>
      </w:tr>
      <w:tr>
        <w:trPr/>
        <w:tc>
          <w:tcPr>
            <w:tcW w:w="3934" w:type="dxa"/>
            <w:tcBorders/>
            <w:shd w:fill="auto" w:val="clear"/>
            <w:vAlign w:val="center"/>
          </w:tcPr>
          <w:p>
            <w:pPr>
              <w:pStyle w:val="TableContents"/>
              <w:spacing w:before="0" w:after="283"/>
              <w:jc w:val="left"/>
              <w:rPr/>
            </w:pPr>
            <w:r>
              <w:rPr/>
              <w:t> </w:t>
            </w:r>
          </w:p>
        </w:tc>
        <w:tc>
          <w:tcPr>
            <w:tcW w:w="5000" w:type="dxa"/>
            <w:gridSpan w:val="3"/>
            <w:tcBorders/>
            <w:shd w:fill="auto" w:val="clear"/>
            <w:vAlign w:val="center"/>
          </w:tcPr>
          <w:p>
            <w:pPr>
              <w:pStyle w:val="TableContents"/>
              <w:spacing w:before="0" w:after="283"/>
              <w:jc w:val="left"/>
              <w:rPr/>
            </w:pPr>
            <w:r>
              <w:rPr/>
              <w:t>Date: May 9, 2007 </w:t>
            </w:r>
          </w:p>
        </w:tc>
        <w:tc>
          <w:tcPr>
            <w:tcW w:w="1271"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33" w:name="h45939exv32w2.htm"/>
      <w:bookmarkStart w:id="34" w:name="ksh45939exv32w2"/>
      <w:bookmarkEnd w:id="33"/>
      <w:bookmarkEnd w:id="34"/>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FINANCIAL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Chief Financial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March 31,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left"/>
        <w:tblInd w:w="0" w:type="dxa"/>
        <w:tblCellMar>
          <w:top w:w="0" w:type="dxa"/>
          <w:left w:w="0" w:type="dxa"/>
          <w:bottom w:w="0" w:type="dxa"/>
          <w:right w:w="0" w:type="dxa"/>
        </w:tblCellMar>
      </w:tblPr>
      <w:tblGrid>
        <w:gridCol w:w="4232"/>
        <w:gridCol w:w="760"/>
        <w:gridCol w:w="442"/>
        <w:gridCol w:w="3408"/>
        <w:gridCol w:w="1363"/>
      </w:tblGrid>
      <w:tr>
        <w:trPr/>
        <w:tc>
          <w:tcPr>
            <w:tcW w:w="4232" w:type="dxa"/>
            <w:tcBorders/>
            <w:shd w:fill="auto" w:val="clear"/>
            <w:vAlign w:val="center"/>
          </w:tcPr>
          <w:p>
            <w:pPr>
              <w:pStyle w:val="TableContents"/>
              <w:spacing w:before="0" w:after="283"/>
              <w:rPr/>
            </w:pPr>
            <w:r>
              <w:rPr/>
              <w:t> </w:t>
            </w:r>
          </w:p>
        </w:tc>
        <w:tc>
          <w:tcPr>
            <w:tcW w:w="7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408" w:type="dxa"/>
            <w:tcBorders/>
            <w:shd w:fill="auto" w:val="clear"/>
            <w:vAlign w:val="center"/>
          </w:tcPr>
          <w:p>
            <w:pPr>
              <w:pStyle w:val="TableContents"/>
              <w:spacing w:before="0" w:after="283"/>
              <w:rPr/>
            </w:pPr>
            <w:r>
              <w:rPr/>
              <w:t> </w:t>
            </w:r>
          </w:p>
        </w:tc>
        <w:tc>
          <w:tcPr>
            <w:tcW w:w="1363" w:type="dxa"/>
            <w:tcBorders/>
            <w:shd w:fill="auto" w:val="clear"/>
            <w:vAlign w:val="center"/>
          </w:tcPr>
          <w:p>
            <w:pPr>
              <w:pStyle w:val="TableContents"/>
              <w:spacing w:before="0" w:after="283"/>
              <w:rPr/>
            </w:pPr>
            <w:r>
              <w:rPr/>
              <w:t> </w:t>
            </w:r>
          </w:p>
        </w:tc>
      </w:tr>
      <w:tr>
        <w:trPr/>
        <w:tc>
          <w:tcPr>
            <w:tcW w:w="4232" w:type="dxa"/>
            <w:tcBorders/>
            <w:shd w:fill="auto" w:val="clear"/>
          </w:tcPr>
          <w:p>
            <w:pPr>
              <w:pStyle w:val="TableContents"/>
              <w:spacing w:before="0" w:after="283"/>
              <w:jc w:val="left"/>
              <w:rPr/>
            </w:pPr>
            <w:r>
              <w:rPr/>
              <w:t> </w:t>
            </w:r>
          </w:p>
        </w:tc>
        <w:tc>
          <w:tcPr>
            <w:tcW w:w="4610" w:type="dxa"/>
            <w:gridSpan w:val="3"/>
            <w:tcBorders/>
            <w:shd w:fill="auto" w:val="clear"/>
            <w:vAlign w:val="center"/>
          </w:tcPr>
          <w:p>
            <w:pPr>
              <w:pStyle w:val="TableContents"/>
              <w:spacing w:before="0" w:after="283"/>
              <w:jc w:val="left"/>
              <w:rPr/>
            </w:pPr>
            <w:r>
              <w:rPr/>
              <w:t> </w:t>
            </w:r>
          </w:p>
        </w:tc>
        <w:tc>
          <w:tcPr>
            <w:tcW w:w="1363" w:type="dxa"/>
            <w:tcBorders/>
            <w:shd w:fill="auto" w:val="clear"/>
            <w:vAlign w:val="center"/>
          </w:tcPr>
          <w:p>
            <w:pPr>
              <w:pStyle w:val="TableContents"/>
              <w:spacing w:before="0" w:after="283"/>
              <w:rPr/>
            </w:pPr>
            <w:r>
              <w:rPr/>
              <w:t> </w:t>
            </w:r>
          </w:p>
        </w:tc>
      </w:tr>
      <w:tr>
        <w:trPr/>
        <w:tc>
          <w:tcPr>
            <w:tcW w:w="4232" w:type="dxa"/>
            <w:tcBorders/>
            <w:shd w:fill="auto" w:val="clear"/>
            <w:vAlign w:val="center"/>
          </w:tcPr>
          <w:p>
            <w:pPr>
              <w:pStyle w:val="TableContents"/>
              <w:spacing w:before="0" w:after="283"/>
              <w:jc w:val="left"/>
              <w:rPr/>
            </w:pPr>
            <w:r>
              <w:rPr/>
              <w:t> </w:t>
            </w:r>
          </w:p>
        </w:tc>
        <w:tc>
          <w:tcPr>
            <w:tcW w:w="4610" w:type="dxa"/>
            <w:gridSpan w:val="3"/>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Phil Kramer</w:t>
            </w:r>
            <w:r>
              <w:rPr/>
              <w:t xml:space="preserve">  </w:t>
            </w:r>
          </w:p>
        </w:tc>
        <w:tc>
          <w:tcPr>
            <w:tcW w:w="1363" w:type="dxa"/>
            <w:tcBorders/>
            <w:shd w:fill="auto" w:val="clear"/>
            <w:vAlign w:val="center"/>
          </w:tcPr>
          <w:p>
            <w:pPr>
              <w:pStyle w:val="TableContents"/>
              <w:spacing w:before="0" w:after="283"/>
              <w:rPr/>
            </w:pPr>
            <w:r>
              <w:rPr/>
              <w:t> </w:t>
            </w:r>
          </w:p>
        </w:tc>
      </w:tr>
      <w:tr>
        <w:trPr/>
        <w:tc>
          <w:tcPr>
            <w:tcW w:w="4232" w:type="dxa"/>
            <w:tcBorders/>
            <w:shd w:fill="auto" w:val="clear"/>
            <w:vAlign w:val="center"/>
          </w:tcPr>
          <w:p>
            <w:pPr>
              <w:pStyle w:val="TableContents"/>
              <w:spacing w:before="0" w:after="283"/>
              <w:jc w:val="left"/>
              <w:rPr/>
            </w:pPr>
            <w:r>
              <w:rPr/>
              <w:t> </w:t>
            </w:r>
          </w:p>
        </w:tc>
        <w:tc>
          <w:tcPr>
            <w:tcW w:w="760" w:type="dxa"/>
            <w:tcBorders/>
            <w:shd w:fill="auto" w:val="clear"/>
          </w:tcPr>
          <w:p>
            <w:pPr>
              <w:pStyle w:val="TableContents"/>
              <w:spacing w:before="0" w:after="283"/>
              <w:rPr/>
            </w:pPr>
            <w:r>
              <w:rPr/>
              <w:t>Name:  </w:t>
            </w:r>
          </w:p>
        </w:tc>
        <w:tc>
          <w:tcPr>
            <w:tcW w:w="3850" w:type="dxa"/>
            <w:gridSpan w:val="2"/>
            <w:tcBorders/>
            <w:shd w:fill="auto" w:val="clear"/>
            <w:vAlign w:val="center"/>
          </w:tcPr>
          <w:p>
            <w:pPr>
              <w:pStyle w:val="TableContents"/>
              <w:spacing w:before="0" w:after="283"/>
              <w:jc w:val="left"/>
              <w:rPr/>
            </w:pPr>
            <w:r>
              <w:rPr/>
              <w:t>Phil Kramer </w:t>
            </w:r>
          </w:p>
        </w:tc>
        <w:tc>
          <w:tcPr>
            <w:tcW w:w="1363" w:type="dxa"/>
            <w:tcBorders/>
            <w:shd w:fill="auto" w:val="clear"/>
            <w:vAlign w:val="center"/>
          </w:tcPr>
          <w:p>
            <w:pPr>
              <w:pStyle w:val="TableContents"/>
              <w:spacing w:before="0" w:after="283"/>
              <w:rPr/>
            </w:pPr>
            <w:r>
              <w:rPr/>
              <w:t> </w:t>
            </w:r>
          </w:p>
        </w:tc>
      </w:tr>
      <w:tr>
        <w:trPr/>
        <w:tc>
          <w:tcPr>
            <w:tcW w:w="4232" w:type="dxa"/>
            <w:tcBorders/>
            <w:shd w:fill="auto" w:val="clear"/>
            <w:vAlign w:val="center"/>
          </w:tcPr>
          <w:p>
            <w:pPr>
              <w:pStyle w:val="TableContents"/>
              <w:spacing w:before="0" w:after="283"/>
              <w:jc w:val="left"/>
              <w:rPr/>
            </w:pPr>
            <w:r>
              <w:rPr/>
              <w:t> </w:t>
            </w:r>
          </w:p>
        </w:tc>
        <w:tc>
          <w:tcPr>
            <w:tcW w:w="4610" w:type="dxa"/>
            <w:gridSpan w:val="3"/>
            <w:tcBorders/>
            <w:shd w:fill="auto" w:val="clear"/>
            <w:vAlign w:val="center"/>
          </w:tcPr>
          <w:p>
            <w:pPr>
              <w:pStyle w:val="TableContents"/>
              <w:spacing w:before="0" w:after="283"/>
              <w:jc w:val="left"/>
              <w:rPr/>
            </w:pPr>
            <w:r>
              <w:rPr/>
              <w:t>Date: May 9, 2007 </w:t>
            </w:r>
          </w:p>
        </w:tc>
        <w:tc>
          <w:tcPr>
            <w:tcW w:w="1363" w:type="dxa"/>
            <w:tcBorders/>
            <w:shd w:fill="auto" w:val="clear"/>
            <w:vAlign w:val="center"/>
          </w:tcPr>
          <w:p>
            <w:pPr>
              <w:pStyle w:val="TableContents"/>
              <w:spacing w:before="0" w:after="283"/>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30650</Words>
  <CharactersWithSpaces>197598</CharactersWithSpaces>
  <Paragraphs>10353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