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-238125</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-596265</wp:posOffset>
            </wp:positionV>
            <wp:extent cx="8255" cy="596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690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-604520</wp:posOffset>
            </wp:positionV>
            <wp:extent cx="8255" cy="605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15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-580390</wp:posOffset>
            </wp:positionV>
            <wp:extent cx="1266825" cy="556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5568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34290</wp:posOffset>
            </wp:positionV>
            <wp:extent cx="6970395" cy="1589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58940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KAFU Holdings (QP), L.P.</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AVENUE OF THE STARS, SUITE 300</w:t>
      </w:r>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7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LOS ANGELES</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90067</w:t>
            </w:r>
          </w:p>
        </w:tc>
      </w:tr>
      <w:tr>
        <w:trPr>
          <w:trHeight w:val="146"/>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3"/>
        </w:trPr>
        <w:tc>
          <w:tcPr>
            <w:tcW w:w="3820" w:type="dxa"/>
            <w:vAlign w:val="bottom"/>
            <w:gridSpan w:val="2"/>
          </w:tcPr>
          <w:p>
            <w:pPr>
              <w:ind w:left="60"/>
              <w:spacing w:after="0" w:line="20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PLAINS ALL AMERICAN PIPELINE LP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82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 xml:space="preserve">PAA </w:t>
            </w:r>
            <w:r>
              <w:rPr>
                <w:rFonts w:ascii="Times New Roman" w:cs="Times New Roman" w:eastAsia="Times New Roman" w:hAnsi="Times New Roman"/>
                <w:sz w:val="16"/>
                <w:szCs w:val="16"/>
                <w:color w:val="000000"/>
              </w:rPr>
              <w:t>]</w:t>
            </w:r>
          </w:p>
        </w:tc>
        <w:tc>
          <w:tcPr>
            <w:tcW w:w="180" w:type="dxa"/>
            <w:vAlign w:val="bottom"/>
          </w:tcPr>
          <w:p>
            <w:pPr>
              <w:spacing w:after="0"/>
              <w:rPr>
                <w:sz w:val="12"/>
                <w:szCs w:val="12"/>
                <w:color w:val="auto"/>
              </w:rPr>
            </w:pPr>
          </w:p>
        </w:tc>
        <w:tc>
          <w:tcPr>
            <w:tcW w:w="300" w:type="dxa"/>
            <w:vAlign w:val="bottom"/>
          </w:tcPr>
          <w:p>
            <w:pPr>
              <w:ind w:left="80"/>
              <w:spacing w:after="0" w:line="140" w:lineRule="exact"/>
              <w:rPr>
                <w:sz w:val="20"/>
                <w:szCs w:val="20"/>
                <w:color w:val="auto"/>
              </w:rPr>
            </w:pPr>
            <w:r>
              <w:rPr>
                <w:rFonts w:ascii="Times New Roman" w:cs="Times New Roman" w:eastAsia="Times New Roman" w:hAnsi="Times New Roman"/>
                <w:sz w:val="15"/>
                <w:szCs w:val="15"/>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1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180" w:type="dxa"/>
            <w:vAlign w:val="bottom"/>
            <w:tcBorders>
              <w:bottom w:val="single" w:sz="8" w:color="2C2C2C"/>
            </w:tcBorders>
          </w:tcPr>
          <w:p>
            <w:pPr>
              <w:spacing w:after="0"/>
              <w:rPr>
                <w:sz w:val="5"/>
                <w:szCs w:val="5"/>
                <w:color w:val="auto"/>
              </w:rPr>
            </w:pPr>
          </w:p>
        </w:tc>
        <w:tc>
          <w:tcPr>
            <w:tcW w:w="36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0" w:type="dxa"/>
            <w:vAlign w:val="bottom"/>
            <w:vMerge w:val="continue"/>
          </w:tcPr>
          <w:p>
            <w:pPr>
              <w:spacing w:after="0"/>
              <w:rPr>
                <w:sz w:val="7"/>
                <w:szCs w:val="7"/>
                <w:color w:val="auto"/>
              </w:rPr>
            </w:pPr>
          </w:p>
        </w:tc>
        <w:tc>
          <w:tcPr>
            <w:tcW w:w="3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3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09/30/2020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80" w:type="dxa"/>
            <w:vAlign w:val="bottom"/>
            <w:tcBorders>
              <w:bottom w:val="single" w:sz="8" w:color="2C2C2C"/>
            </w:tcBorders>
          </w:tcPr>
          <w:p>
            <w:pPr>
              <w:spacing w:after="0"/>
              <w:rPr>
                <w:sz w:val="11"/>
                <w:szCs w:val="11"/>
                <w:color w:val="auto"/>
              </w:rPr>
            </w:pPr>
          </w:p>
        </w:tc>
        <w:tc>
          <w:tcPr>
            <w:tcW w:w="3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1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12" w:lineRule="exact"/>
        <w:rPr>
          <w:sz w:val="24"/>
          <w:szCs w:val="24"/>
          <w:color w:val="auto"/>
        </w:rPr>
      </w:pPr>
    </w:p>
    <w:tbl>
      <w:tblPr>
        <w:tblLayout w:type="fixed"/>
        <w:tblInd w:w="408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230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300" w:type="dxa"/>
            <w:vAlign w:val="bottom"/>
          </w:tcPr>
          <w:p>
            <w:pPr>
              <w:ind w:left="100"/>
              <w:spacing w:after="0"/>
              <w:rPr>
                <w:sz w:val="20"/>
                <w:szCs w:val="20"/>
                <w:color w:val="auto"/>
              </w:rPr>
            </w:pPr>
            <w:r>
              <w:rPr>
                <w:rFonts w:ascii="Arial" w:cs="Arial" w:eastAsia="Arial" w:hAnsi="Arial"/>
                <w:sz w:val="13"/>
                <w:szCs w:val="13"/>
                <w:color w:val="auto"/>
                <w:w w:val="96"/>
              </w:rPr>
              <w:t>Form filed by More than One Reporting</w:t>
            </w:r>
          </w:p>
        </w:tc>
        <w:tc>
          <w:tcPr>
            <w:tcW w:w="0" w:type="dxa"/>
            <w:vAlign w:val="bottom"/>
          </w:tcPr>
          <w:p>
            <w:pPr>
              <w:spacing w:after="0"/>
              <w:rPr>
                <w:sz w:val="1"/>
                <w:szCs w:val="1"/>
                <w:color w:val="auto"/>
              </w:rPr>
            </w:pPr>
          </w:p>
        </w:tc>
      </w:tr>
      <w:tr>
        <w:trPr>
          <w:trHeight w:val="117"/>
        </w:trPr>
        <w:tc>
          <w:tcPr>
            <w:tcW w:w="240" w:type="dxa"/>
            <w:vAlign w:val="bottom"/>
            <w:vMerge w:val="continue"/>
          </w:tcPr>
          <w:p>
            <w:pPr>
              <w:spacing w:after="0"/>
              <w:rPr>
                <w:sz w:val="10"/>
                <w:szCs w:val="10"/>
                <w:color w:val="auto"/>
              </w:rPr>
            </w:pPr>
          </w:p>
        </w:tc>
        <w:tc>
          <w:tcPr>
            <w:tcW w:w="230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2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-2436495</wp:posOffset>
            </wp:positionH>
            <wp:positionV relativeFrom="paragraph">
              <wp:posOffset>160020</wp:posOffset>
            </wp:positionV>
            <wp:extent cx="6970395" cy="1541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0395" cy="1541145"/>
                    </a:xfrm>
                    <a:prstGeom prst="rect">
                      <a:avLst/>
                    </a:prstGeom>
                    <a:noFill/>
                  </pic:spPr>
                </pic:pic>
              </a:graphicData>
            </a:graphic>
          </wp:anchor>
        </w:drawing>
      </w:r>
    </w:p>
    <w:p>
      <w:pPr>
        <w:spacing w:after="0" w:line="309" w:lineRule="exact"/>
        <w:rPr>
          <w:sz w:val="24"/>
          <w:szCs w:val="24"/>
          <w:color w:val="auto"/>
        </w:rPr>
      </w:pPr>
    </w:p>
    <w:p>
      <w:pPr>
        <w:sectPr>
          <w:pgSz w:w="11900" w:h="16838"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1740" w:type="dxa"/>
            <w:vAlign w:val="bottom"/>
          </w:tcPr>
          <w:p>
            <w:pPr>
              <w:ind w:left="74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w:t>
            </w: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 Direct</w:t>
            </w:r>
          </w:p>
        </w:tc>
        <w:tc>
          <w:tcPr>
            <w:tcW w:w="10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400" w:type="dxa"/>
            <w:vAlign w:val="bottom"/>
          </w:tcPr>
          <w:p>
            <w:pPr>
              <w:spacing w:after="0"/>
              <w:rPr>
                <w:sz w:val="11"/>
                <w:szCs w:val="11"/>
                <w:color w:val="auto"/>
              </w:rPr>
            </w:pPr>
          </w:p>
        </w:tc>
        <w:tc>
          <w:tcPr>
            <w:tcW w:w="1740" w:type="dxa"/>
            <w:vAlign w:val="bottom"/>
          </w:tcPr>
          <w:p>
            <w:pPr>
              <w:ind w:left="7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4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10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4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4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vMerge w:val="continue"/>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4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4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7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09/30/2020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J</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61,708</w:t>
            </w: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61,708</w:t>
            </w:r>
          </w:p>
        </w:tc>
        <w:tc>
          <w:tcPr>
            <w:tcW w:w="720" w:type="dxa"/>
            <w:vAlign w:val="bottom"/>
          </w:tcPr>
          <w:p>
            <w:pPr>
              <w:spacing w:after="0"/>
              <w:rPr>
                <w:sz w:val="17"/>
                <w:szCs w:val="17"/>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See</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540" w:type="dxa"/>
            <w:vAlign w:val="bottom"/>
            <w:gridSpan w:val="5"/>
            <w:vMerge w:val="restart"/>
          </w:tcPr>
          <w:p>
            <w:pPr>
              <w:ind w:left="440"/>
              <w:spacing w:after="0" w:line="266" w:lineRule="exact"/>
              <w:rPr>
                <w:sz w:val="20"/>
                <w:szCs w:val="20"/>
                <w:color w:val="auto"/>
              </w:rPr>
            </w:pPr>
            <w:r>
              <w:rPr>
                <w:rFonts w:ascii="Times New Roman" w:cs="Times New Roman" w:eastAsia="Times New Roman" w:hAnsi="Times New Roman"/>
                <w:sz w:val="30"/>
                <w:szCs w:val="30"/>
                <w:color w:val="0000FF"/>
                <w:vertAlign w:val="subscript"/>
              </w:rPr>
              <w:t>footnote</w:t>
            </w:r>
            <w:r>
              <w:rPr>
                <w:rFonts w:ascii="Times New Roman" w:cs="Times New Roman" w:eastAsia="Times New Roman" w:hAnsi="Times New Roman"/>
                <w:sz w:val="10"/>
                <w:szCs w:val="10"/>
                <w:color w:val="008000"/>
              </w:rPr>
              <w:t>(1)(2)(3)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top w:val="single" w:sz="8" w:color="2C2C2C"/>
            </w:tcBorders>
          </w:tcPr>
          <w:p>
            <w:pPr>
              <w:spacing w:after="0"/>
              <w:rPr>
                <w:sz w:val="20"/>
                <w:szCs w:val="20"/>
                <w:color w:val="auto"/>
              </w:rPr>
            </w:pPr>
          </w:p>
        </w:tc>
        <w:tc>
          <w:tcPr>
            <w:tcW w:w="1720" w:type="dxa"/>
            <w:vAlign w:val="bottom"/>
            <w:tcBorders>
              <w:top w:val="single" w:sz="8" w:color="2C2C2C"/>
            </w:tcBorders>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09/30/2020</w:t>
            </w: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J</w:t>
            </w:r>
          </w:p>
        </w:tc>
        <w:tc>
          <w:tcPr>
            <w:tcW w:w="7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61,708</w:t>
            </w:r>
          </w:p>
        </w:tc>
        <w:tc>
          <w:tcPr>
            <w:tcW w:w="680" w:type="dxa"/>
            <w:vAlign w:val="bottom"/>
            <w:tcBorders>
              <w:top w:val="single" w:sz="8" w:color="2C2C2C"/>
            </w:tcBorders>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740" w:type="dxa"/>
            <w:vAlign w:val="bottom"/>
            <w:tcBorders>
              <w:top w:val="single" w:sz="8" w:color="2C2C2C"/>
            </w:tcBorders>
            <w:vMerge w:val="restart"/>
          </w:tcPr>
          <w:p>
            <w:pPr>
              <w:jc w:val="right"/>
              <w:ind w:right="136"/>
              <w:spacing w:after="0"/>
              <w:rPr>
                <w:sz w:val="20"/>
                <w:szCs w:val="20"/>
                <w:color w:val="auto"/>
              </w:rPr>
            </w:pPr>
            <w:r>
              <w:rPr>
                <w:rFonts w:ascii="Times New Roman" w:cs="Times New Roman" w:eastAsia="Times New Roman" w:hAnsi="Times New Roman"/>
                <w:sz w:val="17"/>
                <w:szCs w:val="17"/>
                <w:color w:val="0000FF"/>
              </w:rPr>
              <w:t>0</w:t>
            </w:r>
          </w:p>
        </w:tc>
        <w:tc>
          <w:tcPr>
            <w:tcW w:w="7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tcBorders>
              <w:top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540" w:type="dxa"/>
            <w:vAlign w:val="bottom"/>
            <w:gridSpan w:val="5"/>
            <w:vMerge w:val="restart"/>
          </w:tcPr>
          <w:p>
            <w:pPr>
              <w:ind w:left="440"/>
              <w:spacing w:after="0" w:line="266" w:lineRule="exact"/>
              <w:rPr>
                <w:sz w:val="20"/>
                <w:szCs w:val="20"/>
                <w:color w:val="auto"/>
              </w:rPr>
            </w:pPr>
            <w:r>
              <w:rPr>
                <w:rFonts w:ascii="Times New Roman" w:cs="Times New Roman" w:eastAsia="Times New Roman" w:hAnsi="Times New Roman"/>
                <w:sz w:val="30"/>
                <w:szCs w:val="30"/>
                <w:color w:val="0000FF"/>
                <w:vertAlign w:val="subscript"/>
              </w:rPr>
              <w:t>footnote</w:t>
            </w:r>
            <w:r>
              <w:rPr>
                <w:rFonts w:ascii="Times New Roman" w:cs="Times New Roman" w:eastAsia="Times New Roman" w:hAnsi="Times New Roman"/>
                <w:sz w:val="10"/>
                <w:szCs w:val="10"/>
                <w:color w:val="008000"/>
              </w:rPr>
              <w:t>(1)(2)(3)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2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80" w:type="dxa"/>
            <w:vAlign w:val="bottom"/>
            <w:gridSpan w:val="9"/>
          </w:tcPr>
          <w:p>
            <w:pPr>
              <w:ind w:left="70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1140" w:type="dxa"/>
            <w:vAlign w:val="bottom"/>
          </w:tcPr>
          <w:p>
            <w:pPr>
              <w:ind w:left="14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1140" w:type="dxa"/>
            <w:vAlign w:val="bottom"/>
          </w:tcPr>
          <w:p>
            <w:pPr>
              <w:ind w:left="14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1140" w:type="dxa"/>
            <w:vAlign w:val="bottom"/>
          </w:tcPr>
          <w:p>
            <w:pPr>
              <w:ind w:left="14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40" w:type="dxa"/>
            <w:vAlign w:val="bottom"/>
          </w:tcPr>
          <w:p>
            <w:pPr>
              <w:ind w:left="14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1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1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1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continue"/>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Shares/Class</w:t>
            </w:r>
          </w:p>
        </w:tc>
        <w:tc>
          <w:tcPr>
            <w:tcW w:w="70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09/30/2020</w:t>
            </w:r>
          </w:p>
        </w:tc>
        <w:tc>
          <w:tcPr>
            <w:tcW w:w="1140" w:type="dxa"/>
            <w:vAlign w:val="bottom"/>
          </w:tcPr>
          <w:p>
            <w:pPr>
              <w:spacing w:after="0"/>
              <w:rPr>
                <w:sz w:val="11"/>
                <w:szCs w:val="11"/>
                <w:color w:val="auto"/>
              </w:rPr>
            </w:pPr>
          </w:p>
        </w:tc>
        <w:tc>
          <w:tcPr>
            <w:tcW w:w="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61,708</w:t>
            </w:r>
          </w:p>
        </w:tc>
        <w:tc>
          <w:tcPr>
            <w:tcW w:w="7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68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61,708</w:t>
            </w:r>
          </w:p>
        </w:tc>
        <w:tc>
          <w:tcPr>
            <w:tcW w:w="74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9"/>
              </w:rPr>
              <w:t>15,861,958</w:t>
            </w:r>
          </w:p>
        </w:tc>
        <w:tc>
          <w:tcPr>
            <w:tcW w:w="140" w:type="dxa"/>
            <w:vAlign w:val="bottom"/>
          </w:tcPr>
          <w:p>
            <w:pPr>
              <w:spacing w:after="0"/>
              <w:rPr>
                <w:sz w:val="11"/>
                <w:szCs w:val="11"/>
                <w:color w:val="auto"/>
              </w:rPr>
            </w:pP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A Units/GP</w:t>
            </w:r>
          </w:p>
        </w:tc>
        <w:tc>
          <w:tcPr>
            <w:tcW w:w="7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Units</w:t>
            </w:r>
          </w:p>
        </w:tc>
        <w:tc>
          <w:tcPr>
            <w:tcW w:w="5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0" w:type="dxa"/>
            <w:vAlign w:val="bottom"/>
            <w:gridSpan w:val="4"/>
          </w:tcPr>
          <w:p>
            <w:pPr>
              <w:ind w:left="60"/>
              <w:spacing w:after="0" w:line="153"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4"/>
          </w:tcPr>
          <w:p>
            <w:pPr>
              <w:ind w:left="60"/>
              <w:spacing w:after="0" w:line="22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gridSpan w:val="3"/>
          </w:tcPr>
          <w:p>
            <w:pPr>
              <w:ind w:left="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KAFU Holdings (QP), L.P.</w:t>
              </w:r>
            </w:hyperlink>
          </w:p>
        </w:tc>
        <w:tc>
          <w:tcPr>
            <w:tcW w:w="1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360"/>
              <w:spacing w:after="0"/>
              <w:rPr>
                <w:sz w:val="20"/>
                <w:szCs w:val="20"/>
                <w:color w:val="auto"/>
              </w:rPr>
            </w:pPr>
            <w:r>
              <w:rPr>
                <w:rFonts w:ascii="Arial" w:cs="Arial" w:eastAsia="Arial" w:hAnsi="Arial"/>
                <w:sz w:val="13"/>
                <w:szCs w:val="13"/>
                <w:color w:val="auto"/>
              </w:rPr>
              <w:t>(Middle)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1800 AVENUE OF THE STARS, SUITE 300</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LOS ANGELES</w:t>
            </w: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90067</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36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gridSpan w:val="3"/>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380" w:type="dxa"/>
            <w:vAlign w:val="bottom"/>
            <w:gridSpan w:val="7"/>
          </w:tcPr>
          <w:p>
            <w:pPr>
              <w:ind w:left="2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KAYNE ANDERSON CAPITAL ADVISORS LP</w:t>
              </w:r>
            </w:hyperlink>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360"/>
              <w:spacing w:after="0"/>
              <w:rPr>
                <w:sz w:val="20"/>
                <w:szCs w:val="20"/>
                <w:color w:val="auto"/>
              </w:rPr>
            </w:pPr>
            <w:r>
              <w:rPr>
                <w:rFonts w:ascii="Arial" w:cs="Arial" w:eastAsia="Arial" w:hAnsi="Arial"/>
                <w:sz w:val="13"/>
                <w:szCs w:val="13"/>
                <w:color w:val="auto"/>
              </w:rPr>
              <w:t>(Middle)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1800 AVENUE OF THE STARS</w:t>
            </w: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3RD FLOOR</w:t>
            </w:r>
          </w:p>
        </w:tc>
        <w:tc>
          <w:tcPr>
            <w:tcW w:w="10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LOS ANGELES</w:t>
            </w: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90067</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36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-5292725</wp:posOffset>
            </wp:positionV>
            <wp:extent cx="7034530" cy="5356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4530" cy="5356860"/>
                    </a:xfrm>
                    <a:prstGeom prst="rect">
                      <a:avLst/>
                    </a:prstGeom>
                    <a:noFill/>
                  </pic:spPr>
                </pic:pic>
              </a:graphicData>
            </a:graphic>
          </wp:anchor>
        </w:drawing>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40" w:right="140"/>
        <w:spacing w:after="0" w:line="234"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Eighth Amended and Restated limited partnership agreement of Plains AAP, L.P. ("AAP") provides that each limited partner holding Class A Units will have the right, subject o certain limitations, to redeem its Class A Units for common units ("Common Units") of Plains All America Pipeline, L.P. (the "Issuer") held by AAP on a one-for-one basis, by delivering Class A Units to AAP with the associated Class B Shares in Plains GP Holdings, L.P. ("PAGP") and GP Units in PAA GP Holdings, LLC (if applicable), to PAGP (the "Redemption Right"). The Redemption Right does not expire. On September 30,2020, KAFU Holdings (QP), L.P. exercised the Redemption Right with respect to an aggregate 61,708 Class A Units.</w:t>
      </w:r>
    </w:p>
    <w:p>
      <w:pPr>
        <w:spacing w:after="0" w:line="26" w:lineRule="exact"/>
        <w:rPr>
          <w:rFonts w:ascii="Times New Roman" w:cs="Times New Roman" w:eastAsia="Times New Roman" w:hAnsi="Times New Roman"/>
          <w:sz w:val="13"/>
          <w:szCs w:val="13"/>
          <w:color w:val="008000"/>
        </w:rPr>
      </w:pPr>
    </w:p>
    <w:p>
      <w:pPr>
        <w:ind w:left="40" w:right="14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KAFU Holdings (QP), L.P. ("KAFU") owns an equivalent number of Class A Units, Class B Shares and GP Units. KACALP is the managing member of the manager of KAFU and may be deemed to beneficially own the Class A Units, Class B Shares and GP Units held by KAFU.</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involve an in-kind distribution to redeeming limited partners of KAFU Holdings (QP), L.P.</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is referred to herein as the "Reporting Persons". The filing of this Statement shall not be construed as an admission that any Reporting Person is, for purposes of Section 13(d) of the Exchange Act, as amended, the beneficial owner of any security.</w:t>
      </w:r>
    </w:p>
    <w:p>
      <w:pPr>
        <w:spacing w:after="0" w:line="3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Michael O'Neil</w:t>
            </w:r>
          </w:p>
        </w:tc>
        <w:tc>
          <w:tcPr>
            <w:tcW w:w="1180" w:type="dxa"/>
            <w:vAlign w:val="bottom"/>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10/01/2020</w:t>
            </w:r>
          </w:p>
        </w:tc>
      </w:tr>
      <w:tr>
        <w:trPr>
          <w:trHeight w:val="223"/>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460"/>
        <w:spacing w:after="0" w:line="329"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cgi-bin/browse-edgar?action=getcompany&amp;CIK=0001638385" TargetMode="External"/><Relationship Id="rId14" Type="http://schemas.openxmlformats.org/officeDocument/2006/relationships/hyperlink" Target="http://www.sec.gov/cgi-bin/browse-edgar?action=getcompany&amp;CIK=0001070423" TargetMode="External"/><Relationship Id="rId16"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2020-10-01T16:15:45Z</dcterms:created>
  <dcterms:modified xsi:type="dcterms:W3CDTF">2020-10-01T16:15:45Z</dcterms:modified>
</cp:coreProperties>
</file>