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14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14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Chiang Willie CW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ST., STE.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 w:line="246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PLAINS ALL AMERICAN PIPELINE LP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PAA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7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COO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80" w:space="198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08/16/2018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Phantom Units under Long-Term Incentive Plan (includes associated distribution equivalent rights payable in cash).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6"/>
        <w:spacing w:after="0" w:line="277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phantom units will vest as follows: (i) 25% upon the later of October 1, 2023 and the first distribution date on which PAA will have generated distributable cash flow ("DCF") of at least $3.00 per common unit on a trailing four quarter basis, and (ii) 75% upon the later of October 1, 2023 and the first distribution date on which PAA will have generated DCF of at least $3.50 per common unit on a trailing four quarter basis, in both cases with the initial performance-related measurement period beginning January 1, 2021. Any phantom units that have not vested by October 1, 2025 will expire at that time.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Ann F. Gullion,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Willie CW Chiang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155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2020-01-12T20:42:43Z</dcterms:created>
  <dcterms:modified xsi:type="dcterms:W3CDTF">2020-01-12T20:42:43Z</dcterms:modified>
</cp:coreProperties>
</file>