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16510</wp:posOffset>
            </wp:positionV>
            <wp:extent cx="6992620" cy="51269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126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SHACKOULS BOBBY S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333 CLAY STREET, SUITE 1600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5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3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38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>PLAINS ALL AMERICAN PIPELINE LP</w:t>
              </w:r>
            </w:hyperlink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60"/>
              <w:spacing w:after="0" w:line="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"/>
        </w:trPr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0" w:type="dxa"/>
            <w:vAlign w:val="bottom"/>
            <w:shd w:val="clear" w:color="auto" w:fill="0000EE"/>
          </w:tcPr>
          <w:p>
            <w:pPr>
              <w:spacing w:after="0"/>
              <w:rPr>
                <w:rFonts w:ascii="Arial" w:cs="Arial" w:eastAsia="Arial" w:hAnsi="Arial"/>
                <w:sz w:val="1"/>
                <w:szCs w:val="1"/>
                <w:color w:val="auto"/>
              </w:rPr>
            </w:pPr>
            <w:hyperlink r:id="rId13">
              <w:r>
                <w:rPr>
                  <w:rFonts w:ascii="Arial" w:cs="Arial" w:eastAsia="Arial" w:hAnsi="Arial"/>
                  <w:sz w:val="1"/>
                  <w:szCs w:val="1"/>
                  <w:color w:val="auto"/>
                </w:rPr>
                <w:t xml:space="preserve">[ </w:t>
              </w:r>
              <w:r>
                <w:rPr>
                  <w:rFonts w:ascii="Arial" w:cs="Arial" w:eastAsia="Arial" w:hAnsi="Arial"/>
                  <w:sz w:val="1"/>
                  <w:szCs w:val="1"/>
                  <w:color w:val="0000FF"/>
                </w:rPr>
                <w:t>PAA</w:t>
              </w:r>
              <w:r>
                <w:rPr>
                  <w:rFonts w:ascii="Arial" w:cs="Arial" w:eastAsia="Arial" w:hAnsi="Arial"/>
                  <w:sz w:val="1"/>
                  <w:szCs w:val="1"/>
                  <w:color w:val="auto"/>
                </w:rPr>
                <w:t xml:space="preserve"> ]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3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08/13/2021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21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08/13/2021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3,750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21,266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13,767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FF"/>
                <w:vertAlign w:val="subscript"/>
              </w:rPr>
              <w:t>I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2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3,750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3,750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(3)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Units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-2034540</wp:posOffset>
            </wp:positionV>
            <wp:extent cx="29210" cy="20396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39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7,500 units held jointly with Reporting Person's spouse.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3"/>
        <w:spacing w:after="0" w:line="237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 February 2020, the reporting person and his spouse received 2,784 and 2,785 common units of PAA, respectively, in a distribution from their respective grantor retained annuity trusts in accordance with the terms of the GRATs. The distribution of units from the GRATs resulted in a decrease in the number of units beneficially owned indirectly through the GRATs, and a corresponding increase in the number of units beneficially owned directly and indirectly through spouse. The distribution of units from the GRATs constituted a change in form of beneficial ownership, which is exempt under Rule 16a-13 of the Exchange Act.</w:t>
      </w:r>
    </w:p>
    <w:p>
      <w:pPr>
        <w:spacing w:after="0" w:line="3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Phantom Units granted under Long-Term Incentive Plan (includes distribution equivalent rights payable in cash).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One common unit is deliverable, upon vesting, for each Phantom Unit that vests.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Phantom Units vest annually on August distribution date.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Upon termination of service as director, other than because of death, disability or retirement.</w:t>
      </w:r>
    </w:p>
    <w:p>
      <w:pPr>
        <w:spacing w:after="0" w:line="54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Bobby S. Shackouls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08/17/2021</w:t>
            </w:r>
          </w:p>
        </w:tc>
      </w:tr>
      <w:tr>
        <w:trPr>
          <w:trHeight w:val="20"/>
        </w:trPr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064171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2021-08-17T16:52:45Z</dcterms:created>
  <dcterms:modified xsi:type="dcterms:W3CDTF">2021-08-17T16:52:45Z</dcterms:modified>
</cp:coreProperties>
</file>