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0667e8vk.htm"/>
        <w:bookmarkStart w:id="1" w:name="ksh40667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Date of Report (Date of earliest event reported) October 30,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of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12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621"/>
        <w:gridCol w:w="320"/>
        <w:gridCol w:w="320"/>
        <w:gridCol w:w="320"/>
        <w:gridCol w:w="320"/>
        <w:gridCol w:w="320"/>
        <w:gridCol w:w="320"/>
        <w:gridCol w:w="319"/>
        <w:gridCol w:w="6324"/>
      </w:tblGrid>
      <w:tr>
        <w:trPr/>
        <w:tc>
          <w:tcPr>
            <w:tcW w:w="62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324"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2.03. Creation of a Direct Financial Obligation or an Obligation under an Off-Balance Sheet Arrangement of a Registrant</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EXHIBIT INDEX</w:t>
              </w:r>
            </w:hyperlink>
          </w:p>
        </w:tc>
      </w:tr>
      <w:tr>
        <w:trPr/>
        <w:tc>
          <w:tcPr>
            <w:tcW w:w="9184" w:type="dxa"/>
            <w:gridSpan w:val="9"/>
            <w:tcBorders/>
            <w:shd w:fill="auto" w:val="clear"/>
            <w:vAlign w:val="center"/>
          </w:tcPr>
          <w:p>
            <w:pPr>
              <w:pStyle w:val="TableContents"/>
              <w:spacing w:before="0" w:after="283"/>
              <w:rPr/>
            </w:pPr>
            <w:hyperlink w:anchor="h40667exv4w1.htm">
              <w:r>
                <w:rPr>
                  <w:rStyle w:val="InternetLink"/>
                </w:rPr>
                <w:t>Ninth Supplemental Indenture</w:t>
              </w:r>
            </w:hyperlink>
          </w:p>
        </w:tc>
      </w:tr>
      <w:tr>
        <w:trPr/>
        <w:tc>
          <w:tcPr>
            <w:tcW w:w="9184" w:type="dxa"/>
            <w:gridSpan w:val="9"/>
            <w:tcBorders/>
            <w:shd w:fill="auto" w:val="clear"/>
            <w:vAlign w:val="center"/>
          </w:tcPr>
          <w:p>
            <w:pPr>
              <w:pStyle w:val="TableContents"/>
              <w:spacing w:before="0" w:after="283"/>
              <w:rPr/>
            </w:pPr>
            <w:hyperlink w:anchor="h40667exv4w2.htm">
              <w:r>
                <w:rPr>
                  <w:rStyle w:val="InternetLink"/>
                </w:rPr>
                <w:t>Tenth Supplemental Indenture</w:t>
              </w:r>
            </w:hyperlink>
          </w:p>
        </w:tc>
      </w:tr>
      <w:tr>
        <w:trPr/>
        <w:tc>
          <w:tcPr>
            <w:tcW w:w="9184" w:type="dxa"/>
            <w:gridSpan w:val="9"/>
            <w:tcBorders/>
            <w:shd w:fill="auto" w:val="clear"/>
            <w:vAlign w:val="center"/>
          </w:tcPr>
          <w:p>
            <w:pPr>
              <w:pStyle w:val="TableContents"/>
              <w:spacing w:before="0" w:after="283"/>
              <w:rPr/>
            </w:pPr>
            <w:hyperlink w:anchor="h40667exv4w3.htm">
              <w:r>
                <w:rPr>
                  <w:rStyle w:val="InternetLink"/>
                </w:rPr>
                <w:t>Exchange and Registration Rights Agreement</w:t>
              </w:r>
            </w:hyperlink>
          </w:p>
        </w:tc>
      </w:tr>
      <w:tr>
        <w:trPr/>
        <w:tc>
          <w:tcPr>
            <w:tcW w:w="9184" w:type="dxa"/>
            <w:gridSpan w:val="9"/>
            <w:tcBorders/>
            <w:shd w:fill="auto" w:val="clear"/>
            <w:vAlign w:val="center"/>
          </w:tcPr>
          <w:p>
            <w:pPr>
              <w:pStyle w:val="TableContents"/>
              <w:spacing w:before="0" w:after="283"/>
              <w:rPr/>
            </w:pPr>
            <w:hyperlink w:anchor="h40667exv4w4.htm">
              <w:r>
                <w:rPr>
                  <w:rStyle w:val="InternetLink"/>
                </w:rPr>
                <w:t>Exchange and Registration Rights Agreement</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Purchase Agreement. </w:t>
      </w:r>
      <w:r>
        <w:rPr>
          <w:rFonts w:ascii="Times New Roman;Times;serif" w:hAnsi="Times New Roman;Times;serif"/>
          <w:sz w:val="17"/>
        </w:rPr>
        <w:t xml:space="preserve">On October 23, 2006, Plains All American Pipeline, L.P. (the Partnership), PAA Finance Corp. (PAA Finance and together with the Partnership, the Issuers) and certain subsidiary guarantors, entered into a Purchase Agreement (the Purchase Agreement) with Citigroup Global Markets Inc. and UBS Securities LLC, each acting on behalf of itself and acting together as the representatives of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(collectively, the Initial Purchasers), to sell $400 million aggregate principal amount of 6.125% Senior Notes due 2017 (the 2017 Notes) and $600,000,000 aggregate principal amount of 6.650% Notes due 2037 (the 2037 Notes and together with the 2017 Notes, the Notes) in accordance with a private placement conducted pursuant to Rule 144A under the Securities Act of 1933, as amended (the Offering). </w:t>
      </w:r>
    </w:p>
    <w:p>
      <w:pPr>
        <w:pStyle w:val="TextBody"/>
        <w:spacing w:before="120" w:after="283"/>
        <w:jc w:val="left"/>
        <w:rPr/>
      </w:pPr>
      <w:r>
        <w:rPr/>
        <w:t>     </w:t>
      </w:r>
      <w:r>
        <w:rPr>
          <w:rFonts w:ascii="Times New Roman;Times;serif" w:hAnsi="Times New Roman;Times;serif"/>
          <w:i/>
          <w:sz w:val="17"/>
        </w:rPr>
        <w:t xml:space="preserve">Ninth and Tenth Supplemental Indentures. </w:t>
      </w:r>
      <w:r>
        <w:rPr>
          <w:rFonts w:ascii="Times New Roman;Times;serif" w:hAnsi="Times New Roman;Times;serif"/>
          <w:sz w:val="17"/>
        </w:rPr>
        <w:t xml:space="preserve">On October 30, 2006, in connection with the issuance of the 2017 Notes and 2037 Notes, the Issuers and certain subsidiary guarantors entered into the Ninth and Tenth Supplemental Indentures, respectively, each dated as of October 30, 2006 (the Supplemental Indentures), to the Indenture, dated as of September 25, 2002 (the Original Indenture, together with the Supplemental Indentures, the Indenture), with U.S. Bank National Association, as successor Trustee. The material terms of the 2017 Notes and the 2037 Notes issued under the Supplemental Indentures are described below in Item 2.03. </w:t>
      </w:r>
    </w:p>
    <w:p>
      <w:pPr>
        <w:pStyle w:val="TextBody"/>
        <w:spacing w:before="120" w:after="283"/>
        <w:jc w:val="left"/>
        <w:rPr/>
      </w:pPr>
      <w:r>
        <w:rPr/>
        <w:t>     </w:t>
      </w:r>
      <w:r>
        <w:rPr>
          <w:rFonts w:ascii="Times New Roman;Times;serif" w:hAnsi="Times New Roman;Times;serif"/>
          <w:i/>
          <w:sz w:val="17"/>
        </w:rPr>
        <w:t xml:space="preserve">Registration Rights Agreements. </w:t>
      </w:r>
      <w:r>
        <w:rPr>
          <w:rFonts w:ascii="Times New Roman;Times;serif" w:hAnsi="Times New Roman;Times;serif"/>
          <w:sz w:val="17"/>
        </w:rPr>
        <w:t xml:space="preserve">On October 30, 2006, the Issuers and certain subsidiary guarantors entered into Exchange and Registration Rights Agreements with the Initial Purchasers providing the holders of the 2017 Notes and the 2037 Notes certain rights relating to registration of the 2017 Notes and the 2037 Notes under the Securities Act. The material terms of the exchange offers are described below in Item 2.03.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2.03. Creation of a Direct Financial Obligation or an Obligation under an Off-Balance Sheet Arrangement of a Registrant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information set forth in Item 1.01 is incorporated herein by reference. </w:t>
      </w:r>
    </w:p>
    <w:p>
      <w:pPr>
        <w:pStyle w:val="TextBody"/>
        <w:spacing w:before="120" w:after="283"/>
        <w:jc w:val="left"/>
        <w:rPr/>
      </w:pPr>
      <w:r>
        <w:rPr/>
        <w:t>     </w:t>
      </w:r>
      <w:r>
        <w:rPr>
          <w:rFonts w:ascii="Times New Roman;Times;serif" w:hAnsi="Times New Roman;Times;serif"/>
          <w:sz w:val="17"/>
        </w:rPr>
        <w:t xml:space="preserve">On October 30, 2006 the Issuers offered and sold to the Initial Purchasers $400 million aggregate principal amount of 2017 Notes and $600 million aggregate principal amount of 2037 Notes. </w:t>
      </w:r>
    </w:p>
    <w:p>
      <w:pPr>
        <w:pStyle w:val="TextBody"/>
        <w:spacing w:before="120" w:after="283"/>
        <w:jc w:val="left"/>
        <w:rPr/>
      </w:pPr>
      <w:r>
        <w:rPr/>
        <w:t>     </w:t>
      </w:r>
      <w:r>
        <w:rPr>
          <w:rFonts w:ascii="Times New Roman;Times;serif" w:hAnsi="Times New Roman;Times;serif"/>
          <w:sz w:val="17"/>
        </w:rPr>
        <w:t xml:space="preserve">The Notes will be general senior unsecured obligations of the Issuers and will rank equally with the existing and future senior indebtedness of the Issuers. Initially, all payments with respect to the Notes (including principal and interest) will be fully and unconditionally guaranteed, jointly and severally, by substantially all of the Partnerships existing subsidiaries. In the future, the subsidiaries that guarantee other indebtedness of the Issuers or another subsidiary of the Partnership must also guarantee the Notes. The guarantees are also subject to release in certain circumstances. The guarantees are general unsecured obligations of the subsidiary guarantors and rank equally with the existing and future senior indebtedness of the subsidiary guarantors. </w:t>
      </w:r>
    </w:p>
    <w:p>
      <w:pPr>
        <w:pStyle w:val="TextBody"/>
        <w:spacing w:before="120" w:after="283"/>
        <w:jc w:val="left"/>
        <w:rPr/>
      </w:pPr>
      <w:r>
        <w:rPr/>
        <w:t>     </w:t>
      </w:r>
      <w:r>
        <w:rPr>
          <w:rFonts w:ascii="Times New Roman;Times;serif" w:hAnsi="Times New Roman;Times;serif"/>
          <w:sz w:val="17"/>
        </w:rPr>
        <w:t xml:space="preserve">Interest on the Notes will accrue from October 30, 2006 and will be payable semi-annually in arrears on January 15 and July 15 of each year, commencing July 15, 2007. Interest will be payable to the holders of record at the close of business on the January 1 and July 1 preceding such interest payment dates. Interest will be computed on the basis of a 360-day year consisting of twelve 30-day months. </w:t>
      </w:r>
    </w:p>
    <w:p>
      <w:pPr>
        <w:pStyle w:val="TextBody"/>
        <w:spacing w:before="120" w:after="283"/>
        <w:jc w:val="left"/>
        <w:rPr/>
      </w:pPr>
      <w:r>
        <w:rPr/>
        <w:t>     </w:t>
      </w:r>
      <w:r>
        <w:rPr>
          <w:rFonts w:ascii="Times New Roman;Times;serif" w:hAnsi="Times New Roman;Times;serif"/>
          <w:sz w:val="17"/>
        </w:rPr>
        <w:t xml:space="preserve">The Issuers may redeem the Notes,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semi-annual basis at the adjusted treasury rate plus 25 basis points in the case of the 2017 Notes and 30 basis points in the case of the 2037 Notes, in each case with accrued interest to the date of redemption.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Indenture contains covenants that limit the Partnership and its subsidiaries from creating liens on its or their principal properties to secure debt and from engaging in certain sale-leaseback transactions. The Indenture also limits the Issuers ability to engage in certain mergers, consolidations and sales of properties or assets. </w:t>
      </w:r>
    </w:p>
    <w:p>
      <w:pPr>
        <w:pStyle w:val="TextBody"/>
        <w:spacing w:before="120" w:after="283"/>
        <w:jc w:val="left"/>
        <w:rPr/>
      </w:pPr>
      <w:r>
        <w:rPr/>
        <w:t>     </w:t>
      </w:r>
      <w:r>
        <w:rPr>
          <w:rFonts w:ascii="Times New Roman;Times;serif" w:hAnsi="Times New Roman;Times;serif"/>
          <w:sz w:val="17"/>
        </w:rPr>
        <w:t xml:space="preserve">Upon the occurrence of the earlier of the following two events (the Special Mandatory Redemption Trigger Event), the Issuers will redeem all of the Notes (the Special Mandatory Redemption) at a redemption price in cash equal to 101% of the aggregate principal amount thereof plus accrued and unpaid interest thereon to the mandatory redemption date: </w:t>
      </w:r>
    </w:p>
    <w:tbl>
      <w:tblPr>
        <w:tblW w:w="5000" w:type="pct"/>
        <w:jc w:val="left"/>
        <w:tblInd w:w="0" w:type="dxa"/>
        <w:tblCellMar>
          <w:top w:w="0" w:type="dxa"/>
          <w:left w:w="0" w:type="dxa"/>
          <w:bottom w:w="0" w:type="dxa"/>
          <w:right w:w="0" w:type="dxa"/>
        </w:tblCellMar>
      </w:tblPr>
      <w:tblGrid>
        <w:gridCol w:w="202"/>
        <w:gridCol w:w="204"/>
        <w:gridCol w:w="101"/>
        <w:gridCol w:w="9698"/>
      </w:tblGrid>
      <w:tr>
        <w:trPr/>
        <w:tc>
          <w:tcPr>
            <w:tcW w:w="202"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February 15, 2007 if the Partnerships merger with Pacific Energy Partners, L.P. has not been consummated by such date; or</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the termination of the Partnerships merger agreement with Pacific Energy Partners, L.P.</w:t>
            </w:r>
          </w:p>
        </w:tc>
      </w:tr>
    </w:tbl>
    <w:p>
      <w:pPr>
        <w:pStyle w:val="TextBody"/>
        <w:spacing w:before="120" w:after="283"/>
        <w:jc w:val="left"/>
        <w:rPr/>
      </w:pPr>
      <w:r>
        <w:rPr/>
        <w:t>     </w:t>
      </w:r>
      <w:r>
        <w:rPr>
          <w:rFonts w:ascii="Times New Roman;Times;serif" w:hAnsi="Times New Roman;Times;serif"/>
          <w:sz w:val="17"/>
        </w:rPr>
        <w:t xml:space="preserve">Within ten days of the occurrence of the Special Mandatory Redemption Trigger Event, notice of the Special Mandatory Redemption will be mailed by first-class mail to each holder of a Note at its registered address, stating, among other matters prescribed in the Indenture, that a Special Mandatory Redemption Trigger Event has occurred and that all the Notes will be redeemed on the redemption date set forth in such notice (which shall be no earlier than 15 days and no later than 30 days from the date such notice is mailed). </w:t>
      </w:r>
    </w:p>
    <w:p>
      <w:pPr>
        <w:pStyle w:val="TextBody"/>
        <w:spacing w:before="120" w:after="283"/>
        <w:jc w:val="left"/>
        <w:rPr/>
      </w:pPr>
      <w:r>
        <w:rPr/>
        <w:t>     </w:t>
      </w:r>
      <w:r>
        <w:rPr>
          <w:rFonts w:ascii="Times New Roman;Times;serif" w:hAnsi="Times New Roman;Times;serif"/>
          <w:sz w:val="17"/>
        </w:rPr>
        <w:t xml:space="preserve">Certain provisions relating to the Issuers obligation to redeem Notes in a Special Mandatory Redemption may not be waived or modified without the written consent of the holders of all the Notes. </w:t>
      </w:r>
    </w:p>
    <w:p>
      <w:pPr>
        <w:pStyle w:val="TextBody"/>
        <w:spacing w:before="120" w:after="283"/>
        <w:jc w:val="left"/>
        <w:rPr/>
      </w:pPr>
      <w:r>
        <w:rPr/>
        <w:t>     </w:t>
      </w:r>
      <w:r>
        <w:rPr>
          <w:rFonts w:ascii="Times New Roman;Times;serif" w:hAnsi="Times New Roman;Times;serif"/>
          <w:sz w:val="17"/>
        </w:rPr>
        <w:t xml:space="preserve">Upon a continuing event of default, the trustee or the holders of 25% principal amount of the then-outstanding Notes may declare all the Notes immediately due and payable, except that a default resulting from the Issuers entry into a bankruptcy, insolvency or reorganization will automatically cause all outstanding Notes to become due and payable. Each of the following shall constitute an event of default under the Indenture with respect to each series of Notes: </w:t>
      </w:r>
    </w:p>
    <w:tbl>
      <w:tblPr>
        <w:tblW w:w="5000" w:type="pct"/>
        <w:jc w:val="left"/>
        <w:tblInd w:w="0" w:type="dxa"/>
        <w:tblCellMar>
          <w:top w:w="0" w:type="dxa"/>
          <w:left w:w="0" w:type="dxa"/>
          <w:bottom w:w="0" w:type="dxa"/>
          <w:right w:w="0" w:type="dxa"/>
        </w:tblCellMar>
      </w:tblPr>
      <w:tblGrid>
        <w:gridCol w:w="203"/>
        <w:gridCol w:w="210"/>
        <w:gridCol w:w="103"/>
        <w:gridCol w:w="9689"/>
      </w:tblGrid>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default in payment when due of the principal of or any premium on any Note of that series at maturity, upon redemption or otherwise;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default for 60 days in the payment when due of interest on any Note of that series;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failure by the Issuers or, so long as the Notes are guaranteed by a subsidiary guarantor, by such subsidiary guarantor, for 30 days after receipt of notice from the trustee or the holders to comply with any other term, covenant or warranty in the Indenture or the Notes of that series (provided that notice need not be given, and an Event of Default will occur, 30 days after any breach of the covenants described in the Indenture);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default under any mortgage, indenture or instrument under which there may be issued or by which there may be secured or evidenced any debt for money borrowed of the Issuers or any of the subsidiaries of the Partnership (or the payment of which is guaranteed by the Partnership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left"/>
              <w:rPr>
                <w:b/>
              </w:rPr>
            </w:pPr>
            <w:r>
              <w:rPr>
                <w:b/>
              </w:rPr>
              <w:t></w:t>
            </w:r>
          </w:p>
        </w:tc>
        <w:tc>
          <w:tcPr>
            <w:tcW w:w="103" w:type="dxa"/>
            <w:tcBorders/>
            <w:shd w:fill="auto" w:val="clear"/>
          </w:tcPr>
          <w:p>
            <w:pPr>
              <w:pStyle w:val="TableContents"/>
              <w:spacing w:before="0" w:after="283"/>
              <w:rPr/>
            </w:pPr>
            <w:r>
              <w:rPr/>
              <w:t> </w:t>
            </w:r>
          </w:p>
        </w:tc>
        <w:tc>
          <w:tcPr>
            <w:tcW w:w="9689" w:type="dxa"/>
            <w:tcBorders/>
            <w:shd w:fill="auto" w:val="clear"/>
          </w:tcPr>
          <w:p>
            <w:pPr>
              <w:pStyle w:val="TableContents"/>
              <w:spacing w:before="0" w:after="283"/>
              <w:rPr/>
            </w:pPr>
            <w:r>
              <w:rPr/>
              <w:t>specified events in bankruptcy, insolvency or reorganization of the Issuers or, so long as the Notes of that series are guaranteed by a subsidiary guarantor, by such subsidiary guarantor;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10"/>
        <w:gridCol w:w="211"/>
        <w:gridCol w:w="103"/>
        <w:gridCol w:w="9681"/>
      </w:tblGrid>
      <w:tr>
        <w:trPr/>
        <w:tc>
          <w:tcPr>
            <w:tcW w:w="210" w:type="dxa"/>
            <w:tcBorders/>
            <w:shd w:fill="auto" w:val="clear"/>
          </w:tcPr>
          <w:p>
            <w:pPr>
              <w:pStyle w:val="TableContents"/>
              <w:spacing w:before="0" w:after="283"/>
              <w:jc w:val="left"/>
              <w:rPr>
                <w:b/>
              </w:rPr>
            </w:pPr>
            <w:r>
              <w:rPr>
                <w:b/>
              </w:rPr>
              <w:t></w:t>
            </w:r>
          </w:p>
        </w:tc>
        <w:tc>
          <w:tcPr>
            <w:tcW w:w="9995" w:type="dxa"/>
            <w:gridSpan w:val="3"/>
            <w:tcBorders/>
            <w:shd w:fill="auto" w:val="clear"/>
          </w:tcPr>
          <w:p>
            <w:pPr>
              <w:pStyle w:val="TableContents"/>
              <w:spacing w:before="0" w:after="283"/>
              <w:rPr/>
            </w:pPr>
            <w:r>
              <w:rPr/>
              <w:t>so long as the Notes of that series are guaranteed by a subsidiary guarantor:</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211" w:type="dxa"/>
            <w:tcBorders/>
            <w:shd w:fill="auto" w:val="clear"/>
          </w:tcPr>
          <w:p>
            <w:pPr>
              <w:pStyle w:val="TableContents"/>
              <w:spacing w:before="0" w:after="283"/>
              <w:jc w:val="right"/>
              <w:rPr>
                <w:b/>
              </w:rPr>
            </w:pPr>
            <w:r>
              <w:rPr>
                <w:b/>
              </w:rPr>
              <w:t></w:t>
            </w:r>
          </w:p>
        </w:tc>
        <w:tc>
          <w:tcPr>
            <w:tcW w:w="103" w:type="dxa"/>
            <w:tcBorders/>
            <w:shd w:fill="auto" w:val="clear"/>
          </w:tcPr>
          <w:p>
            <w:pPr>
              <w:pStyle w:val="TableContents"/>
              <w:spacing w:before="0" w:after="283"/>
              <w:rPr/>
            </w:pPr>
            <w:r>
              <w:rPr/>
              <w:t> </w:t>
            </w:r>
          </w:p>
        </w:tc>
        <w:tc>
          <w:tcPr>
            <w:tcW w:w="9681" w:type="dxa"/>
            <w:tcBorders/>
            <w:shd w:fill="auto" w:val="clear"/>
          </w:tcPr>
          <w:p>
            <w:pPr>
              <w:pStyle w:val="TableContents"/>
              <w:spacing w:before="0" w:after="283"/>
              <w:rPr/>
            </w:pPr>
            <w:r>
              <w:rPr/>
              <w:t>the guarantee by such subsidiary guarantor ceases to be in full force and effect, except as otherwise provided in the Indenture;</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211" w:type="dxa"/>
            <w:tcBorders/>
            <w:shd w:fill="auto" w:val="clear"/>
          </w:tcPr>
          <w:p>
            <w:pPr>
              <w:pStyle w:val="TableContents"/>
              <w:spacing w:before="0" w:after="283"/>
              <w:jc w:val="right"/>
              <w:rPr>
                <w:b/>
              </w:rPr>
            </w:pPr>
            <w:r>
              <w:rPr>
                <w:b/>
              </w:rPr>
              <w:t></w:t>
            </w:r>
          </w:p>
        </w:tc>
        <w:tc>
          <w:tcPr>
            <w:tcW w:w="103" w:type="dxa"/>
            <w:tcBorders/>
            <w:shd w:fill="auto" w:val="clear"/>
          </w:tcPr>
          <w:p>
            <w:pPr>
              <w:pStyle w:val="TableContents"/>
              <w:spacing w:before="0" w:after="283"/>
              <w:rPr/>
            </w:pPr>
            <w:r>
              <w:rPr/>
              <w:t> </w:t>
            </w:r>
          </w:p>
        </w:tc>
        <w:tc>
          <w:tcPr>
            <w:tcW w:w="9681" w:type="dxa"/>
            <w:tcBorders/>
            <w:shd w:fill="auto" w:val="clear"/>
          </w:tcPr>
          <w:p>
            <w:pPr>
              <w:pStyle w:val="TableContents"/>
              <w:spacing w:before="0" w:after="283"/>
              <w:rPr/>
            </w:pPr>
            <w:r>
              <w:rPr/>
              <w:t>the guarantee by such subsidiary guarantor is declared null and void in a judicial proceeding; or</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211" w:type="dxa"/>
            <w:tcBorders/>
            <w:shd w:fill="auto" w:val="clear"/>
          </w:tcPr>
          <w:p>
            <w:pPr>
              <w:pStyle w:val="TableContents"/>
              <w:spacing w:before="0" w:after="283"/>
              <w:jc w:val="right"/>
              <w:rPr>
                <w:b/>
              </w:rPr>
            </w:pPr>
            <w:r>
              <w:rPr>
                <w:b/>
              </w:rPr>
              <w:t></w:t>
            </w:r>
          </w:p>
        </w:tc>
        <w:tc>
          <w:tcPr>
            <w:tcW w:w="103" w:type="dxa"/>
            <w:tcBorders/>
            <w:shd w:fill="auto" w:val="clear"/>
          </w:tcPr>
          <w:p>
            <w:pPr>
              <w:pStyle w:val="TableContents"/>
              <w:spacing w:before="0" w:after="283"/>
              <w:rPr/>
            </w:pPr>
            <w:r>
              <w:rPr/>
              <w:t> </w:t>
            </w:r>
          </w:p>
        </w:tc>
        <w:tc>
          <w:tcPr>
            <w:tcW w:w="9681" w:type="dxa"/>
            <w:tcBorders/>
            <w:shd w:fill="auto" w:val="clear"/>
          </w:tcPr>
          <w:p>
            <w:pPr>
              <w:pStyle w:val="TableContents"/>
              <w:spacing w:before="0" w:after="283"/>
              <w:rPr/>
            </w:pPr>
            <w:r>
              <w:rPr/>
              <w:t>such subsidiary guarantor denies or disaffirms its obligations under the Indenture or its guarantee.</w:t>
            </w:r>
          </w:p>
        </w:tc>
      </w:tr>
    </w:tbl>
    <w:p>
      <w:pPr>
        <w:pStyle w:val="TextBody"/>
        <w:spacing w:before="120" w:after="283"/>
        <w:jc w:val="left"/>
        <w:rPr/>
      </w:pPr>
      <w:r>
        <w:rPr/>
        <w:t>     </w:t>
      </w:r>
      <w:r>
        <w:rPr>
          <w:rFonts w:ascii="Times New Roman;Times;serif" w:hAnsi="Times New Roman;Times;serif"/>
          <w:sz w:val="17"/>
        </w:rPr>
        <w:t xml:space="preserve">The Notes have not been registered under the Securities Act and may not be offered or sold in the United States absent registration or an applicable exemption from the registration requirements of the Securities Act. </w:t>
      </w:r>
    </w:p>
    <w:p>
      <w:pPr>
        <w:pStyle w:val="TextBody"/>
        <w:spacing w:before="120" w:after="283"/>
        <w:jc w:val="left"/>
        <w:rPr/>
      </w:pPr>
      <w:r>
        <w:rPr/>
        <w:t>     </w:t>
      </w:r>
      <w:r>
        <w:rPr>
          <w:rFonts w:ascii="Times New Roman;Times;serif" w:hAnsi="Times New Roman;Times;serif"/>
          <w:sz w:val="17"/>
        </w:rPr>
        <w:t xml:space="preserve">The terms of the Exchange and Registration Rights Agreements described in Item 1.01 above require the Issuers to register under the Securities Act exchange notes (and related guarantees) having substantially identical terms as the Notes (and related guarantees), and to complete offers to exchange such exchange notes for the Notes of the same series. If an exchange offer cannot be effected, the Issuers have agreed to file and keep effective a shelf registration statement for resale of the Notes. Failure of the Issuers to comply with the registration and exchange requirements set forth in the Exchange and Registration Rights Agreements will require the Issuers to pay additional interest semi-annually, over and above the stated interest rate on the Notes, in an amount not to exceed a rate of 0.50% per year.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center"/>
        <w:tblInd w:w="0" w:type="dxa"/>
        <w:tblCellMar>
          <w:top w:w="0" w:type="dxa"/>
          <w:left w:w="0" w:type="dxa"/>
          <w:bottom w:w="0" w:type="dxa"/>
          <w:right w:w="0" w:type="dxa"/>
        </w:tblCellMar>
      </w:tblPr>
      <w:tblGrid>
        <w:gridCol w:w="1090"/>
        <w:gridCol w:w="204"/>
        <w:gridCol w:w="8911"/>
      </w:tblGrid>
      <w:tr>
        <w:trPr/>
        <w:tc>
          <w:tcPr>
            <w:tcW w:w="109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vAlign w:val="bottom"/>
          </w:tcPr>
          <w:p>
            <w:pPr>
              <w:pStyle w:val="TableContents"/>
              <w:spacing w:before="0" w:after="283"/>
              <w:rPr/>
            </w:pPr>
            <w:r>
              <w:rPr/>
              <w:t> </w:t>
            </w:r>
          </w:p>
        </w:tc>
      </w:tr>
      <w:tr>
        <w:trPr/>
        <w:tc>
          <w:tcPr>
            <w:tcW w:w="1090" w:type="dxa"/>
            <w:tcBorders/>
            <w:shd w:fill="auto" w:val="clear"/>
          </w:tcPr>
          <w:p>
            <w:pPr>
              <w:pStyle w:val="TableContents"/>
              <w:spacing w:before="0" w:after="0"/>
              <w:ind w:left="0" w:right="0" w:hanging="0"/>
              <w:rPr/>
            </w:pPr>
            <w:r>
              <w:rPr/>
              <w:t xml:space="preserve">Exhibit 4.1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Ninth Supplemental Indenture, dated as of October 30, 2006, to Indenture, dated as of September 25, 2002, among Plains All American Pipeline, L.P., PAA Finance Corp. and subsidiary guarantors signatory thereto and U.S. Bank National Association, as trustee.</w:t>
            </w:r>
          </w:p>
        </w:tc>
      </w:tr>
      <w:tr>
        <w:trPr/>
        <w:tc>
          <w:tcPr>
            <w:tcW w:w="1090"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 </w:t>
            </w:r>
          </w:p>
        </w:tc>
      </w:tr>
      <w:tr>
        <w:trPr/>
        <w:tc>
          <w:tcPr>
            <w:tcW w:w="1090" w:type="dxa"/>
            <w:tcBorders/>
            <w:shd w:fill="auto" w:val="clear"/>
          </w:tcPr>
          <w:p>
            <w:pPr>
              <w:pStyle w:val="TableContents"/>
              <w:spacing w:before="0" w:after="0"/>
              <w:ind w:left="0" w:right="0" w:hanging="0"/>
              <w:rPr/>
            </w:pPr>
            <w:r>
              <w:rPr/>
              <w:t xml:space="preserve">Exhibit 4.2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Tenth Supplemental Indenture, dated as of October 30, 2006, to Indenture, dated as of September 25, 2002, among Plains All American Pipeline, L.P., PAA Finance Corp. and subsidiary guarantors signatory thereto and U.S. Bank National Association, as trustee.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85"/>
        <w:gridCol w:w="204"/>
        <w:gridCol w:w="8916"/>
      </w:tblGrid>
      <w:tr>
        <w:trPr/>
        <w:tc>
          <w:tcPr>
            <w:tcW w:w="108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916" w:type="dxa"/>
            <w:tcBorders/>
            <w:shd w:fill="auto" w:val="clear"/>
            <w:vAlign w:val="bottom"/>
          </w:tcPr>
          <w:p>
            <w:pPr>
              <w:pStyle w:val="TableContents"/>
              <w:spacing w:before="0" w:after="283"/>
              <w:rPr/>
            </w:pPr>
            <w:r>
              <w:rPr/>
              <w:t> </w:t>
            </w:r>
          </w:p>
        </w:tc>
      </w:tr>
      <w:tr>
        <w:trPr/>
        <w:tc>
          <w:tcPr>
            <w:tcW w:w="1085" w:type="dxa"/>
            <w:tcBorders/>
            <w:shd w:fill="auto" w:val="clear"/>
          </w:tcPr>
          <w:p>
            <w:pPr>
              <w:pStyle w:val="TableContents"/>
              <w:spacing w:before="0" w:after="0"/>
              <w:ind w:left="0" w:right="0" w:hanging="0"/>
              <w:rPr/>
            </w:pPr>
            <w:r>
              <w:rPr/>
              <w:t xml:space="preserve">Exhibit 4.3 </w:t>
            </w:r>
          </w:p>
        </w:tc>
        <w:tc>
          <w:tcPr>
            <w:tcW w:w="204" w:type="dxa"/>
            <w:tcBorders/>
            <w:shd w:fill="auto" w:val="clear"/>
            <w:vAlign w:val="bottom"/>
          </w:tcPr>
          <w:p>
            <w:pPr>
              <w:pStyle w:val="TableContents"/>
              <w:spacing w:before="0" w:after="283"/>
              <w:rPr/>
            </w:pPr>
            <w:r>
              <w:rPr/>
              <w:t> </w:t>
            </w:r>
          </w:p>
        </w:tc>
        <w:tc>
          <w:tcPr>
            <w:tcW w:w="8916"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w:t>
            </w:r>
          </w:p>
        </w:tc>
      </w:tr>
      <w:tr>
        <w:trPr/>
        <w:tc>
          <w:tcPr>
            <w:tcW w:w="1085"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6" w:type="dxa"/>
            <w:tcBorders/>
            <w:shd w:fill="auto" w:val="clear"/>
          </w:tcPr>
          <w:p>
            <w:pPr>
              <w:pStyle w:val="TableContents"/>
              <w:spacing w:before="0" w:after="283"/>
              <w:jc w:val="left"/>
              <w:rPr/>
            </w:pPr>
            <w:r>
              <w:rPr/>
              <w:t> </w:t>
            </w:r>
          </w:p>
        </w:tc>
      </w:tr>
      <w:tr>
        <w:trPr/>
        <w:tc>
          <w:tcPr>
            <w:tcW w:w="1085" w:type="dxa"/>
            <w:tcBorders/>
            <w:shd w:fill="auto" w:val="clear"/>
          </w:tcPr>
          <w:p>
            <w:pPr>
              <w:pStyle w:val="TableContents"/>
              <w:spacing w:before="0" w:after="0"/>
              <w:ind w:left="0" w:right="0" w:hanging="0"/>
              <w:rPr/>
            </w:pPr>
            <w:r>
              <w:rPr/>
              <w:t xml:space="preserve">Exhibit 4.4 </w:t>
            </w:r>
          </w:p>
        </w:tc>
        <w:tc>
          <w:tcPr>
            <w:tcW w:w="204" w:type="dxa"/>
            <w:tcBorders/>
            <w:shd w:fill="auto" w:val="clear"/>
            <w:vAlign w:val="bottom"/>
          </w:tcPr>
          <w:p>
            <w:pPr>
              <w:pStyle w:val="TableContents"/>
              <w:spacing w:before="0" w:after="283"/>
              <w:rPr/>
            </w:pPr>
            <w:r>
              <w:rPr/>
              <w:t> </w:t>
            </w:r>
          </w:p>
        </w:tc>
        <w:tc>
          <w:tcPr>
            <w:tcW w:w="8916"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w:t>
            </w:r>
          </w:p>
        </w:tc>
      </w:tr>
      <w:tr>
        <w:trPr/>
        <w:tc>
          <w:tcPr>
            <w:tcW w:w="1085"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6"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4500" w:type="pct"/>
        <w:jc w:val="left"/>
        <w:tblInd w:w="0" w:type="dxa"/>
        <w:tblCellMar>
          <w:top w:w="0" w:type="dxa"/>
          <w:left w:w="0" w:type="dxa"/>
          <w:bottom w:w="0" w:type="dxa"/>
          <w:right w:w="0" w:type="dxa"/>
        </w:tblCellMar>
      </w:tblPr>
      <w:tblGrid>
        <w:gridCol w:w="1923"/>
        <w:gridCol w:w="96"/>
        <w:gridCol w:w="333"/>
        <w:gridCol w:w="96"/>
        <w:gridCol w:w="333"/>
        <w:gridCol w:w="96"/>
        <w:gridCol w:w="1031"/>
        <w:gridCol w:w="233"/>
        <w:gridCol w:w="233"/>
        <w:gridCol w:w="233"/>
        <w:gridCol w:w="4577"/>
      </w:tblGrid>
      <w:tr>
        <w:trPr/>
        <w:tc>
          <w:tcPr>
            <w:tcW w:w="192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4577" w:type="dxa"/>
            <w:tcBorders/>
            <w:shd w:fill="auto" w:val="clear"/>
            <w:vAlign w:val="bottom"/>
          </w:tcPr>
          <w:p>
            <w:pPr>
              <w:pStyle w:val="TableContents"/>
              <w:spacing w:before="0" w:after="283"/>
              <w:rPr/>
            </w:pPr>
            <w:r>
              <w:rPr/>
              <w:t> </w:t>
            </w:r>
          </w:p>
        </w:tc>
      </w:tr>
      <w:tr>
        <w:trPr/>
        <w:tc>
          <w:tcPr>
            <w:tcW w:w="1923" w:type="dxa"/>
            <w:tcBorders/>
            <w:shd w:fill="auto" w:val="clea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7165" w:type="dxa"/>
            <w:gridSpan w:val="9"/>
            <w:tcBorders/>
            <w:shd w:fill="auto" w:val="clear"/>
          </w:tcPr>
          <w:p>
            <w:pPr>
              <w:pStyle w:val="TableContents"/>
              <w:spacing w:before="0" w:after="283"/>
              <w:jc w:val="left"/>
              <w:rPr>
                <w:b/>
              </w:rPr>
            </w:pPr>
            <w:r>
              <w:rPr>
                <w:b/>
              </w:rPr>
              <w:t>PLAINS ALL AMERICAN PIPELINE, L.P.</w:t>
            </w:r>
          </w:p>
        </w:tc>
      </w:tr>
      <w:tr>
        <w:trPr/>
        <w:tc>
          <w:tcPr>
            <w:tcW w:w="1923" w:type="dxa"/>
            <w:tcBorders/>
            <w:shd w:fill="auto" w:val="clear"/>
          </w:tcPr>
          <w:p>
            <w:pPr>
              <w:pStyle w:val="TableContents"/>
              <w:spacing w:before="0" w:after="0"/>
              <w:ind w:left="0" w:right="0" w:hanging="0"/>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4577" w:type="dxa"/>
            <w:tcBorders/>
            <w:shd w:fill="auto" w:val="clear"/>
          </w:tcPr>
          <w:p>
            <w:pPr>
              <w:pStyle w:val="TableContents"/>
              <w:spacing w:before="0" w:after="283"/>
              <w:jc w:val="left"/>
              <w:rPr/>
            </w:pPr>
            <w:r>
              <w:rPr/>
              <w:t> </w:t>
            </w:r>
          </w:p>
        </w:tc>
      </w:tr>
      <w:tr>
        <w:trPr/>
        <w:tc>
          <w:tcPr>
            <w:tcW w:w="1923" w:type="dxa"/>
            <w:tcBorders/>
            <w:shd w:fill="auto" w:val="clea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By:</w:t>
            </w:r>
          </w:p>
        </w:tc>
        <w:tc>
          <w:tcPr>
            <w:tcW w:w="96" w:type="dxa"/>
            <w:tcBorders/>
            <w:shd w:fill="auto" w:val="clear"/>
            <w:vAlign w:val="bottom"/>
          </w:tcPr>
          <w:p>
            <w:pPr>
              <w:pStyle w:val="TableContents"/>
              <w:spacing w:before="0" w:after="283"/>
              <w:rPr/>
            </w:pPr>
            <w:r>
              <w:rPr/>
              <w:t> </w:t>
            </w:r>
          </w:p>
        </w:tc>
        <w:tc>
          <w:tcPr>
            <w:tcW w:w="6736" w:type="dxa"/>
            <w:gridSpan w:val="7"/>
            <w:tcBorders/>
            <w:shd w:fill="auto" w:val="clear"/>
          </w:tcPr>
          <w:p>
            <w:pPr>
              <w:pStyle w:val="TableContents"/>
              <w:spacing w:before="0" w:after="283"/>
              <w:jc w:val="left"/>
              <w:rPr/>
            </w:pPr>
            <w:r>
              <w:rPr/>
              <w:t>Plains AAP, L.P., its general partner</w:t>
            </w:r>
          </w:p>
        </w:tc>
      </w:tr>
      <w:tr>
        <w:trPr/>
        <w:tc>
          <w:tcPr>
            <w:tcW w:w="1923" w:type="dxa"/>
            <w:tcBorders/>
            <w:shd w:fill="auto" w:val="clear"/>
          </w:tcPr>
          <w:p>
            <w:pPr>
              <w:pStyle w:val="TableContents"/>
              <w:spacing w:before="0" w:after="0"/>
              <w:ind w:left="0" w:right="0" w:hanging="0"/>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4577" w:type="dxa"/>
            <w:tcBorders/>
            <w:shd w:fill="auto" w:val="clear"/>
          </w:tcPr>
          <w:p>
            <w:pPr>
              <w:pStyle w:val="TableContents"/>
              <w:spacing w:before="0" w:after="283"/>
              <w:jc w:val="left"/>
              <w:rPr/>
            </w:pPr>
            <w:r>
              <w:rPr/>
              <w:t> </w:t>
            </w:r>
          </w:p>
        </w:tc>
      </w:tr>
      <w:tr>
        <w:trPr/>
        <w:tc>
          <w:tcPr>
            <w:tcW w:w="1923" w:type="dxa"/>
            <w:tcBorders/>
            <w:shd w:fill="auto" w:val="clea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By:</w:t>
            </w:r>
          </w:p>
        </w:tc>
        <w:tc>
          <w:tcPr>
            <w:tcW w:w="96" w:type="dxa"/>
            <w:tcBorders/>
            <w:shd w:fill="auto" w:val="clear"/>
            <w:vAlign w:val="bottom"/>
          </w:tcPr>
          <w:p>
            <w:pPr>
              <w:pStyle w:val="TableContents"/>
              <w:spacing w:before="0" w:after="283"/>
              <w:rPr/>
            </w:pPr>
            <w:r>
              <w:rPr/>
              <w:t> </w:t>
            </w:r>
          </w:p>
        </w:tc>
        <w:tc>
          <w:tcPr>
            <w:tcW w:w="6307" w:type="dxa"/>
            <w:gridSpan w:val="5"/>
            <w:tcBorders/>
            <w:shd w:fill="auto" w:val="clear"/>
          </w:tcPr>
          <w:p>
            <w:pPr>
              <w:pStyle w:val="TableContents"/>
              <w:spacing w:before="0" w:after="283"/>
              <w:jc w:val="left"/>
              <w:rPr/>
            </w:pPr>
            <w:r>
              <w:rPr/>
              <w:t>Plains All American GP LLC, its general partner</w:t>
            </w:r>
          </w:p>
        </w:tc>
      </w:tr>
      <w:tr>
        <w:trPr/>
        <w:tc>
          <w:tcPr>
            <w:tcW w:w="1923" w:type="dxa"/>
            <w:tcBorders/>
            <w:shd w:fill="auto" w:val="clear"/>
          </w:tcPr>
          <w:p>
            <w:pPr>
              <w:pStyle w:val="TableContents"/>
              <w:spacing w:before="0" w:after="0"/>
              <w:ind w:left="0" w:right="0" w:hanging="0"/>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233" w:type="dxa"/>
            <w:tcBorders/>
            <w:shd w:fill="auto" w:val="clear"/>
          </w:tcPr>
          <w:p>
            <w:pPr>
              <w:pStyle w:val="TableContents"/>
              <w:spacing w:before="0" w:after="283"/>
              <w:jc w:val="left"/>
              <w:rPr/>
            </w:pPr>
            <w:r>
              <w:rPr/>
              <w:t> </w:t>
            </w:r>
          </w:p>
        </w:tc>
        <w:tc>
          <w:tcPr>
            <w:tcW w:w="233" w:type="dxa"/>
            <w:tcBorders/>
            <w:shd w:fill="auto" w:val="clear"/>
            <w:vAlign w:val="bottom"/>
          </w:tcPr>
          <w:p>
            <w:pPr>
              <w:pStyle w:val="TableContents"/>
              <w:spacing w:before="0" w:after="283"/>
              <w:rPr/>
            </w:pPr>
            <w:r>
              <w:rPr/>
              <w:t> </w:t>
            </w:r>
          </w:p>
        </w:tc>
        <w:tc>
          <w:tcPr>
            <w:tcW w:w="4577" w:type="dxa"/>
            <w:tcBorders/>
            <w:shd w:fill="auto" w:val="clear"/>
          </w:tcPr>
          <w:p>
            <w:pPr>
              <w:pStyle w:val="TableContents"/>
              <w:spacing w:before="0" w:after="283"/>
              <w:jc w:val="left"/>
              <w:rPr/>
            </w:pPr>
            <w:r>
              <w:rPr/>
              <w:t> </w:t>
            </w:r>
          </w:p>
        </w:tc>
      </w:tr>
      <w:tr>
        <w:trPr/>
        <w:tc>
          <w:tcPr>
            <w:tcW w:w="1923" w:type="dxa"/>
            <w:tcBorders/>
            <w:shd w:fill="auto" w:val="clea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By:</w:t>
            </w:r>
          </w:p>
        </w:tc>
        <w:tc>
          <w:tcPr>
            <w:tcW w:w="233" w:type="dxa"/>
            <w:tcBorders/>
            <w:shd w:fill="auto" w:val="clear"/>
            <w:vAlign w:val="bottom"/>
          </w:tcPr>
          <w:p>
            <w:pPr>
              <w:pStyle w:val="TableContents"/>
              <w:spacing w:before="0" w:after="283"/>
              <w:rPr/>
            </w:pPr>
            <w:r>
              <w:rPr/>
              <w:t> </w:t>
            </w:r>
          </w:p>
        </w:tc>
        <w:tc>
          <w:tcPr>
            <w:tcW w:w="5043" w:type="dxa"/>
            <w:gridSpan w:val="3"/>
            <w:tcBorders/>
            <w:shd w:fill="auto" w:val="clear"/>
          </w:tcPr>
          <w:p>
            <w:pPr>
              <w:pStyle w:val="TableContents"/>
              <w:spacing w:before="0" w:after="283"/>
              <w:jc w:val="left"/>
              <w:rPr/>
            </w:pPr>
            <w:r>
              <w:rPr/>
              <w:t>/s/ Tim Moore</w:t>
            </w:r>
          </w:p>
        </w:tc>
      </w:tr>
      <w:tr>
        <w:trPr/>
        <w:tc>
          <w:tcPr>
            <w:tcW w:w="1923" w:type="dxa"/>
            <w:tcBorders/>
            <w:shd w:fill="auto" w:val="clea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center"/>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center"/>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c>
          <w:tcPr>
            <w:tcW w:w="233" w:type="dxa"/>
            <w:tcBorders/>
            <w:shd w:fill="auto" w:val="clear"/>
            <w:vAlign w:val="center"/>
          </w:tcPr>
          <w:p>
            <w:pPr>
              <w:pStyle w:val="TableContents"/>
              <w:spacing w:before="0" w:after="283"/>
              <w:rPr/>
            </w:pPr>
            <w:r>
              <w:rPr/>
              <w:t> </w:t>
            </w:r>
          </w:p>
        </w:tc>
        <w:tc>
          <w:tcPr>
            <w:tcW w:w="5043"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1923" w:type="dxa"/>
            <w:tcBorders/>
            <w:shd w:fill="auto" w:val="clea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497" w:type="dxa"/>
            <w:gridSpan w:val="3"/>
            <w:tcBorders/>
            <w:shd w:fill="auto" w:val="clear"/>
          </w:tcPr>
          <w:p>
            <w:pPr>
              <w:pStyle w:val="TableContents"/>
              <w:spacing w:before="0" w:after="283"/>
              <w:jc w:val="left"/>
              <w:rPr/>
            </w:pPr>
            <w:r>
              <w:rPr/>
              <w:t>Name:</w:t>
            </w:r>
          </w:p>
        </w:tc>
        <w:tc>
          <w:tcPr>
            <w:tcW w:w="233" w:type="dxa"/>
            <w:tcBorders/>
            <w:shd w:fill="auto" w:val="clear"/>
            <w:vAlign w:val="bottom"/>
          </w:tcPr>
          <w:p>
            <w:pPr>
              <w:pStyle w:val="TableContents"/>
              <w:spacing w:before="0" w:after="283"/>
              <w:rPr/>
            </w:pPr>
            <w:r>
              <w:rPr/>
              <w:t> </w:t>
            </w:r>
          </w:p>
        </w:tc>
        <w:tc>
          <w:tcPr>
            <w:tcW w:w="4577" w:type="dxa"/>
            <w:tcBorders/>
            <w:shd w:fill="auto" w:val="clear"/>
          </w:tcPr>
          <w:p>
            <w:pPr>
              <w:pStyle w:val="TableContents"/>
              <w:spacing w:before="0" w:after="283"/>
              <w:jc w:val="left"/>
              <w:rPr/>
            </w:pPr>
            <w:r>
              <w:rPr/>
              <w:t>Tim Moore</w:t>
            </w:r>
          </w:p>
        </w:tc>
      </w:tr>
      <w:tr>
        <w:trPr/>
        <w:tc>
          <w:tcPr>
            <w:tcW w:w="1923" w:type="dxa"/>
            <w:tcBorders/>
            <w:shd w:fill="auto" w:val="clear"/>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497" w:type="dxa"/>
            <w:gridSpan w:val="3"/>
            <w:tcBorders/>
            <w:shd w:fill="auto" w:val="clear"/>
          </w:tcPr>
          <w:p>
            <w:pPr>
              <w:pStyle w:val="TableContents"/>
              <w:spacing w:before="0" w:after="283"/>
              <w:jc w:val="left"/>
              <w:rPr/>
            </w:pPr>
            <w:r>
              <w:rPr/>
              <w:t>Title:</w:t>
            </w:r>
          </w:p>
        </w:tc>
        <w:tc>
          <w:tcPr>
            <w:tcW w:w="233" w:type="dxa"/>
            <w:tcBorders/>
            <w:shd w:fill="auto" w:val="clear"/>
            <w:vAlign w:val="bottom"/>
          </w:tcPr>
          <w:p>
            <w:pPr>
              <w:pStyle w:val="TableContents"/>
              <w:spacing w:before="0" w:after="283"/>
              <w:rPr/>
            </w:pPr>
            <w:r>
              <w:rPr/>
              <w:t> </w:t>
            </w:r>
          </w:p>
        </w:tc>
        <w:tc>
          <w:tcPr>
            <w:tcW w:w="4577" w:type="dxa"/>
            <w:tcBorders/>
            <w:shd w:fill="auto" w:val="clear"/>
          </w:tcPr>
          <w:p>
            <w:pPr>
              <w:pStyle w:val="TableContents"/>
              <w:spacing w:before="0" w:after="283"/>
              <w:jc w:val="left"/>
              <w:rPr/>
            </w:pPr>
            <w:r>
              <w:rPr/>
              <w:t>Vice President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October 30, 2006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7" w:name="004"/>
      <w:bookmarkEnd w:id="7"/>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1090"/>
        <w:gridCol w:w="204"/>
        <w:gridCol w:w="8911"/>
      </w:tblGrid>
      <w:tr>
        <w:trPr/>
        <w:tc>
          <w:tcPr>
            <w:tcW w:w="109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vAlign w:val="bottom"/>
          </w:tcPr>
          <w:p>
            <w:pPr>
              <w:pStyle w:val="TableContents"/>
              <w:spacing w:before="0" w:after="283"/>
              <w:rPr/>
            </w:pPr>
            <w:r>
              <w:rPr/>
              <w:t> </w:t>
            </w:r>
          </w:p>
        </w:tc>
      </w:tr>
      <w:tr>
        <w:trPr/>
        <w:tc>
          <w:tcPr>
            <w:tcW w:w="1090" w:type="dxa"/>
            <w:tcBorders/>
            <w:shd w:fill="auto" w:val="clear"/>
          </w:tcPr>
          <w:p>
            <w:pPr>
              <w:pStyle w:val="TableContents"/>
              <w:spacing w:before="0" w:after="0"/>
              <w:ind w:left="0" w:right="0" w:hanging="0"/>
              <w:rPr/>
            </w:pPr>
            <w:r>
              <w:rPr/>
              <w:t xml:space="preserve">Exhibit 4.1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Ninth Supplemental Indenture, dated as of October 30, 2006, to Indenture, dated as of September 25, 2002, among Plains All American Pipeline, L.P., PAA Finance Corp. and subsidiary guarantors signatory thereto and U.S. Bank National Association, as trustee.</w:t>
            </w:r>
          </w:p>
        </w:tc>
      </w:tr>
      <w:tr>
        <w:trPr/>
        <w:tc>
          <w:tcPr>
            <w:tcW w:w="1090"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 </w:t>
            </w:r>
          </w:p>
        </w:tc>
      </w:tr>
      <w:tr>
        <w:trPr/>
        <w:tc>
          <w:tcPr>
            <w:tcW w:w="1090" w:type="dxa"/>
            <w:tcBorders/>
            <w:shd w:fill="auto" w:val="clear"/>
          </w:tcPr>
          <w:p>
            <w:pPr>
              <w:pStyle w:val="TableContents"/>
              <w:spacing w:before="0" w:after="0"/>
              <w:ind w:left="0" w:right="0" w:hanging="0"/>
              <w:rPr/>
            </w:pPr>
            <w:r>
              <w:rPr/>
              <w:t xml:space="preserve">Exhibit 4.2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Tenth Supplemental Indenture, dated as of October 30, 2006, to Indenture, dated as of September 25, 2002, among Plains All American Pipeline, L.P., PAA Finance Corp. and subsidiary guarantors signatory thereto and U.S. Bank National Association, as trustee.</w:t>
            </w:r>
          </w:p>
        </w:tc>
      </w:tr>
      <w:tr>
        <w:trPr/>
        <w:tc>
          <w:tcPr>
            <w:tcW w:w="1090"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 </w:t>
            </w:r>
          </w:p>
        </w:tc>
      </w:tr>
      <w:tr>
        <w:trPr/>
        <w:tc>
          <w:tcPr>
            <w:tcW w:w="1090" w:type="dxa"/>
            <w:tcBorders/>
            <w:shd w:fill="auto" w:val="clear"/>
          </w:tcPr>
          <w:p>
            <w:pPr>
              <w:pStyle w:val="TableContents"/>
              <w:spacing w:before="0" w:after="0"/>
              <w:ind w:left="0" w:right="0" w:hanging="0"/>
              <w:rPr/>
            </w:pPr>
            <w:r>
              <w:rPr/>
              <w:t xml:space="preserve">Exhibit 4.3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w:t>
            </w:r>
          </w:p>
        </w:tc>
      </w:tr>
      <w:tr>
        <w:trPr/>
        <w:tc>
          <w:tcPr>
            <w:tcW w:w="1090"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 </w:t>
            </w:r>
          </w:p>
        </w:tc>
      </w:tr>
      <w:tr>
        <w:trPr/>
        <w:tc>
          <w:tcPr>
            <w:tcW w:w="1090" w:type="dxa"/>
            <w:tcBorders/>
            <w:shd w:fill="auto" w:val="clear"/>
          </w:tcPr>
          <w:p>
            <w:pPr>
              <w:pStyle w:val="TableContents"/>
              <w:spacing w:before="0" w:after="0"/>
              <w:ind w:left="0" w:right="0" w:hanging="0"/>
              <w:rPr/>
            </w:pPr>
            <w:r>
              <w:rPr/>
              <w:t xml:space="preserve">Exhibit 4.4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w:t>
            </w:r>
          </w:p>
        </w:tc>
      </w:tr>
      <w:tr>
        <w:trPr/>
        <w:tc>
          <w:tcPr>
            <w:tcW w:w="1090"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8911" w:type="dxa"/>
            <w:tcBorders/>
            <w:shd w:fill="auto" w:val="clear"/>
          </w:tcPr>
          <w:p>
            <w:pPr>
              <w:pStyle w:val="TableContents"/>
              <w:spacing w:before="0" w:after="283"/>
              <w:jc w:val="left"/>
              <w:rPr/>
            </w:pPr>
            <w:r>
              <w:rPr/>
              <w:t> </w:t>
            </w:r>
          </w:p>
        </w:tc>
      </w:tr>
    </w:tbl>
    <w:p>
      <w:pPr>
        <w:pStyle w:val="Heading5"/>
        <w:jc w:val="left"/>
        <w:rPr/>
      </w:pPr>
      <w:r>
        <w:br w:type="page"/>
      </w:r>
      <w:bookmarkStart w:id="8" w:name="h40667exv4w1.htm"/>
      <w:bookmarkStart w:id="9" w:name="ksh40667exv4w1"/>
      <w:bookmarkEnd w:id="8"/>
      <w:bookmarkEnd w:id="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Execution Version</w:t>
      </w:r>
      <w:r>
        <w:rPr>
          <w:rFonts w:ascii="Times New Roman;Times;serif" w:hAnsi="Times New Roman;Times;serif"/>
          <w:sz w:val="17"/>
        </w:rPr>
        <w:t xml:space="preserve"> </w:t>
      </w:r>
    </w:p>
    <w:p>
      <w:pPr>
        <w:pStyle w:val="TextBody"/>
        <w:spacing w:before="360" w:after="283"/>
        <w:jc w:val="center"/>
        <w:rPr>
          <w:bdr w:val="double" w:sz="6" w:space="1" w:color="000000"/>
        </w:rPr>
      </w:pPr>
      <w:r>
        <w:rPr>
          <w:bdr w:val="double" w:sz="6"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PLAINS ALL AMERICAN PIPELINE, L.P.</w:t>
        <w:br/>
        <w:t>PAA FINANCE CORP.</w:t>
        <w:br/>
        <w:t xml:space="preserve">as Issuers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and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THE SUBSIDIARY GUARANTORS NAMED HEREIN</w:t>
        <w:br/>
        <w:t xml:space="preserve">as Guarantors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$400,000,000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SERIES A AND SERIES B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6.125% SENIOR NOTES DUE 2017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NINTH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SUPPLEMENTAL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INDENTURE </w:t>
      </w:r>
    </w:p>
    <w:p>
      <w:pPr>
        <w:pStyle w:val="TextBody"/>
        <w:spacing w:before="320" w:after="283"/>
        <w:jc w:val="center"/>
        <w:rPr>
          <w:bdr w:val="single" w:sz="2" w:space="1" w:color="000000"/>
        </w:rPr>
      </w:pPr>
      <w:r>
        <w:rPr>
          <w:bdr w:val="single" w:sz="2" w:space="1" w:color="000000"/>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Dated as of October 30, 2006</w:t>
      </w:r>
    </w:p>
    <w:p>
      <w:pPr>
        <w:pStyle w:val="TextBody"/>
        <w:spacing w:before="320" w:after="283"/>
        <w:jc w:val="center"/>
        <w:rPr>
          <w:bdr w:val="single" w:sz="2" w:space="1" w:color="000000"/>
        </w:rPr>
      </w:pPr>
      <w:r>
        <w:rPr>
          <w:bdr w:val="single" w:sz="2" w:space="1" w:color="000000"/>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U.S. BANK NATIONAL ASSOCIATION</w:t>
        <w:br/>
        <w:t xml:space="preserve">as Trustee </w:t>
      </w:r>
    </w:p>
    <w:p>
      <w:pPr>
        <w:pStyle w:val="TextBody"/>
        <w:spacing w:before="360" w:after="283"/>
        <w:jc w:val="center"/>
        <w:rPr>
          <w:bdr w:val="double" w:sz="6" w:space="1" w:color="000000"/>
        </w:rPr>
      </w:pPr>
      <w:r>
        <w:rPr>
          <w:bdr w:val="double" w:sz="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83"/>
        <w:gridCol w:w="510"/>
        <w:gridCol w:w="101"/>
        <w:gridCol w:w="510"/>
        <w:gridCol w:w="101"/>
      </w:tblGrid>
      <w:tr>
        <w:trPr/>
        <w:tc>
          <w:tcPr>
            <w:tcW w:w="8983"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I</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1.01. Establishment</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II DEFINITIONS AND INCORPORATION BY REFERENCE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2.01. Definitions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2.02. Other Definitions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III THE NOTES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3.01. Form</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8</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3.02. Issuance of Additional Notes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3.03. Transfer of Transfer Restricted Securities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9</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3.04. Restrictive Legends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IV REDEMPTION AND PREPAYMENT</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4.01. Optional Redemption</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4.02. Special Mandatory Redemption</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V COVENANTS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5.01. Compliance Certificate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5.02. Limitations on Liens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14</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5.03. Restriction of Sale-Leaseback Transactions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15</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5.04. SEC Reports; Financial Statements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16</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5.05. Additional Subsidiary Guarantees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VI SUCCESSORS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6.01. Consolidation and Mergers of the Issuers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6.02. Rights and Duties of Successor</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17</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6.03. Supplemental Indenture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VII DEFAULTS AND REMEDIES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7.01. Events of Default</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18</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VIII LEGAL DEFEASANCE AND COVENANT DEFEASANCE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8.01. Option to Effect Legal Defeasance or Covenant Defeasance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8.02. Legal Defeasance and Discharge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20</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8.03. Covenant Defeasance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8.04. Conditions to Legal or Covenant Defeasance</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21</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8.05. Deposited Money and U.S. Government Obligations to be Held in Trust; Other Miscellaneous Provisions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22</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8.06. Repayment to Issuers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8.07. Reinstatement</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IX SUBSIDIARY GUARANTEES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9.01. Subsidiary Guarantees</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pPr>
            <w:r>
              <w:rPr/>
              <w:t>23</w:t>
            </w:r>
          </w:p>
        </w:tc>
        <w:tc>
          <w:tcPr>
            <w:tcW w:w="101"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TableContents"/>
              <w:spacing w:before="0" w:after="283"/>
              <w:jc w:val="center"/>
              <w:rPr/>
            </w:pPr>
            <w:r>
              <w:rPr/>
              <w:t> </w:t>
            </w:r>
            <w:r>
              <w:rPr/>
              <w:t>-i-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8983"/>
        <w:gridCol w:w="509"/>
        <w:gridCol w:w="102"/>
        <w:gridCol w:w="509"/>
        <w:gridCol w:w="102"/>
      </w:tblGrid>
      <w:tr>
        <w:trPr/>
        <w:tc>
          <w:tcPr>
            <w:tcW w:w="898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9.02. Limitation on Liability</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9.03. Successors and Assigns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9.04. No Waiver</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25</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9.05. Modification</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26</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9.06. Execution of Supplemental Indenture for Future Subsidiary Guarantors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26</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9.07. Release of Guarantee</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26</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225" w:right="0" w:hanging="225"/>
              <w:rPr/>
            </w:pPr>
            <w:r>
              <w:rPr/>
              <w:t>ARTICLE X MISCELLANEOUS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10.01. Additional Amendments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10.02. Integral Part</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10.03. Adoption, Ratification and Confirmation</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10.04. Counterparts</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r>
        <w:trPr/>
        <w:tc>
          <w:tcPr>
            <w:tcW w:w="8983" w:type="dxa"/>
            <w:tcBorders/>
            <w:shd w:fill="auto" w:val="clear"/>
            <w:vAlign w:val="bottom"/>
          </w:tcPr>
          <w:p>
            <w:pPr>
              <w:pStyle w:val="TableContents"/>
              <w:spacing w:before="0" w:after="0"/>
              <w:ind w:left="450" w:right="0" w:hanging="225"/>
              <w:rPr/>
            </w:pPr>
            <w:r>
              <w:rPr/>
              <w:t>Section 10.05. Governing Law</w:t>
            </w:r>
          </w:p>
        </w:tc>
        <w:tc>
          <w:tcPr>
            <w:tcW w:w="509"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27</w:t>
            </w:r>
          </w:p>
        </w:tc>
        <w:tc>
          <w:tcPr>
            <w:tcW w:w="102"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28"/>
        <w:gridCol w:w="204"/>
        <w:gridCol w:w="8973"/>
      </w:tblGrid>
      <w:tr>
        <w:trPr/>
        <w:tc>
          <w:tcPr>
            <w:tcW w:w="10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973" w:type="dxa"/>
            <w:tcBorders/>
            <w:shd w:fill="auto" w:val="clear"/>
            <w:vAlign w:val="bottom"/>
          </w:tcPr>
          <w:p>
            <w:pPr>
              <w:pStyle w:val="TableContents"/>
              <w:spacing w:before="0" w:after="283"/>
              <w:rPr/>
            </w:pPr>
            <w:r>
              <w:rPr/>
              <w:t> </w:t>
            </w:r>
          </w:p>
        </w:tc>
      </w:tr>
      <w:tr>
        <w:trPr/>
        <w:tc>
          <w:tcPr>
            <w:tcW w:w="1028" w:type="dxa"/>
            <w:tcBorders/>
            <w:shd w:fill="auto" w:val="clear"/>
          </w:tcPr>
          <w:p>
            <w:pPr>
              <w:pStyle w:val="TableContents"/>
              <w:spacing w:before="0" w:after="0"/>
              <w:ind w:left="0" w:right="0" w:hanging="0"/>
              <w:rPr/>
            </w:pPr>
            <w:r>
              <w:rPr/>
              <w:t xml:space="preserve">EXHIBIT A: </w:t>
            </w:r>
          </w:p>
        </w:tc>
        <w:tc>
          <w:tcPr>
            <w:tcW w:w="204" w:type="dxa"/>
            <w:tcBorders/>
            <w:shd w:fill="auto" w:val="clear"/>
            <w:vAlign w:val="bottom"/>
          </w:tcPr>
          <w:p>
            <w:pPr>
              <w:pStyle w:val="TableContents"/>
              <w:spacing w:before="0" w:after="283"/>
              <w:rPr/>
            </w:pPr>
            <w:r>
              <w:rPr/>
              <w:t> </w:t>
            </w:r>
          </w:p>
        </w:tc>
        <w:tc>
          <w:tcPr>
            <w:tcW w:w="8973" w:type="dxa"/>
            <w:tcBorders/>
            <w:shd w:fill="auto" w:val="clear"/>
          </w:tcPr>
          <w:p>
            <w:pPr>
              <w:pStyle w:val="TableContents"/>
              <w:spacing w:before="0" w:after="283"/>
              <w:jc w:val="left"/>
              <w:rPr/>
            </w:pPr>
            <w:r>
              <w:rPr/>
              <w:t>Form of Note</w:t>
            </w:r>
          </w:p>
        </w:tc>
      </w:tr>
      <w:tr>
        <w:trPr/>
        <w:tc>
          <w:tcPr>
            <w:tcW w:w="1028" w:type="dxa"/>
            <w:tcBorders/>
            <w:shd w:fill="auto" w:val="clear"/>
          </w:tcPr>
          <w:p>
            <w:pPr>
              <w:pStyle w:val="TableContents"/>
              <w:spacing w:before="0" w:after="0"/>
              <w:ind w:left="0" w:right="0" w:hanging="0"/>
              <w:rPr/>
            </w:pPr>
            <w:r>
              <w:rPr/>
              <w:t xml:space="preserve">EXHIBIT B: </w:t>
            </w:r>
          </w:p>
        </w:tc>
        <w:tc>
          <w:tcPr>
            <w:tcW w:w="204" w:type="dxa"/>
            <w:tcBorders/>
            <w:shd w:fill="auto" w:val="clear"/>
            <w:vAlign w:val="bottom"/>
          </w:tcPr>
          <w:p>
            <w:pPr>
              <w:pStyle w:val="TableContents"/>
              <w:spacing w:before="0" w:after="283"/>
              <w:rPr/>
            </w:pPr>
            <w:r>
              <w:rPr/>
              <w:t> </w:t>
            </w:r>
          </w:p>
        </w:tc>
        <w:tc>
          <w:tcPr>
            <w:tcW w:w="8973" w:type="dxa"/>
            <w:tcBorders/>
            <w:shd w:fill="auto" w:val="clear"/>
          </w:tcPr>
          <w:p>
            <w:pPr>
              <w:pStyle w:val="TableContents"/>
              <w:spacing w:before="0" w:after="283"/>
              <w:jc w:val="left"/>
              <w:rPr/>
            </w:pPr>
            <w:r>
              <w:rPr/>
              <w:t>Form of Supplemental Indenture</w:t>
            </w:r>
          </w:p>
        </w:tc>
      </w:tr>
      <w:tr>
        <w:trPr/>
        <w:tc>
          <w:tcPr>
            <w:tcW w:w="1028" w:type="dxa"/>
            <w:tcBorders/>
            <w:shd w:fill="auto" w:val="clear"/>
          </w:tcPr>
          <w:p>
            <w:pPr>
              <w:pStyle w:val="TableContents"/>
              <w:spacing w:before="0" w:after="0"/>
              <w:ind w:left="0" w:right="0" w:hanging="0"/>
              <w:rPr/>
            </w:pPr>
            <w:r>
              <w:rPr/>
              <w:t xml:space="preserve">EXHIBIT C: </w:t>
            </w:r>
          </w:p>
        </w:tc>
        <w:tc>
          <w:tcPr>
            <w:tcW w:w="204" w:type="dxa"/>
            <w:tcBorders/>
            <w:shd w:fill="auto" w:val="clear"/>
            <w:vAlign w:val="bottom"/>
          </w:tcPr>
          <w:p>
            <w:pPr>
              <w:pStyle w:val="TableContents"/>
              <w:spacing w:before="0" w:after="283"/>
              <w:rPr/>
            </w:pPr>
            <w:r>
              <w:rPr/>
              <w:t> </w:t>
            </w:r>
          </w:p>
        </w:tc>
        <w:tc>
          <w:tcPr>
            <w:tcW w:w="8973" w:type="dxa"/>
            <w:tcBorders/>
            <w:shd w:fill="auto" w:val="clear"/>
          </w:tcPr>
          <w:p>
            <w:pPr>
              <w:pStyle w:val="TableContents"/>
              <w:spacing w:before="0" w:after="283"/>
              <w:jc w:val="left"/>
              <w:rPr/>
            </w:pPr>
            <w:r>
              <w:rPr/>
              <w:t>Certificate to be Delivered Upon Exchange or Registration of Transfer of Securities Pursuant to Rule 144A or Rule 501</w:t>
            </w:r>
          </w:p>
        </w:tc>
      </w:tr>
      <w:tr>
        <w:trPr/>
        <w:tc>
          <w:tcPr>
            <w:tcW w:w="1028" w:type="dxa"/>
            <w:tcBorders/>
            <w:shd w:fill="auto" w:val="clear"/>
          </w:tcPr>
          <w:p>
            <w:pPr>
              <w:pStyle w:val="TableContents"/>
              <w:spacing w:before="0" w:after="0"/>
              <w:ind w:left="0" w:right="0" w:hanging="0"/>
              <w:rPr/>
            </w:pPr>
            <w:r>
              <w:rPr/>
              <w:t xml:space="preserve">EXHIBIT D: </w:t>
            </w:r>
          </w:p>
        </w:tc>
        <w:tc>
          <w:tcPr>
            <w:tcW w:w="204" w:type="dxa"/>
            <w:tcBorders/>
            <w:shd w:fill="auto" w:val="clear"/>
            <w:vAlign w:val="bottom"/>
          </w:tcPr>
          <w:p>
            <w:pPr>
              <w:pStyle w:val="TableContents"/>
              <w:spacing w:before="0" w:after="283"/>
              <w:rPr/>
            </w:pPr>
            <w:r>
              <w:rPr/>
              <w:t> </w:t>
            </w:r>
          </w:p>
        </w:tc>
        <w:tc>
          <w:tcPr>
            <w:tcW w:w="8973" w:type="dxa"/>
            <w:tcBorders/>
            <w:shd w:fill="auto" w:val="clear"/>
          </w:tcPr>
          <w:p>
            <w:pPr>
              <w:pStyle w:val="TableContents"/>
              <w:spacing w:before="0" w:after="283"/>
              <w:jc w:val="left"/>
              <w:rPr/>
            </w:pPr>
            <w:r>
              <w:rPr/>
              <w:t>Transferee Letter of Representations</w:t>
            </w:r>
          </w:p>
        </w:tc>
      </w:tr>
      <w:tr>
        <w:trPr/>
        <w:tc>
          <w:tcPr>
            <w:tcW w:w="1028" w:type="dxa"/>
            <w:tcBorders/>
            <w:shd w:fill="auto" w:val="clear"/>
          </w:tcPr>
          <w:p>
            <w:pPr>
              <w:pStyle w:val="TableContents"/>
              <w:spacing w:before="0" w:after="0"/>
              <w:ind w:left="0" w:right="0" w:hanging="0"/>
              <w:rPr/>
            </w:pPr>
            <w:r>
              <w:rPr/>
              <w:t xml:space="preserve">EXHIBIT E: </w:t>
            </w:r>
          </w:p>
        </w:tc>
        <w:tc>
          <w:tcPr>
            <w:tcW w:w="204" w:type="dxa"/>
            <w:tcBorders/>
            <w:shd w:fill="auto" w:val="clear"/>
            <w:vAlign w:val="bottom"/>
          </w:tcPr>
          <w:p>
            <w:pPr>
              <w:pStyle w:val="TableContents"/>
              <w:spacing w:before="0" w:after="283"/>
              <w:rPr/>
            </w:pPr>
            <w:r>
              <w:rPr/>
              <w:t> </w:t>
            </w:r>
          </w:p>
        </w:tc>
        <w:tc>
          <w:tcPr>
            <w:tcW w:w="8973" w:type="dxa"/>
            <w:tcBorders/>
            <w:shd w:fill="auto" w:val="clear"/>
          </w:tcPr>
          <w:p>
            <w:pPr>
              <w:pStyle w:val="TableContents"/>
              <w:spacing w:before="0" w:after="283"/>
              <w:jc w:val="left"/>
              <w:rPr/>
            </w:pPr>
            <w:r>
              <w:rPr/>
              <w:t>Certificate to be Delivered Upon Exchange or Registration of Transfer of Securities Pursuant to Regulation S</w:t>
            </w:r>
          </w:p>
        </w:tc>
      </w:tr>
    </w:tbl>
    <w:p>
      <w:pPr>
        <w:pStyle w:val="TextBody"/>
        <w:spacing w:before="360" w:after="283"/>
        <w:jc w:val="center"/>
        <w:rPr/>
      </w:pPr>
      <w:r>
        <w:rPr/>
        <w:t> </w:t>
      </w:r>
      <w:r>
        <w:rPr>
          <w:rFonts w:ascii="Times New Roman;Times;serif" w:hAnsi="Times New Roman;Times;serif"/>
          <w:sz w:val="17"/>
        </w:rPr>
        <w:t xml:space="preserve">-ii-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NINTH SUPPLEMENTAL INDENTURE dated as of October 30, 2006 (this Supplemental Indenture) among PLAINS ALL AMERICAN PIPELINE, L.P., a Delaware limited partnership (the Partnership), PAA FINANCE CORP., a wholly owned subsidiary of the Partnership and a Delaware corporation (PAA Finance and, together with the Partnership, the Issuers), and the subsidiary guarantors signatory hereto (the Subsidiary Guarantors), and U.S. BANK NATIONAL ASSOCIATION, as trustee (the Trustee).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20" w:after="283"/>
        <w:jc w:val="left"/>
        <w:rPr/>
      </w:pPr>
      <w:r>
        <w:rPr/>
        <w:t>          </w:t>
      </w:r>
      <w:r>
        <w:rPr>
          <w:rFonts w:ascii="Times New Roman;Times;serif" w:hAnsi="Times New Roman;Times;serif"/>
          <w:sz w:val="17"/>
        </w:rPr>
        <w:t xml:space="preserve">WHEREAS, the Original Indenture, as supplemented by this Supplemental Indenture, is herein called the Indenture; </w:t>
      </w:r>
    </w:p>
    <w:p>
      <w:pPr>
        <w:pStyle w:val="TextBody"/>
        <w:spacing w:before="120" w:after="283"/>
        <w:jc w:val="left"/>
        <w:rPr/>
      </w:pPr>
      <w:r>
        <w:rPr/>
        <w:t>          </w:t>
      </w:r>
      <w:r>
        <w:rPr>
          <w:rFonts w:ascii="Times New Roman;Times;serif" w:hAnsi="Times New Roman;Times;serif"/>
          <w:sz w:val="17"/>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20" w:after="283"/>
        <w:jc w:val="left"/>
        <w:rPr/>
      </w:pPr>
      <w:r>
        <w:rPr/>
        <w:t>          </w:t>
      </w:r>
      <w:r>
        <w:rPr>
          <w:rFonts w:ascii="Times New Roman;Times;serif" w:hAnsi="Times New Roman;Times;serif"/>
          <w:sz w:val="17"/>
        </w:rPr>
        <w:t xml:space="preserve">WHEREAS, also under the Original Indenture, guarantors with respect to a series of Debt Securities may be added as parties to the Indenture by a supplemental indenture executed by themselves, the Issuers and the Trustee; </w:t>
      </w:r>
    </w:p>
    <w:p>
      <w:pPr>
        <w:pStyle w:val="TextBody"/>
        <w:spacing w:before="120" w:after="283"/>
        <w:jc w:val="left"/>
        <w:rPr/>
      </w:pPr>
      <w:r>
        <w:rPr/>
        <w:t>          </w:t>
      </w:r>
      <w:r>
        <w:rPr>
          <w:rFonts w:ascii="Times New Roman;Times;serif" w:hAnsi="Times New Roman;Times;serif"/>
          <w:sz w:val="17"/>
        </w:rPr>
        <w:t xml:space="preserve">WHEREAS, the Issuers propose to create under the Indenture a new series of Debt Securities, such series to be guaranteed by the Subsidiary Guarantors; </w:t>
      </w:r>
    </w:p>
    <w:p>
      <w:pPr>
        <w:pStyle w:val="TextBody"/>
        <w:spacing w:before="120" w:after="283"/>
        <w:jc w:val="left"/>
        <w:rPr/>
      </w:pPr>
      <w:r>
        <w:rPr/>
        <w:t>          </w:t>
      </w:r>
      <w:r>
        <w:rPr>
          <w:rFonts w:ascii="Times New Roman;Times;serif" w:hAnsi="Times New Roman;Times;serif"/>
          <w:sz w:val="17"/>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20" w:after="283"/>
        <w:jc w:val="left"/>
        <w:rPr/>
      </w:pPr>
      <w:r>
        <w:rPr/>
        <w:t>          </w:t>
      </w:r>
      <w:r>
        <w:rPr>
          <w:rFonts w:ascii="Times New Roman;Times;serif" w:hAnsi="Times New Roman;Times;serif"/>
          <w:sz w:val="17"/>
        </w:rPr>
        <w:t xml:space="preserve">WHEREAS, all conditions necessary to authorize the execution and delivery of this Supplemental Indenture and to make it a valid and binding obligation of the Issuers and the Subsidiary Guarantors have been done or performed. </w:t>
      </w:r>
    </w:p>
    <w:p>
      <w:pPr>
        <w:pStyle w:val="TextBody"/>
        <w:spacing w:before="120" w:after="283"/>
        <w:jc w:val="left"/>
        <w:rPr/>
      </w:pPr>
      <w:r>
        <w:rPr/>
        <w:t>          </w:t>
      </w:r>
      <w:r>
        <w:rPr>
          <w:rFonts w:ascii="Times New Roman;Times;serif" w:hAnsi="Times New Roman;Times;serif"/>
          <w:sz w:val="17"/>
        </w:rPr>
        <w:t xml:space="preserve">NOW, THEREFORE, in consideration of the agreements and obligations set forth herein and for other good and valuable consideration, the sufficiency of which is hereby acknowledged, the parties hereto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 </w:t>
      </w:r>
    </w:p>
    <w:p>
      <w:pPr>
        <w:pStyle w:val="TextBody"/>
        <w:spacing w:before="120" w:after="283"/>
        <w:jc w:val="left"/>
        <w:rPr/>
      </w:pPr>
      <w:r>
        <w:rPr/>
        <w:t>          </w:t>
      </w:r>
      <w:r>
        <w:rPr>
          <w:rFonts w:ascii="Times New Roman;Times;serif" w:hAnsi="Times New Roman;Times;serif"/>
          <w:sz w:val="17"/>
        </w:rPr>
        <w:t xml:space="preserve">Section 1.01. </w:t>
      </w:r>
      <w:r>
        <w:rPr>
          <w:rFonts w:ascii="Times New Roman;Times;serif" w:hAnsi="Times New Roman;Times;serif"/>
          <w:sz w:val="17"/>
          <w:u w:val="single"/>
        </w:rPr>
        <w:t>Establishment</w:t>
      </w:r>
      <w:r>
        <w:rPr>
          <w:rFonts w:ascii="Times New Roman;Times;serif" w:hAnsi="Times New Roman;Times;serif"/>
          <w:sz w:val="17"/>
        </w:rPr>
        <w:t xml:space="preserve">. (a) There is hereby established a new series of Debt Securities to be issued under the Indenture, to be designated as the Issuers 6.125% Senior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due 2017 (the Notes). As provided in Article III hereof, the Notes shall be issued as either Series A Notes or Series B Notes, and any Notes may have such additional designation. </w:t>
      </w:r>
    </w:p>
    <w:p>
      <w:pPr>
        <w:pStyle w:val="TextBody"/>
        <w:spacing w:before="120" w:after="283"/>
        <w:jc w:val="left"/>
        <w:rPr/>
      </w:pPr>
      <w:r>
        <w:rPr/>
        <w:t>          </w:t>
      </w:r>
      <w:r>
        <w:rPr>
          <w:rFonts w:ascii="Times New Roman;Times;serif" w:hAnsi="Times New Roman;Times;serif"/>
          <w:sz w:val="17"/>
        </w:rPr>
        <w:t xml:space="preserve">(b) There are to be authenticated and delivered $400,000,000 principal amount of Series A Notes on the Issue Date, and from time to time thereafter there may be authenticated and delivered an unlimited principal amount of Additional Notes. Further, from time to time after the Issue Date, Series B Notes may be authenticated and delivered in a principal amount equal to the principal amount of the Series A Notes exchanged therefor pursuant to an Exchange Offer. </w:t>
      </w:r>
    </w:p>
    <w:p>
      <w:pPr>
        <w:pStyle w:val="TextBody"/>
        <w:spacing w:before="120" w:after="283"/>
        <w:jc w:val="left"/>
        <w:rPr/>
      </w:pPr>
      <w:r>
        <w:rPr/>
        <w:t>          </w:t>
      </w:r>
      <w:r>
        <w:rPr>
          <w:rFonts w:ascii="Times New Roman;Times;serif" w:hAnsi="Times New Roman;Times;serif"/>
          <w:sz w:val="17"/>
        </w:rPr>
        <w:t xml:space="preserve">(c) The Notes shall be issued initially in the form of one or more Global Securities in substantially the form set out in Exhibit A hereto. The Depositary with respect to the Notes shall be The Depository Trust Company. </w:t>
      </w:r>
    </w:p>
    <w:p>
      <w:pPr>
        <w:pStyle w:val="TextBody"/>
        <w:spacing w:before="120" w:after="283"/>
        <w:jc w:val="left"/>
        <w:rPr/>
      </w:pPr>
      <w:r>
        <w:rPr/>
        <w:t>          </w:t>
      </w:r>
      <w:r>
        <w:rPr>
          <w:rFonts w:ascii="Times New Roman;Times;serif" w:hAnsi="Times New Roman;Times;serif"/>
          <w:sz w:val="17"/>
        </w:rPr>
        <w:t xml:space="preserve">(d) Each Note shall be dated the date of authentication thereof and shall bear interest from the date of original issuance thereof or from the most recent date to which interest has been paid or duly provided for. </w:t>
      </w:r>
    </w:p>
    <w:p>
      <w:pPr>
        <w:pStyle w:val="TextBody"/>
        <w:spacing w:before="120" w:after="283"/>
        <w:jc w:val="left"/>
        <w:rPr/>
      </w:pPr>
      <w:r>
        <w:rPr/>
        <w:t>          </w:t>
      </w:r>
      <w:r>
        <w:rPr>
          <w:rFonts w:ascii="Times New Roman;Times;serif" w:hAnsi="Times New Roman;Times;serif"/>
          <w:sz w:val="17"/>
        </w:rPr>
        <w:t xml:space="preserve">(e) If and to the extent that the provisions of the Original Indenture are duplicative of, or in contradiction with, the provisions of this Supplemental Indenture, the provisions of this Supplemental Indenture shall govern.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II</w:t>
        <w:br/>
        <w:t xml:space="preserve">DEFINITIONS AND INCORPORATION BY REFERENCE </w:t>
      </w:r>
    </w:p>
    <w:p>
      <w:pPr>
        <w:pStyle w:val="TextBody"/>
        <w:spacing w:before="120" w:after="283"/>
        <w:jc w:val="left"/>
        <w:rPr/>
      </w:pPr>
      <w:r>
        <w:rPr/>
        <w:t>          </w:t>
      </w:r>
      <w:r>
        <w:rPr>
          <w:rFonts w:ascii="Times New Roman;Times;serif" w:hAnsi="Times New Roman;Times;serif"/>
          <w:sz w:val="17"/>
        </w:rPr>
        <w:t xml:space="preserve">Section 2.01. </w:t>
      </w:r>
      <w:r>
        <w:rPr>
          <w:rFonts w:ascii="Times New Roman;Times;serif" w:hAnsi="Times New Roman;Times;serif"/>
          <w:sz w:val="17"/>
          <w:u w:val="single"/>
        </w:rPr>
        <w:t>Definitions</w:t>
      </w:r>
      <w:r>
        <w:rPr>
          <w:rFonts w:ascii="Times New Roman;Times;serif" w:hAnsi="Times New Roman;Times;serif"/>
          <w:sz w:val="17"/>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20" w:after="283"/>
        <w:jc w:val="left"/>
        <w:rPr/>
      </w:pPr>
      <w:r>
        <w:rPr/>
        <w:t>          </w:t>
      </w:r>
      <w:r>
        <w:rPr>
          <w:rFonts w:ascii="Times New Roman;Times;serif" w:hAnsi="Times New Roman;Times;serif"/>
          <w:sz w:val="17"/>
        </w:rPr>
        <w:t xml:space="preserve">Additional Interest means all additional interest owing on the Notes pursuant to a registration default under an Exchange and Registration Rights Agreement. </w:t>
      </w:r>
    </w:p>
    <w:p>
      <w:pPr>
        <w:pStyle w:val="TextBody"/>
        <w:spacing w:before="120" w:after="283"/>
        <w:jc w:val="left"/>
        <w:rPr/>
      </w:pPr>
      <w:r>
        <w:rPr/>
        <w:t>          </w:t>
      </w:r>
      <w:r>
        <w:rPr>
          <w:rFonts w:ascii="Times New Roman;Times;serif" w:hAnsi="Times New Roman;Times;serif"/>
          <w:sz w:val="17"/>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20" w:after="283"/>
        <w:jc w:val="left"/>
        <w:rPr/>
      </w:pPr>
      <w:r>
        <w:rPr/>
        <w:t>          </w:t>
      </w:r>
      <w:r>
        <w:rPr>
          <w:rFonts w:ascii="Times New Roman;Times;serif" w:hAnsi="Times New Roman;Times;serif"/>
          <w:sz w:val="17"/>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jc w:val="left"/>
        <w:rPr/>
      </w:pPr>
      <w:r>
        <w:rPr/>
        <w:t>          </w:t>
      </w:r>
      <w:r>
        <w:rPr>
          <w:rFonts w:ascii="Times New Roman;Times;serif" w:hAnsi="Times New Roman;Times;serif"/>
          <w:sz w:val="17"/>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jc w:val="left"/>
        <w:rPr/>
      </w:pPr>
      <w:r>
        <w:rPr/>
        <w:t>          </w:t>
      </w:r>
      <w:r>
        <w:rPr>
          <w:rFonts w:ascii="Times New Roman;Times;serif" w:hAnsi="Times New Roman;Times;serif"/>
          <w:sz w:val="17"/>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20" w:after="283"/>
        <w:jc w:val="left"/>
        <w:rPr/>
      </w:pPr>
      <w:r>
        <w:rPr/>
        <w:t>          </w:t>
      </w:r>
      <w:r>
        <w:rPr>
          <w:rFonts w:ascii="Times New Roman;Times;serif" w:hAnsi="Times New Roman;Times;serif"/>
          <w:sz w:val="17"/>
        </w:rPr>
        <w:t xml:space="preserve">Debt means any obligation created or assumed by any Person for the repayment of money borrowed, any purchase money obligation created or assumed by such Person, and any guarantee of the foregoing. </w:t>
      </w:r>
    </w:p>
    <w:p>
      <w:pPr>
        <w:pStyle w:val="TextBody"/>
        <w:spacing w:before="120" w:after="283"/>
        <w:jc w:val="left"/>
        <w:rPr/>
      </w:pPr>
      <w:r>
        <w:rPr/>
        <w:t>          </w:t>
      </w:r>
      <w:r>
        <w:rPr>
          <w:rFonts w:ascii="Times New Roman;Times;serif" w:hAnsi="Times New Roman;Times;serif"/>
          <w:sz w:val="17"/>
        </w:rPr>
        <w:t xml:space="preserve">Exchange and Registration Rights Agreement means (a) the Registration Rights Agreement among the Partnership, PAA Finance, the Subsidiary Guarantors and the Initial Purchasers dated the Issue Date relating to the Series A Notes issued on such date and (b) any similar agreement that the Issuers may enter into in relation to any other Series A Notes, in each case as such agreement may be amended or modified from time to time. </w:t>
      </w:r>
    </w:p>
    <w:p>
      <w:pPr>
        <w:pStyle w:val="TextBody"/>
        <w:spacing w:before="120" w:after="283"/>
        <w:jc w:val="left"/>
        <w:rPr/>
      </w:pPr>
      <w:r>
        <w:rPr/>
        <w:t>          </w:t>
      </w:r>
      <w:r>
        <w:rPr>
          <w:rFonts w:ascii="Times New Roman;Times;serif" w:hAnsi="Times New Roman;Times;serif"/>
          <w:sz w:val="17"/>
        </w:rPr>
        <w:t xml:space="preserve">Exchange Offer means the offer by the Issuers to the Holders of all outstanding Transfer Restricted Securities to exchange all such outstanding Transfer Restricted Securities held by such Holders for Series B Notes, in an aggregate principal amount equal to the aggregate principal amount of the Transfer Restricted Securities tendered in such exchange offer by such Holders. </w:t>
      </w:r>
    </w:p>
    <w:p>
      <w:pPr>
        <w:pStyle w:val="TextBody"/>
        <w:spacing w:before="120" w:after="283"/>
        <w:jc w:val="left"/>
        <w:rPr/>
      </w:pPr>
      <w:r>
        <w:rPr/>
        <w:t>          </w:t>
      </w:r>
      <w:r>
        <w:rPr>
          <w:rFonts w:ascii="Times New Roman;Times;serif" w:hAnsi="Times New Roman;Times;serif"/>
          <w:sz w:val="17"/>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jc w:val="left"/>
        <w:rPr/>
      </w:pPr>
      <w:r>
        <w:rPr/>
        <w:t>          </w:t>
      </w:r>
      <w:r>
        <w:rPr>
          <w:rFonts w:ascii="Times New Roman;Times;serif" w:hAnsi="Times New Roman;Times;serif"/>
          <w:sz w:val="17"/>
        </w:rPr>
        <w:t xml:space="preserve">Guarantee means a guarantee of the Notes given by a Subsidiary Guarantor pursuant to the Indenture, including all obligations under Article IX hereof.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guarantee means a guarantee (other than by endorsement of negotiable instruments for collection in the ordinary course of business), direct or indirect, in any manner (including, without limitation, by way of a pledge of assets, or through letters of credit or reimbursement, claw-back, make-well, or keep-well agreements in respect thereof), of all or any part of the payment of any Debt. The term guarantee used as a verb has a corresponding meaning. </w:t>
      </w:r>
    </w:p>
    <w:p>
      <w:pPr>
        <w:pStyle w:val="TextBody"/>
        <w:spacing w:before="120" w:after="283"/>
        <w:jc w:val="left"/>
        <w:rPr/>
      </w:pPr>
      <w:r>
        <w:rPr/>
        <w:t>          </w:t>
      </w:r>
      <w:r>
        <w:rPr>
          <w:rFonts w:ascii="Times New Roman;Times;serif" w:hAnsi="Times New Roman;Times;serif"/>
          <w:sz w:val="17"/>
        </w:rPr>
        <w:t xml:space="preserve">Initial Purchasers means Citigroup Global Markets Inc. and the other initial purchasers party to the initial Exchange and Registration Rights Agreement. </w:t>
      </w:r>
    </w:p>
    <w:p>
      <w:pPr>
        <w:pStyle w:val="TextBody"/>
        <w:spacing w:before="120" w:after="283"/>
        <w:jc w:val="left"/>
        <w:rPr/>
      </w:pPr>
      <w:r>
        <w:rPr/>
        <w:t>          </w:t>
      </w:r>
      <w:r>
        <w:rPr>
          <w:rFonts w:ascii="Times New Roman;Times;serif" w:hAnsi="Times New Roman;Times;serif"/>
          <w:sz w:val="17"/>
        </w:rPr>
        <w:t xml:space="preserve">Issue Date means, with respect to the Notes, the date on which the Notes are initially issued. </w:t>
      </w:r>
    </w:p>
    <w:p>
      <w:pPr>
        <w:pStyle w:val="TextBody"/>
        <w:spacing w:before="120" w:after="283"/>
        <w:jc w:val="left"/>
        <w:rPr/>
      </w:pPr>
      <w:r>
        <w:rPr/>
        <w:t>          </w:t>
      </w:r>
      <w:r>
        <w:rPr>
          <w:rFonts w:ascii="Times New Roman;Times;serif" w:hAnsi="Times New Roman;Times;serif"/>
          <w:sz w:val="17"/>
        </w:rPr>
        <w:t xml:space="preserve">Notes has the meaning assigned to it in Section 1.01(a) hereof, and includes both the Series A Notes and the Series B Notes. </w:t>
      </w:r>
    </w:p>
    <w:p>
      <w:pPr>
        <w:pStyle w:val="TextBody"/>
        <w:spacing w:before="120" w:after="283"/>
        <w:jc w:val="left"/>
        <w:rPr/>
      </w:pPr>
      <w:r>
        <w:rPr/>
        <w:t>          </w:t>
      </w:r>
      <w:r>
        <w:rPr>
          <w:rFonts w:ascii="Times New Roman;Times;serif" w:hAnsi="Times New Roman;Times;serif"/>
          <w:sz w:val="17"/>
        </w:rPr>
        <w:t xml:space="preserve">Obligations means any principal, interest, liquidated damages, penalties, fees, indemnifications, reimbursement obligations, damages and other liabilities payable under the documentation governing any Debt. </w:t>
      </w:r>
    </w:p>
    <w:p>
      <w:pPr>
        <w:pStyle w:val="TextBody"/>
        <w:spacing w:before="120" w:after="283"/>
        <w:jc w:val="left"/>
        <w:rPr/>
      </w:pPr>
      <w:r>
        <w:rPr/>
        <w:t>          </w:t>
      </w:r>
      <w:r>
        <w:rPr>
          <w:rFonts w:ascii="Times New Roman;Times;serif" w:hAnsi="Times New Roman;Times;serif"/>
          <w:sz w:val="17"/>
        </w:rPr>
        <w:t xml:space="preserve">Pari Passu Debt means any Funded Debt of either of the Issuers, whether outstanding on the Issue Date of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20" w:after="283"/>
        <w:jc w:val="left"/>
        <w:rPr/>
      </w:pPr>
      <w:r>
        <w:rPr/>
        <w:t>          </w:t>
      </w:r>
      <w:r>
        <w:rPr>
          <w:rFonts w:ascii="Times New Roman;Times;serif" w:hAnsi="Times New Roman;Times;serif"/>
          <w:sz w:val="17"/>
        </w:rPr>
        <w:t xml:space="preserve">Pacific means Pacific Energy Partners, L.P. </w:t>
      </w:r>
    </w:p>
    <w:p>
      <w:pPr>
        <w:pStyle w:val="TextBody"/>
        <w:spacing w:before="120" w:after="283"/>
        <w:jc w:val="left"/>
        <w:rPr/>
      </w:pPr>
      <w:r>
        <w:rPr/>
        <w:t>          </w:t>
      </w:r>
      <w:r>
        <w:rPr>
          <w:rFonts w:ascii="Times New Roman;Times;serif" w:hAnsi="Times New Roman;Times;serif"/>
          <w:sz w:val="17"/>
        </w:rPr>
        <w:t xml:space="preserve">Pacific Merger means the merger of the Pacific into the Partnership pursuant to the terms of the Pacific Merger Agreement. </w:t>
      </w:r>
    </w:p>
    <w:p>
      <w:pPr>
        <w:pStyle w:val="TextBody"/>
        <w:spacing w:before="120" w:after="283"/>
        <w:jc w:val="left"/>
        <w:rPr/>
      </w:pPr>
      <w:r>
        <w:rPr/>
        <w:t>          </w:t>
      </w:r>
      <w:r>
        <w:rPr>
          <w:rFonts w:ascii="Times New Roman;Times;serif" w:hAnsi="Times New Roman;Times;serif"/>
          <w:sz w:val="17"/>
        </w:rPr>
        <w:t xml:space="preserve">Pacific Merger Agreement means the Agreement and Plan of Merger dated as of June 11, 2006, by and among the Partnership, Plains AAP, L.P., Plains All American GP LLC, Pacific, Pacific Energy Management LLC and Pacific Energy GP, LP, as it may be amended from time to time. </w:t>
      </w:r>
    </w:p>
    <w:p>
      <w:pPr>
        <w:pStyle w:val="TextBody"/>
        <w:spacing w:before="120" w:after="283"/>
        <w:jc w:val="left"/>
        <w:rPr/>
      </w:pPr>
      <w:r>
        <w:rPr/>
        <w:t>          </w:t>
      </w:r>
      <w:r>
        <w:rPr>
          <w:rFonts w:ascii="Times New Roman;Times;serif" w:hAnsi="Times New Roman;Times;serif"/>
          <w:sz w:val="17"/>
        </w:rPr>
        <w:t xml:space="preserve">Partnership Agreement means the Third Amended and Restated Agreement of Limited Partnership of Plains All American Pipeline, L.P., amended and restated effective as of June 27, 2001, as amended by Amendment No. 1 thereto dated as of April 15, 2004 and as such may be otherwise amended, modified or supplemented from time to time. </w:t>
      </w:r>
    </w:p>
    <w:p>
      <w:pPr>
        <w:pStyle w:val="TextBody"/>
        <w:spacing w:before="120" w:after="283"/>
        <w:jc w:val="left"/>
        <w:rPr/>
      </w:pPr>
      <w:r>
        <w:rPr/>
        <w:t>          </w:t>
      </w:r>
      <w:r>
        <w:rPr>
          <w:rFonts w:ascii="Times New Roman;Times;serif" w:hAnsi="Times New Roman;Times;serif"/>
          <w:sz w:val="17"/>
        </w:rPr>
        <w:t xml:space="preserve">Permitted Liens means: </w:t>
      </w:r>
    </w:p>
    <w:p>
      <w:pPr>
        <w:pStyle w:val="TextBody"/>
        <w:spacing w:before="120" w:after="283"/>
        <w:jc w:val="left"/>
        <w:rPr/>
      </w:pPr>
      <w:r>
        <w:rPr/>
        <w:t>    </w:t>
      </w:r>
      <w:r>
        <w:rPr>
          <w:rFonts w:ascii="Times New Roman;Times;serif" w:hAnsi="Times New Roman;Times;serif"/>
          <w:sz w:val="17"/>
        </w:rPr>
        <w:t xml:space="preserve">(1) Liens upon rights-of-way for pipeline purposes; </w:t>
      </w:r>
    </w:p>
    <w:p>
      <w:pPr>
        <w:pStyle w:val="TextBody"/>
        <w:spacing w:before="120" w:after="283"/>
        <w:jc w:val="left"/>
        <w:rPr/>
      </w:pPr>
      <w:r>
        <w:rPr/>
        <w:t>    </w:t>
      </w:r>
      <w:r>
        <w:rPr>
          <w:rFonts w:ascii="Times New Roman;Times;serif" w:hAnsi="Times New Roman;Times;serif"/>
          <w:sz w:val="17"/>
        </w:rPr>
        <w:t xml:space="preserve">(2) any statutory or governmental Lien or Lien arising by operation of law, or any mechanics, repairmens, materialmens, suppliers, carriers, landlords, warehousemens or similar Lien incurred in the ordinary course of business which is not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yet due or which is being contested in good faith by appropriate proceedings and any undetermined Lien which is incidental to construction, development, improvement or repair; </w:t>
      </w:r>
    </w:p>
    <w:p>
      <w:pPr>
        <w:pStyle w:val="TextBody"/>
        <w:spacing w:before="120" w:after="283"/>
        <w:jc w:val="left"/>
        <w:rPr/>
      </w:pPr>
      <w:r>
        <w:rPr/>
        <w:t>    </w:t>
      </w:r>
      <w:r>
        <w:rPr>
          <w:rFonts w:ascii="Times New Roman;Times;serif" w:hAnsi="Times New Roman;Times;serif"/>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jc w:val="left"/>
        <w:rPr/>
      </w:pPr>
      <w:r>
        <w:rPr/>
        <w:t>    </w:t>
      </w:r>
      <w:r>
        <w:rPr>
          <w:rFonts w:ascii="Times New Roman;Times;serif" w:hAnsi="Times New Roman;Times;serif"/>
          <w:sz w:val="17"/>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120" w:after="283"/>
        <w:jc w:val="left"/>
        <w:rPr/>
      </w:pPr>
      <w:r>
        <w:rPr/>
        <w:t>    </w:t>
      </w:r>
      <w:r>
        <w:rPr>
          <w:rFonts w:ascii="Times New Roman;Times;serif" w:hAnsi="Times New Roman;Times;serif"/>
          <w:sz w:val="17"/>
        </w:rPr>
        <w:t xml:space="preserve">(5) Liens of, or to secure performance of, leases, other than capital leases; </w:t>
      </w:r>
    </w:p>
    <w:p>
      <w:pPr>
        <w:pStyle w:val="TextBody"/>
        <w:spacing w:before="120" w:after="283"/>
        <w:jc w:val="left"/>
        <w:rPr/>
      </w:pPr>
      <w:r>
        <w:rPr/>
        <w:t>    </w:t>
      </w:r>
      <w:r>
        <w:rPr>
          <w:rFonts w:ascii="Times New Roman;Times;serif" w:hAnsi="Times New Roman;Times;serif"/>
          <w:sz w:val="17"/>
        </w:rPr>
        <w:t xml:space="preserve">(6) any Lien upon, or deposits of, any assets in favor of any surety company or clerk of court for the purpose of obtaining indemnity or stay of judicial proceedings; </w:t>
      </w:r>
    </w:p>
    <w:p>
      <w:pPr>
        <w:pStyle w:val="TextBody"/>
        <w:spacing w:before="120" w:after="283"/>
        <w:jc w:val="left"/>
        <w:rPr/>
      </w:pPr>
      <w:r>
        <w:rPr/>
        <w:t>    </w:t>
      </w:r>
      <w:r>
        <w:rPr>
          <w:rFonts w:ascii="Times New Roman;Times;serif" w:hAnsi="Times New Roman;Times;serif"/>
          <w:sz w:val="17"/>
        </w:rPr>
        <w:t xml:space="preserve">(7) any Lien upon property or assets acquired or sold by an Issuer or any Restricted Subsidiary resulting from the exercise of any rights arising out of defaults on receivables; </w:t>
      </w:r>
    </w:p>
    <w:p>
      <w:pPr>
        <w:pStyle w:val="TextBody"/>
        <w:spacing w:before="120" w:after="283"/>
        <w:jc w:val="left"/>
        <w:rPr/>
      </w:pPr>
      <w:r>
        <w:rPr/>
        <w:t>    </w:t>
      </w:r>
      <w:r>
        <w:rPr>
          <w:rFonts w:ascii="Times New Roman;Times;serif" w:hAnsi="Times New Roman;Times;serif"/>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jc w:val="left"/>
        <w:rPr/>
      </w:pPr>
      <w:r>
        <w:rPr/>
        <w:t>    </w:t>
      </w:r>
      <w:r>
        <w:rPr>
          <w:rFonts w:ascii="Times New Roman;Times;serif" w:hAnsi="Times New Roman;Times;serif"/>
          <w:sz w:val="17"/>
        </w:rPr>
        <w:t xml:space="preserve">(9) any Lien in favor of an Issuer or any Restricted Subsidiary; </w:t>
      </w:r>
    </w:p>
    <w:p>
      <w:pPr>
        <w:pStyle w:val="TextBody"/>
        <w:spacing w:before="120" w:after="283"/>
        <w:jc w:val="left"/>
        <w:rPr/>
      </w:pPr>
      <w:r>
        <w:rPr/>
        <w:t>    </w:t>
      </w:r>
      <w:r>
        <w:rPr>
          <w:rFonts w:ascii="Times New Roman;Times;serif" w:hAnsi="Times New Roman;Times;serif"/>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120" w:after="283"/>
        <w:jc w:val="left"/>
        <w:rPr/>
      </w:pPr>
      <w:r>
        <w:rPr/>
        <w:t>    </w:t>
      </w:r>
      <w:r>
        <w:rPr>
          <w:rFonts w:ascii="Times New Roman;Times;serif" w:hAnsi="Times New Roman;Times;serif"/>
          <w:sz w:val="17"/>
        </w:rPr>
        <w:t xml:space="preserve">(11) any Lien securing industrial development, pollution control or similar revenue bonds; </w:t>
      </w:r>
    </w:p>
    <w:p>
      <w:pPr>
        <w:pStyle w:val="TextBody"/>
        <w:spacing w:before="120" w:after="283"/>
        <w:jc w:val="left"/>
        <w:rPr/>
      </w:pPr>
      <w:r>
        <w:rPr/>
        <w:t>    </w:t>
      </w:r>
      <w:r>
        <w:rPr>
          <w:rFonts w:ascii="Times New Roman;Times;serif" w:hAnsi="Times New Roman;Times;serif"/>
          <w:sz w:val="17"/>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accrued interest thereon and reasonable fees and expenses and premium, if any, incurred by the Issuers or any Restricted Subsidiary in connection therewith; </w:t>
      </w:r>
    </w:p>
    <w:p>
      <w:pPr>
        <w:pStyle w:val="TextBody"/>
        <w:spacing w:before="120" w:after="283"/>
        <w:jc w:val="left"/>
        <w:rPr/>
      </w:pPr>
      <w:r>
        <w:rPr/>
        <w:t>    </w:t>
      </w:r>
      <w:r>
        <w:rPr>
          <w:rFonts w:ascii="Times New Roman;Times;serif" w:hAnsi="Times New Roman;Times;serif"/>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283"/>
        <w:jc w:val="left"/>
        <w:rPr/>
      </w:pPr>
      <w:r>
        <w:rPr/>
        <w:t>    </w:t>
      </w:r>
      <w:r>
        <w:rPr>
          <w:rFonts w:ascii="Times New Roman;Times;serif" w:hAnsi="Times New Roman;Times;serif"/>
          <w:sz w:val="17"/>
        </w:rPr>
        <w:t xml:space="preserve">(14) any Lien upon or deposits of any assets to secure performance of bids, trade contracts, leases or statutory obligations; </w:t>
      </w:r>
    </w:p>
    <w:p>
      <w:pPr>
        <w:pStyle w:val="TextBody"/>
        <w:spacing w:before="120" w:after="283"/>
        <w:jc w:val="left"/>
        <w:rPr/>
      </w:pPr>
      <w:r>
        <w:rPr/>
        <w:t>    </w:t>
      </w:r>
      <w:r>
        <w:rPr>
          <w:rFonts w:ascii="Times New Roman;Times;serif" w:hAnsi="Times New Roman;Times;serif"/>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jc w:val="left"/>
        <w:rPr/>
      </w:pPr>
      <w:r>
        <w:rPr/>
        <w:t>    </w:t>
      </w:r>
      <w:r>
        <w:rPr>
          <w:rFonts w:ascii="Times New Roman;Times;serif" w:hAnsi="Times New Roman;Times;serif"/>
          <w:sz w:val="17"/>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120" w:after="283"/>
        <w:jc w:val="left"/>
        <w:rPr/>
      </w:pPr>
      <w:r>
        <w:rPr/>
        <w:t>    </w:t>
      </w:r>
      <w:r>
        <w:rPr>
          <w:rFonts w:ascii="Times New Roman;Times;serif" w:hAnsi="Times New Roman;Times;serif"/>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120" w:after="283"/>
        <w:jc w:val="left"/>
        <w:rPr/>
      </w:pPr>
      <w:r>
        <w:rPr/>
        <w:t>    </w:t>
      </w:r>
      <w:r>
        <w:rPr>
          <w:rFonts w:ascii="Times New Roman;Times;serif" w:hAnsi="Times New Roman;Times;serif"/>
          <w:sz w:val="17"/>
        </w:rPr>
        <w:t xml:space="preserve">(18) any obligations or duties to any municipality or public authority with respect to any lease, easement, right-of-way, license, franchise, privilege, permit or grant. </w:t>
      </w:r>
    </w:p>
    <w:p>
      <w:pPr>
        <w:pStyle w:val="TextBody"/>
        <w:spacing w:before="120" w:after="283"/>
        <w:jc w:val="left"/>
        <w:rPr/>
      </w:pPr>
      <w:r>
        <w:rPr/>
        <w:t>          </w:t>
      </w:r>
      <w:r>
        <w:rPr>
          <w:rFonts w:ascii="Times New Roman;Times;serif" w:hAnsi="Times New Roman;Times;serif"/>
          <w:sz w:val="17"/>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relation to the activities of the Partnership or the activities of the Partnership and its Subsidiaries, taken as a whole. </w:t>
      </w:r>
    </w:p>
    <w:p>
      <w:pPr>
        <w:pStyle w:val="TextBody"/>
        <w:spacing w:before="120" w:after="283"/>
        <w:jc w:val="left"/>
        <w:rPr/>
      </w:pPr>
      <w:r>
        <w:rPr/>
        <w:t>          </w:t>
      </w:r>
      <w:r>
        <w:rPr>
          <w:rFonts w:ascii="Times New Roman;Times;serif" w:hAnsi="Times New Roman;Times;serif"/>
          <w:sz w:val="17"/>
        </w:rPr>
        <w:t xml:space="preserve">Restricted Subsidiary means any Subsidiary of the Partnership owning or leasing, directly or indirectly through ownership in another Subsidiary, and Principal Property. </w:t>
      </w:r>
    </w:p>
    <w:p>
      <w:pPr>
        <w:pStyle w:val="TextBody"/>
        <w:spacing w:before="120" w:after="283"/>
        <w:jc w:val="left"/>
        <w:rPr/>
      </w:pPr>
      <w:r>
        <w:rPr/>
        <w:t>          </w:t>
      </w:r>
      <w:r>
        <w:rPr>
          <w:rFonts w:ascii="Times New Roman;Times;serif" w:hAnsi="Times New Roman;Times;serif"/>
          <w:sz w:val="17"/>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20" w:after="283"/>
        <w:jc w:val="left"/>
        <w:rPr/>
      </w:pPr>
      <w:r>
        <w:rPr/>
        <w:t>          </w:t>
      </w:r>
      <w:r>
        <w:rPr>
          <w:rFonts w:ascii="Times New Roman;Times;serif" w:hAnsi="Times New Roman;Times;serif"/>
          <w:sz w:val="17"/>
        </w:rPr>
        <w:t xml:space="preserve">Securities shall have the meaning assigned to such term in the Exchange and Registration Rights Agreement relating thereto. </w:t>
      </w:r>
    </w:p>
    <w:p>
      <w:pPr>
        <w:pStyle w:val="TextBody"/>
        <w:spacing w:before="120" w:after="283"/>
        <w:jc w:val="left"/>
        <w:rPr/>
      </w:pPr>
      <w:r>
        <w:rPr/>
        <w:t>          </w:t>
      </w:r>
      <w:r>
        <w:rPr>
          <w:rFonts w:ascii="Times New Roman;Times;serif" w:hAnsi="Times New Roman;Times;serif"/>
          <w:sz w:val="17"/>
        </w:rPr>
        <w:t xml:space="preserve">Series A Notes means the Issuers 6.125% Series A Senior Notes due 2017 to be issued pursuant to this Supplemental Indenture. </w:t>
      </w:r>
    </w:p>
    <w:p>
      <w:pPr>
        <w:pStyle w:val="TextBody"/>
        <w:spacing w:before="120" w:after="283"/>
        <w:jc w:val="left"/>
        <w:rPr/>
      </w:pPr>
      <w:r>
        <w:rPr/>
        <w:t>          </w:t>
      </w:r>
      <w:r>
        <w:rPr>
          <w:rFonts w:ascii="Times New Roman;Times;serif" w:hAnsi="Times New Roman;Times;serif"/>
          <w:sz w:val="17"/>
        </w:rPr>
        <w:t xml:space="preserve">Series B Notes means the Issuers 6.125% Series B Notes due 2017 to be issued pursuant to an Exchange Offer. </w:t>
      </w:r>
    </w:p>
    <w:p>
      <w:pPr>
        <w:pStyle w:val="TextBody"/>
        <w:spacing w:before="120" w:after="283"/>
        <w:jc w:val="left"/>
        <w:rPr/>
      </w:pPr>
      <w:r>
        <w:rPr/>
        <w:t>          </w:t>
      </w:r>
      <w:r>
        <w:rPr>
          <w:rFonts w:ascii="Times New Roman;Times;serif" w:hAnsi="Times New Roman;Times;serif"/>
          <w:sz w:val="17"/>
        </w:rPr>
        <w:t xml:space="preserve">Special Mandatory Redemption Trigger Event means the earlier to occur of the following two events: </w:t>
      </w:r>
    </w:p>
    <w:p>
      <w:pPr>
        <w:pStyle w:val="TextBody"/>
        <w:spacing w:before="120" w:after="283"/>
        <w:jc w:val="left"/>
        <w:rPr/>
      </w:pPr>
      <w:r>
        <w:rPr/>
        <w:t>    </w:t>
      </w:r>
      <w:r>
        <w:rPr>
          <w:rFonts w:ascii="Times New Roman;Times;serif" w:hAnsi="Times New Roman;Times;serif"/>
          <w:sz w:val="17"/>
        </w:rPr>
        <w:t xml:space="preserve">(1) February 15, 2007, if the Pacific Merger has not been consummated by such date; or </w:t>
      </w:r>
    </w:p>
    <w:p>
      <w:pPr>
        <w:pStyle w:val="TextBody"/>
        <w:spacing w:before="120" w:after="283"/>
        <w:jc w:val="left"/>
        <w:rPr/>
      </w:pPr>
      <w:r>
        <w:rPr/>
        <w:t>    </w:t>
      </w:r>
      <w:r>
        <w:rPr>
          <w:rFonts w:ascii="Times New Roman;Times;serif" w:hAnsi="Times New Roman;Times;serif"/>
          <w:sz w:val="17"/>
        </w:rPr>
        <w:t xml:space="preserve">(2) the termination of the Pacific Merger Agreement. </w:t>
      </w:r>
    </w:p>
    <w:p>
      <w:pPr>
        <w:pStyle w:val="TextBody"/>
        <w:spacing w:before="120" w:after="283"/>
        <w:jc w:val="left"/>
        <w:rPr/>
      </w:pPr>
      <w:r>
        <w:rPr/>
        <w:t>          </w:t>
      </w:r>
      <w:r>
        <w:rPr>
          <w:rFonts w:ascii="Times New Roman;Times;serif" w:hAnsi="Times New Roman;Times;serif"/>
          <w:sz w:val="17"/>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20" w:after="283"/>
        <w:jc w:val="left"/>
        <w:rPr/>
      </w:pPr>
      <w:r>
        <w:rPr/>
        <w:t>          </w:t>
      </w:r>
      <w:r>
        <w:rPr>
          <w:rFonts w:ascii="Times New Roman;Times;serif" w:hAnsi="Times New Roman;Times;serif"/>
          <w:sz w:val="17"/>
        </w:rPr>
        <w:t xml:space="preserve">Subsidiary Guarantors means each of: </w:t>
      </w:r>
    </w:p>
    <w:p>
      <w:pPr>
        <w:pStyle w:val="TextBody"/>
        <w:spacing w:before="120" w:after="283"/>
        <w:jc w:val="left"/>
        <w:rPr/>
      </w:pPr>
      <w:r>
        <w:rPr/>
        <w:t>    </w:t>
      </w:r>
      <w:r>
        <w:rPr>
          <w:rFonts w:ascii="Times New Roman;Times;serif" w:hAnsi="Times New Roman;Times;serif"/>
          <w:sz w:val="17"/>
        </w:rPr>
        <w:t xml:space="preserve">(1) the Subsidiaries of the Partnership named as the Subsidiary Guarantors on the signature pages of this Supplemental Indenture; </w:t>
      </w:r>
    </w:p>
    <w:p>
      <w:pPr>
        <w:pStyle w:val="TextBody"/>
        <w:spacing w:before="120" w:after="283"/>
        <w:jc w:val="left"/>
        <w:rPr/>
      </w:pPr>
      <w:r>
        <w:rPr/>
        <w:t>    </w:t>
      </w:r>
      <w:r>
        <w:rPr>
          <w:rFonts w:ascii="Times New Roman;Times;serif" w:hAnsi="Times New Roman;Times;serif"/>
          <w:sz w:val="17"/>
        </w:rPr>
        <w:t xml:space="preserve">(2) any other Subsidiary that executes a supplemental Indenture to provide a Guarantee in accordance with the provisions of the Indenture; and </w:t>
      </w:r>
    </w:p>
    <w:p>
      <w:pPr>
        <w:pStyle w:val="TextBody"/>
        <w:spacing w:before="120" w:after="283"/>
        <w:jc w:val="left"/>
        <w:rPr/>
      </w:pPr>
      <w:r>
        <w:rPr/>
        <w:t>    </w:t>
      </w:r>
      <w:r>
        <w:rPr>
          <w:rFonts w:ascii="Times New Roman;Times;serif" w:hAnsi="Times New Roman;Times;serif"/>
          <w:sz w:val="17"/>
        </w:rPr>
        <w:t xml:space="preserve">(3) their respective successors and assigns.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anything in the Indenture to the contrary, PAA Finance, Atchafalaya Pipeline, L.L.C. and Andrews Partners, LLC shall not be Subsidiary Guarantors. </w:t>
      </w:r>
    </w:p>
    <w:p>
      <w:pPr>
        <w:pStyle w:val="TextBody"/>
        <w:spacing w:before="120" w:after="283"/>
        <w:jc w:val="left"/>
        <w:rPr/>
      </w:pPr>
      <w:r>
        <w:rPr/>
        <w:t>          </w:t>
      </w:r>
      <w:r>
        <w:rPr>
          <w:rFonts w:ascii="Times New Roman;Times;serif" w:hAnsi="Times New Roman;Times;serif"/>
          <w:sz w:val="17"/>
        </w:rPr>
        <w:t xml:space="preserve">Transfer Restricted Securities means any Notes outstanding prior to the Resale Restriction Termination Date with respect to such Notes and which must bear the legend required under Section 3.04 hereof. </w:t>
      </w:r>
    </w:p>
    <w:p>
      <w:pPr>
        <w:pStyle w:val="TextBody"/>
        <w:spacing w:before="120" w:after="283"/>
        <w:jc w:val="left"/>
        <w:rPr/>
      </w:pPr>
      <w:r>
        <w:rPr/>
        <w:t>          </w:t>
      </w:r>
      <w:r>
        <w:rPr>
          <w:rFonts w:ascii="Times New Roman;Times;serif" w:hAnsi="Times New Roman;Times;serif"/>
          <w:sz w:val="17"/>
        </w:rPr>
        <w:t>Section 2.02.</w:t>
      </w:r>
      <w:r>
        <w:rPr>
          <w:rFonts w:ascii="Times New Roman;Times;serif" w:hAnsi="Times New Roman;Times;serif"/>
          <w:sz w:val="17"/>
          <w:u w:val="single"/>
        </w:rPr>
        <w:t>Other Definitions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516"/>
        <w:gridCol w:w="2007"/>
        <w:gridCol w:w="433"/>
        <w:gridCol w:w="675"/>
        <w:gridCol w:w="574"/>
      </w:tblGrid>
      <w:tr>
        <w:trPr/>
        <w:tc>
          <w:tcPr>
            <w:tcW w:w="6516" w:type="dxa"/>
            <w:tcBorders/>
            <w:shd w:fill="auto" w:val="clear"/>
            <w:vAlign w:val="bottom"/>
          </w:tcPr>
          <w:p>
            <w:pPr>
              <w:pStyle w:val="TableContents"/>
              <w:spacing w:before="0" w:after="283"/>
              <w:rPr/>
            </w:pPr>
            <w:r>
              <w:rPr/>
              <w:t> </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283"/>
              <w:rPr/>
            </w:pPr>
            <w:r>
              <w:rPr/>
              <w:t> </w:t>
            </w:r>
          </w:p>
        </w:tc>
        <w:tc>
          <w:tcPr>
            <w:tcW w:w="2007" w:type="dxa"/>
            <w:tcBorders/>
            <w:shd w:fill="auto" w:val="clear"/>
            <w:vAlign w:val="bottom"/>
          </w:tcPr>
          <w:p>
            <w:pPr>
              <w:pStyle w:val="TableContents"/>
              <w:spacing w:before="0" w:after="283"/>
              <w:rPr/>
            </w:pPr>
            <w:r>
              <w:rPr/>
              <w:t> </w:t>
            </w:r>
          </w:p>
        </w:tc>
        <w:tc>
          <w:tcPr>
            <w:tcW w:w="1682" w:type="dxa"/>
            <w:gridSpan w:val="3"/>
            <w:tcBorders/>
            <w:shd w:fill="auto" w:val="clear"/>
            <w:vAlign w:val="bottom"/>
          </w:tcPr>
          <w:p>
            <w:pPr>
              <w:pStyle w:val="TableContents"/>
              <w:spacing w:before="0" w:after="283"/>
              <w:jc w:val="center"/>
              <w:rPr/>
            </w:pPr>
            <w:r>
              <w:rPr/>
              <w:t>Defined in</w:t>
            </w:r>
          </w:p>
        </w:tc>
      </w:tr>
      <w:tr>
        <w:trPr/>
        <w:tc>
          <w:tcPr>
            <w:tcW w:w="6516" w:type="dxa"/>
            <w:tcBorders/>
            <w:shd w:fill="auto" w:val="clear"/>
            <w:vAlign w:val="bottom"/>
          </w:tcPr>
          <w:p>
            <w:pPr>
              <w:pStyle w:val="TableContents"/>
              <w:spacing w:before="0" w:after="283"/>
              <w:jc w:val="center"/>
              <w:rPr/>
            </w:pPr>
            <w:r>
              <w:rPr/>
              <w:t>Term</w:t>
            </w:r>
          </w:p>
        </w:tc>
        <w:tc>
          <w:tcPr>
            <w:tcW w:w="2007" w:type="dxa"/>
            <w:tcBorders/>
            <w:shd w:fill="auto" w:val="clear"/>
            <w:vAlign w:val="bottom"/>
          </w:tcPr>
          <w:p>
            <w:pPr>
              <w:pStyle w:val="TableContents"/>
              <w:spacing w:before="0" w:after="283"/>
              <w:rPr/>
            </w:pPr>
            <w:r>
              <w:rPr/>
              <w:t> </w:t>
            </w:r>
          </w:p>
        </w:tc>
        <w:tc>
          <w:tcPr>
            <w:tcW w:w="1682" w:type="dxa"/>
            <w:gridSpan w:val="3"/>
            <w:tcBorders/>
            <w:shd w:fill="auto" w:val="clear"/>
            <w:vAlign w:val="bottom"/>
          </w:tcPr>
          <w:p>
            <w:pPr>
              <w:pStyle w:val="TableContents"/>
              <w:spacing w:before="0" w:after="283"/>
              <w:jc w:val="center"/>
              <w:rPr/>
            </w:pPr>
            <w:r>
              <w:rPr/>
              <w:t>Section</w:t>
            </w:r>
          </w:p>
        </w:tc>
      </w:tr>
      <w:tr>
        <w:trPr/>
        <w:tc>
          <w:tcPr>
            <w:tcW w:w="6516" w:type="dxa"/>
            <w:tcBorders/>
            <w:shd w:fill="CCEEFF" w:val="clear"/>
            <w:vAlign w:val="bottom"/>
          </w:tcPr>
          <w:p>
            <w:pPr>
              <w:pStyle w:val="TableContents"/>
              <w:spacing w:before="0" w:after="0"/>
              <w:ind w:left="225" w:right="0" w:hanging="225"/>
              <w:rPr/>
            </w:pPr>
            <w:r>
              <w:rPr/>
              <w:t>Additional Notes</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3.02</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Covenant Defeasance</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8.03</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Distribution Compliance Period</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 </w:t>
            </w:r>
          </w:p>
        </w:tc>
        <w:tc>
          <w:tcPr>
            <w:tcW w:w="675" w:type="dxa"/>
            <w:tcBorders/>
            <w:shd w:fill="CCEEFF" w:val="clear"/>
            <w:vAlign w:val="bottom"/>
          </w:tcPr>
          <w:p>
            <w:pPr>
              <w:pStyle w:val="TableContents"/>
              <w:spacing w:before="0" w:after="283"/>
              <w:jc w:val="right"/>
              <w:rPr/>
            </w:pPr>
            <w:r>
              <w:rPr/>
              <w:t>3.03</w:t>
            </w:r>
          </w:p>
        </w:tc>
        <w:tc>
          <w:tcPr>
            <w:tcW w:w="574" w:type="dxa"/>
            <w:tcBorders/>
            <w:shd w:fill="CCEEFF" w:val="clear"/>
            <w:vAlign w:val="bottom"/>
          </w:tcPr>
          <w:p>
            <w:pPr>
              <w:pStyle w:val="TableContents"/>
              <w:spacing w:before="0" w:after="283"/>
              <w:rPr/>
            </w:pPr>
            <w:r>
              <w:rPr/>
              <w:t>(c)</w:t>
            </w:r>
          </w:p>
        </w:tc>
      </w:tr>
      <w:tr>
        <w:trPr/>
        <w:tc>
          <w:tcPr>
            <w:tcW w:w="6516" w:type="dxa"/>
            <w:tcBorders/>
            <w:shd w:fill="auto" w:val="clear"/>
            <w:vAlign w:val="bottom"/>
          </w:tcPr>
          <w:p>
            <w:pPr>
              <w:pStyle w:val="TableContents"/>
              <w:spacing w:before="0" w:after="0"/>
              <w:ind w:left="225" w:right="0" w:hanging="225"/>
              <w:rPr/>
            </w:pPr>
            <w:r>
              <w:rPr/>
              <w:t>Event of Default</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7.01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IAI Global Note</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3.01</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IAIs</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3.01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Legal Defeasance</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8.02</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Note Obligations</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9.01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Payment Default</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7.01</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QIBs</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3.01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Regulation S</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3.01</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Regulation S Global Note</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3.01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Required Filing Dates</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5.04</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Resale Restriction Termination Date</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3.04</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Rule 144A</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3.01</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Rule 144A Global Note</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3.01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Special Mandatory Redemption</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4.02</w:t>
            </w:r>
          </w:p>
        </w:tc>
        <w:tc>
          <w:tcPr>
            <w:tcW w:w="574" w:type="dxa"/>
            <w:tcBorders/>
            <w:shd w:fill="CCEEFF" w:val="clear"/>
            <w:vAlign w:val="bottom"/>
          </w:tcPr>
          <w:p>
            <w:pPr>
              <w:pStyle w:val="TableContents"/>
              <w:spacing w:before="0" w:after="283"/>
              <w:rPr/>
            </w:pPr>
            <w:r>
              <w:rPr/>
              <w:t> </w:t>
            </w:r>
          </w:p>
        </w:tc>
      </w:tr>
      <w:tr>
        <w:trPr/>
        <w:tc>
          <w:tcPr>
            <w:tcW w:w="6516" w:type="dxa"/>
            <w:tcBorders/>
            <w:shd w:fill="auto" w:val="clear"/>
            <w:vAlign w:val="bottom"/>
          </w:tcPr>
          <w:p>
            <w:pPr>
              <w:pStyle w:val="TableContents"/>
              <w:spacing w:before="0" w:after="0"/>
              <w:ind w:left="225" w:right="0" w:hanging="225"/>
              <w:rPr/>
            </w:pPr>
            <w:r>
              <w:rPr/>
              <w:t>Successor Company</w:t>
            </w:r>
          </w:p>
        </w:tc>
        <w:tc>
          <w:tcPr>
            <w:tcW w:w="2007"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pPr>
            <w:r>
              <w:rPr/>
              <w:t>6.01</w:t>
            </w:r>
          </w:p>
        </w:tc>
        <w:tc>
          <w:tcPr>
            <w:tcW w:w="574" w:type="dxa"/>
            <w:tcBorders/>
            <w:shd w:fill="auto" w:val="clear"/>
            <w:vAlign w:val="bottom"/>
          </w:tcPr>
          <w:p>
            <w:pPr>
              <w:pStyle w:val="TableContents"/>
              <w:spacing w:before="0" w:after="283"/>
              <w:rPr/>
            </w:pPr>
            <w:r>
              <w:rPr/>
              <w:t> </w:t>
            </w:r>
          </w:p>
        </w:tc>
      </w:tr>
      <w:tr>
        <w:trPr/>
        <w:tc>
          <w:tcPr>
            <w:tcW w:w="6516" w:type="dxa"/>
            <w:tcBorders/>
            <w:shd w:fill="CCEEFF" w:val="clear"/>
            <w:vAlign w:val="bottom"/>
          </w:tcPr>
          <w:p>
            <w:pPr>
              <w:pStyle w:val="TableContents"/>
              <w:spacing w:before="0" w:after="0"/>
              <w:ind w:left="225" w:right="0" w:hanging="225"/>
              <w:rPr/>
            </w:pPr>
            <w:r>
              <w:rPr/>
              <w:t>U.S. Persons</w:t>
            </w:r>
          </w:p>
        </w:tc>
        <w:tc>
          <w:tcPr>
            <w:tcW w:w="2007"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pPr>
            <w:r>
              <w:rPr/>
              <w:t>3.01</w:t>
            </w:r>
          </w:p>
        </w:tc>
        <w:tc>
          <w:tcPr>
            <w:tcW w:w="574"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III</w:t>
        <w:br/>
        <w:t xml:space="preserve">THE NOTES </w:t>
      </w:r>
    </w:p>
    <w:p>
      <w:pPr>
        <w:pStyle w:val="TextBody"/>
        <w:spacing w:before="120" w:after="283"/>
        <w:jc w:val="left"/>
        <w:rPr/>
      </w:pPr>
      <w:r>
        <w:rPr/>
        <w:t>          </w:t>
      </w:r>
      <w:r>
        <w:rPr>
          <w:rFonts w:ascii="Times New Roman;Times;serif" w:hAnsi="Times New Roman;Times;serif"/>
          <w:sz w:val="17"/>
        </w:rPr>
        <w:t xml:space="preserve">Section 3.01. </w:t>
      </w:r>
      <w:r>
        <w:rPr>
          <w:rFonts w:ascii="Times New Roman;Times;serif" w:hAnsi="Times New Roman;Times;serif"/>
          <w:sz w:val="17"/>
          <w:u w:val="single"/>
        </w:rPr>
        <w:t>Form</w:t>
      </w:r>
      <w:r>
        <w:rPr>
          <w:rFonts w:ascii="Times New Roman;Times;serif" w:hAnsi="Times New Roman;Times;serif"/>
          <w:sz w:val="17"/>
        </w:rPr>
        <w:t xml:space="preserve">. The Notes shall be issued initially in the form of one or more Global Securities as Series A Notes, with Series A Notes initially resold in reliance upon Rule 144A and Regulation S being represented by separate Global Securities, which are referred to herein as the Rule 144A Global Note and the Regulation S Global Note, respectively. The Series A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The Series A Notes constituting Transfer Restricted Securities will be resold initially only to (a) Qualified Institutional Buyers (as such term is defined in Section 144A of the Securities Act) (QIBs) in reliance on Rule 144A of the Securities Act (Rule 144A) and (b) Persons other than U.S. Persons (as defined under Regulation S under the Securities Act (Regulation S)) (U.S.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Persons) in reliance on Regulation S. Thereafter, the Series A Notes may be transferred to, among others, QIBs, purchasers in reliance upon Regulation S and institutional accredited investors (as defined in subparagraph (a)(1), (2), (3) or (7) of Rule 501 of the Securities Act (IAIs)) in accordance with the procedures set forth in Rule 501 of the Securities Act, provided that any Series A Notes constituting Transfer Restricted Securities that are transferred to IAIs who are not QIBs shall be issued only in definitive form or in the form of interests in a separate Global Security (the IAI Global Note). Pursuant to the terms of an Exchange and Registration Rights Agreement, upon consummation of the Exchange Offer contemplated thereby, the Series A Notes constituting Transfer Restricted Securities will be exchanged by the Holders for Series B Notes to be issued by the Issuers in accordance with Section 3.03 hereof. The Series B Notes shall be issued initially in the form of one or more Global Securities, and the Series B Notes and the Trustees certificate of authentication shall be substantially in the form of Exhibit A hereto. </w:t>
      </w:r>
    </w:p>
    <w:p>
      <w:pPr>
        <w:pStyle w:val="TextBody"/>
        <w:spacing w:before="120" w:after="283"/>
        <w:jc w:val="left"/>
        <w:rPr/>
      </w:pPr>
      <w:r>
        <w:rPr/>
        <w:t>          </w:t>
      </w:r>
      <w:r>
        <w:rPr>
          <w:rFonts w:ascii="Times New Roman;Times;serif" w:hAnsi="Times New Roman;Times;serif"/>
          <w:sz w:val="17"/>
        </w:rPr>
        <w:t xml:space="preserve">Section 3.02. </w:t>
      </w:r>
      <w:r>
        <w:rPr>
          <w:rFonts w:ascii="Times New Roman;Times;serif" w:hAnsi="Times New Roman;Times;serif"/>
          <w:sz w:val="17"/>
          <w:u w:val="single"/>
        </w:rPr>
        <w:t>Issuance of Additional Notes</w:t>
      </w:r>
      <w:r>
        <w:rPr>
          <w:rFonts w:ascii="Times New Roman;Times;serif" w:hAnsi="Times New Roman;Times;serif"/>
          <w:sz w:val="17"/>
        </w:rPr>
        <w:t xml:space="preserve">. The Issuers may, from time to time, issue an unlimited amount of additional Series A Notes (Additional Notes) under the Indenture, which shall be issued in the same form as the Series A Notes issued on the Issue Date and which shall have identical terms as the Series A Notes issued on the Issue Date other than with respect to the issue date, issue price and date of first payment of interest. The Series A Notes issued on the Issue Date shall be limited in aggregate principal amount to $400,000,000. The Series A Notes issued on the Issue Date and any Additional Notes subsequently issued, together with any Series B Notes issued in exchange therefor pursuant to an Exchange Offer, shall be treated as a single series for all purposes under the Indenture, including waivers, amendments, redemptions and offers to purchase. If the Issuers issue additional Series A Notes prior to the completion of an Exchange Offer, the period of the resale restrictions applicable to any Series A Notes previously offered and sold in reliance on Rule 144A will be automatically extended to the last day of the period of any resale restrictions imposed on any such additional Series A Notes. </w:t>
      </w:r>
    </w:p>
    <w:p>
      <w:pPr>
        <w:pStyle w:val="TextBody"/>
        <w:spacing w:before="120" w:after="283"/>
        <w:jc w:val="left"/>
        <w:rPr/>
      </w:pPr>
      <w:r>
        <w:rPr/>
        <w:t>          </w:t>
      </w:r>
      <w:r>
        <w:rPr>
          <w:rFonts w:ascii="Times New Roman;Times;serif" w:hAnsi="Times New Roman;Times;serif"/>
          <w:sz w:val="17"/>
        </w:rPr>
        <w:t xml:space="preserve">Section 3.03. </w:t>
      </w:r>
      <w:r>
        <w:rPr>
          <w:rFonts w:ascii="Times New Roman;Times;serif" w:hAnsi="Times New Roman;Times;serif"/>
          <w:sz w:val="17"/>
          <w:u w:val="single"/>
        </w:rPr>
        <w:t>Transfer of Transfer Restricted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When Notes are presented to the Registrar with the request to register the transfer of such Notes or exchange such Notes for an equal principal amount of Notes of other authorized denominations, the Registrar shall register the transfer or make the exchange in accordance with Article II of the Original Indenture. In addition, in the case of Series A Notes that are Transfer Restricted Securities in definitive form, such request to register the transfer or make the exchange shall be accompanied by the following additional information and documents, as applicable, upon which the Registrar may conclusively rely: </w:t>
      </w:r>
    </w:p>
    <w:p>
      <w:pPr>
        <w:pStyle w:val="TextBody"/>
        <w:spacing w:before="120" w:after="283"/>
        <w:jc w:val="left"/>
        <w:rPr/>
      </w:pPr>
      <w:r>
        <w:rPr/>
        <w:t>          </w:t>
      </w:r>
      <w:r>
        <w:rPr>
          <w:rFonts w:ascii="Times New Roman;Times;serif" w:hAnsi="Times New Roman;Times;serif"/>
          <w:sz w:val="17"/>
        </w:rPr>
        <w:t xml:space="preserve">(1) if such Transfer Restricted Securities are being delivered to the Registrar by a Holder for registration in the name of such Holder, without transfer, a certification from such Holder to that effect in substantially the form of Exhibit C hereto; or </w:t>
      </w:r>
    </w:p>
    <w:p>
      <w:pPr>
        <w:pStyle w:val="TextBody"/>
        <w:spacing w:before="120" w:after="283"/>
        <w:jc w:val="left"/>
        <w:rPr/>
      </w:pPr>
      <w:r>
        <w:rPr/>
        <w:t>          </w:t>
      </w:r>
      <w:r>
        <w:rPr>
          <w:rFonts w:ascii="Times New Roman;Times;serif" w:hAnsi="Times New Roman;Times;serif"/>
          <w:sz w:val="17"/>
        </w:rPr>
        <w:t xml:space="preserve">(2) if such Transfer Restricted Securities are being transferred (i) to a QIB in accordance with Rule 144A under the Securities Act or (ii) pursuant to an exemption from registration in accordance with Rule 144 under the Securities Act (and based upon an opinion of counsel if the Issuers or the Trustee so requests) or (iii)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an effective registration statement under the Securities Act, a certification to that effect from such Holder in substantially the form of Exhibit C hereto; or </w:t>
      </w:r>
    </w:p>
    <w:p>
      <w:pPr>
        <w:pStyle w:val="TextBody"/>
        <w:spacing w:before="120" w:after="283"/>
        <w:jc w:val="left"/>
        <w:rPr/>
      </w:pPr>
      <w:r>
        <w:rPr/>
        <w:t>          </w:t>
      </w:r>
      <w:r>
        <w:rPr>
          <w:rFonts w:ascii="Times New Roman;Times;serif" w:hAnsi="Times New Roman;Times;serif"/>
          <w:sz w:val="17"/>
        </w:rPr>
        <w:t xml:space="preserve">(3) if such Transfer Restricted Securities are being transferred to an IAI within the meaning of Rule 501(a)(1), (2), (3) or (7) under the Securities Act pursuant to a private placement exemption from the registration requirements of the Securities Act (and based upon an opinion of counsel if the Issuers or the Trustee so requests), a certification to that effect from such Holder in substantially the form of Exhibit C hereto and a certification from the applicable transferee in substantially the form of Exhibit D hereto; or </w:t>
      </w:r>
    </w:p>
    <w:p>
      <w:pPr>
        <w:pStyle w:val="TextBody"/>
        <w:spacing w:before="120" w:after="283"/>
        <w:jc w:val="left"/>
        <w:rPr/>
      </w:pPr>
      <w:r>
        <w:rPr/>
        <w:t>          </w:t>
      </w:r>
      <w:r>
        <w:rPr>
          <w:rFonts w:ascii="Times New Roman;Times;serif" w:hAnsi="Times New Roman;Times;serif"/>
          <w:sz w:val="17"/>
        </w:rPr>
        <w:t xml:space="preserve">(4) if such Transfer Restricted Securities are being transferred to Persons other than U.S. Persons in reliance on Regulation S, a certification to that effect from such Holder in substantially the form of Exhibit E hereto; or </w:t>
      </w:r>
    </w:p>
    <w:p>
      <w:pPr>
        <w:pStyle w:val="TextBody"/>
        <w:spacing w:before="120" w:after="283"/>
        <w:jc w:val="left"/>
        <w:rPr/>
      </w:pPr>
      <w:r>
        <w:rPr/>
        <w:t>          </w:t>
      </w:r>
      <w:r>
        <w:rPr>
          <w:rFonts w:ascii="Times New Roman;Times;serif" w:hAnsi="Times New Roman;Times;serif"/>
          <w:sz w:val="17"/>
        </w:rPr>
        <w:t xml:space="preserve">(5) if such Transfer Restricted Securities are being transferred in reliance on another exemption from the registration requirements of the Securities Act (and based upon an opinion of counsel if the Issuers or the Trustee so requests), a certification to that effect from such Holder in substantially the form of Exhibit C hereto. </w:t>
      </w:r>
    </w:p>
    <w:p>
      <w:pPr>
        <w:pStyle w:val="TextBody"/>
        <w:spacing w:before="120" w:after="283"/>
        <w:jc w:val="left"/>
        <w:rPr/>
      </w:pPr>
      <w:r>
        <w:rPr/>
        <w:t>          </w:t>
      </w:r>
      <w:r>
        <w:rPr>
          <w:rFonts w:ascii="Times New Roman;Times;serif" w:hAnsi="Times New Roman;Times;serif"/>
          <w:sz w:val="17"/>
        </w:rPr>
        <w:t xml:space="preserve">(b) Upon any sale or transfer of a Transfer Restricted Security (including any Transfer Restricted Security represented by a Global Security) pursuant to Rule 144 under the Securities Act or an effective registration statement under the Securities Act: </w:t>
      </w:r>
    </w:p>
    <w:p>
      <w:pPr>
        <w:pStyle w:val="TextBody"/>
        <w:spacing w:before="120" w:after="283"/>
        <w:jc w:val="left"/>
        <w:rPr/>
      </w:pPr>
      <w:r>
        <w:rPr/>
        <w:t>          </w:t>
      </w:r>
      <w:r>
        <w:rPr>
          <w:rFonts w:ascii="Times New Roman;Times;serif" w:hAnsi="Times New Roman;Times;serif"/>
          <w:sz w:val="17"/>
        </w:rPr>
        <w:t xml:space="preserve">(1) in the case of any Transfer Restricted Security that is in the form of a definitive Note, the Registrar shall permit the Holder thereof to exchange such Transfer Restricted Security for a definitive Note that does not bear the legend set forth in Section 3.04(a) below and rescind any restriction on the transfer of such Transfer Restricted Security; and </w:t>
      </w:r>
    </w:p>
    <w:p>
      <w:pPr>
        <w:pStyle w:val="TextBody"/>
        <w:spacing w:before="120" w:after="283"/>
        <w:jc w:val="left"/>
        <w:rPr/>
      </w:pPr>
      <w:r>
        <w:rPr/>
        <w:t>          </w:t>
      </w:r>
      <w:r>
        <w:rPr>
          <w:rFonts w:ascii="Times New Roman;Times;serif" w:hAnsi="Times New Roman;Times;serif"/>
          <w:sz w:val="17"/>
        </w:rPr>
        <w:t xml:space="preserve">(2) in the case of any Transfer Restricted Security represented by a Global Security, such Transfer Restricted Security shall not be required to bear the legend set forth in Section 3.04(a) below if all other interests in such Global Security have been or are concurrently being sold or transferred pursuant to Rule 144 under the Securities Act or pursuant to an effective registration statement under the Securities Act.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upon consummation of an Exchange Offer, the Issuers shall issue and, upon receipt of an authentication order in accordance with Section 2.05 of the Original Indenture, the Trustee shall authenticate Series B Notes in exchange for Series A Notes accepted for exchange in the Exchange Offer, which Series B Notes shall not bear the legend set forth in Section 3.04(a) below, and the Registrar shall rescind any restriction on the transfer of such Notes, in each case unless the Holder of such Series A Notes is either (1) is an affiliate of the Issuers within the meaning of Rule 405 under the Securities Act or an Initial Purchaser holding Series A Notes acquired by it and having the status of an unsold allotment in the initial offering and sale of Series A Notes pursuant to the Purchase Agreement, dated as of October 23, 2006, between the Issuers, the other parties referred to as Plains Parties therein and the Initial Purchasers, (2) does not acquire the Series B Notes in the ordinary course of such Holders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business or (3) has an arrangement or understanding with any Person to participate in the Exchange Offer for the purpose of distributing such Series B Notes or is engaged in, and intends to engage in, any such distribution. The Issuers shall identify to the Trustee such Holders of the Notes in a written certification signed by an officer of each Issuer and, absent certification from the Issuers to such effect, the Trustee shall assume that there are no such Holders. </w:t>
      </w:r>
    </w:p>
    <w:p>
      <w:pPr>
        <w:pStyle w:val="TextBody"/>
        <w:spacing w:before="120" w:after="283"/>
        <w:jc w:val="left"/>
        <w:rPr/>
      </w:pPr>
      <w:r>
        <w:rPr/>
        <w:t>          </w:t>
      </w:r>
      <w:r>
        <w:rPr>
          <w:rFonts w:ascii="Times New Roman;Times;serif" w:hAnsi="Times New Roman;Times;serif"/>
          <w:sz w:val="17"/>
        </w:rPr>
        <w:t xml:space="preserve">(c) Until the 40th day after the later of the commencement of the offering of the Series A Notes and the Issue Date thereof (such period, the Distribution Compliance Period), a beneficial interest in a Regulation S Global Note may be transferred to a Person who takes delivery in the form of an interest in a Rule 144A Global Note or an IAI Global Note only if the transferor first delivers to the Trustee a written certificate (in the form provided in Exhibit C hereto) to the effect that such transfer is being made to a Person who the transferor reasonably believes is purchasing for its own account or accounts as to which it exercises sole investment discretion and that such Person is a QIB acquiring such Series A Notes in a transaction meeting the requirements of Rule 144A or an IAI acquiring such Series A Notes pursuant to a private placement exemption under the Securities Act, in each case in accordance with any applicable securities laws of any state of the United States or any other jurisdiction; provided that, in the case of a transfer to a Person who takes delivery in the form of an interest in an IAI Global Note, such Person shall deliver to the Trustee a written certificate in the form provided in Exhibit D hereto. After the expiration of the Distribution Compliance Period, such certification requirements shall not apply to such transfers of beneficial interests in the Regulation S Global Notes. </w:t>
      </w:r>
    </w:p>
    <w:p>
      <w:pPr>
        <w:pStyle w:val="TextBody"/>
        <w:spacing w:before="120" w:after="283"/>
        <w:jc w:val="left"/>
        <w:rPr/>
      </w:pPr>
      <w:r>
        <w:rPr/>
        <w:t>          </w:t>
      </w:r>
      <w:r>
        <w:rPr>
          <w:rFonts w:ascii="Times New Roman;Times;serif" w:hAnsi="Times New Roman;Times;serif"/>
          <w:sz w:val="17"/>
        </w:rPr>
        <w:t xml:space="preserve">(d) Beneficial interests in a Rule 144A Global Note or an IAI Global Note may be transferred to a Person who takes delivery in the form of an interest in a Regulation S Global Note, whether before or after the expiration of the Distribution Compliance Period, only if the transferor first delivers to the Trustee a written certificate (in the form provided in Exhibit C or E hereto, as applicable) to the effect that such transfer is being made in accordance with Rule 904 of Regulation S or Rule 144 (if available). </w:t>
      </w:r>
    </w:p>
    <w:p>
      <w:pPr>
        <w:pStyle w:val="TextBody"/>
        <w:spacing w:before="120" w:after="283"/>
        <w:jc w:val="left"/>
        <w:rPr/>
      </w:pPr>
      <w:r>
        <w:rPr/>
        <w:t>          </w:t>
      </w:r>
      <w:r>
        <w:rPr>
          <w:rFonts w:ascii="Times New Roman;Times;serif" w:hAnsi="Times New Roman;Times;serif"/>
          <w:sz w:val="17"/>
        </w:rPr>
        <w:t xml:space="preserve">Section 3.04. </w:t>
      </w:r>
      <w:r>
        <w:rPr>
          <w:rFonts w:ascii="Times New Roman;Times;serif" w:hAnsi="Times New Roman;Times;serif"/>
          <w:sz w:val="17"/>
          <w:u w:val="single"/>
        </w:rPr>
        <w:t>Restrictive Legends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Except as provided in Section 3.03 hereof, prior to the Resale Restriction Termination Date, each security certificate evidencing the Notes shall bear a legend in substantially the following form: </w:t>
      </w:r>
    </w:p>
    <w:p>
      <w:pPr>
        <w:pStyle w:val="TextBody"/>
        <w:spacing w:before="120" w:after="283"/>
        <w:jc w:val="left"/>
        <w:rPr/>
      </w:pPr>
      <w:r>
        <w:rPr/>
        <w:t>          </w:t>
      </w:r>
      <w:r>
        <w:rPr>
          <w:rFonts w:ascii="Times New Roman;Times;serif" w:hAnsi="Times New Roman;Times;serif"/>
          <w:sz w:val="17"/>
        </w:rPr>
        <w:t xml:space="preserve">THE ISSUANCE AND SALE OF THIS SECURITY (AND ANY GUARANTEE HEREOF) HAVE NOT BEEN REGISTERED UNDER THE SECURITIES ACT OF 1933, AS AMENDED (THE SECURITIES ACT), OR ANY STATE SECURITIES LAWS. NEITHER THIS SECURITY (NOR ANY GUARANTEE HEREOF) NOR ANY INTEREST OR PARTICIPATION HEREIN (OR THEREIN) MAY BE OFFERED, SOLD, ASSIGNED, TRANSFERRED, PLEDGED, ENCUMBERED OR OTHERWISE DISPOSED OF IN THE ABSENCE OF SUCH REGISTRATION OR UNLESS SUCH TRANSACTION IS EXEMPT FROM, OR NOT SUBJECT TO, THE REGISTRATION REQUIREMENTS OF THE SECURITIES ACT OR ANY APPLICABLE STATE SECURITIES LAWS. THE HOLDER HEREOF, BY ITS ACCEPTANCE OF THIS SECURITY, AGREES FOR THE BENEFIT OF THE ISSUERS THAT THIS SECURITY MAY NOT BE OFFERED, SOLD, PLEDGED OR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OTHERWISE TRANSFERRED PRIOR TO THE EXPIRATION OF THE HOLDING PERIOD APPLICABLE THERETO UNDER RULE 144(k) UNDER THE SECURITIES ACT (OR, IN THE CASE OF A TRANSFER PURSUANT TO REGULATION S, THE DISTRIBUTION COMPLIANCE PERIOD DEFINED THEREIN) WHICH IS APPLICABLE TO THIS SECURITY (THE RESALE RESTRICTION TERMINATION DATE) OTHER THAN (1) TO THE ISSUERS OR THEIR RESPECTIVE SUBSIDIARIES, (2)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IN EACH CASE TO WHOM NOTICE IS GIVEN THAT THE RESALE, PLEDGE OR OTHER TRANSFER IS BEING MADE IN RELIANCE ON RULE 144A, (3) INSIDE THE UNITED STATES TO AN INSTITUTIONAL ACCREDITED INVESTOR (AS DEFINED IN RULE 501(A)(1), (2), (3) OR (7) UNDER THE SECURITIES ACT), (4) TO A NON-U.S. PERSON IN AN OFFSHORE TRANSACTION (AS SUCH TERMS ARE DEFINED IN REGULATION S UNDER THE SECURITIES ACT) IN ACCORDANCE WITH REGULATION S UNDER THE SECURITIES ACT, (5) PURSUANT TO ANY OTHER AVAILABLE EXEMPTION FROM THE REGISTRATION REQUIREMENTS OF THE SECURITIES ACT, INCLUDING THE EXEMPTION PROVIDED BY RULE 144 UNDER THE SECURITIES ACT, IF AVAILABLE, OR (6) PURSUANT TO AN EFFECTIVE REGISTRATION STATEMENT UNDER THE SECURITIES ACT, SUBJECT IN EACH OF THE FOREGOING CASES TO ANY REQUIREMENT OF LAW THAT THE DISPOSITION OF ITS PROPERTY OR THE PROPERTY OF SUCH INVESTOR ACCOUNT OR ACCOUNTS BE AT ALL TIMES WITHIN ITS OR THEIR CONTROL, AND SUBJECT TO THE RIGHT OF THE ISSUERS OR THE TRUSTEE FOR THE SECURITIES PRIOR TO ANY SUCH SALE, PLEDGE OR OTHER TRANSFER TO REQUIRE THE DELIVERY OF AN OPINION OF COUNSEL, CERTIFICATIONS AND/OR OTHER INFORMATION SATISFACTORY TO EACH OF THEM. THIS LEGEND WILL BE REMOVED UPON REQUEST OF THE HOLDER ON OR AFTER THE RESALE RESTRICTION TERMINATION DATE. </w:t>
      </w:r>
    </w:p>
    <w:p>
      <w:pPr>
        <w:pStyle w:val="TextBody"/>
        <w:spacing w:before="120" w:after="283"/>
        <w:jc w:val="left"/>
        <w:rPr/>
      </w:pPr>
      <w:r>
        <w:rPr/>
        <w:t>          </w:t>
      </w:r>
      <w:r>
        <w:rPr>
          <w:rFonts w:ascii="Times New Roman;Times;serif" w:hAnsi="Times New Roman;Times;serif"/>
          <w:sz w:val="17"/>
        </w:rPr>
        <w:t xml:space="preserve">(b) Each security certificate evidencing the Global Securities shall bear a legend in substantially the following form: </w:t>
      </w:r>
    </w:p>
    <w:p>
      <w:pPr>
        <w:pStyle w:val="TextBody"/>
        <w:spacing w:before="120" w:after="283"/>
        <w:jc w:val="left"/>
        <w:rPr/>
      </w:pPr>
      <w:r>
        <w:rPr/>
        <w:t>          </w:t>
      </w:r>
      <w:r>
        <w:rPr>
          <w:rFonts w:ascii="Times New Roman;Times;serif" w:hAnsi="Times New Roman;Times;serif"/>
          <w:sz w:val="17"/>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IV</w:t>
        <w:br/>
        <w:t xml:space="preserve">REDEMPTION AND PREPAYMENT </w:t>
      </w:r>
    </w:p>
    <w:p>
      <w:pPr>
        <w:pStyle w:val="TextBody"/>
        <w:spacing w:before="120" w:after="283"/>
        <w:jc w:val="left"/>
        <w:rPr/>
      </w:pPr>
      <w:r>
        <w:rPr/>
        <w:t>          </w:t>
      </w:r>
      <w:r>
        <w:rPr>
          <w:rFonts w:ascii="Times New Roman;Times;serif" w:hAnsi="Times New Roman;Times;serif"/>
          <w:sz w:val="17"/>
        </w:rPr>
        <w:t xml:space="preserve">Section 4.01. </w:t>
      </w:r>
      <w:r>
        <w:rPr>
          <w:rFonts w:ascii="Times New Roman;Times;serif" w:hAnsi="Times New Roman;Times;serif"/>
          <w:sz w:val="17"/>
          <w:u w:val="single"/>
        </w:rPr>
        <w:t>Optional Redemption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At their option at any time prior to maturity, the Issuers may choose to redeem all or any portion of the Notes, at once or from time to time. </w:t>
      </w:r>
    </w:p>
    <w:p>
      <w:pPr>
        <w:pStyle w:val="TextBody"/>
        <w:spacing w:before="120" w:after="283"/>
        <w:jc w:val="left"/>
        <w:rPr/>
      </w:pPr>
      <w:r>
        <w:rPr/>
        <w:t>          </w:t>
      </w:r>
      <w:r>
        <w:rPr>
          <w:rFonts w:ascii="Times New Roman;Times;serif" w:hAnsi="Times New Roman;Times;serif"/>
          <w:sz w:val="17"/>
        </w:rPr>
        <w:t xml:space="preserve">(b) To redeem the Notes, the Issuers must pay a redemption price in an amount determined in accordance with the provisions of paragraph number 5 of the form of Note in Exhibit A hereto, plus accrued and unpaid interest, if any, including Additional Interest, if any, to the redemption date (subject to the right of Holders on the relevant record date to receive interest due on the relevant interest payment date). </w:t>
      </w:r>
    </w:p>
    <w:p>
      <w:pPr>
        <w:pStyle w:val="TextBody"/>
        <w:spacing w:before="120" w:after="283"/>
        <w:jc w:val="left"/>
        <w:rPr/>
      </w:pPr>
      <w:r>
        <w:rPr/>
        <w:t>          </w:t>
      </w:r>
      <w:r>
        <w:rPr>
          <w:rFonts w:ascii="Times New Roman;Times;serif" w:hAnsi="Times New Roman;Times;serif"/>
          <w:sz w:val="17"/>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120" w:after="283"/>
        <w:jc w:val="left"/>
        <w:rPr/>
      </w:pPr>
      <w:r>
        <w:rPr/>
        <w:t>          </w:t>
      </w:r>
      <w:r>
        <w:rPr>
          <w:rFonts w:ascii="Times New Roman;Times;serif" w:hAnsi="Times New Roman;Times;serif"/>
          <w:sz w:val="17"/>
        </w:rPr>
        <w:t xml:space="preserve">Section 4.02. </w:t>
      </w:r>
      <w:r>
        <w:rPr>
          <w:rFonts w:ascii="Times New Roman;Times;serif" w:hAnsi="Times New Roman;Times;serif"/>
          <w:sz w:val="17"/>
          <w:u w:val="single"/>
        </w:rPr>
        <w:t>Special Mandatory Redemption</w:t>
      </w:r>
      <w:r>
        <w:rPr>
          <w:rFonts w:ascii="Times New Roman;Times;serif" w:hAnsi="Times New Roman;Times;serif"/>
          <w:sz w:val="17"/>
        </w:rPr>
        <w:t xml:space="preserve">. Following the occurrence of a Special Mandatory Redemption Trigger Event, the Issuers shall redeem the Notes as a whole (the Special Mandatory Redemption), upon notice as provided in this Section 4.02, at a redemption price equal to 101% of the aggregate principal amount thereof plus accrued and unpaid interest thereon to the mandatory redemption date. Notice of such mandatory redemption shall be given within ten days of the date of the Special Mandatory Redemption Trigger Event by first-class mail, postage prepaid, mailed not less than 15 nor more than 30 days prior to the redemption date, to the Trustee and to each Holder, at such Holders address appearing in the Debt Security Register, and such notice shall state: </w:t>
      </w:r>
    </w:p>
    <w:p>
      <w:pPr>
        <w:pStyle w:val="TextBody"/>
        <w:spacing w:before="120" w:after="283"/>
        <w:jc w:val="left"/>
        <w:rPr/>
      </w:pPr>
      <w:r>
        <w:rPr/>
        <w:t>          </w:t>
      </w:r>
      <w:r>
        <w:rPr>
          <w:rFonts w:ascii="Times New Roman;Times;serif" w:hAnsi="Times New Roman;Times;serif"/>
          <w:sz w:val="17"/>
        </w:rPr>
        <w:t xml:space="preserve">(a) that the Special Mandatory Redemption Trigger Event has occurred; </w:t>
      </w:r>
    </w:p>
    <w:p>
      <w:pPr>
        <w:pStyle w:val="TextBody"/>
        <w:spacing w:before="120" w:after="283"/>
        <w:jc w:val="left"/>
        <w:rPr/>
      </w:pPr>
      <w:r>
        <w:rPr/>
        <w:t>          </w:t>
      </w:r>
      <w:r>
        <w:rPr>
          <w:rFonts w:ascii="Times New Roman;Times;serif" w:hAnsi="Times New Roman;Times;serif"/>
          <w:sz w:val="17"/>
        </w:rPr>
        <w:t xml:space="preserve">(b) the redemption date, which shall be no earlier than 15 days and no later than 30 days from the date the notice is mailed; and </w:t>
      </w:r>
    </w:p>
    <w:p>
      <w:pPr>
        <w:pStyle w:val="TextBody"/>
        <w:spacing w:before="120" w:after="283"/>
        <w:jc w:val="left"/>
        <w:rPr/>
      </w:pPr>
      <w:r>
        <w:rPr/>
        <w:t>          </w:t>
      </w:r>
      <w:r>
        <w:rPr>
          <w:rFonts w:ascii="Times New Roman;Times;serif" w:hAnsi="Times New Roman;Times;serif"/>
          <w:sz w:val="17"/>
        </w:rPr>
        <w:t xml:space="preserve">(c) the other information required by Section 3.02 of the Original Indenture.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Except to the extent any provision of this Section 4.02 conflicts with the provisions of Sections 3.01 to 3.03 of the Original Indenture, any redemption shall otherwise be made pursuant to the provisions of Sections 3.01 to 3.03 of the Original Indenture.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ARTICLE V COVENANTS </w:t>
      </w:r>
    </w:p>
    <w:p>
      <w:pPr>
        <w:pStyle w:val="TextBody"/>
        <w:spacing w:before="120" w:after="283"/>
        <w:jc w:val="left"/>
        <w:rPr/>
      </w:pPr>
      <w:r>
        <w:rPr/>
        <w:t>          </w:t>
      </w:r>
      <w:r>
        <w:rPr>
          <w:rFonts w:ascii="Times New Roman;Times;serif" w:hAnsi="Times New Roman;Times;serif"/>
          <w:sz w:val="17"/>
        </w:rPr>
        <w:t xml:space="preserve">Section 5.01. </w:t>
      </w:r>
      <w:r>
        <w:rPr>
          <w:rFonts w:ascii="Times New Roman;Times;serif" w:hAnsi="Times New Roman;Times;serif"/>
          <w:sz w:val="17"/>
          <w:u w:val="single"/>
        </w:rPr>
        <w:t>Compliance Certificate</w:t>
      </w:r>
      <w:r>
        <w:rPr>
          <w:rFonts w:ascii="Times New Roman;Times;serif" w:hAnsi="Times New Roman;Times;serif"/>
          <w:sz w:val="17"/>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Officer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 </w:t>
      </w:r>
    </w:p>
    <w:p>
      <w:pPr>
        <w:pStyle w:val="TextBody"/>
        <w:spacing w:before="120" w:after="283"/>
        <w:jc w:val="left"/>
        <w:rPr/>
      </w:pPr>
      <w:r>
        <w:rPr/>
        <w:t>          </w:t>
      </w:r>
      <w:r>
        <w:rPr>
          <w:rFonts w:ascii="Times New Roman;Times;serif" w:hAnsi="Times New Roman;Times;serif"/>
          <w:sz w:val="17"/>
        </w:rPr>
        <w:t xml:space="preserve">(b) The Issuers shall, so long as any of the Notes are outstanding, deliver to the Trustee, forthwith and in any event within five days upon any Officer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120" w:after="283"/>
        <w:jc w:val="left"/>
        <w:rPr/>
      </w:pPr>
      <w:r>
        <w:rPr/>
        <w:t>          </w:t>
      </w:r>
      <w:r>
        <w:rPr>
          <w:rFonts w:ascii="Times New Roman;Times;serif" w:hAnsi="Times New Roman;Times;serif"/>
          <w:sz w:val="17"/>
        </w:rPr>
        <w:t xml:space="preserve">Section 5.02. </w:t>
      </w:r>
      <w:r>
        <w:rPr>
          <w:rFonts w:ascii="Times New Roman;Times;serif" w:hAnsi="Times New Roman;Times;serif"/>
          <w:sz w:val="17"/>
          <w:u w:val="single"/>
        </w:rPr>
        <w:t>Limitations on Liens</w:t>
      </w:r>
      <w:r>
        <w:rPr>
          <w:rFonts w:ascii="Times New Roman;Times;serif" w:hAnsi="Times New Roman;Times;serif"/>
          <w:sz w:val="17"/>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20" w:after="283"/>
        <w:jc w:val="left"/>
        <w:rPr/>
      </w:pPr>
      <w:r>
        <w:rPr/>
        <w:t>          </w:t>
      </w:r>
      <w:r>
        <w:rPr>
          <w:rFonts w:ascii="Times New Roman;Times;serif" w:hAnsi="Times New Roman;Times;serif"/>
          <w:sz w:val="17"/>
        </w:rPr>
        <w:t xml:space="preserve">(a) Permitted Liens; </w:t>
      </w:r>
    </w:p>
    <w:p>
      <w:pPr>
        <w:pStyle w:val="TextBody"/>
        <w:spacing w:before="120" w:after="283"/>
        <w:jc w:val="left"/>
        <w:rPr/>
      </w:pPr>
      <w:r>
        <w:rPr/>
        <w:t>          </w:t>
      </w:r>
      <w:r>
        <w:rPr>
          <w:rFonts w:ascii="Times New Roman;Times;serif" w:hAnsi="Times New Roman;Times;serif"/>
          <w:sz w:val="17"/>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20" w:after="283"/>
        <w:jc w:val="left"/>
        <w:rPr/>
      </w:pPr>
      <w:r>
        <w:rPr/>
        <w:t>          </w:t>
      </w:r>
      <w:r>
        <w:rPr>
          <w:rFonts w:ascii="Times New Roman;Times;serif" w:hAnsi="Times New Roman;Times;serif"/>
          <w:sz w:val="17"/>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20" w:after="283"/>
        <w:jc w:val="left"/>
        <w:rPr/>
      </w:pPr>
      <w:r>
        <w:rPr/>
        <w:t>          </w:t>
      </w:r>
      <w:r>
        <w:rPr>
          <w:rFonts w:ascii="Times New Roman;Times;serif" w:hAnsi="Times New Roman;Times;serif"/>
          <w:sz w:val="17"/>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20" w:after="283"/>
        <w:jc w:val="left"/>
        <w:rPr/>
      </w:pPr>
      <w:r>
        <w:rPr/>
        <w:t>          </w:t>
      </w:r>
      <w:r>
        <w:rPr>
          <w:rFonts w:ascii="Times New Roman;Times;serif" w:hAnsi="Times New Roman;Times;serif"/>
          <w:sz w:val="17"/>
        </w:rPr>
        <w:t xml:space="preserve">(f) any Lien upon any property or assets of an Issuer or any Restricted Subsidiary in existence on December 10, 2003 or provided for pursuant to agreements existing on December 10, 2003; </w:t>
      </w:r>
    </w:p>
    <w:p>
      <w:pPr>
        <w:pStyle w:val="TextBody"/>
        <w:spacing w:before="120" w:after="283"/>
        <w:jc w:val="left"/>
        <w:rPr/>
      </w:pPr>
      <w:r>
        <w:rPr/>
        <w:t>          </w:t>
      </w:r>
      <w:r>
        <w:rPr>
          <w:rFonts w:ascii="Times New Roman;Times;serif" w:hAnsi="Times New Roman;Times;serif"/>
          <w:sz w:val="17"/>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20" w:after="283"/>
        <w:jc w:val="left"/>
        <w:rPr/>
      </w:pPr>
      <w:r>
        <w:rPr/>
        <w:t>          </w:t>
      </w:r>
      <w:r>
        <w:rPr>
          <w:rFonts w:ascii="Times New Roman;Times;serif" w:hAnsi="Times New Roman;Times;serif"/>
          <w:sz w:val="17"/>
        </w:rPr>
        <w:t xml:space="preserve">(h) any extension, renewal, refinancing, refunding or replacement (or successive extensions, renewals, refinancing, refunding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120" w:after="283"/>
        <w:jc w:val="left"/>
        <w:rPr/>
      </w:pPr>
      <w:r>
        <w:rPr/>
        <w:t>          </w:t>
      </w:r>
      <w:r>
        <w:rPr>
          <w:rFonts w:ascii="Times New Roman;Times;serif" w:hAnsi="Times New Roman;Times;serif"/>
          <w:sz w:val="17"/>
        </w:rPr>
        <w:t xml:space="preserve">(i) any Lien resulting from the deposit of moneys or evidence of indebtedness in trust for the purpose of defeasing Debt of an Issuer or any Restricted Subsidiary. </w:t>
      </w:r>
    </w:p>
    <w:p>
      <w:pPr>
        <w:pStyle w:val="TextBody"/>
        <w:spacing w:before="120" w:after="283"/>
        <w:jc w:val="left"/>
        <w:rPr/>
      </w:pPr>
      <w:r>
        <w:rPr/>
        <w:t>          </w:t>
      </w:r>
      <w:r>
        <w:rPr>
          <w:rFonts w:ascii="Times New Roman;Times;serif" w:hAnsi="Times New Roman;Times;serif"/>
          <w:sz w:val="17"/>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20" w:after="283"/>
        <w:jc w:val="left"/>
        <w:rPr/>
      </w:pPr>
      <w:r>
        <w:rPr/>
        <w:t>          </w:t>
      </w:r>
      <w:r>
        <w:rPr>
          <w:rFonts w:ascii="Times New Roman;Times;serif" w:hAnsi="Times New Roman;Times;serif"/>
          <w:sz w:val="17"/>
        </w:rPr>
        <w:t xml:space="preserve">Section 5.03. </w:t>
      </w:r>
      <w:r>
        <w:rPr>
          <w:rFonts w:ascii="Times New Roman;Times;serif" w:hAnsi="Times New Roman;Times;serif"/>
          <w:sz w:val="17"/>
          <w:u w:val="single"/>
        </w:rPr>
        <w:t>Restriction of Sale-Leaseback Transactions</w:t>
      </w:r>
      <w:r>
        <w:rPr>
          <w:rFonts w:ascii="Times New Roman;Times;serif" w:hAnsi="Times New Roman;Times;serif"/>
          <w:sz w:val="17"/>
        </w:rPr>
        <w:t xml:space="preserve">. The Issuers will not, and will not permit any Subsidiary of the Partnership to, engage in a Sale-Leaseback Transaction, unless: </w:t>
      </w:r>
    </w:p>
    <w:p>
      <w:pPr>
        <w:pStyle w:val="TextBody"/>
        <w:spacing w:before="120" w:after="283"/>
        <w:jc w:val="left"/>
        <w:rPr/>
      </w:pPr>
      <w:r>
        <w:rPr/>
        <w:t>          </w:t>
      </w:r>
      <w:r>
        <w:rPr>
          <w:rFonts w:ascii="Times New Roman;Times;serif" w:hAnsi="Times New Roman;Times;serif"/>
          <w:sz w:val="17"/>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(b) the Sale-Leaseback Transaction involves a lease for a period, including renewals, of not more than three years; </w:t>
      </w:r>
    </w:p>
    <w:p>
      <w:pPr>
        <w:pStyle w:val="TextBody"/>
        <w:spacing w:before="120" w:after="283"/>
        <w:jc w:val="left"/>
        <w:rPr/>
      </w:pPr>
      <w:r>
        <w:rPr/>
        <w:t>          </w:t>
      </w:r>
      <w:r>
        <w:rPr>
          <w:rFonts w:ascii="Times New Roman;Times;serif" w:hAnsi="Times New Roman;Times;serif"/>
          <w:sz w:val="17"/>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20" w:after="283"/>
        <w:jc w:val="left"/>
        <w:rPr/>
      </w:pPr>
      <w:r>
        <w:rPr/>
        <w:t>          </w:t>
      </w:r>
      <w:r>
        <w:rPr>
          <w:rFonts w:ascii="Times New Roman;Times;serif" w:hAnsi="Times New Roman;Times;serif"/>
          <w:sz w:val="17"/>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20" w:after="283"/>
        <w:jc w:val="left"/>
        <w:rPr/>
      </w:pPr>
      <w:r>
        <w:rPr/>
        <w:t>          </w:t>
      </w:r>
      <w:r>
        <w:rPr>
          <w:rFonts w:ascii="Times New Roman;Times;serif" w:hAnsi="Times New Roman;Times;serif"/>
          <w:sz w:val="17"/>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Property not excepted by clauses (a) through (i), inclusive, of Section 5.02, does not exceed 10% of Consolidated Net Tangible Assets. </w:t>
      </w:r>
    </w:p>
    <w:p>
      <w:pPr>
        <w:pStyle w:val="TextBody"/>
        <w:spacing w:before="120" w:after="283"/>
        <w:jc w:val="left"/>
        <w:rPr/>
      </w:pPr>
      <w:r>
        <w:rPr/>
        <w:t>          </w:t>
      </w:r>
      <w:r>
        <w:rPr>
          <w:rFonts w:ascii="Times New Roman;Times;serif" w:hAnsi="Times New Roman;Times;serif"/>
          <w:sz w:val="17"/>
        </w:rPr>
        <w:t xml:space="preserve">Section 5.04. </w:t>
      </w:r>
      <w:r>
        <w:rPr>
          <w:rFonts w:ascii="Times New Roman;Times;serif" w:hAnsi="Times New Roman;Times;serif"/>
          <w:sz w:val="17"/>
          <w:u w:val="single"/>
        </w:rPr>
        <w:t>SEC Reports; Financial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20" w:after="283"/>
        <w:jc w:val="left"/>
        <w:rPr/>
      </w:pPr>
      <w:r>
        <w:rPr/>
        <w:t>          </w:t>
      </w:r>
      <w:r>
        <w:rPr>
          <w:rFonts w:ascii="Times New Roman;Times;serif" w:hAnsi="Times New Roman;Times;serif"/>
          <w:sz w:val="17"/>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20" w:after="283"/>
        <w:jc w:val="left"/>
        <w:rPr/>
      </w:pPr>
      <w:r>
        <w:rPr/>
        <w:t>          </w:t>
      </w:r>
      <w:r>
        <w:rPr>
          <w:rFonts w:ascii="Times New Roman;Times;serif" w:hAnsi="Times New Roman;Times;serif"/>
          <w:sz w:val="17"/>
        </w:rPr>
        <w:t xml:space="preserve">(c) In addition, the Issuers shall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20" w:after="283"/>
        <w:jc w:val="left"/>
        <w:rPr/>
      </w:pPr>
      <w:r>
        <w:rPr/>
        <w:t>          </w:t>
      </w:r>
      <w:r>
        <w:rPr>
          <w:rFonts w:ascii="Times New Roman;Times;serif" w:hAnsi="Times New Roman;Times;serif"/>
          <w:sz w:val="17"/>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20" w:after="283"/>
        <w:jc w:val="left"/>
        <w:rPr/>
      </w:pPr>
      <w:r>
        <w:rPr/>
        <w:t>          </w:t>
      </w:r>
      <w:r>
        <w:rPr>
          <w:rFonts w:ascii="Times New Roman;Times;serif" w:hAnsi="Times New Roman;Times;serif"/>
          <w:sz w:val="17"/>
        </w:rPr>
        <w:t xml:space="preserve">Section 5.05. </w:t>
      </w:r>
      <w:r>
        <w:rPr>
          <w:rFonts w:ascii="Times New Roman;Times;serif" w:hAnsi="Times New Roman;Times;serif"/>
          <w:sz w:val="17"/>
          <w:u w:val="single"/>
        </w:rPr>
        <w:t>Additional Subsidiary Guarantees</w:t>
      </w:r>
      <w:r>
        <w:rPr>
          <w:rFonts w:ascii="Times New Roman;Times;serif" w:hAnsi="Times New Roman;Times;serif"/>
          <w:sz w:val="17"/>
        </w:rPr>
        <w:t xml:space="preserve">. If any Subsidiary (or its successor) of the Partnership that is not then a Subsidiary Guarantor guarantees Debt of either of the Issuers or any other Subsidiary of the Partnership, in either case after the Issue Date, then such Subsidiary (or successor) shall execute and deliver a supplemental Indenture providing for the guarantee of the payment of the Notes pursuant to Article IX hereof.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VI</w:t>
        <w:br/>
        <w:t xml:space="preserve">SUCCESSORS </w:t>
      </w:r>
    </w:p>
    <w:p>
      <w:pPr>
        <w:pStyle w:val="TextBody"/>
        <w:spacing w:before="120" w:after="283"/>
        <w:jc w:val="left"/>
        <w:rPr/>
      </w:pPr>
      <w:r>
        <w:rPr/>
        <w:t>          </w:t>
      </w:r>
      <w:r>
        <w:rPr>
          <w:rFonts w:ascii="Times New Roman;Times;serif" w:hAnsi="Times New Roman;Times;serif"/>
          <w:sz w:val="17"/>
        </w:rPr>
        <w:t xml:space="preserve">With respect to the Notes, the provisions of this Article VI shall preempt the provisions of Article X of the Original Indenture in their entirety. </w:t>
      </w:r>
    </w:p>
    <w:p>
      <w:pPr>
        <w:pStyle w:val="TextBody"/>
        <w:spacing w:before="120" w:after="283"/>
        <w:jc w:val="left"/>
        <w:rPr/>
      </w:pPr>
      <w:r>
        <w:rPr/>
        <w:t>          </w:t>
      </w:r>
      <w:r>
        <w:rPr>
          <w:rFonts w:ascii="Times New Roman;Times;serif" w:hAnsi="Times New Roman;Times;serif"/>
          <w:sz w:val="17"/>
        </w:rPr>
        <w:t xml:space="preserve">Section 6.01. </w:t>
      </w:r>
      <w:r>
        <w:rPr>
          <w:rFonts w:ascii="Times New Roman;Times;serif" w:hAnsi="Times New Roman;Times;serif"/>
          <w:sz w:val="17"/>
          <w:u w:val="single"/>
        </w:rPr>
        <w:t>Consolidation and Mergers of the Issuers</w:t>
      </w:r>
      <w:r>
        <w:rPr>
          <w:rFonts w:ascii="Times New Roman;Times;serif" w:hAnsi="Times New Roman;Times;serif"/>
          <w:sz w:val="17"/>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(including Additional Interest, if any)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20" w:after="283"/>
        <w:jc w:val="left"/>
        <w:rPr/>
      </w:pPr>
      <w:r>
        <w:rPr/>
        <w:t>          </w:t>
      </w:r>
      <w:r>
        <w:rPr>
          <w:rFonts w:ascii="Times New Roman;Times;serif" w:hAnsi="Times New Roman;Times;serif"/>
          <w:sz w:val="17"/>
        </w:rPr>
        <w:t xml:space="preserve">Section 6.02. </w:t>
      </w:r>
      <w:r>
        <w:rPr>
          <w:rFonts w:ascii="Times New Roman;Times;serif" w:hAnsi="Times New Roman;Times;serif"/>
          <w:sz w:val="17"/>
          <w:u w:val="single"/>
        </w:rPr>
        <w:t>Rights and Duties of Successor</w:t>
      </w:r>
      <w:r>
        <w:rPr>
          <w:rFonts w:ascii="Times New Roman;Times;serif" w:hAnsi="Times New Roman;Times;serif"/>
          <w:sz w:val="17"/>
        </w:rPr>
        <w:t xml:space="preserve">. In case of any consolidation,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20" w:after="283"/>
        <w:jc w:val="left"/>
        <w:rPr/>
      </w:pPr>
      <w:r>
        <w:rPr/>
        <w:t>          </w:t>
      </w:r>
      <w:r>
        <w:rPr>
          <w:rFonts w:ascii="Times New Roman;Times;serif" w:hAnsi="Times New Roman;Times;serif"/>
          <w:sz w:val="17"/>
        </w:rPr>
        <w:t xml:space="preserve">Section 6.03. </w:t>
      </w:r>
      <w:r>
        <w:rPr>
          <w:rFonts w:ascii="Times New Roman;Times;serif" w:hAnsi="Times New Roman;Times;serif"/>
          <w:sz w:val="17"/>
          <w:u w:val="single"/>
        </w:rPr>
        <w:t>Supplemental Indenture</w:t>
      </w:r>
      <w:r>
        <w:rPr>
          <w:rFonts w:ascii="Times New Roman;Times;serif" w:hAnsi="Times New Roman;Times;serif"/>
          <w:sz w:val="17"/>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VII</w:t>
        <w:br/>
        <w:t xml:space="preserve">DEFAULTS AND REMEDIES </w:t>
      </w:r>
    </w:p>
    <w:p>
      <w:pPr>
        <w:pStyle w:val="TextBody"/>
        <w:spacing w:before="120" w:after="283"/>
        <w:jc w:val="left"/>
        <w:rPr/>
      </w:pPr>
      <w:r>
        <w:rPr/>
        <w:t>          </w:t>
      </w:r>
      <w:r>
        <w:rPr>
          <w:rFonts w:ascii="Times New Roman;Times;serif" w:hAnsi="Times New Roman;Times;serif"/>
          <w:sz w:val="17"/>
        </w:rPr>
        <w:t xml:space="preserve">Section 7.01. </w:t>
      </w:r>
      <w:r>
        <w:rPr>
          <w:rFonts w:ascii="Times New Roman;Times;serif" w:hAnsi="Times New Roman;Times;serif"/>
          <w:sz w:val="17"/>
          <w:u w:val="single"/>
        </w:rPr>
        <w:t>Events of Default</w:t>
      </w:r>
      <w:r>
        <w:rPr>
          <w:rFonts w:ascii="Times New Roman;Times;serif" w:hAnsi="Times New Roman;Times;serif"/>
          <w:sz w:val="17"/>
        </w:rPr>
        <w:t xml:space="preserve">. With respect to the Notes, the provisions of this Section 7.01 shall preempt the provisions of the first and final paragraphs of Section 6.01 of the Original Indenture in their entirety. </w:t>
      </w:r>
    </w:p>
    <w:p>
      <w:pPr>
        <w:pStyle w:val="TextBody"/>
        <w:spacing w:before="120" w:after="283"/>
        <w:jc w:val="left"/>
        <w:rPr/>
      </w:pPr>
      <w:r>
        <w:rPr/>
        <w:t>          </w:t>
      </w:r>
      <w:r>
        <w:rPr>
          <w:rFonts w:ascii="Times New Roman;Times;serif" w:hAnsi="Times New Roman;Times;serif"/>
          <w:sz w:val="17"/>
        </w:rPr>
        <w:t xml:space="preserve">(a) An Event of Default occurs if: </w:t>
      </w:r>
    </w:p>
    <w:p>
      <w:pPr>
        <w:pStyle w:val="TextBody"/>
        <w:spacing w:before="120" w:after="283"/>
        <w:jc w:val="left"/>
        <w:rPr/>
      </w:pPr>
      <w:r>
        <w:rPr/>
        <w:t>          </w:t>
      </w:r>
      <w:r>
        <w:rPr>
          <w:rFonts w:ascii="Times New Roman;Times;serif" w:hAnsi="Times New Roman;Times;serif"/>
          <w:sz w:val="17"/>
        </w:rPr>
        <w:t xml:space="preserve">(i) the Issuers default for 60 days in the payment when due of interest on, or Additional Interest with respect to, the Notes; </w:t>
      </w:r>
    </w:p>
    <w:p>
      <w:pPr>
        <w:pStyle w:val="TextBody"/>
        <w:spacing w:before="120" w:after="283"/>
        <w:jc w:val="left"/>
        <w:rPr/>
      </w:pPr>
      <w:r>
        <w:rPr/>
        <w:t>          </w:t>
      </w:r>
      <w:r>
        <w:rPr>
          <w:rFonts w:ascii="Times New Roman;Times;serif" w:hAnsi="Times New Roman;Times;serif"/>
          <w:sz w:val="17"/>
        </w:rPr>
        <w:t xml:space="preserve">(ii) the Issuers default in the payment when due of principal of or premium, if any, on the Notes at maturity, upon redemption or otherwise; </w:t>
      </w:r>
    </w:p>
    <w:p>
      <w:pPr>
        <w:pStyle w:val="TextBody"/>
        <w:spacing w:before="120" w:after="283"/>
        <w:jc w:val="left"/>
        <w:rPr/>
      </w:pPr>
      <w:r>
        <w:rPr/>
        <w:t>          </w:t>
      </w:r>
      <w:r>
        <w:rPr>
          <w:rFonts w:ascii="Times New Roman;Times;serif" w:hAnsi="Times New Roman;Times;serif"/>
          <w:sz w:val="17"/>
        </w:rPr>
        <w:t>(iii) failure by an Issuer or any Subsidiary Guarantor for 30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Times;serif" w:hAnsi="Times New Roman;Times;serif"/>
          <w:sz w:val="17"/>
          <w:u w:val="single"/>
        </w:rPr>
        <w:t>provided</w:t>
      </w:r>
      <w:r>
        <w:rPr>
          <w:rFonts w:ascii="Times New Roman;Times;serif" w:hAnsi="Times New Roman;Times;serif"/>
          <w:sz w:val="17"/>
        </w:rPr>
        <w:t xml:space="preserve"> that notice need not be given, and an Event of Default shall occur, 30 days after any breach of the provisions of Section 6.01 hereof); </w:t>
      </w:r>
    </w:p>
    <w:p>
      <w:pPr>
        <w:pStyle w:val="TextBody"/>
        <w:spacing w:before="120" w:after="283"/>
        <w:jc w:val="left"/>
        <w:rPr/>
      </w:pPr>
      <w:r>
        <w:rPr/>
        <w:t>          </w:t>
      </w:r>
      <w:r>
        <w:rPr>
          <w:rFonts w:ascii="Times New Roman;Times;serif" w:hAnsi="Times New Roman;Times;serif"/>
          <w:sz w:val="17"/>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which has been so accelerated, aggregates $25.0 million or more; </w:t>
      </w:r>
      <w:r>
        <w:rPr>
          <w:rFonts w:ascii="Times New Roman;Times;serif" w:hAnsi="Times New Roman;Times;serif"/>
          <w:sz w:val="17"/>
          <w:u w:val="single"/>
        </w:rPr>
        <w:t>provided</w:t>
      </w:r>
      <w:r>
        <w:rPr>
          <w:rFonts w:ascii="Times New Roman;Times;serif" w:hAnsi="Times New Roman;Times;serif"/>
          <w:i/>
          <w:sz w:val="17"/>
        </w:rPr>
        <w:t>,</w:t>
      </w:r>
      <w:r>
        <w:rPr>
          <w:rFonts w:ascii="Times New Roman;Times;serif" w:hAnsi="Times New Roman;Times;serif"/>
          <w:sz w:val="17"/>
        </w:rPr>
        <w:t xml:space="preserve"> </w:t>
      </w:r>
      <w:r>
        <w:rPr>
          <w:rFonts w:ascii="Times New Roman;Times;serif" w:hAnsi="Times New Roman;Times;serif"/>
          <w:sz w:val="17"/>
          <w:u w:val="single"/>
        </w:rPr>
        <w:t>further</w:t>
      </w:r>
      <w:r>
        <w:rPr>
          <w:rFonts w:ascii="Times New Roman;Times;serif" w:hAnsi="Times New Roman;Times;serif"/>
          <w:i/>
          <w:sz w:val="17"/>
        </w:rPr>
        <w:t xml:space="preserve">, </w:t>
      </w:r>
      <w:r>
        <w:rPr>
          <w:rFonts w:ascii="Times New Roman;Times;serif" w:hAnsi="Times New Roman;Times;serif"/>
          <w:sz w:val="17"/>
        </w:rPr>
        <w:t xml:space="preserve">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283"/>
        <w:jc w:val="left"/>
        <w:rPr/>
      </w:pPr>
      <w:r>
        <w:rPr/>
        <w:t>          </w:t>
      </w:r>
      <w:r>
        <w:rPr>
          <w:rFonts w:ascii="Times New Roman;Times;serif" w:hAnsi="Times New Roman;Times;serif"/>
          <w:sz w:val="17"/>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120" w:after="283"/>
        <w:jc w:val="left"/>
        <w:rPr/>
      </w:pPr>
      <w:r>
        <w:rPr/>
        <w:t>          </w:t>
      </w:r>
      <w:r>
        <w:rPr>
          <w:rFonts w:ascii="Times New Roman;Times;serif" w:hAnsi="Times New Roman;Times;serif"/>
          <w:sz w:val="17"/>
        </w:rPr>
        <w:t xml:space="preserve">(vi) an Issuer or any Subsidiary Guarantor pursuant to or within the meaning of any Bankruptcy Law: </w:t>
      </w:r>
    </w:p>
    <w:p>
      <w:pPr>
        <w:pStyle w:val="TextBody"/>
        <w:spacing w:before="120" w:after="283"/>
        <w:jc w:val="left"/>
        <w:rPr/>
      </w:pPr>
      <w:r>
        <w:rPr/>
        <w:t>          </w:t>
      </w:r>
      <w:r>
        <w:rPr>
          <w:rFonts w:ascii="Times New Roman;Times;serif" w:hAnsi="Times New Roman;Times;serif"/>
          <w:sz w:val="17"/>
        </w:rPr>
        <w:t xml:space="preserve">(A) commences a voluntary case, </w:t>
      </w:r>
    </w:p>
    <w:p>
      <w:pPr>
        <w:pStyle w:val="TextBody"/>
        <w:spacing w:before="120" w:after="283"/>
        <w:jc w:val="left"/>
        <w:rPr/>
      </w:pPr>
      <w:r>
        <w:rPr/>
        <w:t>          </w:t>
      </w:r>
      <w:r>
        <w:rPr>
          <w:rFonts w:ascii="Times New Roman;Times;serif" w:hAnsi="Times New Roman;Times;serif"/>
          <w:sz w:val="17"/>
        </w:rPr>
        <w:t xml:space="preserve">(B) consents to the entry of an order for relief against it in an involuntary case, </w:t>
      </w:r>
    </w:p>
    <w:p>
      <w:pPr>
        <w:pStyle w:val="TextBody"/>
        <w:spacing w:before="120" w:after="283"/>
        <w:jc w:val="left"/>
        <w:rPr/>
      </w:pPr>
      <w:r>
        <w:rPr/>
        <w:t>          </w:t>
      </w:r>
      <w:r>
        <w:rPr>
          <w:rFonts w:ascii="Times New Roman;Times;serif" w:hAnsi="Times New Roman;Times;serif"/>
          <w:sz w:val="17"/>
        </w:rPr>
        <w:t xml:space="preserve">(C) consents to the appointment of a custodian of it or for all or substantially all of its property, </w:t>
      </w:r>
    </w:p>
    <w:p>
      <w:pPr>
        <w:pStyle w:val="TextBody"/>
        <w:spacing w:before="120" w:after="283"/>
        <w:jc w:val="left"/>
        <w:rPr/>
      </w:pPr>
      <w:r>
        <w:rPr/>
        <w:t>          </w:t>
      </w:r>
      <w:r>
        <w:rPr>
          <w:rFonts w:ascii="Times New Roman;Times;serif" w:hAnsi="Times New Roman;Times;serif"/>
          <w:sz w:val="17"/>
        </w:rPr>
        <w:t xml:space="preserve">(D) makes a general assignment for the benefit of its creditors, or </w:t>
      </w:r>
    </w:p>
    <w:p>
      <w:pPr>
        <w:pStyle w:val="TextBody"/>
        <w:spacing w:before="120" w:after="283"/>
        <w:jc w:val="left"/>
        <w:rPr/>
      </w:pPr>
      <w:r>
        <w:rPr/>
        <w:t>          </w:t>
      </w:r>
      <w:r>
        <w:rPr>
          <w:rFonts w:ascii="Times New Roman;Times;serif" w:hAnsi="Times New Roman;Times;serif"/>
          <w:sz w:val="17"/>
        </w:rPr>
        <w:t xml:space="preserve">(E) generally is not paying its debts as they become due; or </w:t>
      </w:r>
    </w:p>
    <w:p>
      <w:pPr>
        <w:pStyle w:val="TextBody"/>
        <w:spacing w:before="120" w:after="283"/>
        <w:jc w:val="left"/>
        <w:rPr/>
      </w:pPr>
      <w:r>
        <w:rPr/>
        <w:t>     </w:t>
      </w:r>
      <w:r>
        <w:rPr>
          <w:rFonts w:ascii="Times New Roman;Times;serif" w:hAnsi="Times New Roman;Times;serif"/>
          <w:sz w:val="17"/>
        </w:rPr>
        <w:t xml:space="preserve">(vii) a court of competent jurisdiction enters an order or decree under any Bankruptcy Law that: </w:t>
      </w:r>
    </w:p>
    <w:p>
      <w:pPr>
        <w:pStyle w:val="TextBody"/>
        <w:spacing w:before="120" w:after="283"/>
        <w:jc w:val="left"/>
        <w:rPr/>
      </w:pPr>
      <w:r>
        <w:rPr/>
        <w:t>          </w:t>
      </w:r>
      <w:r>
        <w:rPr>
          <w:rFonts w:ascii="Times New Roman;Times;serif" w:hAnsi="Times New Roman;Times;serif"/>
          <w:sz w:val="17"/>
        </w:rPr>
        <w:t xml:space="preserve">(A) is for relief against an Issuer or any Subsidiary Guarantor in an involuntary case; </w:t>
      </w:r>
    </w:p>
    <w:p>
      <w:pPr>
        <w:pStyle w:val="TextBody"/>
        <w:spacing w:before="120" w:after="283"/>
        <w:jc w:val="left"/>
        <w:rPr/>
      </w:pPr>
      <w:r>
        <w:rPr/>
        <w:t>          </w:t>
      </w:r>
      <w:r>
        <w:rPr>
          <w:rFonts w:ascii="Times New Roman;Times;serif" w:hAnsi="Times New Roman;Times;serif"/>
          <w:sz w:val="17"/>
        </w:rPr>
        <w:t xml:space="preserve">(B) appoints a custodian of an Issuer or any Subsidiary Guarantor or for all or substantially all of the property of an Issuer or any Subsidiary Guarantor; or </w:t>
      </w:r>
    </w:p>
    <w:p>
      <w:pPr>
        <w:pStyle w:val="TextBody"/>
        <w:spacing w:before="120" w:after="283"/>
        <w:jc w:val="left"/>
        <w:rPr/>
      </w:pPr>
      <w:r>
        <w:rPr/>
        <w:t>          </w:t>
      </w:r>
      <w:r>
        <w:rPr>
          <w:rFonts w:ascii="Times New Roman;Times;serif" w:hAnsi="Times New Roman;Times;serif"/>
          <w:sz w:val="17"/>
        </w:rPr>
        <w:t xml:space="preserve">(C) orders the liquidation of an Issuer or any Subsidiary Guarantor; </w:t>
      </w:r>
    </w:p>
    <w:p>
      <w:pPr>
        <w:pStyle w:val="TextBody"/>
        <w:spacing w:before="120" w:after="283"/>
        <w:jc w:val="left"/>
        <w:rPr/>
      </w:pPr>
      <w:r>
        <w:rPr/>
        <w:t>          </w:t>
      </w:r>
      <w:r>
        <w:rPr>
          <w:rFonts w:ascii="Times New Roman;Times;serif" w:hAnsi="Times New Roman;Times;serif"/>
          <w:sz w:val="17"/>
        </w:rPr>
        <w:t xml:space="preserve">and the order or decree remains unstayed and in effect for 60 consecutive days. </w:t>
      </w:r>
    </w:p>
    <w:p>
      <w:pPr>
        <w:pStyle w:val="TextBody"/>
        <w:spacing w:before="120" w:after="283"/>
        <w:jc w:val="left"/>
        <w:rPr/>
      </w:pPr>
      <w:r>
        <w:rPr/>
        <w:t>          </w:t>
      </w:r>
      <w:r>
        <w:rPr>
          <w:rFonts w:ascii="Times New Roman;Times;serif" w:hAnsi="Times New Roman;Times;serif"/>
          <w:sz w:val="17"/>
        </w:rPr>
        <w:t xml:space="preserve">(b) In the case of an Event of Default arising from Section 7.01(a)(vi) or 7.01(a)(vii) hereof involving an Issuer (and, for the avoidance of debt, excluding any such Event of Default that involves only one or more Subsidiary Guarantors), the principal amount of all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VIII</w:t>
        <w:br/>
        <w:t xml:space="preserve">LEGAL DEFEASANCE AND COVENANT DEFEASANCE </w:t>
      </w:r>
    </w:p>
    <w:p>
      <w:pPr>
        <w:pStyle w:val="TextBody"/>
        <w:spacing w:before="120" w:after="283"/>
        <w:jc w:val="left"/>
        <w:rPr/>
      </w:pPr>
      <w:r>
        <w:rPr/>
        <w:t>          </w:t>
      </w:r>
      <w:r>
        <w:rPr>
          <w:rFonts w:ascii="Times New Roman;Times;serif" w:hAnsi="Times New Roman;Times;serif"/>
          <w:sz w:val="17"/>
        </w:rPr>
        <w:t xml:space="preserve">Section 8.01. </w:t>
      </w:r>
      <w:r>
        <w:rPr>
          <w:rFonts w:ascii="Times New Roman;Times;serif" w:hAnsi="Times New Roman;Times;serif"/>
          <w:sz w:val="17"/>
          <w:u w:val="single"/>
        </w:rPr>
        <w:t>Option to Effect Legal Defeasance or Covenant Defeasance</w:t>
      </w:r>
      <w:r>
        <w:rPr>
          <w:rFonts w:ascii="Times New Roman;Times;serif" w:hAnsi="Times New Roman;Times;serif"/>
          <w:sz w:val="17"/>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20" w:after="283"/>
        <w:jc w:val="left"/>
        <w:rPr/>
      </w:pPr>
      <w:r>
        <w:rPr/>
        <w:t>          </w:t>
      </w:r>
      <w:r>
        <w:rPr>
          <w:rFonts w:ascii="Times New Roman;Times;serif" w:hAnsi="Times New Roman;Times;serif"/>
          <w:sz w:val="17"/>
        </w:rPr>
        <w:t xml:space="preserve">Section 8.02. </w:t>
      </w:r>
      <w:r>
        <w:rPr>
          <w:rFonts w:ascii="Times New Roman;Times;serif" w:hAnsi="Times New Roman;Times;serif"/>
          <w:sz w:val="17"/>
          <w:u w:val="single"/>
        </w:rPr>
        <w:t>Legal Defeasance and Discharge</w:t>
      </w:r>
      <w:r>
        <w:rPr>
          <w:rFonts w:ascii="Times New Roman;Times;serif" w:hAnsi="Times New Roman;Times;serif"/>
          <w:sz w:val="17"/>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20" w:after="283"/>
        <w:jc w:val="left"/>
        <w:rPr/>
      </w:pPr>
      <w:r>
        <w:rPr/>
        <w:t>          </w:t>
      </w:r>
      <w:r>
        <w:rPr>
          <w:rFonts w:ascii="Times New Roman;Times;serif" w:hAnsi="Times New Roman;Times;serif"/>
          <w:sz w:val="17"/>
        </w:rPr>
        <w:t xml:space="preserve">(a) the rights of Holders of Outstanding Notes to receive solely from the trust fund described in Section 8.04 hereof, and as more fully set forth in such Section, payments in respect of the principal of, premium on, if any, interest and Additional Interest, if any, on such Notes when such payments are due, </w:t>
      </w:r>
    </w:p>
    <w:p>
      <w:pPr>
        <w:pStyle w:val="TextBody"/>
        <w:spacing w:before="120" w:after="283"/>
        <w:jc w:val="left"/>
        <w:rPr/>
      </w:pPr>
      <w:r>
        <w:rPr/>
        <w:t>          </w:t>
      </w:r>
      <w:r>
        <w:rPr>
          <w:rFonts w:ascii="Times New Roman;Times;serif" w:hAnsi="Times New Roman;Times;serif"/>
          <w:sz w:val="17"/>
        </w:rPr>
        <w:t xml:space="preserve">(b) the Issuers obligations with respect to such Notes under Sections 2.07, 2.08, 2.09 and 4.02 of the Original Indenture and Section 4.02 hereof, </w:t>
      </w:r>
    </w:p>
    <w:p>
      <w:pPr>
        <w:pStyle w:val="TextBody"/>
        <w:spacing w:before="120" w:after="283"/>
        <w:jc w:val="left"/>
        <w:rPr/>
      </w:pPr>
      <w:r>
        <w:rPr/>
        <w:t>          </w:t>
      </w:r>
      <w:r>
        <w:rPr>
          <w:rFonts w:ascii="Times New Roman;Times;serif" w:hAnsi="Times New Roman;Times;serif"/>
          <w:sz w:val="17"/>
        </w:rPr>
        <w:t xml:space="preserve">(c) the rights, powers, trusts, duties and immunities of the Trustee hereunder and the Issuers obligations in connection therewith, </w:t>
      </w:r>
    </w:p>
    <w:p>
      <w:pPr>
        <w:pStyle w:val="TextBody"/>
        <w:spacing w:before="120" w:after="283"/>
        <w:jc w:val="left"/>
        <w:rPr/>
      </w:pPr>
      <w:r>
        <w:rPr/>
        <w:t>          </w:t>
      </w:r>
      <w:r>
        <w:rPr>
          <w:rFonts w:ascii="Times New Roman;Times;serif" w:hAnsi="Times New Roman;Times;serif"/>
          <w:sz w:val="17"/>
        </w:rPr>
        <w:t xml:space="preserve">(d) this Article VIII, and </w:t>
      </w:r>
    </w:p>
    <w:p>
      <w:pPr>
        <w:pStyle w:val="TextBody"/>
        <w:spacing w:before="120" w:after="283"/>
        <w:jc w:val="left"/>
        <w:rPr/>
      </w:pPr>
      <w:r>
        <w:rPr/>
        <w:t>          </w:t>
      </w:r>
      <w:r>
        <w:rPr>
          <w:rFonts w:ascii="Times New Roman;Times;serif" w:hAnsi="Times New Roman;Times;serif"/>
          <w:sz w:val="17"/>
        </w:rPr>
        <w:t xml:space="preserve">(e) the Issuers rights of optional redemption under Section 4.01 hereof.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Subject to compliance with this Article VIII, the Issuers may exercise their option under this Section 8.02 notwithstanding the prior exercise of their option under Section 8.03 hereof. </w:t>
      </w:r>
    </w:p>
    <w:p>
      <w:pPr>
        <w:pStyle w:val="TextBody"/>
        <w:spacing w:before="120" w:after="283"/>
        <w:jc w:val="left"/>
        <w:rPr/>
      </w:pPr>
      <w:r>
        <w:rPr/>
        <w:t>          </w:t>
      </w:r>
      <w:r>
        <w:rPr>
          <w:rFonts w:ascii="Times New Roman;Times;serif" w:hAnsi="Times New Roman;Times;serif"/>
          <w:sz w:val="17"/>
        </w:rPr>
        <w:t xml:space="preserve">Section 8.03. </w:t>
      </w:r>
      <w:r>
        <w:rPr>
          <w:rFonts w:ascii="Times New Roman;Times;serif" w:hAnsi="Times New Roman;Times;serif"/>
          <w:sz w:val="17"/>
          <w:u w:val="single"/>
        </w:rPr>
        <w:t>Covenant Defeasance</w:t>
      </w:r>
      <w:r>
        <w:rPr>
          <w:rFonts w:ascii="Times New Roman;Times;serif" w:hAnsi="Times New Roman;Times;serif"/>
          <w:sz w:val="17"/>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120" w:after="283"/>
        <w:jc w:val="left"/>
        <w:rPr/>
      </w:pPr>
      <w:r>
        <w:rPr/>
        <w:t>          </w:t>
      </w:r>
      <w:r>
        <w:rPr>
          <w:rFonts w:ascii="Times New Roman;Times;serif" w:hAnsi="Times New Roman;Times;serif"/>
          <w:sz w:val="17"/>
        </w:rPr>
        <w:t xml:space="preserve">Section 8.04. </w:t>
      </w:r>
      <w:r>
        <w:rPr>
          <w:rFonts w:ascii="Times New Roman;Times;serif" w:hAnsi="Times New Roman;Times;serif"/>
          <w:sz w:val="17"/>
          <w:u w:val="single"/>
        </w:rPr>
        <w:t>Conditions to Legal or Covenant Defeasance</w:t>
      </w:r>
      <w:r>
        <w:rPr>
          <w:rFonts w:ascii="Times New Roman;Times;serif" w:hAnsi="Times New Roman;Times;serif"/>
          <w:sz w:val="17"/>
        </w:rPr>
        <w:t xml:space="preserve">. The following shall be the conditions to the application of either Section 8.02 or 8.03 hereof to the Outstanding Notes: </w:t>
      </w:r>
    </w:p>
    <w:p>
      <w:pPr>
        <w:pStyle w:val="TextBody"/>
        <w:spacing w:before="120" w:after="283"/>
        <w:jc w:val="left"/>
        <w:rPr/>
      </w:pPr>
      <w:r>
        <w:rPr/>
        <w:t>          </w:t>
      </w:r>
      <w:r>
        <w:rPr>
          <w:rFonts w:ascii="Times New Roman;Times;serif" w:hAnsi="Times New Roman;Times;serif"/>
          <w:sz w:val="17"/>
        </w:rPr>
        <w:t xml:space="preserve">In order to exercise either Legal Defeasance or Covenant Defeasance: </w:t>
      </w:r>
    </w:p>
    <w:p>
      <w:pPr>
        <w:pStyle w:val="TextBody"/>
        <w:spacing w:before="120" w:after="283"/>
        <w:jc w:val="left"/>
        <w:rPr/>
      </w:pPr>
      <w:r>
        <w:rPr/>
        <w:t>          </w:t>
      </w:r>
      <w:r>
        <w:rPr>
          <w:rFonts w:ascii="Times New Roman;Times;serif" w:hAnsi="Times New Roman;Times;serif"/>
          <w:sz w:val="17"/>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interest and Additional Interest, if any,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20" w:after="283"/>
        <w:jc w:val="left"/>
        <w:rPr/>
      </w:pPr>
      <w:r>
        <w:rPr/>
        <w:t>          </w:t>
      </w:r>
      <w:r>
        <w:rPr>
          <w:rFonts w:ascii="Times New Roman;Times;serif" w:hAnsi="Times New Roman;Times;serif"/>
          <w:sz w:val="17"/>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120" w:after="283"/>
        <w:jc w:val="left"/>
        <w:rPr/>
      </w:pPr>
      <w:r>
        <w:rPr/>
        <w:t>          </w:t>
      </w:r>
      <w:r>
        <w:rPr>
          <w:rFonts w:ascii="Times New Roman;Times;serif" w:hAnsi="Times New Roman;Times;serif"/>
          <w:sz w:val="17"/>
        </w:rPr>
        <w:t xml:space="preserve">(c) in the case of an election under Section 8.03 hereof, the Issuers shall have delivered to the Trustee an Opinion of Counsel confirming that the Holders of the Outstanding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20" w:after="283"/>
        <w:jc w:val="left"/>
        <w:rPr/>
      </w:pPr>
      <w:r>
        <w:rPr/>
        <w:t>          </w:t>
      </w:r>
      <w:r>
        <w:rPr>
          <w:rFonts w:ascii="Times New Roman;Times;serif" w:hAnsi="Times New Roman;Times;serif"/>
          <w:sz w:val="17"/>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20" w:after="283"/>
        <w:jc w:val="left"/>
        <w:rPr/>
      </w:pPr>
      <w:r>
        <w:rPr/>
        <w:t>          </w:t>
      </w:r>
      <w:r>
        <w:rPr>
          <w:rFonts w:ascii="Times New Roman;Times;serif" w:hAnsi="Times New Roman;Times;serif"/>
          <w:sz w:val="17"/>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20" w:after="283"/>
        <w:jc w:val="left"/>
        <w:rPr/>
      </w:pPr>
      <w:r>
        <w:rPr/>
        <w:t>          </w:t>
      </w:r>
      <w:r>
        <w:rPr>
          <w:rFonts w:ascii="Times New Roman;Times;serif" w:hAnsi="Times New Roman;Times;serif"/>
          <w:sz w:val="17"/>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120" w:after="283"/>
        <w:jc w:val="left"/>
        <w:rPr/>
      </w:pPr>
      <w:r>
        <w:rPr/>
        <w:t>          </w:t>
      </w:r>
      <w:r>
        <w:rPr>
          <w:rFonts w:ascii="Times New Roman;Times;serif" w:hAnsi="Times New Roman;Times;serif"/>
          <w:sz w:val="17"/>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20" w:after="283"/>
        <w:jc w:val="left"/>
        <w:rPr/>
      </w:pPr>
      <w:r>
        <w:rPr/>
        <w:t>          </w:t>
      </w:r>
      <w:r>
        <w:rPr>
          <w:rFonts w:ascii="Times New Roman;Times;serif" w:hAnsi="Times New Roman;Times;serif"/>
          <w:sz w:val="17"/>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20" w:after="283"/>
        <w:jc w:val="left"/>
        <w:rPr/>
      </w:pPr>
      <w:r>
        <w:rPr/>
        <w:t>          </w:t>
      </w:r>
      <w:r>
        <w:rPr>
          <w:rFonts w:ascii="Times New Roman;Times;serif" w:hAnsi="Times New Roman;Times;serif"/>
          <w:sz w:val="17"/>
        </w:rPr>
        <w:t xml:space="preserve">Section 8.05. </w:t>
      </w:r>
      <w:r>
        <w:rPr>
          <w:rFonts w:ascii="Times New Roman;Times;serif" w:hAnsi="Times New Roman;Times;serif"/>
          <w:sz w:val="17"/>
          <w:u w:val="single"/>
        </w:rPr>
        <w:t>Deposited Money and U.S. Government Obligations to be Held in Trust; Other Miscellaneous Provisions</w:t>
      </w:r>
      <w:r>
        <w:rPr>
          <w:rFonts w:ascii="Times New Roman;Times;serif" w:hAnsi="Times New Roman;Times;serif"/>
          <w:sz w:val="17"/>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on, if any, interest and Additional Interest, if any, but such money need not be segregated from other funds except to the extent required by law. </w:t>
      </w:r>
    </w:p>
    <w:p>
      <w:pPr>
        <w:pStyle w:val="TextBody"/>
        <w:spacing w:before="120" w:after="283"/>
        <w:jc w:val="left"/>
        <w:rPr/>
      </w:pPr>
      <w:r>
        <w:rPr/>
        <w:t>          </w:t>
      </w:r>
      <w:r>
        <w:rPr>
          <w:rFonts w:ascii="Times New Roman;Times;serif" w:hAnsi="Times New Roman;Times;serif"/>
          <w:sz w:val="17"/>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20" w:after="283"/>
        <w:jc w:val="left"/>
        <w:rPr/>
      </w:pPr>
      <w:r>
        <w:rPr/>
        <w:t>          </w:t>
      </w:r>
      <w:r>
        <w:rPr>
          <w:rFonts w:ascii="Times New Roman;Times;serif" w:hAnsi="Times New Roman;Times;serif"/>
          <w:sz w:val="17"/>
        </w:rPr>
        <w:t xml:space="preserve">Section 8.06. </w:t>
      </w:r>
      <w:r>
        <w:rPr>
          <w:rFonts w:ascii="Times New Roman;Times;serif" w:hAnsi="Times New Roman;Times;serif"/>
          <w:sz w:val="17"/>
          <w:u w:val="single"/>
        </w:rPr>
        <w:t>Repayment to Issuers</w:t>
      </w:r>
      <w:r>
        <w:rPr>
          <w:rFonts w:ascii="Times New Roman;Times;serif" w:hAnsi="Times New Roman;Times;serif"/>
          <w:sz w:val="17"/>
        </w:rPr>
        <w:t xml:space="preserve">. Any money deposited with the Trustee or any paying agent, or then held by the Issuers, in trust for the payment of the principal of, premium on, if any, interest or Additional Interest, if any, on any Note and remaining unclaimed for two years after such principal, premium, if any, interest or Additional Interest, if any,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Times;serif" w:hAnsi="Times New Roman;Times;serif"/>
          <w:sz w:val="17"/>
          <w:u w:val="single"/>
        </w:rPr>
        <w:t>provided</w:t>
      </w:r>
      <w:r>
        <w:rPr>
          <w:rFonts w:ascii="Times New Roman;Times;serif" w:hAnsi="Times New Roman;Times;serif"/>
          <w:i/>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Trustee or such paying agent, before being required to make any such repayment, may at the expense of the Issuers cause to be published once, in the </w:t>
      </w:r>
      <w:r>
        <w:rPr>
          <w:rFonts w:ascii="Times New Roman;Times;serif" w:hAnsi="Times New Roman;Times;serif"/>
          <w:i/>
          <w:sz w:val="17"/>
        </w:rPr>
        <w:t xml:space="preserve">New York Times </w:t>
      </w:r>
      <w:r>
        <w:rPr>
          <w:rFonts w:ascii="Times New Roman;Times;serif" w:hAnsi="Times New Roman;Times;serif"/>
          <w:sz w:val="17"/>
        </w:rPr>
        <w:t xml:space="preserve">and </w:t>
      </w:r>
      <w:r>
        <w:rPr>
          <w:rFonts w:ascii="Times New Roman;Times;serif" w:hAnsi="Times New Roman;Times;serif"/>
          <w:i/>
          <w:sz w:val="17"/>
        </w:rPr>
        <w:t xml:space="preserve">The Wall Street Journal </w:t>
      </w:r>
      <w:r>
        <w:rPr>
          <w:rFonts w:ascii="Times New Roman;Times;serif" w:hAnsi="Times New Roman;Times;serif"/>
          <w:sz w:val="17"/>
        </w:rPr>
        <w:t xml:space="preserve">(national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120" w:after="283"/>
        <w:jc w:val="left"/>
        <w:rPr/>
      </w:pPr>
      <w:r>
        <w:rPr/>
        <w:t>          </w:t>
      </w:r>
      <w:r>
        <w:rPr>
          <w:rFonts w:ascii="Times New Roman;Times;serif" w:hAnsi="Times New Roman;Times;serif"/>
          <w:sz w:val="17"/>
        </w:rPr>
        <w:t xml:space="preserve">Section 8.07. </w:t>
      </w:r>
      <w:r>
        <w:rPr>
          <w:rFonts w:ascii="Times New Roman;Times;serif" w:hAnsi="Times New Roman;Times;serif"/>
          <w:sz w:val="17"/>
          <w:u w:val="single"/>
        </w:rPr>
        <w:t>Reinstatement</w:t>
      </w:r>
      <w:r>
        <w:rPr>
          <w:rFonts w:ascii="Times New Roman;Times;serif" w:hAnsi="Times New Roman;Times;serif"/>
          <w:sz w:val="17"/>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Times;serif" w:hAnsi="Times New Roman;Times;serif"/>
          <w:sz w:val="17"/>
          <w:u w:val="single"/>
        </w:rPr>
        <w:t>provided</w:t>
      </w:r>
      <w:r>
        <w:rPr>
          <w:rFonts w:ascii="Times New Roman;Times;serif" w:hAnsi="Times New Roman;Times;serif"/>
          <w:i/>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if the Issuers make any payment of principal of, premium on, if any, interest or Additional Interest, if any, on any Note following the reinstatement of their obligations, the Issuers shall be subrogated to the rights of the Holders of such Notes to receive such payment from the money held by the Trustee or paying agent.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IX</w:t>
        <w:br/>
        <w:t xml:space="preserve">SUBSIDIARY GUARANTEES </w:t>
      </w:r>
    </w:p>
    <w:p>
      <w:pPr>
        <w:pStyle w:val="TextBody"/>
        <w:spacing w:before="120" w:after="283"/>
        <w:jc w:val="left"/>
        <w:rPr/>
      </w:pPr>
      <w:r>
        <w:rPr/>
        <w:t>          </w:t>
      </w:r>
      <w:r>
        <w:rPr>
          <w:rFonts w:ascii="Times New Roman;Times;serif" w:hAnsi="Times New Roman;Times;serif"/>
          <w:sz w:val="17"/>
        </w:rPr>
        <w:t xml:space="preserve">Section 9.01. </w:t>
      </w:r>
      <w:r>
        <w:rPr>
          <w:rFonts w:ascii="Times New Roman;Times;serif" w:hAnsi="Times New Roman;Times;serif"/>
          <w:sz w:val="17"/>
          <w:u w:val="single"/>
        </w:rPr>
        <w:t>Subsidiary Guarantees</w:t>
      </w:r>
      <w:r>
        <w:rPr>
          <w:rFonts w:ascii="Times New Roman;Times;serif" w:hAnsi="Times New Roman;Times;serif"/>
          <w:sz w:val="17"/>
        </w:rPr>
        <w:t xml:space="preserve">. (a) Each Subsidiary Guarantor hereby jointly and severally unconditionally and irrevocably guarantees on a senior basis to each Holder and to the Trustee and its successors and assigns (i) the full and punctual payment of principal, premium, if any, interest, and Additional Interest, if any,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20" w:after="283"/>
        <w:jc w:val="left"/>
        <w:rPr/>
      </w:pPr>
      <w:r>
        <w:rPr/>
        <w:t>          </w:t>
      </w:r>
      <w:r>
        <w:rPr>
          <w:rFonts w:ascii="Times New Roman;Times;serif" w:hAnsi="Times New Roman;Times;serif"/>
          <w:sz w:val="17"/>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120" w:after="283"/>
        <w:jc w:val="left"/>
        <w:rPr/>
      </w:pPr>
      <w:r>
        <w:rPr/>
        <w:t>          </w:t>
      </w:r>
      <w:r>
        <w:rPr>
          <w:rFonts w:ascii="Times New Roman;Times;serif" w:hAnsi="Times New Roman;Times;serif"/>
          <w:sz w:val="17"/>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20" w:after="283"/>
        <w:jc w:val="left"/>
        <w:rPr/>
      </w:pPr>
      <w:r>
        <w:rPr/>
        <w:t>          </w:t>
      </w:r>
      <w:r>
        <w:rPr>
          <w:rFonts w:ascii="Times New Roman;Times;serif" w:hAnsi="Times New Roman;Times;serif"/>
          <w:sz w:val="17"/>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20" w:after="283"/>
        <w:jc w:val="left"/>
        <w:rPr/>
      </w:pPr>
      <w:r>
        <w:rPr/>
        <w:t>          </w:t>
      </w:r>
      <w:r>
        <w:rPr>
          <w:rFonts w:ascii="Times New Roman;Times;serif" w:hAnsi="Times New Roman;Times;serif"/>
          <w:sz w:val="17"/>
        </w:rPr>
        <w:t xml:space="preserve">(e) Each Subsidiary Guarantor further agrees that its Guarantee herein shall continue to be effective or be reinstated, as the case may be, if at any time payment, or any part thereof, of principal, premium, if any, interest or Additional Interest, if any, with respect to any Note Obligation is rescinded or must otherwise be restored by any Holder or the Trustee upon the bankruptcy or reorganization of either of the Issuers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(f) In furtherance of the foregoing and not in limitation of any other right which any Holder or the Trustee has at law or in equity against any Subsidiary Guarantor by virtue hereof, upon the failure of the Issuers to pay the principal, premium, if any, interest or Additional Interest, if any,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20" w:after="283"/>
        <w:jc w:val="left"/>
        <w:rPr/>
      </w:pPr>
      <w:r>
        <w:rPr/>
        <w:t>          </w:t>
      </w:r>
      <w:r>
        <w:rPr>
          <w:rFonts w:ascii="Times New Roman;Times;serif" w:hAnsi="Times New Roman;Times;serif"/>
          <w:sz w:val="17"/>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120" w:after="283"/>
        <w:jc w:val="left"/>
        <w:rPr/>
      </w:pPr>
      <w:r>
        <w:rPr/>
        <w:t>          </w:t>
      </w:r>
      <w:r>
        <w:rPr>
          <w:rFonts w:ascii="Times New Roman;Times;serif" w:hAnsi="Times New Roman;Times;serif"/>
          <w:sz w:val="17"/>
        </w:rPr>
        <w:t xml:space="preserve">(h) Each Subsidiary Guarantor also agrees to pay any and all costs and expenses (including reasonable attorneys fees) incurred by the Trustee or any Holder in enforcing any rights under this Section 9.01. </w:t>
      </w:r>
    </w:p>
    <w:p>
      <w:pPr>
        <w:pStyle w:val="TextBody"/>
        <w:spacing w:before="120" w:after="283"/>
        <w:jc w:val="left"/>
        <w:rPr/>
      </w:pPr>
      <w:r>
        <w:rPr/>
        <w:t>          </w:t>
      </w:r>
      <w:r>
        <w:rPr>
          <w:rFonts w:ascii="Times New Roman;Times;serif" w:hAnsi="Times New Roman;Times;serif"/>
          <w:sz w:val="17"/>
        </w:rPr>
        <w:t xml:space="preserve">Section 9.02. </w:t>
      </w:r>
      <w:r>
        <w:rPr>
          <w:rFonts w:ascii="Times New Roman;Times;serif" w:hAnsi="Times New Roman;Times;serif"/>
          <w:sz w:val="17"/>
          <w:u w:val="single"/>
        </w:rPr>
        <w:t>Limitation on Liability</w:t>
      </w:r>
      <w:r>
        <w:rPr>
          <w:rFonts w:ascii="Times New Roman;Times;serif" w:hAnsi="Times New Roman;Times;serif"/>
          <w:sz w:val="17"/>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120" w:after="283"/>
        <w:jc w:val="left"/>
        <w:rPr/>
      </w:pPr>
      <w:r>
        <w:rPr/>
        <w:t>          </w:t>
      </w:r>
      <w:r>
        <w:rPr>
          <w:rFonts w:ascii="Times New Roman;Times;serif" w:hAnsi="Times New Roman;Times;serif"/>
          <w:sz w:val="17"/>
        </w:rPr>
        <w:t xml:space="preserve">Section 9.03. </w:t>
      </w:r>
      <w:r>
        <w:rPr>
          <w:rFonts w:ascii="Times New Roman;Times;serif" w:hAnsi="Times New Roman;Times;serif"/>
          <w:sz w:val="17"/>
          <w:u w:val="single"/>
        </w:rPr>
        <w:t>Successors and Assigns</w:t>
      </w:r>
      <w:r>
        <w:rPr>
          <w:rFonts w:ascii="Times New Roman;Times;serif" w:hAnsi="Times New Roman;Times;serif"/>
          <w:sz w:val="17"/>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20" w:after="283"/>
        <w:jc w:val="left"/>
        <w:rPr/>
      </w:pPr>
      <w:r>
        <w:rPr/>
        <w:t>          </w:t>
      </w:r>
      <w:r>
        <w:rPr>
          <w:rFonts w:ascii="Times New Roman;Times;serif" w:hAnsi="Times New Roman;Times;serif"/>
          <w:sz w:val="17"/>
        </w:rPr>
        <w:t xml:space="preserve">Section 9.04. </w:t>
      </w:r>
      <w:r>
        <w:rPr>
          <w:rFonts w:ascii="Times New Roman;Times;serif" w:hAnsi="Times New Roman;Times;serif"/>
          <w:sz w:val="17"/>
          <w:u w:val="single"/>
        </w:rPr>
        <w:t>No Waiver</w:t>
      </w:r>
      <w:r>
        <w:rPr>
          <w:rFonts w:ascii="Times New Roman;Times;serif" w:hAnsi="Times New Roman;Times;serif"/>
          <w:sz w:val="17"/>
        </w:rPr>
        <w:t xml:space="preserve">. Neither a failure nor a delay on the part of either the Trustee or the Holders in exercising any right, power or privilege under this Article IX shall operate as a waiver thereof, nor shall a single or partial exercise thereof preclude any other or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20" w:after="283"/>
        <w:jc w:val="left"/>
        <w:rPr/>
      </w:pPr>
      <w:r>
        <w:rPr/>
        <w:t>          </w:t>
      </w:r>
      <w:r>
        <w:rPr>
          <w:rFonts w:ascii="Times New Roman;Times;serif" w:hAnsi="Times New Roman;Times;serif"/>
          <w:sz w:val="17"/>
        </w:rPr>
        <w:t xml:space="preserve">Section 9.05. </w:t>
      </w:r>
      <w:r>
        <w:rPr>
          <w:rFonts w:ascii="Times New Roman;Times;serif" w:hAnsi="Times New Roman;Times;serif"/>
          <w:sz w:val="17"/>
          <w:u w:val="single"/>
        </w:rPr>
        <w:t>Modification</w:t>
      </w:r>
      <w:r>
        <w:rPr>
          <w:rFonts w:ascii="Times New Roman;Times;serif" w:hAnsi="Times New Roman;Times;serif"/>
          <w:sz w:val="17"/>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20" w:after="283"/>
        <w:jc w:val="left"/>
        <w:rPr/>
      </w:pPr>
      <w:r>
        <w:rPr/>
        <w:t>          </w:t>
      </w:r>
      <w:r>
        <w:rPr>
          <w:rFonts w:ascii="Times New Roman;Times;serif" w:hAnsi="Times New Roman;Times;serif"/>
          <w:sz w:val="17"/>
        </w:rPr>
        <w:t xml:space="preserve">Section 9.06. </w:t>
      </w:r>
      <w:r>
        <w:rPr>
          <w:rFonts w:ascii="Times New Roman;Times;serif" w:hAnsi="Times New Roman;Times;serif"/>
          <w:sz w:val="17"/>
          <w:u w:val="single"/>
        </w:rPr>
        <w:t>Execution of Supplemental Indenture for Future Subsidiary Guarantors</w:t>
      </w:r>
      <w:r>
        <w:rPr>
          <w:rFonts w:ascii="Times New Roman;Times;serif" w:hAnsi="Times New Roman;Times;serif"/>
          <w:sz w:val="17"/>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120" w:after="283"/>
        <w:jc w:val="left"/>
        <w:rPr/>
      </w:pPr>
      <w:r>
        <w:rPr/>
        <w:t>          </w:t>
      </w:r>
      <w:r>
        <w:rPr>
          <w:rFonts w:ascii="Times New Roman;Times;serif" w:hAnsi="Times New Roman;Times;serif"/>
          <w:sz w:val="17"/>
        </w:rPr>
        <w:t xml:space="preserve">Section 9.07. </w:t>
      </w:r>
      <w:r>
        <w:rPr>
          <w:rFonts w:ascii="Times New Roman;Times;serif" w:hAnsi="Times New Roman;Times;serif"/>
          <w:sz w:val="17"/>
          <w:u w:val="single"/>
        </w:rPr>
        <w:t>Release of Guarantee</w:t>
      </w:r>
      <w:r>
        <w:rPr>
          <w:rFonts w:ascii="Times New Roman;Times;serif" w:hAnsi="Times New Roman;Times;serif"/>
          <w:sz w:val="17"/>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20" w:after="283"/>
        <w:jc w:val="left"/>
        <w:rPr/>
      </w:pPr>
      <w:r>
        <w:rPr/>
        <w:t>          </w:t>
      </w:r>
      <w:r>
        <w:rPr>
          <w:rFonts w:ascii="Times New Roman;Times;serif" w:hAnsi="Times New Roman;Times;serif"/>
          <w:sz w:val="17"/>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20" w:after="283"/>
        <w:jc w:val="left"/>
        <w:rPr/>
      </w:pPr>
      <w:r>
        <w:rPr/>
        <w:t>          </w:t>
      </w:r>
      <w:r>
        <w:rPr>
          <w:rFonts w:ascii="Times New Roman;Times;serif" w:hAnsi="Times New Roman;Times;serif"/>
          <w:sz w:val="17"/>
        </w:rPr>
        <w:t xml:space="preserve">(b) upon any sale or other disposition of all of the Equity Interests of a Subsidiary Guarantor, to any Person that is not an Affiliate of either of the Issuers; or </w:t>
      </w:r>
    </w:p>
    <w:p>
      <w:pPr>
        <w:pStyle w:val="TextBody"/>
        <w:spacing w:before="120" w:after="283"/>
        <w:jc w:val="left"/>
        <w:rPr/>
      </w:pPr>
      <w:r>
        <w:rPr/>
        <w:t>          </w:t>
      </w:r>
      <w:r>
        <w:rPr>
          <w:rFonts w:ascii="Times New Roman;Times;serif" w:hAnsi="Times New Roman;Times;serif"/>
          <w:sz w:val="17"/>
        </w:rPr>
        <w:t xml:space="preserve">(c) following the release or discharge of all guarantees by such Subsidiary Guarantor of any Debt of the Issuers and any Subsidiary of the Partnership (other than any Debt Securities), upon delivery by the Issuers to the Trustee of a written notice of such release or discharge from the guarantees.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X </w:t>
      </w:r>
    </w:p>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MISCELLANEOUS </w:t>
      </w:r>
    </w:p>
    <w:p>
      <w:pPr>
        <w:pStyle w:val="TextBody"/>
        <w:spacing w:before="120" w:after="283"/>
        <w:jc w:val="left"/>
        <w:rPr/>
      </w:pPr>
      <w:r>
        <w:rPr/>
        <w:t>          </w:t>
      </w:r>
      <w:r>
        <w:rPr>
          <w:rFonts w:ascii="Times New Roman;Times;serif" w:hAnsi="Times New Roman;Times;serif"/>
          <w:sz w:val="17"/>
        </w:rPr>
        <w:t xml:space="preserve">Section 10.01. </w:t>
      </w:r>
      <w:r>
        <w:rPr>
          <w:rFonts w:ascii="Times New Roman;Times;serif" w:hAnsi="Times New Roman;Times;serif"/>
          <w:sz w:val="17"/>
          <w:u w:val="single"/>
        </w:rPr>
        <w:t>Additional Amendments</w:t>
      </w:r>
      <w:r>
        <w:rPr>
          <w:rFonts w:ascii="Times New Roman;Times;serif" w:hAnsi="Times New Roman;Times;serif"/>
          <w:sz w:val="17"/>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All references to interest in the Original Indenture shall be deemed to include Additional Interest, if any, unless the context otherwise requires. </w:t>
      </w:r>
    </w:p>
    <w:p>
      <w:pPr>
        <w:pStyle w:val="TextBody"/>
        <w:spacing w:before="120" w:after="283"/>
        <w:jc w:val="left"/>
        <w:rPr/>
      </w:pPr>
      <w:r>
        <w:rPr/>
        <w:t>          </w:t>
      </w:r>
      <w:r>
        <w:rPr>
          <w:rFonts w:ascii="Times New Roman;Times;serif" w:hAnsi="Times New Roman;Times;serif"/>
          <w:sz w:val="17"/>
        </w:rPr>
        <w:t xml:space="preserve">Section 10.02. </w:t>
      </w:r>
      <w:r>
        <w:rPr>
          <w:rFonts w:ascii="Times New Roman;Times;serif" w:hAnsi="Times New Roman;Times;serif"/>
          <w:sz w:val="17"/>
          <w:u w:val="single"/>
        </w:rPr>
        <w:t>Integral Part</w:t>
      </w:r>
      <w:r>
        <w:rPr>
          <w:rFonts w:ascii="Times New Roman;Times;serif" w:hAnsi="Times New Roman;Times;serif"/>
          <w:sz w:val="17"/>
        </w:rPr>
        <w:t xml:space="preserve">. This Supplemental Indenture constitutes an integral part of the Indenture. </w:t>
      </w:r>
    </w:p>
    <w:p>
      <w:pPr>
        <w:pStyle w:val="TextBody"/>
        <w:spacing w:before="120" w:after="283"/>
        <w:jc w:val="left"/>
        <w:rPr/>
      </w:pPr>
      <w:r>
        <w:rPr/>
        <w:t>          </w:t>
      </w:r>
      <w:r>
        <w:rPr>
          <w:rFonts w:ascii="Times New Roman;Times;serif" w:hAnsi="Times New Roman;Times;serif"/>
          <w:sz w:val="17"/>
        </w:rPr>
        <w:t xml:space="preserve">Section 10.03. </w:t>
      </w:r>
      <w:r>
        <w:rPr>
          <w:rFonts w:ascii="Times New Roman;Times;serif" w:hAnsi="Times New Roman;Times;serif"/>
          <w:sz w:val="17"/>
          <w:u w:val="single"/>
        </w:rPr>
        <w:t>Adoption, Ratification and Confirmation</w:t>
      </w:r>
      <w:r>
        <w:rPr>
          <w:rFonts w:ascii="Times New Roman;Times;serif" w:hAnsi="Times New Roman;Times;serif"/>
          <w:sz w:val="17"/>
        </w:rPr>
        <w:t xml:space="preserve">. The Original Indenture, as supplemented and amended by this Supplemental Indenture, is in all respects hereby adopted, ratified and confirmed. </w:t>
      </w:r>
    </w:p>
    <w:p>
      <w:pPr>
        <w:pStyle w:val="TextBody"/>
        <w:spacing w:before="120" w:after="283"/>
        <w:jc w:val="left"/>
        <w:rPr/>
      </w:pPr>
      <w:r>
        <w:rPr/>
        <w:t>          </w:t>
      </w:r>
      <w:r>
        <w:rPr>
          <w:rFonts w:ascii="Times New Roman;Times;serif" w:hAnsi="Times New Roman;Times;serif"/>
          <w:sz w:val="17"/>
        </w:rPr>
        <w:t xml:space="preserve">Section 10.04. </w:t>
      </w:r>
      <w:r>
        <w:rPr>
          <w:rFonts w:ascii="Times New Roman;Times;serif" w:hAnsi="Times New Roman;Times;serif"/>
          <w:sz w:val="17"/>
          <w:u w:val="single"/>
        </w:rPr>
        <w:t>Counterparts</w:t>
      </w:r>
      <w:r>
        <w:rPr>
          <w:rFonts w:ascii="Times New Roman;Times;serif" w:hAnsi="Times New Roman;Times;serif"/>
          <w:sz w:val="17"/>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120" w:after="283"/>
        <w:jc w:val="left"/>
        <w:rPr/>
      </w:pPr>
      <w:r>
        <w:rPr/>
        <w:t>          </w:t>
      </w:r>
      <w:r>
        <w:rPr>
          <w:rFonts w:ascii="Times New Roman;Times;serif" w:hAnsi="Times New Roman;Times;serif"/>
          <w:sz w:val="17"/>
        </w:rPr>
        <w:t xml:space="preserve">Section 10.05. </w:t>
      </w:r>
      <w:r>
        <w:rPr>
          <w:rFonts w:ascii="Times New Roman;Times;serif" w:hAnsi="Times New Roman;Times;serif"/>
          <w:sz w:val="17"/>
          <w:u w:val="single"/>
        </w:rPr>
        <w:t>Governing Law</w:t>
      </w:r>
      <w:r>
        <w:rPr>
          <w:rFonts w:ascii="Times New Roman;Times;serif" w:hAnsi="Times New Roman;Times;serif"/>
          <w:sz w:val="17"/>
        </w:rPr>
        <w:t xml:space="preserve">. </w:t>
      </w:r>
      <w:r>
        <w:rPr>
          <w:rFonts w:ascii="Times New Roman;Times;serif" w:hAnsi="Times New Roman;Times;serif"/>
          <w:b/>
          <w:sz w:val="17"/>
        </w:rPr>
        <w:t>THIS SUPPLEMENTAL INDENTURE AND THE NOTES SHALL BE GOVERNED BY AND CONSTRUED IN ACCORDANCE WITH THE LAWS OF THE STATE OF NEW YORK.</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[Signatures on following pages]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SIGNATURES </w:t>
      </w:r>
    </w:p>
    <w:tbl>
      <w:tblPr>
        <w:tblW w:w="5000" w:type="pct"/>
        <w:jc w:val="left"/>
        <w:tblInd w:w="0" w:type="dxa"/>
        <w:tblCellMar>
          <w:top w:w="0" w:type="dxa"/>
          <w:left w:w="0" w:type="dxa"/>
          <w:bottom w:w="0" w:type="dxa"/>
          <w:right w:w="0" w:type="dxa"/>
        </w:tblCellMar>
      </w:tblPr>
      <w:tblGrid>
        <w:gridCol w:w="3927"/>
        <w:gridCol w:w="1175"/>
        <w:gridCol w:w="652"/>
        <w:gridCol w:w="3181"/>
        <w:gridCol w:w="1270"/>
      </w:tblGrid>
      <w:tr>
        <w:trPr/>
        <w:tc>
          <w:tcPr>
            <w:tcW w:w="3927"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rPr/>
            </w:pPr>
            <w:r>
              <w:rPr/>
              <w:t> </w:t>
            </w:r>
          </w:p>
        </w:tc>
        <w:tc>
          <w:tcPr>
            <w:tcW w:w="3181"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tcPr>
          <w:p>
            <w:pPr>
              <w:pStyle w:val="TableContents"/>
              <w:spacing w:before="0" w:after="283"/>
              <w:jc w:val="left"/>
              <w:rPr/>
            </w:pPr>
            <w:r>
              <w:rPr/>
              <w:t> </w:t>
            </w:r>
          </w:p>
        </w:tc>
        <w:tc>
          <w:tcPr>
            <w:tcW w:w="5008" w:type="dxa"/>
            <w:gridSpan w:val="3"/>
            <w:tcBorders/>
            <w:shd w:fill="auto" w:val="clear"/>
            <w:vAlign w:val="center"/>
          </w:tcPr>
          <w:p>
            <w:pPr>
              <w:pStyle w:val="TableContents"/>
              <w:spacing w:before="0" w:after="283"/>
              <w:jc w:val="left"/>
              <w:rPr/>
            </w:pPr>
            <w:r>
              <w:rPr>
                <w:b/>
                <w:u w:val="single"/>
              </w:rPr>
              <w:t>ISSUERS</w:t>
            </w:r>
            <w:r>
              <w:rPr>
                <w:b/>
              </w:rPr>
              <w:t>:</w:t>
            </w:r>
            <w:r>
              <w:rPr/>
              <w:br/>
              <w:br/>
              <w:t>PLAINS ALL AMERICAN PIPELINE, L.P.</w:t>
              <w:br/>
              <w:br/>
              <w:t>By: Plains AAP, L.P., its General Partner</w:t>
              <w:br/>
              <w:br/>
              <w:t>By: Plains All American GP LLC, its General Partner</w:t>
              <w:br/>
              <w:t>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75" w:type="dxa"/>
            <w:tcBorders/>
            <w:shd w:fill="auto" w:val="clear"/>
          </w:tcPr>
          <w:p>
            <w:pPr>
              <w:pStyle w:val="TableContents"/>
              <w:spacing w:before="0" w:after="283"/>
              <w:rPr/>
            </w:pPr>
            <w:r>
              <w:rPr/>
              <w:t>       </w:t>
            </w:r>
            <w:r>
              <w:rPr/>
              <w:t>By:  </w:t>
            </w:r>
          </w:p>
        </w:tc>
        <w:tc>
          <w:tcPr>
            <w:tcW w:w="3833"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rPr/>
            </w:pPr>
            <w:r>
              <w:rPr/>
              <w:t> </w:t>
            </w:r>
          </w:p>
        </w:tc>
        <w:tc>
          <w:tcPr>
            <w:tcW w:w="3833" w:type="dxa"/>
            <w:gridSpan w:val="2"/>
            <w:tcBorders/>
            <w:shd w:fill="auto" w:val="clear"/>
            <w:vAlign w:val="center"/>
          </w:tcPr>
          <w:p>
            <w:pPr>
              <w:pStyle w:val="TableContents"/>
              <w:spacing w:before="0" w:after="283"/>
              <w:jc w:val="left"/>
              <w:rPr/>
            </w:pPr>
            <w:r>
              <w:rPr/>
              <w:t>Phil Kramer </w:t>
            </w:r>
          </w:p>
        </w:tc>
        <w:tc>
          <w:tcPr>
            <w:tcW w:w="1270" w:type="dxa"/>
            <w:tcBorders/>
            <w:shd w:fill="auto" w:val="clear"/>
            <w:vAlign w:val="center"/>
          </w:tcPr>
          <w:p>
            <w:pPr>
              <w:pStyle w:val="TableContents"/>
              <w:spacing w:before="0" w:after="283"/>
              <w:rPr/>
            </w:pPr>
            <w:r>
              <w:rPr/>
              <w:t> </w:t>
            </w:r>
          </w:p>
        </w:tc>
      </w:tr>
      <w:tr>
        <w:trPr/>
        <w:tc>
          <w:tcPr>
            <w:tcW w:w="3927"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rPr/>
            </w:pPr>
            <w:r>
              <w:rPr/>
              <w:t> </w:t>
            </w:r>
          </w:p>
        </w:tc>
        <w:tc>
          <w:tcPr>
            <w:tcW w:w="3833" w:type="dxa"/>
            <w:gridSpan w:val="2"/>
            <w:tcBorders/>
            <w:shd w:fill="auto" w:val="clear"/>
            <w:vAlign w:val="center"/>
          </w:tcPr>
          <w:p>
            <w:pPr>
              <w:pStyle w:val="TableContents"/>
              <w:spacing w:before="0" w:after="283"/>
              <w:jc w:val="left"/>
              <w:rPr/>
            </w:pPr>
            <w:r>
              <w:rPr/>
              <w:t>Executive Vice President</w:t>
              <w:br/>
              <w:t>and Chief Financial Officer </w:t>
            </w:r>
          </w:p>
        </w:tc>
        <w:tc>
          <w:tcPr>
            <w:tcW w:w="127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54"/>
        <w:gridCol w:w="791"/>
        <w:gridCol w:w="623"/>
        <w:gridCol w:w="3402"/>
        <w:gridCol w:w="1335"/>
      </w:tblGrid>
      <w:tr>
        <w:trPr/>
        <w:tc>
          <w:tcPr>
            <w:tcW w:w="405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623" w:type="dxa"/>
            <w:tcBorders/>
            <w:shd w:fill="auto" w:val="clear"/>
            <w:vAlign w:val="center"/>
          </w:tcPr>
          <w:p>
            <w:pPr>
              <w:pStyle w:val="TableContents"/>
              <w:spacing w:before="0" w:after="283"/>
              <w:rPr/>
            </w:pPr>
            <w:r>
              <w:rPr/>
              <w:t> </w:t>
            </w:r>
          </w:p>
        </w:tc>
        <w:tc>
          <w:tcPr>
            <w:tcW w:w="3402" w:type="dxa"/>
            <w:tcBorders/>
            <w:shd w:fill="auto" w:val="clear"/>
            <w:vAlign w:val="center"/>
          </w:tcPr>
          <w:p>
            <w:pPr>
              <w:pStyle w:val="TableContents"/>
              <w:spacing w:before="0" w:after="283"/>
              <w:rPr/>
            </w:pPr>
            <w:r>
              <w:rPr/>
              <w:t> </w:t>
            </w:r>
          </w:p>
        </w:tc>
        <w:tc>
          <w:tcPr>
            <w:tcW w:w="1335" w:type="dxa"/>
            <w:tcBorders/>
            <w:shd w:fill="auto" w:val="clear"/>
            <w:vAlign w:val="center"/>
          </w:tcPr>
          <w:p>
            <w:pPr>
              <w:pStyle w:val="TableContents"/>
              <w:spacing w:before="0" w:after="283"/>
              <w:rPr/>
            </w:pPr>
            <w:r>
              <w:rPr/>
              <w:t> </w:t>
            </w:r>
          </w:p>
        </w:tc>
      </w:tr>
      <w:tr>
        <w:trPr/>
        <w:tc>
          <w:tcPr>
            <w:tcW w:w="4054" w:type="dxa"/>
            <w:tcBorders/>
            <w:shd w:fill="auto" w:val="clear"/>
          </w:tcPr>
          <w:p>
            <w:pPr>
              <w:pStyle w:val="TableContents"/>
              <w:spacing w:before="0" w:after="283"/>
              <w:jc w:val="left"/>
              <w:rPr/>
            </w:pPr>
            <w:r>
              <w:rPr/>
              <w:t> </w:t>
            </w:r>
          </w:p>
        </w:tc>
        <w:tc>
          <w:tcPr>
            <w:tcW w:w="4816" w:type="dxa"/>
            <w:gridSpan w:val="3"/>
            <w:tcBorders/>
            <w:shd w:fill="auto" w:val="clear"/>
            <w:vAlign w:val="center"/>
          </w:tcPr>
          <w:p>
            <w:pPr>
              <w:pStyle w:val="TableContents"/>
              <w:spacing w:before="0" w:after="283"/>
              <w:jc w:val="left"/>
              <w:rPr/>
            </w:pPr>
            <w:r>
              <w:rPr/>
              <w:t>PAA FINANCE CORP.</w:t>
              <w:br/>
              <w:t> </w:t>
            </w:r>
          </w:p>
        </w:tc>
        <w:tc>
          <w:tcPr>
            <w:tcW w:w="1335" w:type="dxa"/>
            <w:tcBorders/>
            <w:shd w:fill="auto" w:val="clear"/>
            <w:vAlign w:val="center"/>
          </w:tcPr>
          <w:p>
            <w:pPr>
              <w:pStyle w:val="TableContents"/>
              <w:spacing w:before="0" w:after="283"/>
              <w:rPr/>
            </w:pPr>
            <w:r>
              <w:rPr/>
              <w:t> </w:t>
            </w:r>
          </w:p>
        </w:tc>
      </w:tr>
      <w:tr>
        <w:trPr/>
        <w:tc>
          <w:tcPr>
            <w:tcW w:w="4054" w:type="dxa"/>
            <w:tcBorders/>
            <w:shd w:fill="auto" w:val="clear"/>
            <w:vAlign w:val="center"/>
          </w:tcPr>
          <w:p>
            <w:pPr>
              <w:pStyle w:val="TableContents"/>
              <w:spacing w:before="0" w:after="283"/>
              <w:jc w:val="left"/>
              <w:rPr/>
            </w:pPr>
            <w:r>
              <w:rPr/>
              <w:t> </w:t>
            </w:r>
          </w:p>
        </w:tc>
        <w:tc>
          <w:tcPr>
            <w:tcW w:w="791" w:type="dxa"/>
            <w:tcBorders/>
            <w:shd w:fill="auto" w:val="clear"/>
          </w:tcPr>
          <w:p>
            <w:pPr>
              <w:pStyle w:val="TableContents"/>
              <w:spacing w:before="0" w:after="283"/>
              <w:rPr/>
            </w:pPr>
            <w:r>
              <w:rPr/>
              <w:t>By:  </w:t>
            </w:r>
          </w:p>
        </w:tc>
        <w:tc>
          <w:tcPr>
            <w:tcW w:w="4025"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335" w:type="dxa"/>
            <w:tcBorders/>
            <w:shd w:fill="auto" w:val="clear"/>
            <w:vAlign w:val="center"/>
          </w:tcPr>
          <w:p>
            <w:pPr>
              <w:pStyle w:val="TableContents"/>
              <w:spacing w:before="0" w:after="283"/>
              <w:rPr/>
            </w:pPr>
            <w:r>
              <w:rPr/>
              <w:t> </w:t>
            </w:r>
          </w:p>
        </w:tc>
      </w:tr>
      <w:tr>
        <w:trPr/>
        <w:tc>
          <w:tcPr>
            <w:tcW w:w="4054"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rPr/>
            </w:pPr>
            <w:r>
              <w:rPr/>
              <w:t> </w:t>
            </w:r>
          </w:p>
        </w:tc>
        <w:tc>
          <w:tcPr>
            <w:tcW w:w="4025" w:type="dxa"/>
            <w:gridSpan w:val="2"/>
            <w:tcBorders/>
            <w:shd w:fill="auto" w:val="clear"/>
            <w:vAlign w:val="center"/>
          </w:tcPr>
          <w:p>
            <w:pPr>
              <w:pStyle w:val="TableContents"/>
              <w:spacing w:before="0" w:after="283"/>
              <w:jc w:val="left"/>
              <w:rPr/>
            </w:pPr>
            <w:r>
              <w:rPr/>
              <w:t>Phil Kramer </w:t>
            </w:r>
          </w:p>
        </w:tc>
        <w:tc>
          <w:tcPr>
            <w:tcW w:w="1335" w:type="dxa"/>
            <w:tcBorders/>
            <w:shd w:fill="auto" w:val="clear"/>
            <w:vAlign w:val="center"/>
          </w:tcPr>
          <w:p>
            <w:pPr>
              <w:pStyle w:val="TableContents"/>
              <w:spacing w:before="0" w:after="283"/>
              <w:rPr/>
            </w:pPr>
            <w:r>
              <w:rPr/>
              <w:t> </w:t>
            </w:r>
          </w:p>
        </w:tc>
      </w:tr>
      <w:tr>
        <w:trPr/>
        <w:tc>
          <w:tcPr>
            <w:tcW w:w="4054" w:type="dxa"/>
            <w:tcBorders/>
            <w:shd w:fill="auto" w:val="clear"/>
            <w:vAlign w:val="center"/>
          </w:tcPr>
          <w:p>
            <w:pPr>
              <w:pStyle w:val="TableContents"/>
              <w:spacing w:before="0" w:after="283"/>
              <w:jc w:val="left"/>
              <w:rPr/>
            </w:pPr>
            <w:r>
              <w:rPr/>
              <w:t> </w:t>
            </w:r>
          </w:p>
        </w:tc>
        <w:tc>
          <w:tcPr>
            <w:tcW w:w="791" w:type="dxa"/>
            <w:tcBorders/>
            <w:shd w:fill="auto" w:val="clear"/>
            <w:vAlign w:val="center"/>
          </w:tcPr>
          <w:p>
            <w:pPr>
              <w:pStyle w:val="TableContents"/>
              <w:spacing w:before="0" w:after="283"/>
              <w:rPr/>
            </w:pPr>
            <w:r>
              <w:rPr/>
              <w:t> </w:t>
            </w:r>
          </w:p>
        </w:tc>
        <w:tc>
          <w:tcPr>
            <w:tcW w:w="4025" w:type="dxa"/>
            <w:gridSpan w:val="2"/>
            <w:tcBorders/>
            <w:shd w:fill="auto" w:val="clear"/>
            <w:vAlign w:val="center"/>
          </w:tcPr>
          <w:p>
            <w:pPr>
              <w:pStyle w:val="TableContents"/>
              <w:spacing w:before="0" w:after="283"/>
              <w:jc w:val="left"/>
              <w:rPr/>
            </w:pPr>
            <w:r>
              <w:rPr/>
              <w:t>Executive Vice President</w:t>
              <w:br/>
              <w:t>and Chief Financial Officer </w:t>
            </w:r>
          </w:p>
        </w:tc>
        <w:tc>
          <w:tcPr>
            <w:tcW w:w="133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715"/>
        <w:gridCol w:w="1605"/>
        <w:gridCol w:w="652"/>
        <w:gridCol w:w="3029"/>
        <w:gridCol w:w="1204"/>
      </w:tblGrid>
      <w:tr>
        <w:trPr/>
        <w:tc>
          <w:tcPr>
            <w:tcW w:w="3715" w:type="dxa"/>
            <w:tcBorders/>
            <w:shd w:fill="auto" w:val="clear"/>
            <w:vAlign w:val="center"/>
          </w:tcPr>
          <w:p>
            <w:pPr>
              <w:pStyle w:val="TableContents"/>
              <w:spacing w:before="0" w:after="283"/>
              <w:rPr/>
            </w:pPr>
            <w:r>
              <w:rPr/>
              <w:t> </w:t>
            </w:r>
          </w:p>
        </w:tc>
        <w:tc>
          <w:tcPr>
            <w:tcW w:w="1605"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rPr/>
            </w:pPr>
            <w:r>
              <w:rPr/>
              <w:t> </w:t>
            </w:r>
          </w:p>
        </w:tc>
        <w:tc>
          <w:tcPr>
            <w:tcW w:w="3029" w:type="dxa"/>
            <w:tcBorders/>
            <w:shd w:fill="auto" w:val="clear"/>
            <w:vAlign w:val="center"/>
          </w:tcPr>
          <w:p>
            <w:pPr>
              <w:pStyle w:val="TableContents"/>
              <w:spacing w:before="0" w:after="283"/>
              <w:rPr/>
            </w:pPr>
            <w:r>
              <w:rPr/>
              <w:t> </w:t>
            </w:r>
          </w:p>
        </w:tc>
        <w:tc>
          <w:tcPr>
            <w:tcW w:w="1204" w:type="dxa"/>
            <w:tcBorders/>
            <w:shd w:fill="auto" w:val="clear"/>
            <w:vAlign w:val="center"/>
          </w:tcPr>
          <w:p>
            <w:pPr>
              <w:pStyle w:val="TableContents"/>
              <w:spacing w:before="0" w:after="283"/>
              <w:rPr/>
            </w:pPr>
            <w:r>
              <w:rPr/>
              <w:t> </w:t>
            </w:r>
          </w:p>
        </w:tc>
      </w:tr>
      <w:tr>
        <w:trPr/>
        <w:tc>
          <w:tcPr>
            <w:tcW w:w="3715" w:type="dxa"/>
            <w:tcBorders/>
            <w:shd w:fill="auto" w:val="clear"/>
          </w:tcPr>
          <w:p>
            <w:pPr>
              <w:pStyle w:val="TableContents"/>
              <w:spacing w:before="0" w:after="283"/>
              <w:jc w:val="left"/>
              <w:rPr/>
            </w:pPr>
            <w:r>
              <w:rPr/>
              <w:t> </w:t>
            </w:r>
          </w:p>
        </w:tc>
        <w:tc>
          <w:tcPr>
            <w:tcW w:w="5286" w:type="dxa"/>
            <w:gridSpan w:val="3"/>
            <w:tcBorders/>
            <w:shd w:fill="auto" w:val="clear"/>
            <w:vAlign w:val="center"/>
          </w:tcPr>
          <w:p>
            <w:pPr>
              <w:pStyle w:val="TableContents"/>
              <w:spacing w:before="0" w:after="283"/>
              <w:jc w:val="left"/>
              <w:rPr/>
            </w:pPr>
            <w:r>
              <w:rPr>
                <w:b/>
                <w:u w:val="single"/>
              </w:rPr>
              <w:t>SUBSIDIARY GUARANTORS</w:t>
            </w:r>
            <w:r>
              <w:rPr>
                <w:b/>
              </w:rPr>
              <w:t>:</w:t>
            </w:r>
            <w:r>
              <w:rPr/>
              <w:br/>
              <w:br/>
              <w:t>PLAINS MARKETING, L.P.</w:t>
              <w:br/>
              <w:br/>
              <w:t>By: Plains Marketing GP Inc., its General Partner</w:t>
              <w:br/>
              <w:t> </w:t>
            </w:r>
          </w:p>
        </w:tc>
        <w:tc>
          <w:tcPr>
            <w:tcW w:w="1204" w:type="dxa"/>
            <w:tcBorders/>
            <w:shd w:fill="auto" w:val="clear"/>
            <w:vAlign w:val="center"/>
          </w:tcPr>
          <w:p>
            <w:pPr>
              <w:pStyle w:val="TableContents"/>
              <w:spacing w:before="0" w:after="283"/>
              <w:rPr/>
            </w:pPr>
            <w:r>
              <w:rPr/>
              <w:t> </w:t>
            </w:r>
          </w:p>
        </w:tc>
      </w:tr>
      <w:tr>
        <w:trPr/>
        <w:tc>
          <w:tcPr>
            <w:tcW w:w="3715" w:type="dxa"/>
            <w:tcBorders/>
            <w:shd w:fill="auto" w:val="clear"/>
            <w:vAlign w:val="center"/>
          </w:tcPr>
          <w:p>
            <w:pPr>
              <w:pStyle w:val="TableContents"/>
              <w:spacing w:before="0" w:after="283"/>
              <w:jc w:val="left"/>
              <w:rPr/>
            </w:pPr>
            <w:r>
              <w:rPr/>
              <w:t> </w:t>
            </w:r>
          </w:p>
        </w:tc>
        <w:tc>
          <w:tcPr>
            <w:tcW w:w="1605" w:type="dxa"/>
            <w:tcBorders/>
            <w:shd w:fill="auto" w:val="clear"/>
          </w:tcPr>
          <w:p>
            <w:pPr>
              <w:pStyle w:val="TableContents"/>
              <w:spacing w:before="0" w:after="283"/>
              <w:rPr/>
            </w:pPr>
            <w:r>
              <w:rPr/>
              <w:t>       </w:t>
            </w:r>
            <w:r>
              <w:rPr/>
              <w:t>By:  </w:t>
            </w:r>
          </w:p>
        </w:tc>
        <w:tc>
          <w:tcPr>
            <w:tcW w:w="3681"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04" w:type="dxa"/>
            <w:tcBorders/>
            <w:shd w:fill="auto" w:val="clear"/>
            <w:vAlign w:val="center"/>
          </w:tcPr>
          <w:p>
            <w:pPr>
              <w:pStyle w:val="TableContents"/>
              <w:spacing w:before="0" w:after="283"/>
              <w:rPr/>
            </w:pPr>
            <w:r>
              <w:rPr/>
              <w:t> </w:t>
            </w:r>
          </w:p>
        </w:tc>
      </w:tr>
      <w:tr>
        <w:trPr/>
        <w:tc>
          <w:tcPr>
            <w:tcW w:w="3715" w:type="dxa"/>
            <w:tcBorders/>
            <w:shd w:fill="auto" w:val="clear"/>
            <w:vAlign w:val="center"/>
          </w:tcPr>
          <w:p>
            <w:pPr>
              <w:pStyle w:val="TableContents"/>
              <w:spacing w:before="0" w:after="283"/>
              <w:jc w:val="left"/>
              <w:rPr/>
            </w:pPr>
            <w:r>
              <w:rPr/>
              <w:t> </w:t>
            </w:r>
          </w:p>
        </w:tc>
        <w:tc>
          <w:tcPr>
            <w:tcW w:w="1605" w:type="dxa"/>
            <w:tcBorders/>
            <w:shd w:fill="auto" w:val="clear"/>
            <w:vAlign w:val="center"/>
          </w:tcPr>
          <w:p>
            <w:pPr>
              <w:pStyle w:val="TableContents"/>
              <w:spacing w:before="0" w:after="283"/>
              <w:rPr/>
            </w:pPr>
            <w:r>
              <w:rPr/>
              <w:t> </w:t>
            </w:r>
          </w:p>
        </w:tc>
        <w:tc>
          <w:tcPr>
            <w:tcW w:w="3681" w:type="dxa"/>
            <w:gridSpan w:val="2"/>
            <w:tcBorders/>
            <w:shd w:fill="auto" w:val="clear"/>
            <w:vAlign w:val="center"/>
          </w:tcPr>
          <w:p>
            <w:pPr>
              <w:pStyle w:val="TableContents"/>
              <w:spacing w:before="0" w:after="283"/>
              <w:jc w:val="left"/>
              <w:rPr/>
            </w:pPr>
            <w:r>
              <w:rPr/>
              <w:t>Phil Kramer </w:t>
            </w:r>
          </w:p>
        </w:tc>
        <w:tc>
          <w:tcPr>
            <w:tcW w:w="1204" w:type="dxa"/>
            <w:tcBorders/>
            <w:shd w:fill="auto" w:val="clear"/>
            <w:vAlign w:val="center"/>
          </w:tcPr>
          <w:p>
            <w:pPr>
              <w:pStyle w:val="TableContents"/>
              <w:spacing w:before="0" w:after="283"/>
              <w:rPr/>
            </w:pPr>
            <w:r>
              <w:rPr/>
              <w:t> </w:t>
            </w:r>
          </w:p>
        </w:tc>
      </w:tr>
      <w:tr>
        <w:trPr/>
        <w:tc>
          <w:tcPr>
            <w:tcW w:w="3715" w:type="dxa"/>
            <w:tcBorders/>
            <w:shd w:fill="auto" w:val="clear"/>
            <w:vAlign w:val="center"/>
          </w:tcPr>
          <w:p>
            <w:pPr>
              <w:pStyle w:val="TableContents"/>
              <w:spacing w:before="0" w:after="283"/>
              <w:jc w:val="left"/>
              <w:rPr/>
            </w:pPr>
            <w:r>
              <w:rPr/>
              <w:t> </w:t>
            </w:r>
          </w:p>
        </w:tc>
        <w:tc>
          <w:tcPr>
            <w:tcW w:w="1605" w:type="dxa"/>
            <w:tcBorders/>
            <w:shd w:fill="auto" w:val="clear"/>
            <w:vAlign w:val="center"/>
          </w:tcPr>
          <w:p>
            <w:pPr>
              <w:pStyle w:val="TableContents"/>
              <w:spacing w:before="0" w:after="283"/>
              <w:rPr/>
            </w:pPr>
            <w:r>
              <w:rPr/>
              <w:t> </w:t>
            </w:r>
          </w:p>
        </w:tc>
        <w:tc>
          <w:tcPr>
            <w:tcW w:w="3681" w:type="dxa"/>
            <w:gridSpan w:val="2"/>
            <w:tcBorders/>
            <w:shd w:fill="auto" w:val="clear"/>
            <w:vAlign w:val="center"/>
          </w:tcPr>
          <w:p>
            <w:pPr>
              <w:pStyle w:val="TableContents"/>
              <w:spacing w:before="0" w:after="283"/>
              <w:jc w:val="left"/>
              <w:rPr/>
            </w:pPr>
            <w:r>
              <w:rPr/>
              <w:t>Executive Vice President</w:t>
              <w:br/>
              <w:t>and Chief Financial Officer </w:t>
            </w:r>
          </w:p>
        </w:tc>
        <w:tc>
          <w:tcPr>
            <w:tcW w:w="1204"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46"/>
        <w:gridCol w:w="973"/>
        <w:gridCol w:w="627"/>
        <w:gridCol w:w="3253"/>
        <w:gridCol w:w="1306"/>
      </w:tblGrid>
      <w:tr>
        <w:trPr/>
        <w:tc>
          <w:tcPr>
            <w:tcW w:w="4046" w:type="dxa"/>
            <w:tcBorders/>
            <w:shd w:fill="auto" w:val="clear"/>
            <w:vAlign w:val="center"/>
          </w:tcPr>
          <w:p>
            <w:pPr>
              <w:pStyle w:val="TableContents"/>
              <w:spacing w:before="0" w:after="283"/>
              <w:rPr/>
            </w:pPr>
            <w:r>
              <w:rPr/>
              <w:t> </w:t>
            </w:r>
          </w:p>
        </w:tc>
        <w:tc>
          <w:tcPr>
            <w:tcW w:w="973" w:type="dxa"/>
            <w:tcBorders/>
            <w:shd w:fill="auto" w:val="clear"/>
            <w:vAlign w:val="center"/>
          </w:tcPr>
          <w:p>
            <w:pPr>
              <w:pStyle w:val="TableContents"/>
              <w:spacing w:before="0" w:after="283"/>
              <w:rPr/>
            </w:pPr>
            <w:r>
              <w:rPr/>
              <w:t> </w:t>
            </w:r>
          </w:p>
        </w:tc>
        <w:tc>
          <w:tcPr>
            <w:tcW w:w="627" w:type="dxa"/>
            <w:tcBorders/>
            <w:shd w:fill="auto" w:val="clear"/>
            <w:vAlign w:val="center"/>
          </w:tcPr>
          <w:p>
            <w:pPr>
              <w:pStyle w:val="TableContents"/>
              <w:spacing w:before="0" w:after="283"/>
              <w:rPr/>
            </w:pPr>
            <w:r>
              <w:rPr/>
              <w:t> </w:t>
            </w:r>
          </w:p>
        </w:tc>
        <w:tc>
          <w:tcPr>
            <w:tcW w:w="3253" w:type="dxa"/>
            <w:tcBorders/>
            <w:shd w:fill="auto" w:val="clear"/>
            <w:vAlign w:val="center"/>
          </w:tcPr>
          <w:p>
            <w:pPr>
              <w:pStyle w:val="TableContents"/>
              <w:spacing w:before="0" w:after="283"/>
              <w:rPr/>
            </w:pPr>
            <w:r>
              <w:rPr/>
              <w:t> </w:t>
            </w:r>
          </w:p>
        </w:tc>
        <w:tc>
          <w:tcPr>
            <w:tcW w:w="1306" w:type="dxa"/>
            <w:tcBorders/>
            <w:shd w:fill="auto" w:val="clear"/>
            <w:vAlign w:val="center"/>
          </w:tcPr>
          <w:p>
            <w:pPr>
              <w:pStyle w:val="TableContents"/>
              <w:spacing w:before="0" w:after="283"/>
              <w:rPr/>
            </w:pPr>
            <w:r>
              <w:rPr/>
              <w:t> </w:t>
            </w:r>
          </w:p>
        </w:tc>
      </w:tr>
      <w:tr>
        <w:trPr/>
        <w:tc>
          <w:tcPr>
            <w:tcW w:w="4046" w:type="dxa"/>
            <w:tcBorders/>
            <w:shd w:fill="auto" w:val="clear"/>
          </w:tcPr>
          <w:p>
            <w:pPr>
              <w:pStyle w:val="TableContents"/>
              <w:spacing w:before="0" w:after="283"/>
              <w:jc w:val="left"/>
              <w:rPr/>
            </w:pPr>
            <w:r>
              <w:rPr/>
              <w:t> </w:t>
            </w:r>
          </w:p>
        </w:tc>
        <w:tc>
          <w:tcPr>
            <w:tcW w:w="4853" w:type="dxa"/>
            <w:gridSpan w:val="3"/>
            <w:tcBorders/>
            <w:shd w:fill="auto" w:val="clear"/>
            <w:vAlign w:val="center"/>
          </w:tcPr>
          <w:p>
            <w:pPr>
              <w:pStyle w:val="TableContents"/>
              <w:spacing w:before="0" w:after="283"/>
              <w:jc w:val="left"/>
              <w:rPr/>
            </w:pPr>
            <w:r>
              <w:rPr/>
              <w:t>PLAINS PIPELINE, L.P.</w:t>
              <w:br/>
              <w:br/>
              <w:t>By: Plains Marketing GP Inc., its General Partner</w:t>
              <w:br/>
              <w:t> </w:t>
            </w:r>
          </w:p>
        </w:tc>
        <w:tc>
          <w:tcPr>
            <w:tcW w:w="1306" w:type="dxa"/>
            <w:tcBorders/>
            <w:shd w:fill="auto" w:val="clear"/>
            <w:vAlign w:val="center"/>
          </w:tcPr>
          <w:p>
            <w:pPr>
              <w:pStyle w:val="TableContents"/>
              <w:spacing w:before="0" w:after="283"/>
              <w:rPr/>
            </w:pPr>
            <w:r>
              <w:rPr/>
              <w:t> </w:t>
            </w:r>
          </w:p>
        </w:tc>
      </w:tr>
      <w:tr>
        <w:trPr/>
        <w:tc>
          <w:tcPr>
            <w:tcW w:w="4046" w:type="dxa"/>
            <w:tcBorders/>
            <w:shd w:fill="auto" w:val="clear"/>
            <w:vAlign w:val="center"/>
          </w:tcPr>
          <w:p>
            <w:pPr>
              <w:pStyle w:val="TableContents"/>
              <w:spacing w:before="0" w:after="283"/>
              <w:jc w:val="left"/>
              <w:rPr/>
            </w:pPr>
            <w:r>
              <w:rPr/>
              <w:t> </w:t>
            </w:r>
          </w:p>
        </w:tc>
        <w:tc>
          <w:tcPr>
            <w:tcW w:w="973" w:type="dxa"/>
            <w:tcBorders/>
            <w:shd w:fill="auto" w:val="clear"/>
          </w:tcPr>
          <w:p>
            <w:pPr>
              <w:pStyle w:val="TableContents"/>
              <w:spacing w:before="0" w:after="283"/>
              <w:rPr/>
            </w:pPr>
            <w:r>
              <w:rPr/>
              <w:t>       </w:t>
            </w:r>
            <w:r>
              <w:rPr/>
              <w:t>By:  </w:t>
            </w:r>
          </w:p>
        </w:tc>
        <w:tc>
          <w:tcPr>
            <w:tcW w:w="3880"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306" w:type="dxa"/>
            <w:tcBorders/>
            <w:shd w:fill="auto" w:val="clear"/>
            <w:vAlign w:val="center"/>
          </w:tcPr>
          <w:p>
            <w:pPr>
              <w:pStyle w:val="TableContents"/>
              <w:spacing w:before="0" w:after="283"/>
              <w:rPr/>
            </w:pPr>
            <w:r>
              <w:rPr/>
              <w:t> </w:t>
            </w:r>
          </w:p>
        </w:tc>
      </w:tr>
      <w:tr>
        <w:trPr/>
        <w:tc>
          <w:tcPr>
            <w:tcW w:w="4046" w:type="dxa"/>
            <w:tcBorders/>
            <w:shd w:fill="auto" w:val="clear"/>
            <w:vAlign w:val="center"/>
          </w:tcPr>
          <w:p>
            <w:pPr>
              <w:pStyle w:val="TableContents"/>
              <w:spacing w:before="0" w:after="283"/>
              <w:jc w:val="left"/>
              <w:rPr/>
            </w:pPr>
            <w:r>
              <w:rPr/>
              <w:t> </w:t>
            </w:r>
          </w:p>
        </w:tc>
        <w:tc>
          <w:tcPr>
            <w:tcW w:w="973" w:type="dxa"/>
            <w:tcBorders/>
            <w:shd w:fill="auto" w:val="clear"/>
            <w:vAlign w:val="center"/>
          </w:tcPr>
          <w:p>
            <w:pPr>
              <w:pStyle w:val="TableContents"/>
              <w:spacing w:before="0" w:after="283"/>
              <w:rPr/>
            </w:pPr>
            <w:r>
              <w:rPr/>
              <w:t> </w:t>
            </w:r>
          </w:p>
        </w:tc>
        <w:tc>
          <w:tcPr>
            <w:tcW w:w="3880" w:type="dxa"/>
            <w:gridSpan w:val="2"/>
            <w:tcBorders/>
            <w:shd w:fill="auto" w:val="clear"/>
            <w:vAlign w:val="center"/>
          </w:tcPr>
          <w:p>
            <w:pPr>
              <w:pStyle w:val="TableContents"/>
              <w:spacing w:before="0" w:after="283"/>
              <w:jc w:val="left"/>
              <w:rPr/>
            </w:pPr>
            <w:r>
              <w:rPr/>
              <w:t>Phil Kramer </w:t>
            </w:r>
          </w:p>
        </w:tc>
        <w:tc>
          <w:tcPr>
            <w:tcW w:w="1306" w:type="dxa"/>
            <w:tcBorders/>
            <w:shd w:fill="auto" w:val="clear"/>
            <w:vAlign w:val="center"/>
          </w:tcPr>
          <w:p>
            <w:pPr>
              <w:pStyle w:val="TableContents"/>
              <w:spacing w:before="0" w:after="283"/>
              <w:rPr/>
            </w:pPr>
            <w:r>
              <w:rPr/>
              <w:t> </w:t>
            </w:r>
          </w:p>
        </w:tc>
      </w:tr>
      <w:tr>
        <w:trPr/>
        <w:tc>
          <w:tcPr>
            <w:tcW w:w="4046" w:type="dxa"/>
            <w:tcBorders/>
            <w:shd w:fill="auto" w:val="clear"/>
            <w:vAlign w:val="center"/>
          </w:tcPr>
          <w:p>
            <w:pPr>
              <w:pStyle w:val="TableContents"/>
              <w:spacing w:before="0" w:after="283"/>
              <w:jc w:val="left"/>
              <w:rPr/>
            </w:pPr>
            <w:r>
              <w:rPr/>
              <w:t> </w:t>
            </w:r>
          </w:p>
        </w:tc>
        <w:tc>
          <w:tcPr>
            <w:tcW w:w="973" w:type="dxa"/>
            <w:tcBorders/>
            <w:shd w:fill="auto" w:val="clear"/>
            <w:vAlign w:val="center"/>
          </w:tcPr>
          <w:p>
            <w:pPr>
              <w:pStyle w:val="TableContents"/>
              <w:spacing w:before="0" w:after="283"/>
              <w:rPr/>
            </w:pPr>
            <w:r>
              <w:rPr/>
              <w:t> </w:t>
            </w:r>
          </w:p>
        </w:tc>
        <w:tc>
          <w:tcPr>
            <w:tcW w:w="3880" w:type="dxa"/>
            <w:gridSpan w:val="2"/>
            <w:tcBorders/>
            <w:shd w:fill="auto" w:val="clear"/>
            <w:vAlign w:val="center"/>
          </w:tcPr>
          <w:p>
            <w:pPr>
              <w:pStyle w:val="TableContents"/>
              <w:spacing w:before="0" w:after="283"/>
              <w:jc w:val="left"/>
              <w:rPr/>
            </w:pPr>
            <w:r>
              <w:rPr/>
              <w:t>Executive Vice President</w:t>
              <w:br/>
              <w:t>and Chief Financial Officer </w:t>
            </w:r>
          </w:p>
        </w:tc>
        <w:tc>
          <w:tcPr>
            <w:tcW w:w="130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15"/>
        <w:gridCol w:w="1069"/>
        <w:gridCol w:w="721"/>
        <w:gridCol w:w="3209"/>
        <w:gridCol w:w="1291"/>
      </w:tblGrid>
      <w:tr>
        <w:trPr/>
        <w:tc>
          <w:tcPr>
            <w:tcW w:w="3915"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721" w:type="dxa"/>
            <w:tcBorders/>
            <w:shd w:fill="auto" w:val="clear"/>
            <w:vAlign w:val="center"/>
          </w:tcPr>
          <w:p>
            <w:pPr>
              <w:pStyle w:val="TableContents"/>
              <w:spacing w:before="0" w:after="283"/>
              <w:rPr/>
            </w:pPr>
            <w:r>
              <w:rPr/>
              <w:t> </w:t>
            </w:r>
          </w:p>
        </w:tc>
        <w:tc>
          <w:tcPr>
            <w:tcW w:w="320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rPr/>
            </w:pPr>
            <w:r>
              <w:rPr/>
              <w:t> </w:t>
            </w:r>
          </w:p>
        </w:tc>
      </w:tr>
      <w:tr>
        <w:trPr/>
        <w:tc>
          <w:tcPr>
            <w:tcW w:w="3915" w:type="dxa"/>
            <w:tcBorders/>
            <w:shd w:fill="auto" w:val="clear"/>
          </w:tcPr>
          <w:p>
            <w:pPr>
              <w:pStyle w:val="TableContents"/>
              <w:spacing w:before="0" w:after="283"/>
              <w:jc w:val="left"/>
              <w:rPr/>
            </w:pPr>
            <w:r>
              <w:rPr/>
              <w:t> </w:t>
            </w:r>
          </w:p>
        </w:tc>
        <w:tc>
          <w:tcPr>
            <w:tcW w:w="4999" w:type="dxa"/>
            <w:gridSpan w:val="3"/>
            <w:tcBorders/>
            <w:shd w:fill="auto" w:val="clear"/>
            <w:vAlign w:val="center"/>
          </w:tcPr>
          <w:p>
            <w:pPr>
              <w:pStyle w:val="TableContents"/>
              <w:spacing w:before="0" w:after="283"/>
              <w:jc w:val="left"/>
              <w:rPr/>
            </w:pPr>
            <w:r>
              <w:rPr/>
              <w:t>PLAINS MARKETING GP INC.</w:t>
              <w:br/>
              <w:t> </w:t>
            </w:r>
          </w:p>
        </w:tc>
        <w:tc>
          <w:tcPr>
            <w:tcW w:w="1291"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1069" w:type="dxa"/>
            <w:tcBorders/>
            <w:shd w:fill="auto" w:val="clear"/>
          </w:tcPr>
          <w:p>
            <w:pPr>
              <w:pStyle w:val="TableContents"/>
              <w:spacing w:before="0" w:after="283"/>
              <w:rPr/>
            </w:pPr>
            <w:r>
              <w:rPr/>
              <w:t>By:  </w:t>
            </w:r>
          </w:p>
        </w:tc>
        <w:tc>
          <w:tcPr>
            <w:tcW w:w="3930"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91"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1069" w:type="dxa"/>
            <w:tcBorders/>
            <w:shd w:fill="auto" w:val="clear"/>
            <w:vAlign w:val="center"/>
          </w:tcPr>
          <w:p>
            <w:pPr>
              <w:pStyle w:val="TableContents"/>
              <w:spacing w:before="0" w:after="283"/>
              <w:rPr/>
            </w:pPr>
            <w:r>
              <w:rPr/>
              <w:t> </w:t>
            </w:r>
          </w:p>
        </w:tc>
        <w:tc>
          <w:tcPr>
            <w:tcW w:w="3930" w:type="dxa"/>
            <w:gridSpan w:val="2"/>
            <w:tcBorders/>
            <w:shd w:fill="auto" w:val="clear"/>
            <w:vAlign w:val="center"/>
          </w:tcPr>
          <w:p>
            <w:pPr>
              <w:pStyle w:val="TableContents"/>
              <w:spacing w:before="0" w:after="283"/>
              <w:jc w:val="left"/>
              <w:rPr/>
            </w:pPr>
            <w:r>
              <w:rPr/>
              <w:t>Phil Kramer </w:t>
            </w:r>
          </w:p>
        </w:tc>
        <w:tc>
          <w:tcPr>
            <w:tcW w:w="1291"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1069" w:type="dxa"/>
            <w:tcBorders/>
            <w:shd w:fill="auto" w:val="clear"/>
            <w:vAlign w:val="center"/>
          </w:tcPr>
          <w:p>
            <w:pPr>
              <w:pStyle w:val="TableContents"/>
              <w:spacing w:before="0" w:after="283"/>
              <w:rPr/>
            </w:pPr>
            <w:r>
              <w:rPr/>
              <w:t> </w:t>
            </w:r>
          </w:p>
        </w:tc>
        <w:tc>
          <w:tcPr>
            <w:tcW w:w="3930" w:type="dxa"/>
            <w:gridSpan w:val="2"/>
            <w:tcBorders/>
            <w:shd w:fill="auto" w:val="clear"/>
            <w:vAlign w:val="center"/>
          </w:tcPr>
          <w:p>
            <w:pPr>
              <w:pStyle w:val="TableContents"/>
              <w:spacing w:before="0" w:after="283"/>
              <w:jc w:val="left"/>
              <w:rPr/>
            </w:pPr>
            <w:r>
              <w:rPr/>
              <w:t>Executive Vice President</w:t>
              <w:br/>
              <w:t>and Chief Financial Officer </w:t>
            </w:r>
          </w:p>
        </w:tc>
        <w:tc>
          <w:tcPr>
            <w:tcW w:w="129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859"/>
        <w:gridCol w:w="1314"/>
        <w:gridCol w:w="650"/>
        <w:gridCol w:w="3133"/>
        <w:gridCol w:w="1249"/>
      </w:tblGrid>
      <w:tr>
        <w:trPr/>
        <w:tc>
          <w:tcPr>
            <w:tcW w:w="3859"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3133" w:type="dxa"/>
            <w:tcBorders/>
            <w:shd w:fill="auto" w:val="clear"/>
            <w:vAlign w:val="center"/>
          </w:tcPr>
          <w:p>
            <w:pPr>
              <w:pStyle w:val="TableContents"/>
              <w:spacing w:before="0" w:after="283"/>
              <w:rPr/>
            </w:pPr>
            <w:r>
              <w:rPr/>
              <w:t>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tcPr>
          <w:p>
            <w:pPr>
              <w:pStyle w:val="TableContents"/>
              <w:spacing w:before="0" w:after="283"/>
              <w:jc w:val="left"/>
              <w:rPr/>
            </w:pPr>
            <w:r>
              <w:rPr/>
              <w:t> </w:t>
            </w:r>
          </w:p>
        </w:tc>
        <w:tc>
          <w:tcPr>
            <w:tcW w:w="5097" w:type="dxa"/>
            <w:gridSpan w:val="3"/>
            <w:tcBorders/>
            <w:shd w:fill="auto" w:val="clear"/>
            <w:vAlign w:val="center"/>
          </w:tcPr>
          <w:p>
            <w:pPr>
              <w:pStyle w:val="TableContents"/>
              <w:spacing w:before="0" w:after="283"/>
              <w:jc w:val="left"/>
              <w:rPr/>
            </w:pPr>
            <w:r>
              <w:rPr/>
              <w:t>PLAINS MARKETING CANADA LLC</w:t>
              <w:br/>
              <w:br/>
              <w:t>By: Plains Marketing, L.P., its Sole Member</w:t>
              <w:br/>
              <w:br/>
              <w:t>By: Plains Marketing GP Inc., its General Partner</w:t>
              <w:br/>
              <w:t>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tcPr>
          <w:p>
            <w:pPr>
              <w:pStyle w:val="TableContents"/>
              <w:spacing w:before="0" w:after="283"/>
              <w:rPr/>
            </w:pPr>
            <w:r>
              <w:rPr/>
              <w:t>       </w:t>
            </w:r>
            <w:r>
              <w:rPr/>
              <w:t>By:  </w:t>
            </w:r>
          </w:p>
        </w:tc>
        <w:tc>
          <w:tcPr>
            <w:tcW w:w="3783"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Phil Kramer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Executive Vice President</w:t>
              <w:br/>
              <w:t>and Chief Financial Officer </w:t>
            </w:r>
          </w:p>
        </w:tc>
        <w:tc>
          <w:tcPr>
            <w:tcW w:w="124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75"/>
        <w:gridCol w:w="721"/>
        <w:gridCol w:w="735"/>
        <w:gridCol w:w="3228"/>
        <w:gridCol w:w="1346"/>
      </w:tblGrid>
      <w:tr>
        <w:trPr/>
        <w:tc>
          <w:tcPr>
            <w:tcW w:w="4175" w:type="dxa"/>
            <w:tcBorders/>
            <w:shd w:fill="auto" w:val="clear"/>
            <w:vAlign w:val="center"/>
          </w:tcPr>
          <w:p>
            <w:pPr>
              <w:pStyle w:val="TableContents"/>
              <w:spacing w:before="0" w:after="283"/>
              <w:rPr/>
            </w:pPr>
            <w:r>
              <w:rPr/>
              <w:t> </w:t>
            </w:r>
          </w:p>
        </w:tc>
        <w:tc>
          <w:tcPr>
            <w:tcW w:w="721" w:type="dxa"/>
            <w:tcBorders/>
            <w:shd w:fill="auto" w:val="clear"/>
            <w:vAlign w:val="center"/>
          </w:tcPr>
          <w:p>
            <w:pPr>
              <w:pStyle w:val="TableContents"/>
              <w:spacing w:before="0" w:after="283"/>
              <w:rPr/>
            </w:pPr>
            <w:r>
              <w:rPr/>
              <w:t> </w:t>
            </w:r>
          </w:p>
        </w:tc>
        <w:tc>
          <w:tcPr>
            <w:tcW w:w="735" w:type="dxa"/>
            <w:tcBorders/>
            <w:shd w:fill="auto" w:val="clear"/>
            <w:vAlign w:val="center"/>
          </w:tcPr>
          <w:p>
            <w:pPr>
              <w:pStyle w:val="TableContents"/>
              <w:spacing w:before="0" w:after="283"/>
              <w:rPr/>
            </w:pPr>
            <w:r>
              <w:rPr/>
              <w:t> </w:t>
            </w:r>
          </w:p>
        </w:tc>
        <w:tc>
          <w:tcPr>
            <w:tcW w:w="3228" w:type="dxa"/>
            <w:tcBorders/>
            <w:shd w:fill="auto" w:val="clear"/>
            <w:vAlign w:val="center"/>
          </w:tcPr>
          <w:p>
            <w:pPr>
              <w:pStyle w:val="TableContents"/>
              <w:spacing w:before="0" w:after="283"/>
              <w:rPr/>
            </w:pPr>
            <w:r>
              <w:rPr/>
              <w:t> </w:t>
            </w:r>
          </w:p>
        </w:tc>
        <w:tc>
          <w:tcPr>
            <w:tcW w:w="1346" w:type="dxa"/>
            <w:tcBorders/>
            <w:shd w:fill="auto" w:val="clear"/>
            <w:vAlign w:val="center"/>
          </w:tcPr>
          <w:p>
            <w:pPr>
              <w:pStyle w:val="TableContents"/>
              <w:spacing w:before="0" w:after="283"/>
              <w:rPr/>
            </w:pPr>
            <w:r>
              <w:rPr/>
              <w:t> </w:t>
            </w:r>
          </w:p>
        </w:tc>
      </w:tr>
      <w:tr>
        <w:trPr/>
        <w:tc>
          <w:tcPr>
            <w:tcW w:w="4175" w:type="dxa"/>
            <w:tcBorders/>
            <w:shd w:fill="auto" w:val="clear"/>
          </w:tcPr>
          <w:p>
            <w:pPr>
              <w:pStyle w:val="TableContents"/>
              <w:spacing w:before="0" w:after="283"/>
              <w:jc w:val="left"/>
              <w:rPr/>
            </w:pPr>
            <w:r>
              <w:rPr/>
              <w:t> </w:t>
            </w:r>
          </w:p>
        </w:tc>
        <w:tc>
          <w:tcPr>
            <w:tcW w:w="4684" w:type="dxa"/>
            <w:gridSpan w:val="3"/>
            <w:tcBorders/>
            <w:shd w:fill="auto" w:val="clear"/>
            <w:vAlign w:val="center"/>
          </w:tcPr>
          <w:p>
            <w:pPr>
              <w:pStyle w:val="TableContents"/>
              <w:spacing w:before="0" w:after="283"/>
              <w:jc w:val="left"/>
              <w:rPr/>
            </w:pPr>
            <w:r>
              <w:rPr/>
              <w:t>PMC (NOVA SCOTIA) COMPANY</w:t>
              <w:br/>
              <w:t> </w:t>
            </w:r>
          </w:p>
        </w:tc>
        <w:tc>
          <w:tcPr>
            <w:tcW w:w="1346"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jc w:val="left"/>
              <w:rPr/>
            </w:pPr>
            <w:r>
              <w:rPr/>
              <w:t> </w:t>
            </w:r>
          </w:p>
        </w:tc>
        <w:tc>
          <w:tcPr>
            <w:tcW w:w="721" w:type="dxa"/>
            <w:tcBorders/>
            <w:shd w:fill="auto" w:val="clear"/>
          </w:tcPr>
          <w:p>
            <w:pPr>
              <w:pStyle w:val="TableContents"/>
              <w:spacing w:before="0" w:after="283"/>
              <w:rPr/>
            </w:pPr>
            <w:r>
              <w:rPr/>
              <w:t>By:  </w:t>
            </w:r>
          </w:p>
        </w:tc>
        <w:tc>
          <w:tcPr>
            <w:tcW w:w="3963"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346"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jc w:val="left"/>
              <w:rPr/>
            </w:pPr>
            <w:r>
              <w:rPr/>
              <w:t> </w:t>
            </w:r>
          </w:p>
        </w:tc>
        <w:tc>
          <w:tcPr>
            <w:tcW w:w="721" w:type="dxa"/>
            <w:tcBorders/>
            <w:shd w:fill="auto" w:val="clear"/>
            <w:vAlign w:val="center"/>
          </w:tcPr>
          <w:p>
            <w:pPr>
              <w:pStyle w:val="TableContents"/>
              <w:spacing w:before="0" w:after="283"/>
              <w:rPr/>
            </w:pPr>
            <w:r>
              <w:rPr/>
              <w:t> </w:t>
            </w:r>
          </w:p>
        </w:tc>
        <w:tc>
          <w:tcPr>
            <w:tcW w:w="3963" w:type="dxa"/>
            <w:gridSpan w:val="2"/>
            <w:tcBorders/>
            <w:shd w:fill="auto" w:val="clear"/>
            <w:vAlign w:val="center"/>
          </w:tcPr>
          <w:p>
            <w:pPr>
              <w:pStyle w:val="TableContents"/>
              <w:spacing w:before="0" w:after="283"/>
              <w:jc w:val="left"/>
              <w:rPr/>
            </w:pPr>
            <w:r>
              <w:rPr/>
              <w:t>Phil Kramer </w:t>
            </w:r>
          </w:p>
        </w:tc>
        <w:tc>
          <w:tcPr>
            <w:tcW w:w="1346" w:type="dxa"/>
            <w:tcBorders/>
            <w:shd w:fill="auto" w:val="clear"/>
            <w:vAlign w:val="center"/>
          </w:tcPr>
          <w:p>
            <w:pPr>
              <w:pStyle w:val="TableContents"/>
              <w:spacing w:before="0" w:after="283"/>
              <w:rPr/>
            </w:pPr>
            <w:r>
              <w:rPr/>
              <w:t> </w:t>
            </w:r>
          </w:p>
        </w:tc>
      </w:tr>
      <w:tr>
        <w:trPr/>
        <w:tc>
          <w:tcPr>
            <w:tcW w:w="4175" w:type="dxa"/>
            <w:tcBorders/>
            <w:shd w:fill="auto" w:val="clear"/>
            <w:vAlign w:val="center"/>
          </w:tcPr>
          <w:p>
            <w:pPr>
              <w:pStyle w:val="TableContents"/>
              <w:spacing w:before="0" w:after="283"/>
              <w:jc w:val="left"/>
              <w:rPr/>
            </w:pPr>
            <w:r>
              <w:rPr/>
              <w:t> </w:t>
            </w:r>
          </w:p>
        </w:tc>
        <w:tc>
          <w:tcPr>
            <w:tcW w:w="721" w:type="dxa"/>
            <w:tcBorders/>
            <w:shd w:fill="auto" w:val="clear"/>
            <w:vAlign w:val="center"/>
          </w:tcPr>
          <w:p>
            <w:pPr>
              <w:pStyle w:val="TableContents"/>
              <w:spacing w:before="0" w:after="283"/>
              <w:rPr/>
            </w:pPr>
            <w:r>
              <w:rPr/>
              <w:t> </w:t>
            </w:r>
          </w:p>
        </w:tc>
        <w:tc>
          <w:tcPr>
            <w:tcW w:w="3963" w:type="dxa"/>
            <w:gridSpan w:val="2"/>
            <w:tcBorders/>
            <w:shd w:fill="auto" w:val="clear"/>
            <w:vAlign w:val="center"/>
          </w:tcPr>
          <w:p>
            <w:pPr>
              <w:pStyle w:val="TableContents"/>
              <w:spacing w:before="0" w:after="283"/>
              <w:jc w:val="left"/>
              <w:rPr/>
            </w:pPr>
            <w:r>
              <w:rPr/>
              <w:t>Executive Vice President </w:t>
            </w:r>
          </w:p>
        </w:tc>
        <w:tc>
          <w:tcPr>
            <w:tcW w:w="134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859"/>
        <w:gridCol w:w="1314"/>
        <w:gridCol w:w="650"/>
        <w:gridCol w:w="3133"/>
        <w:gridCol w:w="1249"/>
      </w:tblGrid>
      <w:tr>
        <w:trPr/>
        <w:tc>
          <w:tcPr>
            <w:tcW w:w="3859"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3133" w:type="dxa"/>
            <w:tcBorders/>
            <w:shd w:fill="auto" w:val="clear"/>
            <w:vAlign w:val="center"/>
          </w:tcPr>
          <w:p>
            <w:pPr>
              <w:pStyle w:val="TableContents"/>
              <w:spacing w:before="0" w:after="283"/>
              <w:rPr/>
            </w:pPr>
            <w:r>
              <w:rPr/>
              <w:t>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tcPr>
          <w:p>
            <w:pPr>
              <w:pStyle w:val="TableContents"/>
              <w:spacing w:before="0" w:after="283"/>
              <w:jc w:val="left"/>
              <w:rPr/>
            </w:pPr>
            <w:r>
              <w:rPr/>
              <w:t> </w:t>
            </w:r>
          </w:p>
        </w:tc>
        <w:tc>
          <w:tcPr>
            <w:tcW w:w="5097" w:type="dxa"/>
            <w:gridSpan w:val="3"/>
            <w:tcBorders/>
            <w:shd w:fill="auto" w:val="clear"/>
            <w:vAlign w:val="center"/>
          </w:tcPr>
          <w:p>
            <w:pPr>
              <w:pStyle w:val="TableContents"/>
              <w:spacing w:before="0" w:after="283"/>
              <w:jc w:val="left"/>
              <w:rPr/>
            </w:pPr>
            <w:r>
              <w:rPr/>
              <w:t>PLAINS MARKETING CANADA, L.P.</w:t>
              <w:br/>
              <w:br/>
              <w:t>By: PMC (Nova Scotia) Company, its General Partner</w:t>
              <w:br/>
              <w:t>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tcPr>
          <w:p>
            <w:pPr>
              <w:pStyle w:val="TableContents"/>
              <w:spacing w:before="0" w:after="283"/>
              <w:rPr/>
            </w:pPr>
            <w:r>
              <w:rPr/>
              <w:t>       </w:t>
            </w:r>
            <w:r>
              <w:rPr/>
              <w:t>By:  </w:t>
            </w:r>
          </w:p>
        </w:tc>
        <w:tc>
          <w:tcPr>
            <w:tcW w:w="3783"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Phil Kramer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Executive Vice President </w:t>
            </w:r>
          </w:p>
        </w:tc>
        <w:tc>
          <w:tcPr>
            <w:tcW w:w="124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59" w:type="dxa"/>
            <w:tcBorders/>
            <w:shd w:fill="auto" w:val="clear"/>
          </w:tcPr>
          <w:p>
            <w:pPr>
              <w:pStyle w:val="TableContents"/>
              <w:spacing w:before="0" w:after="283"/>
              <w:jc w:val="left"/>
              <w:rPr/>
            </w:pPr>
            <w:r>
              <w:rPr/>
              <w:t> </w:t>
            </w:r>
          </w:p>
        </w:tc>
        <w:tc>
          <w:tcPr>
            <w:tcW w:w="5097" w:type="dxa"/>
            <w:gridSpan w:val="3"/>
            <w:tcBorders/>
            <w:shd w:fill="auto" w:val="clear"/>
            <w:vAlign w:val="center"/>
          </w:tcPr>
          <w:p>
            <w:pPr>
              <w:pStyle w:val="TableContents"/>
              <w:spacing w:before="0" w:after="283"/>
              <w:jc w:val="left"/>
              <w:rPr/>
            </w:pPr>
            <w:r>
              <w:rPr/>
              <w:t>BASIN HOLDINGS GP LLC</w:t>
              <w:br/>
              <w:br/>
              <w:t>By: Plains Pipeline, L.P., its Sole Member</w:t>
              <w:br/>
              <w:br/>
              <w:t>By: Plains Marketing GP Inc., its General Partner</w:t>
              <w:br/>
              <w:t>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tcPr>
          <w:p>
            <w:pPr>
              <w:pStyle w:val="TableContents"/>
              <w:spacing w:before="0" w:after="283"/>
              <w:rPr/>
            </w:pPr>
            <w:r>
              <w:rPr/>
              <w:t>       </w:t>
            </w:r>
            <w:r>
              <w:rPr/>
              <w:t>By:  </w:t>
            </w:r>
          </w:p>
        </w:tc>
        <w:tc>
          <w:tcPr>
            <w:tcW w:w="3783"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Phil Kramer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Executive Vice President</w:t>
              <w:br/>
              <w:t>and Chief Financial Officer </w:t>
            </w:r>
          </w:p>
        </w:tc>
        <w:tc>
          <w:tcPr>
            <w:tcW w:w="124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859" w:type="dxa"/>
            <w:tcBorders/>
            <w:shd w:fill="auto" w:val="clear"/>
          </w:tcPr>
          <w:p>
            <w:pPr>
              <w:pStyle w:val="TableContents"/>
              <w:spacing w:before="0" w:after="283"/>
              <w:jc w:val="left"/>
              <w:rPr/>
            </w:pPr>
            <w:r>
              <w:rPr/>
              <w:t> </w:t>
            </w:r>
          </w:p>
        </w:tc>
        <w:tc>
          <w:tcPr>
            <w:tcW w:w="5097" w:type="dxa"/>
            <w:gridSpan w:val="3"/>
            <w:tcBorders/>
            <w:shd w:fill="auto" w:val="clear"/>
            <w:vAlign w:val="center"/>
          </w:tcPr>
          <w:p>
            <w:pPr>
              <w:pStyle w:val="TableContents"/>
              <w:spacing w:before="0" w:after="283"/>
              <w:jc w:val="left"/>
              <w:rPr/>
            </w:pPr>
            <w:r>
              <w:rPr/>
              <w:t>BASIN PIPELINE HOLDINGS, L.P.</w:t>
              <w:br/>
              <w:br/>
              <w:t>By: Basin Holdings GP LLC, its General Partner</w:t>
              <w:br/>
              <w:br/>
              <w:t>By: Plains Pipeline, L.P., its Sole Member</w:t>
              <w:br/>
              <w:br/>
              <w:t>By: Plains Marketing GP Inc., its General Partner</w:t>
              <w:br/>
              <w:t>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tcPr>
          <w:p>
            <w:pPr>
              <w:pStyle w:val="TableContents"/>
              <w:spacing w:before="0" w:after="283"/>
              <w:rPr/>
            </w:pPr>
            <w:r>
              <w:rPr/>
              <w:t>       </w:t>
            </w:r>
            <w:r>
              <w:rPr/>
              <w:t>By:  </w:t>
            </w:r>
          </w:p>
        </w:tc>
        <w:tc>
          <w:tcPr>
            <w:tcW w:w="3783"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Phil Kramer </w:t>
            </w:r>
          </w:p>
        </w:tc>
        <w:tc>
          <w:tcPr>
            <w:tcW w:w="1249" w:type="dxa"/>
            <w:tcBorders/>
            <w:shd w:fill="auto" w:val="clear"/>
            <w:vAlign w:val="center"/>
          </w:tcPr>
          <w:p>
            <w:pPr>
              <w:pStyle w:val="TableContents"/>
              <w:spacing w:before="0" w:after="283"/>
              <w:rPr/>
            </w:pPr>
            <w:r>
              <w:rPr/>
              <w:t> </w:t>
            </w:r>
          </w:p>
        </w:tc>
      </w:tr>
      <w:tr>
        <w:trPr/>
        <w:tc>
          <w:tcPr>
            <w:tcW w:w="3859" w:type="dxa"/>
            <w:tcBorders/>
            <w:shd w:fill="auto" w:val="clear"/>
            <w:vAlign w:val="center"/>
          </w:tcPr>
          <w:p>
            <w:pPr>
              <w:pStyle w:val="TableContents"/>
              <w:spacing w:before="0" w:after="283"/>
              <w:jc w:val="left"/>
              <w:rPr/>
            </w:pPr>
            <w:r>
              <w:rPr/>
              <w:t> </w:t>
            </w:r>
          </w:p>
        </w:tc>
        <w:tc>
          <w:tcPr>
            <w:tcW w:w="1314" w:type="dxa"/>
            <w:tcBorders/>
            <w:shd w:fill="auto" w:val="clear"/>
            <w:vAlign w:val="center"/>
          </w:tcPr>
          <w:p>
            <w:pPr>
              <w:pStyle w:val="TableContents"/>
              <w:spacing w:before="0" w:after="283"/>
              <w:rPr/>
            </w:pPr>
            <w:r>
              <w:rPr/>
              <w:t> </w:t>
            </w:r>
          </w:p>
        </w:tc>
        <w:tc>
          <w:tcPr>
            <w:tcW w:w="3783" w:type="dxa"/>
            <w:gridSpan w:val="2"/>
            <w:tcBorders/>
            <w:shd w:fill="auto" w:val="clear"/>
            <w:vAlign w:val="center"/>
          </w:tcPr>
          <w:p>
            <w:pPr>
              <w:pStyle w:val="TableContents"/>
              <w:spacing w:before="0" w:after="283"/>
              <w:jc w:val="left"/>
              <w:rPr/>
            </w:pPr>
            <w:r>
              <w:rPr/>
              <w:t>Executive Vice President</w:t>
              <w:br/>
              <w:t>and Chief Financial Officer </w:t>
            </w:r>
          </w:p>
        </w:tc>
        <w:tc>
          <w:tcPr>
            <w:tcW w:w="124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46"/>
        <w:gridCol w:w="1138"/>
        <w:gridCol w:w="649"/>
        <w:gridCol w:w="3197"/>
        <w:gridCol w:w="1275"/>
      </w:tblGrid>
      <w:tr>
        <w:trPr/>
        <w:tc>
          <w:tcPr>
            <w:tcW w:w="3946" w:type="dxa"/>
            <w:tcBorders/>
            <w:shd w:fill="auto" w:val="clear"/>
            <w:vAlign w:val="center"/>
          </w:tcPr>
          <w:p>
            <w:pPr>
              <w:pStyle w:val="TableContents"/>
              <w:spacing w:before="0" w:after="283"/>
              <w:rPr/>
            </w:pPr>
            <w:r>
              <w:rPr/>
              <w:t> </w:t>
            </w:r>
          </w:p>
        </w:tc>
        <w:tc>
          <w:tcPr>
            <w:tcW w:w="1138" w:type="dxa"/>
            <w:tcBorders/>
            <w:shd w:fill="auto" w:val="clear"/>
            <w:vAlign w:val="center"/>
          </w:tcPr>
          <w:p>
            <w:pPr>
              <w:pStyle w:val="TableContents"/>
              <w:spacing w:before="0" w:after="283"/>
              <w:rPr/>
            </w:pPr>
            <w:r>
              <w:rPr/>
              <w:t> </w:t>
            </w:r>
          </w:p>
        </w:tc>
        <w:tc>
          <w:tcPr>
            <w:tcW w:w="649" w:type="dxa"/>
            <w:tcBorders/>
            <w:shd w:fill="auto" w:val="clear"/>
            <w:vAlign w:val="center"/>
          </w:tcPr>
          <w:p>
            <w:pPr>
              <w:pStyle w:val="TableContents"/>
              <w:spacing w:before="0" w:after="283"/>
              <w:rPr/>
            </w:pPr>
            <w:r>
              <w:rPr/>
              <w:t> </w:t>
            </w:r>
          </w:p>
        </w:tc>
        <w:tc>
          <w:tcPr>
            <w:tcW w:w="3197"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RANCHO HOLDINGS GP LLC</w:t>
              <w:br/>
              <w:br/>
              <w:t>By: Plains Pipeline, L.P., its Sole Member</w:t>
              <w:br/>
              <w:br/>
              <w:t>By: Plains Marketing GP Inc., its General Partner</w:t>
              <w:b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tcPr>
          <w:p>
            <w:pPr>
              <w:pStyle w:val="TableContents"/>
              <w:spacing w:before="0" w:after="283"/>
              <w:rPr/>
            </w:pPr>
            <w:r>
              <w:rPr/>
              <w:t>       </w:t>
            </w:r>
            <w:r>
              <w:rPr/>
              <w:t>By:  </w:t>
            </w:r>
          </w:p>
        </w:tc>
        <w:tc>
          <w:tcPr>
            <w:tcW w:w="384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Phil Kramer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Executive Vice President</w:t>
              <w:br/>
              <w:t>and Chief Financial Officer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46" w:type="dxa"/>
            <w:tcBorders/>
            <w:shd w:fill="auto" w:val="clea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RANCHO PIPELINE HOLDINGS, L.P.</w:t>
              <w:br/>
              <w:br/>
              <w:t>By: Rancho Holdings GP LLC, its General Partner</w:t>
              <w:br/>
              <w:br/>
              <w:t>By: Plains Pipeline, L.P., its Sole Member</w:t>
              <w:br/>
              <w:br/>
              <w:t>By: Plains Marketing GP Inc., its General Partner</w:t>
              <w:b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tcPr>
          <w:p>
            <w:pPr>
              <w:pStyle w:val="TableContents"/>
              <w:spacing w:before="0" w:after="283"/>
              <w:rPr/>
            </w:pPr>
            <w:r>
              <w:rPr/>
              <w:t>       </w:t>
            </w:r>
            <w:r>
              <w:rPr/>
              <w:t>By:  </w:t>
            </w:r>
          </w:p>
        </w:tc>
        <w:tc>
          <w:tcPr>
            <w:tcW w:w="384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Phil Kramer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Executive Vice President</w:t>
              <w:br/>
              <w:t>and Chief Financial Officer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46" w:type="dxa"/>
            <w:tcBorders/>
            <w:shd w:fill="auto" w:val="clea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PLAINS LPG SERVICES GP LLC</w:t>
              <w:br/>
              <w:br/>
              <w:t>By: Plains Marketing, L.P., its Sole Member</w:t>
              <w:br/>
              <w:br/>
              <w:t>By: Plains Marketing GP Inc., its General Partner</w:t>
              <w:b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tcPr>
          <w:p>
            <w:pPr>
              <w:pStyle w:val="TableContents"/>
              <w:spacing w:before="0" w:after="283"/>
              <w:rPr/>
            </w:pPr>
            <w:r>
              <w:rPr/>
              <w:t>       </w:t>
            </w:r>
            <w:r>
              <w:rPr/>
              <w:t>By:  </w:t>
            </w:r>
          </w:p>
        </w:tc>
        <w:tc>
          <w:tcPr>
            <w:tcW w:w="384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Phil Kramer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1138" w:type="dxa"/>
            <w:tcBorders/>
            <w:shd w:fill="auto" w:val="clear"/>
            <w:vAlign w:val="center"/>
          </w:tcPr>
          <w:p>
            <w:pPr>
              <w:pStyle w:val="TableContents"/>
              <w:spacing w:before="0" w:after="283"/>
              <w:rPr/>
            </w:pPr>
            <w:r>
              <w:rPr/>
              <w:t> </w:t>
            </w:r>
          </w:p>
        </w:tc>
        <w:tc>
          <w:tcPr>
            <w:tcW w:w="3846" w:type="dxa"/>
            <w:gridSpan w:val="2"/>
            <w:tcBorders/>
            <w:shd w:fill="auto" w:val="clear"/>
            <w:vAlign w:val="center"/>
          </w:tcPr>
          <w:p>
            <w:pPr>
              <w:pStyle w:val="TableContents"/>
              <w:spacing w:before="0" w:after="283"/>
              <w:jc w:val="left"/>
              <w:rPr/>
            </w:pPr>
            <w:r>
              <w:rPr/>
              <w:t>Executive Vice President and Chief</w:t>
              <w:br/>
              <w:t>Financial Officer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46" w:type="dxa"/>
            <w:tcBorders/>
            <w:shd w:fill="auto" w:val="clea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PLAINS LPG SERVICES, L.P.</w:t>
              <w:br/>
              <w:br/>
              <w:t>By: Plains LPG Services GP LLC, its General Partner</w:t>
              <w:br/>
              <w:br/>
              <w:t>By: Plains Marketing, L.P., its Sole Member</w:t>
              <w:b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 </w:t>
            </w:r>
          </w:p>
        </w:tc>
        <w:tc>
          <w:tcPr>
            <w:tcW w:w="1275" w:type="dxa"/>
            <w:tcBorders/>
            <w:shd w:fill="auto" w:val="clear"/>
            <w:vAlign w:val="center"/>
          </w:tcPr>
          <w:p>
            <w:pPr>
              <w:pStyle w:val="TableContents"/>
              <w:spacing w:before="0" w:after="283"/>
              <w:rPr/>
            </w:pPr>
            <w:r>
              <w:rPr/>
              <w:t> </w:t>
            </w:r>
          </w:p>
        </w:tc>
      </w:tr>
      <w:tr>
        <w:trPr/>
        <w:tc>
          <w:tcPr>
            <w:tcW w:w="3946" w:type="dxa"/>
            <w:tcBorders/>
            <w:shd w:fill="auto" w:val="clear"/>
            <w:vAlign w:val="center"/>
          </w:tcPr>
          <w:p>
            <w:pPr>
              <w:pStyle w:val="TableContents"/>
              <w:spacing w:before="0" w:after="283"/>
              <w:jc w:val="left"/>
              <w:rPr/>
            </w:pPr>
            <w:r>
              <w:rPr/>
              <w:t> </w:t>
            </w:r>
          </w:p>
        </w:tc>
        <w:tc>
          <w:tcPr>
            <w:tcW w:w="4984" w:type="dxa"/>
            <w:gridSpan w:val="3"/>
            <w:tcBorders/>
            <w:shd w:fill="auto" w:val="clear"/>
            <w:vAlign w:val="center"/>
          </w:tcPr>
          <w:p>
            <w:pPr>
              <w:pStyle w:val="TableContents"/>
              <w:spacing w:before="0" w:after="283"/>
              <w:jc w:val="left"/>
              <w:rPr/>
            </w:pPr>
            <w:r>
              <w:rPr/>
              <w:t> </w:t>
            </w:r>
          </w:p>
        </w:tc>
        <w:tc>
          <w:tcPr>
            <w:tcW w:w="127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92"/>
        <w:gridCol w:w="884"/>
        <w:gridCol w:w="628"/>
        <w:gridCol w:w="3282"/>
        <w:gridCol w:w="1319"/>
      </w:tblGrid>
      <w:tr>
        <w:trPr/>
        <w:tc>
          <w:tcPr>
            <w:tcW w:w="4092" w:type="dxa"/>
            <w:tcBorders/>
            <w:shd w:fill="auto" w:val="clear"/>
            <w:vAlign w:val="center"/>
          </w:tcPr>
          <w:p>
            <w:pPr>
              <w:pStyle w:val="TableContents"/>
              <w:spacing w:before="0" w:after="283"/>
              <w:rPr/>
            </w:pPr>
            <w:r>
              <w:rPr/>
              <w:t> </w:t>
            </w:r>
          </w:p>
        </w:tc>
        <w:tc>
          <w:tcPr>
            <w:tcW w:w="884"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3282" w:type="dxa"/>
            <w:tcBorders/>
            <w:shd w:fill="auto" w:val="clear"/>
            <w:vAlign w:val="center"/>
          </w:tcPr>
          <w:p>
            <w:pPr>
              <w:pStyle w:val="TableContents"/>
              <w:spacing w:before="0" w:after="283"/>
              <w:rPr/>
            </w:pPr>
            <w:r>
              <w:rPr/>
              <w:t> </w:t>
            </w:r>
          </w:p>
        </w:tc>
        <w:tc>
          <w:tcPr>
            <w:tcW w:w="1319" w:type="dxa"/>
            <w:tcBorders/>
            <w:shd w:fill="auto" w:val="clear"/>
            <w:vAlign w:val="center"/>
          </w:tcPr>
          <w:p>
            <w:pPr>
              <w:pStyle w:val="TableContents"/>
              <w:spacing w:before="0" w:after="283"/>
              <w:rPr/>
            </w:pPr>
            <w:r>
              <w:rPr/>
              <w:t> </w:t>
            </w:r>
          </w:p>
        </w:tc>
      </w:tr>
      <w:tr>
        <w:trPr/>
        <w:tc>
          <w:tcPr>
            <w:tcW w:w="4092" w:type="dxa"/>
            <w:tcBorders/>
            <w:shd w:fill="auto" w:val="clear"/>
          </w:tcPr>
          <w:p>
            <w:pPr>
              <w:pStyle w:val="TableContents"/>
              <w:spacing w:before="0" w:after="283"/>
              <w:jc w:val="left"/>
              <w:rPr/>
            </w:pPr>
            <w:r>
              <w:rPr/>
              <w:t> </w:t>
            </w:r>
          </w:p>
        </w:tc>
        <w:tc>
          <w:tcPr>
            <w:tcW w:w="4794" w:type="dxa"/>
            <w:gridSpan w:val="3"/>
            <w:tcBorders/>
            <w:shd w:fill="auto" w:val="clear"/>
            <w:vAlign w:val="center"/>
          </w:tcPr>
          <w:p>
            <w:pPr>
              <w:pStyle w:val="TableContents"/>
              <w:spacing w:before="0" w:after="283"/>
              <w:jc w:val="left"/>
              <w:rPr/>
            </w:pPr>
            <w:r>
              <w:rPr/>
              <w:t>By: Plains Marketing GP Inc., its General Partner</w:t>
              <w:br/>
              <w:t> </w:t>
            </w:r>
          </w:p>
        </w:tc>
        <w:tc>
          <w:tcPr>
            <w:tcW w:w="1319" w:type="dxa"/>
            <w:tcBorders/>
            <w:shd w:fill="auto" w:val="clear"/>
            <w:vAlign w:val="center"/>
          </w:tcPr>
          <w:p>
            <w:pPr>
              <w:pStyle w:val="TableContents"/>
              <w:spacing w:before="0" w:after="283"/>
              <w:rPr/>
            </w:pPr>
            <w:r>
              <w:rPr/>
              <w:t> </w:t>
            </w:r>
          </w:p>
        </w:tc>
      </w:tr>
      <w:tr>
        <w:trPr/>
        <w:tc>
          <w:tcPr>
            <w:tcW w:w="4092" w:type="dxa"/>
            <w:tcBorders/>
            <w:shd w:fill="auto" w:val="clear"/>
            <w:vAlign w:val="center"/>
          </w:tcPr>
          <w:p>
            <w:pPr>
              <w:pStyle w:val="TableContents"/>
              <w:spacing w:before="0" w:after="283"/>
              <w:jc w:val="left"/>
              <w:rPr/>
            </w:pPr>
            <w:r>
              <w:rPr/>
              <w:t> </w:t>
            </w:r>
          </w:p>
        </w:tc>
        <w:tc>
          <w:tcPr>
            <w:tcW w:w="884" w:type="dxa"/>
            <w:tcBorders/>
            <w:shd w:fill="auto" w:val="clear"/>
          </w:tcPr>
          <w:p>
            <w:pPr>
              <w:pStyle w:val="TableContents"/>
              <w:spacing w:before="0" w:after="283"/>
              <w:rPr/>
            </w:pPr>
            <w:r>
              <w:rPr/>
              <w:t>       </w:t>
            </w:r>
            <w:r>
              <w:rPr/>
              <w:t>By:  </w:t>
            </w:r>
          </w:p>
        </w:tc>
        <w:tc>
          <w:tcPr>
            <w:tcW w:w="3910"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319" w:type="dxa"/>
            <w:tcBorders/>
            <w:shd w:fill="auto" w:val="clear"/>
            <w:vAlign w:val="center"/>
          </w:tcPr>
          <w:p>
            <w:pPr>
              <w:pStyle w:val="TableContents"/>
              <w:spacing w:before="0" w:after="283"/>
              <w:rPr/>
            </w:pPr>
            <w:r>
              <w:rPr/>
              <w:t> </w:t>
            </w:r>
          </w:p>
        </w:tc>
      </w:tr>
      <w:tr>
        <w:trPr/>
        <w:tc>
          <w:tcPr>
            <w:tcW w:w="4092" w:type="dxa"/>
            <w:tcBorders/>
            <w:shd w:fill="auto" w:val="clear"/>
            <w:vAlign w:val="center"/>
          </w:tcPr>
          <w:p>
            <w:pPr>
              <w:pStyle w:val="TableContents"/>
              <w:spacing w:before="0" w:after="283"/>
              <w:jc w:val="left"/>
              <w:rPr/>
            </w:pPr>
            <w:r>
              <w:rPr/>
              <w:t> </w:t>
            </w:r>
          </w:p>
        </w:tc>
        <w:tc>
          <w:tcPr>
            <w:tcW w:w="884" w:type="dxa"/>
            <w:tcBorders/>
            <w:shd w:fill="auto" w:val="clear"/>
            <w:vAlign w:val="center"/>
          </w:tcPr>
          <w:p>
            <w:pPr>
              <w:pStyle w:val="TableContents"/>
              <w:spacing w:before="0" w:after="283"/>
              <w:rPr/>
            </w:pPr>
            <w:r>
              <w:rPr/>
              <w:t> </w:t>
            </w:r>
          </w:p>
        </w:tc>
        <w:tc>
          <w:tcPr>
            <w:tcW w:w="3910" w:type="dxa"/>
            <w:gridSpan w:val="2"/>
            <w:tcBorders/>
            <w:shd w:fill="auto" w:val="clear"/>
            <w:vAlign w:val="center"/>
          </w:tcPr>
          <w:p>
            <w:pPr>
              <w:pStyle w:val="TableContents"/>
              <w:spacing w:before="0" w:after="283"/>
              <w:jc w:val="left"/>
              <w:rPr/>
            </w:pPr>
            <w:r>
              <w:rPr/>
              <w:t>Phil Kramer </w:t>
            </w:r>
          </w:p>
        </w:tc>
        <w:tc>
          <w:tcPr>
            <w:tcW w:w="1319" w:type="dxa"/>
            <w:tcBorders/>
            <w:shd w:fill="auto" w:val="clear"/>
            <w:vAlign w:val="center"/>
          </w:tcPr>
          <w:p>
            <w:pPr>
              <w:pStyle w:val="TableContents"/>
              <w:spacing w:before="0" w:after="283"/>
              <w:rPr/>
            </w:pPr>
            <w:r>
              <w:rPr/>
              <w:t> </w:t>
            </w:r>
          </w:p>
        </w:tc>
      </w:tr>
      <w:tr>
        <w:trPr/>
        <w:tc>
          <w:tcPr>
            <w:tcW w:w="4092" w:type="dxa"/>
            <w:tcBorders/>
            <w:shd w:fill="auto" w:val="clear"/>
            <w:vAlign w:val="center"/>
          </w:tcPr>
          <w:p>
            <w:pPr>
              <w:pStyle w:val="TableContents"/>
              <w:spacing w:before="0" w:after="283"/>
              <w:jc w:val="left"/>
              <w:rPr/>
            </w:pPr>
            <w:r>
              <w:rPr/>
              <w:t> </w:t>
            </w:r>
          </w:p>
        </w:tc>
        <w:tc>
          <w:tcPr>
            <w:tcW w:w="884" w:type="dxa"/>
            <w:tcBorders/>
            <w:shd w:fill="auto" w:val="clear"/>
            <w:vAlign w:val="center"/>
          </w:tcPr>
          <w:p>
            <w:pPr>
              <w:pStyle w:val="TableContents"/>
              <w:spacing w:before="0" w:after="283"/>
              <w:rPr/>
            </w:pPr>
            <w:r>
              <w:rPr/>
              <w:t> </w:t>
            </w:r>
          </w:p>
        </w:tc>
        <w:tc>
          <w:tcPr>
            <w:tcW w:w="3910" w:type="dxa"/>
            <w:gridSpan w:val="2"/>
            <w:tcBorders/>
            <w:shd w:fill="auto" w:val="clear"/>
            <w:vAlign w:val="center"/>
          </w:tcPr>
          <w:p>
            <w:pPr>
              <w:pStyle w:val="TableContents"/>
              <w:spacing w:before="0" w:after="283"/>
              <w:jc w:val="left"/>
              <w:rPr/>
            </w:pPr>
            <w:r>
              <w:rPr/>
              <w:t>Executive Vice President and Chief</w:t>
              <w:br/>
              <w:t>Financial Officer </w:t>
            </w:r>
          </w:p>
        </w:tc>
        <w:tc>
          <w:tcPr>
            <w:tcW w:w="131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15"/>
        <w:gridCol w:w="1200"/>
        <w:gridCol w:w="652"/>
        <w:gridCol w:w="3172"/>
        <w:gridCol w:w="1266"/>
      </w:tblGrid>
      <w:tr>
        <w:trPr/>
        <w:tc>
          <w:tcPr>
            <w:tcW w:w="3915"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rPr/>
            </w:pPr>
            <w:r>
              <w:rPr/>
              <w:t> </w:t>
            </w:r>
          </w:p>
        </w:tc>
        <w:tc>
          <w:tcPr>
            <w:tcW w:w="652" w:type="dxa"/>
            <w:tcBorders/>
            <w:shd w:fill="auto" w:val="clear"/>
            <w:vAlign w:val="center"/>
          </w:tcPr>
          <w:p>
            <w:pPr>
              <w:pStyle w:val="TableContents"/>
              <w:spacing w:before="0" w:after="283"/>
              <w:rPr/>
            </w:pPr>
            <w:r>
              <w:rPr/>
              <w:t> </w:t>
            </w:r>
          </w:p>
        </w:tc>
        <w:tc>
          <w:tcPr>
            <w:tcW w:w="3172"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r>
      <w:tr>
        <w:trPr/>
        <w:tc>
          <w:tcPr>
            <w:tcW w:w="3915" w:type="dxa"/>
            <w:tcBorders/>
            <w:shd w:fill="auto" w:val="clear"/>
          </w:tcPr>
          <w:p>
            <w:pPr>
              <w:pStyle w:val="TableContents"/>
              <w:spacing w:before="0" w:after="283"/>
              <w:jc w:val="left"/>
              <w:rPr/>
            </w:pPr>
            <w:r>
              <w:rPr/>
              <w:t> </w:t>
            </w:r>
          </w:p>
        </w:tc>
        <w:tc>
          <w:tcPr>
            <w:tcW w:w="5024" w:type="dxa"/>
            <w:gridSpan w:val="3"/>
            <w:tcBorders/>
            <w:shd w:fill="auto" w:val="clear"/>
            <w:vAlign w:val="center"/>
          </w:tcPr>
          <w:p>
            <w:pPr>
              <w:pStyle w:val="TableContents"/>
              <w:spacing w:before="0" w:after="283"/>
              <w:jc w:val="left"/>
              <w:rPr/>
            </w:pPr>
            <w:r>
              <w:rPr/>
              <w:t>LONE STAR TRUCKING, LLC</w:t>
              <w:br/>
              <w:br/>
              <w:t>By: Plains LPG Services, L.P., its Sole Member</w:t>
              <w:br/>
              <w:br/>
              <w:t>By: Plains LPG Services GP LLC, its General Partner</w:t>
              <w:br/>
              <w:br/>
              <w:t>By: Plains Marketing, L.P., its Sole Member</w:t>
              <w:br/>
              <w:br/>
              <w:t>By: Plains Marketing GP Inc., its General Partner</w:t>
              <w:br/>
              <w:t> </w:t>
            </w:r>
          </w:p>
        </w:tc>
        <w:tc>
          <w:tcPr>
            <w:tcW w:w="1266"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1200" w:type="dxa"/>
            <w:tcBorders/>
            <w:shd w:fill="auto" w:val="clear"/>
          </w:tcPr>
          <w:p>
            <w:pPr>
              <w:pStyle w:val="TableContents"/>
              <w:spacing w:before="0" w:after="283"/>
              <w:rPr/>
            </w:pPr>
            <w:r>
              <w:rPr/>
              <w:t>       </w:t>
            </w:r>
            <w:r>
              <w:rPr/>
              <w:t>By:  </w:t>
            </w:r>
          </w:p>
        </w:tc>
        <w:tc>
          <w:tcPr>
            <w:tcW w:w="3824"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66"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1200" w:type="dxa"/>
            <w:tcBorders/>
            <w:shd w:fill="auto" w:val="clear"/>
            <w:vAlign w:val="center"/>
          </w:tcPr>
          <w:p>
            <w:pPr>
              <w:pStyle w:val="TableContents"/>
              <w:spacing w:before="0" w:after="283"/>
              <w:rPr/>
            </w:pPr>
            <w:r>
              <w:rPr/>
              <w:t> </w:t>
            </w:r>
          </w:p>
        </w:tc>
        <w:tc>
          <w:tcPr>
            <w:tcW w:w="3824" w:type="dxa"/>
            <w:gridSpan w:val="2"/>
            <w:tcBorders/>
            <w:shd w:fill="auto" w:val="clear"/>
            <w:vAlign w:val="center"/>
          </w:tcPr>
          <w:p>
            <w:pPr>
              <w:pStyle w:val="TableContents"/>
              <w:spacing w:before="0" w:after="283"/>
              <w:jc w:val="left"/>
              <w:rPr/>
            </w:pPr>
            <w:r>
              <w:rPr/>
              <w:t>Phil Kramer </w:t>
            </w:r>
          </w:p>
        </w:tc>
        <w:tc>
          <w:tcPr>
            <w:tcW w:w="1266"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1200" w:type="dxa"/>
            <w:tcBorders/>
            <w:shd w:fill="auto" w:val="clear"/>
            <w:vAlign w:val="center"/>
          </w:tcPr>
          <w:p>
            <w:pPr>
              <w:pStyle w:val="TableContents"/>
              <w:spacing w:before="0" w:after="283"/>
              <w:rPr/>
            </w:pPr>
            <w:r>
              <w:rPr/>
              <w:t> </w:t>
            </w:r>
          </w:p>
        </w:tc>
        <w:tc>
          <w:tcPr>
            <w:tcW w:w="3824" w:type="dxa"/>
            <w:gridSpan w:val="2"/>
            <w:tcBorders/>
            <w:shd w:fill="auto" w:val="clear"/>
            <w:vAlign w:val="center"/>
          </w:tcPr>
          <w:p>
            <w:pPr>
              <w:pStyle w:val="TableContents"/>
              <w:spacing w:before="0" w:after="283"/>
              <w:jc w:val="left"/>
              <w:rPr/>
            </w:pPr>
            <w:r>
              <w:rPr/>
              <w:t>Executive Vice President and Chief Financial Officer</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15"/>
        <w:gridCol w:w="732"/>
        <w:gridCol w:w="611"/>
        <w:gridCol w:w="3684"/>
        <w:gridCol w:w="1263"/>
      </w:tblGrid>
      <w:tr>
        <w:trPr/>
        <w:tc>
          <w:tcPr>
            <w:tcW w:w="3915" w:type="dxa"/>
            <w:tcBorders/>
            <w:shd w:fill="auto" w:val="clear"/>
            <w:vAlign w:val="center"/>
          </w:tcPr>
          <w:p>
            <w:pPr>
              <w:pStyle w:val="TableContents"/>
              <w:spacing w:before="0" w:after="283"/>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vAlign w:val="center"/>
          </w:tcPr>
          <w:p>
            <w:pPr>
              <w:pStyle w:val="TableContents"/>
              <w:spacing w:before="0" w:after="283"/>
              <w:rPr/>
            </w:pPr>
            <w:r>
              <w:rPr/>
              <w:t> </w:t>
            </w:r>
          </w:p>
        </w:tc>
        <w:tc>
          <w:tcPr>
            <w:tcW w:w="3684"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tcPr>
          <w:p>
            <w:pPr>
              <w:pStyle w:val="TableContents"/>
              <w:spacing w:before="0" w:after="283"/>
              <w:jc w:val="left"/>
              <w:rPr/>
            </w:pPr>
            <w:r>
              <w:rPr/>
              <w:t> </w:t>
            </w:r>
          </w:p>
        </w:tc>
        <w:tc>
          <w:tcPr>
            <w:tcW w:w="5027" w:type="dxa"/>
            <w:gridSpan w:val="3"/>
            <w:tcBorders/>
            <w:shd w:fill="auto" w:val="clear"/>
            <w:vAlign w:val="center"/>
          </w:tcPr>
          <w:p>
            <w:pPr>
              <w:pStyle w:val="TableContents"/>
              <w:spacing w:before="0" w:after="283"/>
              <w:jc w:val="left"/>
              <w:rPr/>
            </w:pPr>
            <w:r>
              <w:rPr/>
              <w:t>PLAINS MARKETING INTERNATIONAL GP LLC</w:t>
              <w:br/>
              <w:br/>
              <w:t>By: PLAINS MARKETING, L.P., its Sole Member</w:t>
              <w:br/>
              <w:br/>
              <w:t>By: PLAINS MARKETING GP INC., its General Partner</w:t>
              <w:br/>
              <w:t>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tcPr>
          <w:p>
            <w:pPr>
              <w:pStyle w:val="TableContents"/>
              <w:spacing w:before="0" w:after="283"/>
              <w:rPr/>
            </w:pPr>
            <w:r>
              <w:rPr/>
              <w:t>       </w:t>
            </w:r>
            <w:r>
              <w:rPr/>
              <w:t>By:  </w:t>
            </w:r>
          </w:p>
        </w:tc>
        <w:tc>
          <w:tcPr>
            <w:tcW w:w="4295"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rPr/>
            </w:pPr>
            <w:r>
              <w:rPr/>
              <w:t>Name:  </w:t>
            </w:r>
          </w:p>
        </w:tc>
        <w:tc>
          <w:tcPr>
            <w:tcW w:w="3684" w:type="dxa"/>
            <w:tcBorders/>
            <w:shd w:fill="auto" w:val="clear"/>
            <w:vAlign w:val="center"/>
          </w:tcPr>
          <w:p>
            <w:pPr>
              <w:pStyle w:val="TableContents"/>
              <w:spacing w:before="0" w:after="283"/>
              <w:jc w:val="left"/>
              <w:rPr/>
            </w:pPr>
            <w:r>
              <w:rPr/>
              <w:t>Phil Kramer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rPr/>
            </w:pPr>
            <w:r>
              <w:rPr/>
              <w:t>Title:  </w:t>
            </w:r>
          </w:p>
        </w:tc>
        <w:tc>
          <w:tcPr>
            <w:tcW w:w="3684" w:type="dxa"/>
            <w:tcBorders/>
            <w:shd w:fill="auto" w:val="clear"/>
            <w:vAlign w:val="center"/>
          </w:tcPr>
          <w:p>
            <w:pPr>
              <w:pStyle w:val="TableContents"/>
              <w:spacing w:before="0" w:after="283"/>
              <w:jc w:val="left"/>
              <w:rPr/>
            </w:pPr>
            <w:r>
              <w:rPr/>
              <w:t>Executive Vice President and Chief</w:t>
              <w:br/>
              <w:t>Financial Officer </w:t>
            </w:r>
          </w:p>
        </w:tc>
        <w:tc>
          <w:tcPr>
            <w:tcW w:w="12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3915" w:type="dxa"/>
            <w:tcBorders/>
            <w:shd w:fill="auto" w:val="clear"/>
          </w:tcPr>
          <w:p>
            <w:pPr>
              <w:pStyle w:val="TableContents"/>
              <w:spacing w:before="0" w:after="283"/>
              <w:jc w:val="left"/>
              <w:rPr/>
            </w:pPr>
            <w:r>
              <w:rPr/>
              <w:t> </w:t>
            </w:r>
          </w:p>
        </w:tc>
        <w:tc>
          <w:tcPr>
            <w:tcW w:w="5027" w:type="dxa"/>
            <w:gridSpan w:val="3"/>
            <w:tcBorders/>
            <w:shd w:fill="auto" w:val="clear"/>
            <w:vAlign w:val="center"/>
          </w:tcPr>
          <w:p>
            <w:pPr>
              <w:pStyle w:val="TableContents"/>
              <w:spacing w:before="0" w:after="283"/>
              <w:jc w:val="left"/>
              <w:rPr/>
            </w:pPr>
            <w:r>
              <w:rPr/>
              <w:t>PLAINS MARKETING INTERNATIONAL, L.P.</w:t>
              <w:br/>
              <w:br/>
              <w:t xml:space="preserve">By: PLAINS MARKETING INTERNATIONAL </w:t>
              <w:br/>
              <w:t>       GP LLC, its General Partner</w:t>
              <w:br/>
              <w:br/>
              <w:t>By: PLAINS MARKETING, L.P., its Sole Member</w:t>
              <w:br/>
              <w:br/>
              <w:t>By: PLAINS MARKETING GP INC., its General Partner</w:t>
              <w:br/>
              <w:t>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tcPr>
          <w:p>
            <w:pPr>
              <w:pStyle w:val="TableContents"/>
              <w:spacing w:before="0" w:after="283"/>
              <w:rPr/>
            </w:pPr>
            <w:r>
              <w:rPr/>
              <w:t>       </w:t>
            </w:r>
            <w:r>
              <w:rPr/>
              <w:t>By:  </w:t>
            </w:r>
          </w:p>
        </w:tc>
        <w:tc>
          <w:tcPr>
            <w:tcW w:w="4295"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rPr/>
            </w:pPr>
            <w:r>
              <w:rPr/>
              <w:t>Name:  </w:t>
            </w:r>
          </w:p>
        </w:tc>
        <w:tc>
          <w:tcPr>
            <w:tcW w:w="3684" w:type="dxa"/>
            <w:tcBorders/>
            <w:shd w:fill="auto" w:val="clear"/>
            <w:vAlign w:val="center"/>
          </w:tcPr>
          <w:p>
            <w:pPr>
              <w:pStyle w:val="TableContents"/>
              <w:spacing w:before="0" w:after="283"/>
              <w:jc w:val="left"/>
              <w:rPr/>
            </w:pPr>
            <w:r>
              <w:rPr/>
              <w:t>Phil Kramer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rPr/>
            </w:pPr>
            <w:r>
              <w:rPr/>
              <w:t>Title:  </w:t>
            </w:r>
          </w:p>
        </w:tc>
        <w:tc>
          <w:tcPr>
            <w:tcW w:w="3684" w:type="dxa"/>
            <w:tcBorders/>
            <w:shd w:fill="auto" w:val="clear"/>
            <w:vAlign w:val="center"/>
          </w:tcPr>
          <w:p>
            <w:pPr>
              <w:pStyle w:val="TableContents"/>
              <w:spacing w:before="0" w:after="283"/>
              <w:jc w:val="left"/>
              <w:rPr/>
            </w:pPr>
            <w:r>
              <w:rPr/>
              <w:t>Executive Vice President and Chief</w:t>
              <w:br/>
              <w:t>Financial Officer </w:t>
            </w:r>
          </w:p>
        </w:tc>
        <w:tc>
          <w:tcPr>
            <w:tcW w:w="12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915"/>
        <w:gridCol w:w="732"/>
        <w:gridCol w:w="611"/>
        <w:gridCol w:w="3684"/>
        <w:gridCol w:w="1263"/>
      </w:tblGrid>
      <w:tr>
        <w:trPr/>
        <w:tc>
          <w:tcPr>
            <w:tcW w:w="3915" w:type="dxa"/>
            <w:tcBorders/>
            <w:shd w:fill="auto" w:val="clear"/>
            <w:vAlign w:val="center"/>
          </w:tcPr>
          <w:p>
            <w:pPr>
              <w:pStyle w:val="TableContents"/>
              <w:spacing w:before="0" w:after="283"/>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vAlign w:val="center"/>
          </w:tcPr>
          <w:p>
            <w:pPr>
              <w:pStyle w:val="TableContents"/>
              <w:spacing w:before="0" w:after="283"/>
              <w:rPr/>
            </w:pPr>
            <w:r>
              <w:rPr/>
              <w:t> </w:t>
            </w:r>
          </w:p>
        </w:tc>
        <w:tc>
          <w:tcPr>
            <w:tcW w:w="3684" w:type="dxa"/>
            <w:tcBorders/>
            <w:shd w:fill="auto" w:val="clear"/>
            <w:vAlign w:val="center"/>
          </w:tcPr>
          <w:p>
            <w:pPr>
              <w:pStyle w:val="TableContents"/>
              <w:spacing w:before="0" w:after="283"/>
              <w:rPr/>
            </w:pPr>
            <w:r>
              <w:rPr/>
              <w:t>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tcPr>
          <w:p>
            <w:pPr>
              <w:pStyle w:val="TableContents"/>
              <w:spacing w:before="0" w:after="283"/>
              <w:jc w:val="left"/>
              <w:rPr/>
            </w:pPr>
            <w:r>
              <w:rPr/>
              <w:t> </w:t>
            </w:r>
          </w:p>
        </w:tc>
        <w:tc>
          <w:tcPr>
            <w:tcW w:w="5027" w:type="dxa"/>
            <w:gridSpan w:val="3"/>
            <w:tcBorders/>
            <w:shd w:fill="auto" w:val="clear"/>
            <w:vAlign w:val="center"/>
          </w:tcPr>
          <w:p>
            <w:pPr>
              <w:pStyle w:val="TableContents"/>
              <w:spacing w:before="0" w:after="283"/>
              <w:jc w:val="left"/>
              <w:rPr/>
            </w:pPr>
            <w:r>
              <w:rPr/>
              <w:t>PLAINS LPG MARKETING, L.P.</w:t>
              <w:br/>
              <w:br/>
              <w:t>By: PLAINS LPG SERVICES GP LLC, its General Partner</w:t>
              <w:br/>
              <w:br/>
              <w:t>By: PLAINS MARKETING, L.P., its Sole Member</w:t>
              <w:br/>
              <w:br/>
              <w:t>By: PLAINS MARKETING GP INC., its General Partner</w:t>
              <w:br/>
              <w:t>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tcPr>
          <w:p>
            <w:pPr>
              <w:pStyle w:val="TableContents"/>
              <w:spacing w:before="0" w:after="283"/>
              <w:rPr/>
            </w:pPr>
            <w:r>
              <w:rPr/>
              <w:t>       </w:t>
            </w:r>
            <w:r>
              <w:rPr/>
              <w:t>By:  </w:t>
            </w:r>
          </w:p>
        </w:tc>
        <w:tc>
          <w:tcPr>
            <w:tcW w:w="4295"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rPr/>
            </w:pPr>
            <w:r>
              <w:rPr/>
              <w:t>Name:  </w:t>
            </w:r>
          </w:p>
        </w:tc>
        <w:tc>
          <w:tcPr>
            <w:tcW w:w="3684" w:type="dxa"/>
            <w:tcBorders/>
            <w:shd w:fill="auto" w:val="clear"/>
            <w:vAlign w:val="center"/>
          </w:tcPr>
          <w:p>
            <w:pPr>
              <w:pStyle w:val="TableContents"/>
              <w:spacing w:before="0" w:after="283"/>
              <w:jc w:val="left"/>
              <w:rPr/>
            </w:pPr>
            <w:r>
              <w:rPr/>
              <w:t>Phil Kramer </w:t>
            </w:r>
          </w:p>
        </w:tc>
        <w:tc>
          <w:tcPr>
            <w:tcW w:w="1263" w:type="dxa"/>
            <w:tcBorders/>
            <w:shd w:fill="auto" w:val="clear"/>
            <w:vAlign w:val="center"/>
          </w:tcPr>
          <w:p>
            <w:pPr>
              <w:pStyle w:val="TableContents"/>
              <w:spacing w:before="0" w:after="283"/>
              <w:rPr/>
            </w:pPr>
            <w:r>
              <w:rPr/>
              <w:t> </w:t>
            </w:r>
          </w:p>
        </w:tc>
      </w:tr>
      <w:tr>
        <w:trPr/>
        <w:tc>
          <w:tcPr>
            <w:tcW w:w="3915" w:type="dxa"/>
            <w:tcBorders/>
            <w:shd w:fill="auto" w:val="clear"/>
            <w:vAlign w:val="center"/>
          </w:tcPr>
          <w:p>
            <w:pPr>
              <w:pStyle w:val="TableContents"/>
              <w:spacing w:before="0" w:after="283"/>
              <w:jc w:val="left"/>
              <w:rPr/>
            </w:pPr>
            <w:r>
              <w:rPr/>
              <w:t> </w:t>
            </w:r>
          </w:p>
        </w:tc>
        <w:tc>
          <w:tcPr>
            <w:tcW w:w="732"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rPr/>
            </w:pPr>
            <w:r>
              <w:rPr/>
              <w:t>Title:  </w:t>
            </w:r>
          </w:p>
        </w:tc>
        <w:tc>
          <w:tcPr>
            <w:tcW w:w="3684" w:type="dxa"/>
            <w:tcBorders/>
            <w:shd w:fill="auto" w:val="clear"/>
            <w:vAlign w:val="center"/>
          </w:tcPr>
          <w:p>
            <w:pPr>
              <w:pStyle w:val="TableContents"/>
              <w:spacing w:before="0" w:after="283"/>
              <w:jc w:val="left"/>
              <w:rPr/>
            </w:pPr>
            <w:r>
              <w:rPr/>
              <w:t>Executive Vice President and Chief</w:t>
              <w:br/>
              <w:t>Financial Officer </w:t>
            </w:r>
          </w:p>
        </w:tc>
        <w:tc>
          <w:tcPr>
            <w:tcW w:w="126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of 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u w:val="single"/>
              </w:rPr>
              <w:t>TRUSTEE</w:t>
            </w:r>
            <w:r>
              <w:rPr>
                <w:b/>
              </w:rPr>
              <w:t>:</w:t>
            </w:r>
            <w:r>
              <w:rPr/>
              <w:br/>
              <w:br/>
              <w:t>U.S. BANK NATIONAL ASSOCIATION,</w:t>
              <w:br/>
              <w:t>as Trustee</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Ronda L. Parman</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Ronda L. Parman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Ninth Supplemental Indenture</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8 of 8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 of Face of Note) </w:t>
      </w:r>
    </w:p>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4847" w:type="dxa"/>
            <w:tcBorders/>
            <w:shd w:fill="auto" w:val="clear"/>
            <w:vAlign w:val="bottom"/>
          </w:tcPr>
          <w:p>
            <w:pPr>
              <w:pStyle w:val="TableContents"/>
              <w:spacing w:before="0" w:after="283"/>
              <w:rPr>
                <w:sz w:val="4"/>
                <w:szCs w:val="4"/>
              </w:rPr>
            </w:pPr>
            <w:r>
              <w:rPr>
                <w:sz w:val="4"/>
                <w:szCs w:val="4"/>
              </w:rPr>
            </w:r>
          </w:p>
        </w:tc>
      </w:tr>
      <w:tr>
        <w:trPr/>
        <w:tc>
          <w:tcPr>
            <w:tcW w:w="4846"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 </w:t>
            </w:r>
          </w:p>
        </w:tc>
      </w:tr>
      <w:tr>
        <w:trPr/>
        <w:tc>
          <w:tcPr>
            <w:tcW w:w="4846" w:type="dxa"/>
            <w:tcBorders/>
            <w:shd w:fill="auto" w:val="clear"/>
          </w:tcPr>
          <w:p>
            <w:pPr>
              <w:pStyle w:val="TableContents"/>
              <w:spacing w:before="0" w:after="283"/>
              <w:jc w:val="left"/>
              <w:rPr/>
            </w:pPr>
            <w:r>
              <w:rPr/>
              <w:t xml:space="preserve">CUSIP ____________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No. ___</w:t>
            </w:r>
          </w:p>
        </w:tc>
      </w:tr>
      <w:tr>
        <w:trPr/>
        <w:tc>
          <w:tcPr>
            <w:tcW w:w="4846" w:type="dxa"/>
            <w:tcBorders/>
            <w:shd w:fill="auto" w:val="clear"/>
          </w:tcPr>
          <w:p>
            <w:pPr>
              <w:pStyle w:val="TableContents"/>
              <w:spacing w:before="0" w:after="283"/>
              <w:jc w:val="left"/>
              <w:rPr/>
            </w:pPr>
            <w:r>
              <w:rPr/>
              <w:t xml:space="preserve">ISIN ____________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$_____________</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PLAINS ALL AMERICAN PIPELINE, L.P.</w:t>
        <w:br/>
        <w:t xml:space="preserve">PAA FINANCE CORP.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6.125% Series ___Senior Notes due 2017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All American Pipeline, L.P., a Delaware limited partnership, and PAA Finance Corp., a Delaware corporation, jointly and severally promise to pay to </w:t>
      </w:r>
      <w:r>
        <w:rPr>
          <w:rFonts w:ascii="Times New Roman;Times;serif" w:hAnsi="Times New Roman;Times;serif"/>
          <w:sz w:val="17"/>
          <w:u w:val="single"/>
        </w:rPr>
        <w:t>                    </w:t>
      </w:r>
      <w:r>
        <w:rPr>
          <w:rFonts w:ascii="Times New Roman;Times;serif" w:hAnsi="Times New Roman;Times;serif"/>
          <w:sz w:val="17"/>
        </w:rPr>
        <w:t xml:space="preserve">, or registered assigns, the principal sum of </w:t>
      </w:r>
      <w:r>
        <w:rPr>
          <w:rFonts w:ascii="Times New Roman;Times;serif" w:hAnsi="Times New Roman;Times;serif"/>
          <w:sz w:val="17"/>
          <w:u w:val="single"/>
        </w:rPr>
        <w:t>                    </w:t>
      </w:r>
      <w:r>
        <w:rPr>
          <w:rFonts w:ascii="Times New Roman;Times;serif" w:hAnsi="Times New Roman;Times;serif"/>
          <w:sz w:val="17"/>
        </w:rPr>
        <w:t xml:space="preserve"> Dollars [or such greater or lesser amount as may be endorsed on the Schedule attached hereto]1 on January 15, 2017.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Interest Payment Dates: January 15 and July 15</w:t>
        <w:br/>
        <w:t xml:space="preserve">Record Dates: January 1 and July 1 </w:t>
      </w:r>
    </w:p>
    <w:tbl>
      <w:tblPr>
        <w:tblW w:w="5000" w:type="pct"/>
        <w:jc w:val="left"/>
        <w:tblInd w:w="0" w:type="dxa"/>
        <w:tblCellMar>
          <w:top w:w="0" w:type="dxa"/>
          <w:left w:w="0" w:type="dxa"/>
          <w:bottom w:w="0" w:type="dxa"/>
          <w:right w:w="0" w:type="dxa"/>
        </w:tblCellMar>
      </w:tblPr>
      <w:tblGrid>
        <w:gridCol w:w="4318"/>
        <w:gridCol w:w="727"/>
        <w:gridCol w:w="608"/>
        <w:gridCol w:w="3163"/>
        <w:gridCol w:w="1389"/>
      </w:tblGrid>
      <w:tr>
        <w:trPr/>
        <w:tc>
          <w:tcPr>
            <w:tcW w:w="4318" w:type="dxa"/>
            <w:tcBorders/>
            <w:shd w:fill="auto" w:val="clear"/>
            <w:vAlign w:val="center"/>
          </w:tcPr>
          <w:p>
            <w:pPr>
              <w:pStyle w:val="TableContents"/>
              <w:spacing w:before="0" w:after="283"/>
              <w:rPr/>
            </w:pPr>
            <w:r>
              <w:rPr/>
              <w:t> </w:t>
            </w:r>
          </w:p>
        </w:tc>
        <w:tc>
          <w:tcPr>
            <w:tcW w:w="727" w:type="dxa"/>
            <w:tcBorders/>
            <w:shd w:fill="auto" w:val="clear"/>
            <w:vAlign w:val="center"/>
          </w:tcPr>
          <w:p>
            <w:pPr>
              <w:pStyle w:val="TableContents"/>
              <w:spacing w:before="0" w:after="283"/>
              <w:rPr/>
            </w:pPr>
            <w:r>
              <w:rPr/>
              <w:t> </w:t>
            </w:r>
          </w:p>
        </w:tc>
        <w:tc>
          <w:tcPr>
            <w:tcW w:w="608" w:type="dxa"/>
            <w:tcBorders/>
            <w:shd w:fill="auto" w:val="clear"/>
            <w:vAlign w:val="center"/>
          </w:tcPr>
          <w:p>
            <w:pPr>
              <w:pStyle w:val="TableContents"/>
              <w:spacing w:before="0" w:after="283"/>
              <w:rPr/>
            </w:pPr>
            <w:r>
              <w:rPr/>
              <w:t> </w:t>
            </w:r>
          </w:p>
        </w:tc>
        <w:tc>
          <w:tcPr>
            <w:tcW w:w="3163" w:type="dxa"/>
            <w:tcBorders/>
            <w:shd w:fill="auto" w:val="clear"/>
            <w:vAlign w:val="center"/>
          </w:tcPr>
          <w:p>
            <w:pPr>
              <w:pStyle w:val="TableContents"/>
              <w:spacing w:before="0" w:after="283"/>
              <w:rPr/>
            </w:pPr>
            <w:r>
              <w:rPr/>
              <w:t> </w:t>
            </w:r>
          </w:p>
        </w:tc>
        <w:tc>
          <w:tcPr>
            <w:tcW w:w="1389" w:type="dxa"/>
            <w:tcBorders/>
            <w:shd w:fill="auto" w:val="clear"/>
            <w:vAlign w:val="center"/>
          </w:tcPr>
          <w:p>
            <w:pPr>
              <w:pStyle w:val="TableContents"/>
              <w:spacing w:before="0" w:after="283"/>
              <w:rPr/>
            </w:pPr>
            <w:r>
              <w:rPr/>
              <w:t> </w:t>
            </w:r>
          </w:p>
        </w:tc>
      </w:tr>
      <w:tr>
        <w:trPr/>
        <w:tc>
          <w:tcPr>
            <w:tcW w:w="4318" w:type="dxa"/>
            <w:tcBorders/>
            <w:shd w:fill="auto" w:val="clear"/>
          </w:tcPr>
          <w:p>
            <w:pPr>
              <w:pStyle w:val="TableContents"/>
              <w:spacing w:before="0" w:after="283"/>
              <w:jc w:val="left"/>
              <w:rPr/>
            </w:pPr>
            <w:r>
              <w:rPr/>
              <w:t> </w:t>
            </w:r>
          </w:p>
        </w:tc>
        <w:tc>
          <w:tcPr>
            <w:tcW w:w="4498" w:type="dxa"/>
            <w:gridSpan w:val="3"/>
            <w:tcBorders/>
            <w:shd w:fill="auto" w:val="clear"/>
            <w:vAlign w:val="center"/>
          </w:tcPr>
          <w:p>
            <w:pPr>
              <w:pStyle w:val="TableContents"/>
              <w:spacing w:before="0" w:after="283"/>
              <w:jc w:val="left"/>
              <w:rPr/>
            </w:pPr>
            <w:r>
              <w:rPr/>
              <w:t>PLAINS ALL AMERICAN PIPELINE, L.P.</w:t>
              <w:br/>
              <w:t>By: Plains AAP, L.P., its General Partner</w:t>
              <w:br/>
              <w:t>By: Plains All American GP LLC, its General Partner</w:t>
              <w:br/>
              <w:t> </w:t>
            </w:r>
          </w:p>
        </w:tc>
        <w:tc>
          <w:tcPr>
            <w:tcW w:w="1389" w:type="dxa"/>
            <w:tcBorders/>
            <w:shd w:fill="auto" w:val="clear"/>
            <w:vAlign w:val="center"/>
          </w:tcPr>
          <w:p>
            <w:pPr>
              <w:pStyle w:val="TableContents"/>
              <w:spacing w:before="0" w:after="283"/>
              <w:rPr/>
            </w:pPr>
            <w:r>
              <w:rPr/>
              <w:t> </w:t>
            </w:r>
          </w:p>
        </w:tc>
      </w:tr>
      <w:tr>
        <w:trPr/>
        <w:tc>
          <w:tcPr>
            <w:tcW w:w="4318" w:type="dxa"/>
            <w:tcBorders/>
            <w:shd w:fill="auto" w:val="clear"/>
            <w:vAlign w:val="center"/>
          </w:tcPr>
          <w:p>
            <w:pPr>
              <w:pStyle w:val="TableContents"/>
              <w:spacing w:before="0" w:after="283"/>
              <w:jc w:val="left"/>
              <w:rPr/>
            </w:pPr>
            <w:r>
              <w:rPr/>
              <w:t> </w:t>
            </w:r>
          </w:p>
        </w:tc>
        <w:tc>
          <w:tcPr>
            <w:tcW w:w="727" w:type="dxa"/>
            <w:tcBorders/>
            <w:shd w:fill="auto" w:val="clear"/>
          </w:tcPr>
          <w:p>
            <w:pPr>
              <w:pStyle w:val="TableContents"/>
              <w:spacing w:before="0" w:after="283"/>
              <w:rPr/>
            </w:pPr>
            <w:r>
              <w:rPr/>
              <w:t>       </w:t>
            </w:r>
            <w:r>
              <w:rPr/>
              <w:t>By:  </w:t>
            </w:r>
          </w:p>
        </w:tc>
        <w:tc>
          <w:tcPr>
            <w:tcW w:w="3771"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389" w:type="dxa"/>
            <w:tcBorders/>
            <w:shd w:fill="auto" w:val="clear"/>
            <w:vAlign w:val="center"/>
          </w:tcPr>
          <w:p>
            <w:pPr>
              <w:pStyle w:val="TableContents"/>
              <w:spacing w:before="0" w:after="283"/>
              <w:rPr/>
            </w:pPr>
            <w:r>
              <w:rPr/>
              <w:t> </w:t>
            </w:r>
          </w:p>
        </w:tc>
      </w:tr>
      <w:tr>
        <w:trPr/>
        <w:tc>
          <w:tcPr>
            <w:tcW w:w="4318" w:type="dxa"/>
            <w:tcBorders/>
            <w:shd w:fill="auto" w:val="clear"/>
            <w:vAlign w:val="center"/>
          </w:tcPr>
          <w:p>
            <w:pPr>
              <w:pStyle w:val="TableContents"/>
              <w:spacing w:before="0" w:after="283"/>
              <w:jc w:val="left"/>
              <w:rPr/>
            </w:pPr>
            <w:r>
              <w:rPr/>
              <w:t> </w:t>
            </w:r>
          </w:p>
        </w:tc>
        <w:tc>
          <w:tcPr>
            <w:tcW w:w="727"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Name:  </w:t>
            </w:r>
          </w:p>
        </w:tc>
        <w:tc>
          <w:tcPr>
            <w:tcW w:w="3163" w:type="dxa"/>
            <w:tcBorders/>
            <w:shd w:fill="auto" w:val="clear"/>
            <w:vAlign w:val="center"/>
          </w:tcPr>
          <w:p>
            <w:pPr>
              <w:pStyle w:val="TableContents"/>
              <w:spacing w:before="0" w:after="283"/>
              <w:jc w:val="left"/>
              <w:rPr/>
            </w:pPr>
            <w:r>
              <w:rPr/>
              <w:t> </w:t>
            </w:r>
          </w:p>
        </w:tc>
        <w:tc>
          <w:tcPr>
            <w:tcW w:w="1389" w:type="dxa"/>
            <w:tcBorders/>
            <w:shd w:fill="auto" w:val="clear"/>
            <w:vAlign w:val="center"/>
          </w:tcPr>
          <w:p>
            <w:pPr>
              <w:pStyle w:val="TableContents"/>
              <w:spacing w:before="0" w:after="283"/>
              <w:rPr/>
            </w:pPr>
            <w:r>
              <w:rPr/>
              <w:t> </w:t>
            </w:r>
          </w:p>
        </w:tc>
      </w:tr>
      <w:tr>
        <w:trPr/>
        <w:tc>
          <w:tcPr>
            <w:tcW w:w="4318" w:type="dxa"/>
            <w:tcBorders/>
            <w:shd w:fill="auto" w:val="clear"/>
            <w:vAlign w:val="center"/>
          </w:tcPr>
          <w:p>
            <w:pPr>
              <w:pStyle w:val="TableContents"/>
              <w:spacing w:before="0" w:after="283"/>
              <w:jc w:val="left"/>
              <w:rPr/>
            </w:pPr>
            <w:r>
              <w:rPr/>
              <w:t> </w:t>
            </w:r>
          </w:p>
        </w:tc>
        <w:tc>
          <w:tcPr>
            <w:tcW w:w="727" w:type="dxa"/>
            <w:tcBorders/>
            <w:shd w:fill="auto" w:val="clear"/>
            <w:vAlign w:val="center"/>
          </w:tcPr>
          <w:p>
            <w:pPr>
              <w:pStyle w:val="TableContents"/>
              <w:spacing w:before="0" w:after="283"/>
              <w:rPr/>
            </w:pPr>
            <w:r>
              <w:rPr/>
              <w:t> </w:t>
            </w:r>
          </w:p>
        </w:tc>
        <w:tc>
          <w:tcPr>
            <w:tcW w:w="608" w:type="dxa"/>
            <w:tcBorders/>
            <w:shd w:fill="auto" w:val="clear"/>
          </w:tcPr>
          <w:p>
            <w:pPr>
              <w:pStyle w:val="TableContents"/>
              <w:spacing w:before="0" w:after="283"/>
              <w:rPr/>
            </w:pPr>
            <w:r>
              <w:rPr/>
              <w:t>Title:  </w:t>
            </w:r>
          </w:p>
        </w:tc>
        <w:tc>
          <w:tcPr>
            <w:tcW w:w="3163" w:type="dxa"/>
            <w:tcBorders/>
            <w:shd w:fill="auto" w:val="clear"/>
            <w:vAlign w:val="center"/>
          </w:tcPr>
          <w:p>
            <w:pPr>
              <w:pStyle w:val="TableContents"/>
              <w:spacing w:before="0" w:after="283"/>
              <w:jc w:val="left"/>
              <w:rPr/>
            </w:pPr>
            <w:r>
              <w:rPr/>
              <w:t> </w:t>
            </w:r>
          </w:p>
        </w:tc>
        <w:tc>
          <w:tcPr>
            <w:tcW w:w="138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327"/>
        <w:gridCol w:w="810"/>
        <w:gridCol w:w="232"/>
        <w:gridCol w:w="3596"/>
        <w:gridCol w:w="1240"/>
      </w:tblGrid>
      <w:tr>
        <w:trPr/>
        <w:tc>
          <w:tcPr>
            <w:tcW w:w="4327" w:type="dxa"/>
            <w:tcBorders/>
            <w:shd w:fill="auto" w:val="clear"/>
            <w:vAlign w:val="center"/>
          </w:tcPr>
          <w:p>
            <w:pPr>
              <w:pStyle w:val="TableContents"/>
              <w:spacing w:before="0" w:after="283"/>
              <w:rPr/>
            </w:pPr>
            <w:r>
              <w:rPr/>
              <w:t> </w:t>
            </w:r>
          </w:p>
        </w:tc>
        <w:tc>
          <w:tcPr>
            <w:tcW w:w="810"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3596"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283"/>
              <w:rPr/>
            </w:pPr>
            <w:r>
              <w:rPr/>
              <w:t> </w:t>
            </w:r>
          </w:p>
        </w:tc>
      </w:tr>
      <w:tr>
        <w:trPr/>
        <w:tc>
          <w:tcPr>
            <w:tcW w:w="4327" w:type="dxa"/>
            <w:tcBorders/>
            <w:shd w:fill="auto" w:val="clear"/>
          </w:tcPr>
          <w:p>
            <w:pPr>
              <w:pStyle w:val="TableContents"/>
              <w:spacing w:before="0" w:after="283"/>
              <w:jc w:val="left"/>
              <w:rPr/>
            </w:pPr>
            <w:r>
              <w:rPr/>
              <w:t> </w:t>
            </w:r>
          </w:p>
        </w:tc>
        <w:tc>
          <w:tcPr>
            <w:tcW w:w="4638" w:type="dxa"/>
            <w:gridSpan w:val="3"/>
            <w:tcBorders/>
            <w:shd w:fill="auto" w:val="clear"/>
            <w:vAlign w:val="center"/>
          </w:tcPr>
          <w:p>
            <w:pPr>
              <w:pStyle w:val="TableContents"/>
              <w:spacing w:before="0" w:after="283"/>
              <w:jc w:val="left"/>
              <w:rPr/>
            </w:pPr>
            <w:r>
              <w:rPr/>
              <w:t>PAA FINANCE CORP.</w:t>
              <w:br/>
              <w:t> </w:t>
            </w:r>
          </w:p>
        </w:tc>
        <w:tc>
          <w:tcPr>
            <w:tcW w:w="1240"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10" w:type="dxa"/>
            <w:tcBorders/>
            <w:shd w:fill="auto" w:val="clear"/>
          </w:tcPr>
          <w:p>
            <w:pPr>
              <w:pStyle w:val="TableContents"/>
              <w:spacing w:before="0" w:after="283"/>
              <w:rPr/>
            </w:pPr>
            <w:r>
              <w:rPr/>
              <w:t>By:  </w:t>
            </w:r>
          </w:p>
        </w:tc>
        <w:tc>
          <w:tcPr>
            <w:tcW w:w="382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240"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4638" w:type="dxa"/>
            <w:gridSpan w:val="3"/>
            <w:tcBorders/>
            <w:shd w:fill="auto" w:val="clear"/>
          </w:tcPr>
          <w:p>
            <w:pPr>
              <w:pStyle w:val="TableContents"/>
              <w:spacing w:before="0" w:after="283"/>
              <w:rPr/>
            </w:pPr>
            <w:r>
              <w:rPr/>
              <w:t>Name:  </w:t>
            </w:r>
          </w:p>
        </w:tc>
        <w:tc>
          <w:tcPr>
            <w:tcW w:w="1240"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4638" w:type="dxa"/>
            <w:gridSpan w:val="3"/>
            <w:tcBorders/>
            <w:shd w:fill="auto" w:val="clear"/>
          </w:tcPr>
          <w:p>
            <w:pPr>
              <w:pStyle w:val="TableContents"/>
              <w:spacing w:before="0" w:after="283"/>
              <w:rPr/>
            </w:pPr>
            <w:r>
              <w:rPr/>
              <w:t>Title:  </w:t>
            </w:r>
          </w:p>
        </w:tc>
        <w:tc>
          <w:tcPr>
            <w:tcW w:w="124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TRUSTEES CERTIFICATE OF</w:t>
        <w:br/>
        <w:t xml:space="preserve">AUTHENTICATION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is one of the Debt Securities of the series designated therein referred to in the within-mentioned Indenture.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U.S. BANK NATIONAL ASSOCIATION,</w:t>
        <w:br/>
        <w:t xml:space="preserve">as Trustee </w:t>
      </w:r>
    </w:p>
    <w:tbl>
      <w:tblPr>
        <w:tblW w:w="5000" w:type="pct"/>
        <w:jc w:val="center"/>
        <w:tblInd w:w="0" w:type="dxa"/>
        <w:tblCellMar>
          <w:top w:w="0" w:type="dxa"/>
          <w:left w:w="0" w:type="dxa"/>
          <w:bottom w:w="0" w:type="dxa"/>
          <w:right w:w="0" w:type="dxa"/>
        </w:tblCellMar>
      </w:tblPr>
      <w:tblGrid>
        <w:gridCol w:w="309"/>
        <w:gridCol w:w="119"/>
        <w:gridCol w:w="3971"/>
        <w:gridCol w:w="119"/>
        <w:gridCol w:w="5687"/>
      </w:tblGrid>
      <w:tr>
        <w:trPr/>
        <w:tc>
          <w:tcPr>
            <w:tcW w:w="30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97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687" w:type="dxa"/>
            <w:tcBorders/>
            <w:shd w:fill="auto" w:val="clear"/>
            <w:vAlign w:val="bottom"/>
          </w:tcPr>
          <w:p>
            <w:pPr>
              <w:pStyle w:val="TableContents"/>
              <w:spacing w:before="0" w:after="283"/>
              <w:rPr/>
            </w:pPr>
            <w:r>
              <w:rPr/>
              <w:t> </w:t>
            </w:r>
          </w:p>
        </w:tc>
      </w:tr>
      <w:tr>
        <w:trPr/>
        <w:tc>
          <w:tcPr>
            <w:tcW w:w="309" w:type="dxa"/>
            <w:tcBorders/>
            <w:shd w:fill="auto" w:val="clear"/>
          </w:tcPr>
          <w:p>
            <w:pPr>
              <w:pStyle w:val="TableContents"/>
              <w:spacing w:before="0" w:after="0"/>
              <w:ind w:left="0" w:right="0" w:hanging="0"/>
              <w:rPr/>
            </w:pPr>
            <w:r>
              <w:rPr/>
              <w:t>By:</w:t>
            </w:r>
          </w:p>
        </w:tc>
        <w:tc>
          <w:tcPr>
            <w:tcW w:w="119" w:type="dxa"/>
            <w:tcBorders/>
            <w:shd w:fill="auto" w:val="clear"/>
            <w:vAlign w:val="bottom"/>
          </w:tcPr>
          <w:p>
            <w:pPr>
              <w:pStyle w:val="TableContents"/>
              <w:spacing w:before="0" w:after="283"/>
              <w:rPr/>
            </w:pPr>
            <w:r>
              <w:rPr/>
              <w:t> </w:t>
            </w:r>
          </w:p>
        </w:tc>
        <w:tc>
          <w:tcPr>
            <w:tcW w:w="3971"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5687" w:type="dxa"/>
            <w:tcBorders/>
            <w:shd w:fill="auto" w:val="clear"/>
          </w:tcPr>
          <w:p>
            <w:pPr>
              <w:pStyle w:val="TableContents"/>
              <w:spacing w:before="0" w:after="283"/>
              <w:jc w:val="left"/>
              <w:rPr/>
            </w:pPr>
            <w:r>
              <w:rPr/>
              <w:t> </w:t>
            </w:r>
          </w:p>
        </w:tc>
      </w:tr>
      <w:tr>
        <w:trPr/>
        <w:tc>
          <w:tcPr>
            <w:tcW w:w="309"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971"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Authorized Signatory </w:t>
            </w:r>
          </w:p>
        </w:tc>
        <w:tc>
          <w:tcPr>
            <w:tcW w:w="119" w:type="dxa"/>
            <w:tcBorders/>
            <w:shd w:fill="auto" w:val="clear"/>
            <w:vAlign w:val="bottom"/>
          </w:tcPr>
          <w:p>
            <w:pPr>
              <w:pStyle w:val="TableContents"/>
              <w:spacing w:before="0" w:after="283"/>
              <w:rPr/>
            </w:pPr>
            <w:r>
              <w:rPr/>
              <w:t> </w:t>
            </w:r>
          </w:p>
        </w:tc>
        <w:tc>
          <w:tcPr>
            <w:tcW w:w="5687"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644"/>
        <w:gridCol w:w="141"/>
        <w:gridCol w:w="3585"/>
        <w:gridCol w:w="141"/>
        <w:gridCol w:w="5694"/>
      </w:tblGrid>
      <w:tr>
        <w:trPr/>
        <w:tc>
          <w:tcPr>
            <w:tcW w:w="6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58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4" w:type="dxa"/>
            <w:tcBorders/>
            <w:shd w:fill="auto" w:val="clear"/>
            <w:vAlign w:val="bottom"/>
          </w:tcPr>
          <w:p>
            <w:pPr>
              <w:pStyle w:val="TableContents"/>
              <w:spacing w:before="0" w:after="283"/>
              <w:rPr/>
            </w:pPr>
            <w:r>
              <w:rPr/>
              <w:t> </w:t>
            </w:r>
          </w:p>
        </w:tc>
      </w:tr>
      <w:tr>
        <w:trPr/>
        <w:tc>
          <w:tcPr>
            <w:tcW w:w="644" w:type="dxa"/>
            <w:tcBorders/>
            <w:shd w:fill="auto" w:val="clear"/>
          </w:tcPr>
          <w:p>
            <w:pPr>
              <w:pStyle w:val="TableContents"/>
              <w:spacing w:before="0" w:after="0"/>
              <w:ind w:left="0" w:right="0" w:hanging="0"/>
              <w:rPr/>
            </w:pPr>
            <w:r>
              <w:rPr/>
              <w:t>Dated:</w:t>
            </w:r>
          </w:p>
        </w:tc>
        <w:tc>
          <w:tcPr>
            <w:tcW w:w="141" w:type="dxa"/>
            <w:tcBorders/>
            <w:shd w:fill="auto" w:val="clear"/>
            <w:vAlign w:val="bottom"/>
          </w:tcPr>
          <w:p>
            <w:pPr>
              <w:pStyle w:val="TableContents"/>
              <w:spacing w:before="0" w:after="283"/>
              <w:rPr/>
            </w:pPr>
            <w:r>
              <w:rPr/>
              <w:t> </w:t>
            </w:r>
          </w:p>
        </w:tc>
        <w:tc>
          <w:tcPr>
            <w:tcW w:w="3585" w:type="dxa"/>
            <w:tcBorders/>
            <w:shd w:fill="auto" w:val="clear"/>
          </w:tcPr>
          <w:p>
            <w:pPr>
              <w:pStyle w:val="TableContents"/>
              <w:spacing w:before="0" w:after="283"/>
              <w:jc w:val="left"/>
              <w:rPr/>
            </w:pPr>
            <w:r>
              <w:rPr/>
              <w:t> </w:t>
            </w:r>
          </w:p>
        </w:tc>
        <w:tc>
          <w:tcPr>
            <w:tcW w:w="141" w:type="dxa"/>
            <w:tcBorders/>
            <w:shd w:fill="auto" w:val="clear"/>
            <w:vAlign w:val="bottom"/>
          </w:tcPr>
          <w:p>
            <w:pPr>
              <w:pStyle w:val="TableContents"/>
              <w:spacing w:before="0" w:after="283"/>
              <w:rPr/>
            </w:pPr>
            <w:r>
              <w:rPr/>
              <w:t> </w:t>
            </w:r>
          </w:p>
        </w:tc>
        <w:tc>
          <w:tcPr>
            <w:tcW w:w="5694" w:type="dxa"/>
            <w:tcBorders/>
            <w:shd w:fill="auto" w:val="clear"/>
          </w:tcPr>
          <w:p>
            <w:pPr>
              <w:pStyle w:val="TableContents"/>
              <w:spacing w:before="0" w:after="283"/>
              <w:jc w:val="left"/>
              <w:rPr/>
            </w:pPr>
            <w:r>
              <w:rPr/>
              <w:t> </w:t>
            </w:r>
          </w:p>
        </w:tc>
      </w:tr>
      <w:tr>
        <w:trPr/>
        <w:tc>
          <w:tcPr>
            <w:tcW w:w="644" w:type="dxa"/>
            <w:tcBorders/>
            <w:shd w:fill="auto" w:val="clear"/>
          </w:tcPr>
          <w:p>
            <w:pPr>
              <w:pStyle w:val="TableContents"/>
              <w:spacing w:before="0" w:after="0"/>
              <w:ind w:left="0" w:right="0" w:hanging="0"/>
              <w:rPr/>
            </w:pPr>
            <w:r>
              <w:rPr/>
              <w:t xml:space="preserve">  </w:t>
            </w:r>
          </w:p>
        </w:tc>
        <w:tc>
          <w:tcPr>
            <w:tcW w:w="141" w:type="dxa"/>
            <w:tcBorders/>
            <w:shd w:fill="auto" w:val="clear"/>
            <w:vAlign w:val="bottom"/>
          </w:tcPr>
          <w:p>
            <w:pPr>
              <w:pStyle w:val="TableContents"/>
              <w:spacing w:before="0" w:after="283"/>
              <w:rPr/>
            </w:pPr>
            <w:r>
              <w:rPr/>
              <w:t> </w:t>
            </w:r>
          </w:p>
        </w:tc>
        <w:tc>
          <w:tcPr>
            <w:tcW w:w="3585" w:type="dxa"/>
            <w:tcBorders/>
            <w:shd w:fill="auto" w:val="clear"/>
          </w:tcPr>
          <w:p>
            <w:pPr>
              <w:pStyle w:val="TableContents"/>
              <w:spacing w:before="0" w:after="0"/>
              <w:jc w:val="left"/>
              <w:rPr>
                <w:bdr w:val="single" w:sz="2" w:space="1" w:color="000000"/>
              </w:rPr>
            </w:pPr>
            <w:r>
              <w:rPr>
                <w:bdr w:val="single" w:sz="2" w:space="1" w:color="000000"/>
              </w:rPr>
              <w:t> </w:t>
            </w:r>
          </w:p>
        </w:tc>
        <w:tc>
          <w:tcPr>
            <w:tcW w:w="141" w:type="dxa"/>
            <w:tcBorders/>
            <w:shd w:fill="auto" w:val="clear"/>
            <w:vAlign w:val="bottom"/>
          </w:tcPr>
          <w:p>
            <w:pPr>
              <w:pStyle w:val="TableContents"/>
              <w:spacing w:before="0" w:after="283"/>
              <w:rPr/>
            </w:pPr>
            <w:r>
              <w:rPr/>
              <w:t> </w:t>
            </w:r>
          </w:p>
        </w:tc>
        <w:tc>
          <w:tcPr>
            <w:tcW w:w="5694" w:type="dxa"/>
            <w:tcBorders/>
            <w:shd w:fill="auto" w:val="clear"/>
          </w:tcPr>
          <w:p>
            <w:pPr>
              <w:pStyle w:val="TableContents"/>
              <w:spacing w:before="0" w:after="283"/>
              <w:jc w:val="lef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040"/>
        <w:gridCol w:w="2334"/>
        <w:gridCol w:w="831"/>
      </w:tblGrid>
      <w:tr>
        <w:trPr/>
        <w:tc>
          <w:tcPr>
            <w:tcW w:w="7040"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tcPr>
          <w:p>
            <w:pPr>
              <w:pStyle w:val="TableContents"/>
              <w:spacing w:before="0" w:after="283"/>
              <w:jc w:val="left"/>
              <w:rPr/>
            </w:pPr>
            <w:r>
              <w:rPr/>
              <w:t>1</w:t>
            </w:r>
          </w:p>
        </w:tc>
        <w:tc>
          <w:tcPr>
            <w:tcW w:w="2334" w:type="dxa"/>
            <w:tcBorders/>
            <w:shd w:fill="auto" w:val="clear"/>
          </w:tcPr>
          <w:p>
            <w:pPr>
              <w:pStyle w:val="TableContents"/>
              <w:spacing w:before="0" w:after="283"/>
              <w:rPr/>
            </w:pPr>
            <w:r>
              <w:rPr/>
              <w:t> </w:t>
            </w:r>
          </w:p>
        </w:tc>
        <w:tc>
          <w:tcPr>
            <w:tcW w:w="831" w:type="dxa"/>
            <w:tcBorders/>
            <w:shd w:fill="auto" w:val="clear"/>
          </w:tcPr>
          <w:p>
            <w:pPr>
              <w:pStyle w:val="TableContents"/>
              <w:spacing w:before="0" w:after="283"/>
              <w:rPr/>
            </w:pPr>
            <w:r>
              <w:rPr/>
              <w:t>To be included only if the Note is issued in global form.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(Form of Back of Note)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6.125% Series ___Senior Notes due 2017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Times;serif" w:hAnsi="Times New Roman;Times;serif"/>
          <w:sz w:val="17"/>
        </w:rPr>
        <w:t xml:space="preserve">2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[THE ISSUANCE AND SALE OF THIS SECURITY (AND ANY GUARANTEE HEREOF) HAVE NOT BEEN REGISTERED UNDER THE SECURITIES ACT OF 1933, AS AMENDED (THE SECURITIES ACT), OR ANY STATE SECURITIES LAWS. NEITHER THIS SECURITY (NOR ANY GUARANTEE HEREOF) NOR ANY INTEREST OR PARTICIPATION HEREIN OR THEREIN MAY BE OFFERED, SOLD, ASSIGNED, TRANSFERRED, PLEDGED, ENCUMBERED OR OTHERWISE DISPOSED OF IN THE ABSENCE OF SUCH REGISTRATION OR UNLESS SUCH TRANSACTION IS EXEMPT FROM, OR NOT SUBJECT TO, THE REGISTRATION REQUIREMENTS OF THE SECURITIES ACT OR ANY APPLICABLE STATE SECURITIES LAWS. THE HOLDER HEREOF, BY ITS ACCEPTANCE OF THIS SECURITY, AGREES FOR THE BENEFIT OF THE ISSUERS THAT THIS SECURITY MAY NOT BE OFFERED, SOLD, PLEDGED OR OTHERWISE TRANSFERRED PRIOR TO THE EXPIRATION OF THE HOLDING PERIOD APPLICABLE THERETO UNDER RULE 144(k) UNDER THE SECURITIES ACT (OR, IN THE CASE OF A TRANSFER PURSUANT TO REGULATION S, THE DISTRIBUTION COMPLIANCE PERIOD DEFINED THEREIN) WHICH IS APPLICABLE TO THIS SECURITY (THE RESALE RESTRICTION TERMINATION DATE) OTHER THAN (1) TO THE ISSUERS OR THEIR RESPECTIVE SUBSIDIARIES, (2)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IN EACH CASE TO WHOM NOTICE IS GIVEN THAT THE RESALE, PLEDGE OR OTHER TRANSFER IS BEING MADE IN RELIANCE ON RULE 144A, (3) INSIDE THE UNITED STATES TO AN INSTITUTIONAL ACCREDITED INVESTOR (AS DEFINED IN RULE</w:t>
      </w:r>
      <w:r>
        <w:rPr>
          <w:rFonts w:ascii="Times New Roman;Times;serif" w:hAnsi="Times New Roman;Times;serif"/>
          <w:sz w:val="17"/>
        </w:rPr>
        <w:t xml:space="preserve">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040"/>
        <w:gridCol w:w="2334"/>
        <w:gridCol w:w="831"/>
      </w:tblGrid>
      <w:tr>
        <w:trPr/>
        <w:tc>
          <w:tcPr>
            <w:tcW w:w="7040"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tcPr>
          <w:p>
            <w:pPr>
              <w:pStyle w:val="TableContents"/>
              <w:spacing w:before="0" w:after="283"/>
              <w:jc w:val="left"/>
              <w:rPr/>
            </w:pPr>
            <w:r>
              <w:rPr/>
              <w:t>2</w:t>
            </w:r>
          </w:p>
        </w:tc>
        <w:tc>
          <w:tcPr>
            <w:tcW w:w="2334" w:type="dxa"/>
            <w:tcBorders/>
            <w:shd w:fill="auto" w:val="clear"/>
          </w:tcPr>
          <w:p>
            <w:pPr>
              <w:pStyle w:val="TableContents"/>
              <w:spacing w:before="0" w:after="283"/>
              <w:rPr/>
            </w:pPr>
            <w:r>
              <w:rPr/>
              <w:t> </w:t>
            </w:r>
          </w:p>
        </w:tc>
        <w:tc>
          <w:tcPr>
            <w:tcW w:w="831" w:type="dxa"/>
            <w:tcBorders/>
            <w:shd w:fill="auto" w:val="clear"/>
          </w:tcPr>
          <w:p>
            <w:pPr>
              <w:pStyle w:val="TableContents"/>
              <w:spacing w:before="0" w:after="283"/>
              <w:rPr/>
            </w:pPr>
            <w:r>
              <w:rPr/>
              <w:t>To be included only if the Note is issued in global form.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501(A)(1), (2), (3) OR (7) UNDER THE SECURITIES ACT), (4) TO A NON-U.S. PERSON IN AN OFFSHORE TRANSACTION (AS SUCH TERMS ARE DEFINED IN REGULATION S UNDER THE SECURITIES ACT) IN ACCORDANCE WITH REGULATION S UNDER THE SECURITIES ACT, (5) PURSUANT TO ANY OTHER AVAILABLE EXEMPTION FROM THE REGISTRATION REQUIREMENTS OF THE SECURITIES ACT, INCLUDING THE EXEMPTION PROVIDED BY RULE 144 UNDER THE SECURITIES ACT, IF AVAILABLE, OR (6) PURSUANT TO AN EFFECTIVE REGISTRATION STATEMENT UNDER THE SECURITIES ACT, SUBJECT IN EACH OF THE FOREGOING CASES TO ANY REQUIREMENT OF LAW THAT THE DISPOSITION OF ITS PROPERTY OR THE PROPERTY OF SUCH INVESTOR ACCOUNT OR ACCOUNTS BE AT ALL TIMES WITHIN ITS OR THEIR CONTROL, AND SUBJECT TO THE RIGHT OF THE ISSUERS OR THE TRUSTEE FOR THE SECURITIES PRIOR TO ANY SUCH SALE, PLEDGE OR OTHER TRANSFER TO REQUIRE THE DELIVERY OF AN OPINION OF COUNSEL, CERTIFICATIONS AND/OR OTHER INFORMATION SATISFACTORY TO EACH OF THEM. THIS LEGEND WILL BE REMOVED UPON REQUEST OF THE HOLDER ON OR AFTER THE RESALE RESTRICTION TERMINATION DATE.]</w:t>
      </w:r>
      <w:r>
        <w:rPr>
          <w:rFonts w:ascii="Times New Roman;Times;serif" w:hAnsi="Times New Roman;Times;serif"/>
          <w:sz w:val="17"/>
        </w:rPr>
        <w:t xml:space="preserve">3 </w:t>
      </w:r>
    </w:p>
    <w:p>
      <w:pPr>
        <w:pStyle w:val="TextBody"/>
        <w:spacing w:before="120" w:after="283"/>
        <w:jc w:val="left"/>
        <w:rPr/>
      </w:pPr>
      <w:r>
        <w:rPr/>
        <w:t>     </w:t>
      </w:r>
      <w:r>
        <w:rPr>
          <w:rFonts w:ascii="Times New Roman;Times;serif" w:hAnsi="Times New Roman;Times;serif"/>
          <w:sz w:val="17"/>
        </w:rPr>
        <w:t xml:space="preserve">Capitalized terms used herein shall have the meanings assigned to them in the Indenture referred to below unless otherwise indicated. </w:t>
      </w:r>
    </w:p>
    <w:p>
      <w:pPr>
        <w:pStyle w:val="TextBody"/>
        <w:spacing w:before="120" w:after="283"/>
        <w:jc w:val="left"/>
        <w:rPr/>
      </w:pPr>
      <w:r>
        <w:rPr/>
        <w:t>     </w:t>
      </w:r>
      <w:r>
        <w:rPr>
          <w:rFonts w:ascii="Times New Roman;Times;serif" w:hAnsi="Times New Roman;Times;serif"/>
          <w:sz w:val="17"/>
        </w:rPr>
        <w:t>1. </w:t>
      </w:r>
      <w:r>
        <w:rPr>
          <w:rFonts w:ascii="Times New Roman;Times;serif" w:hAnsi="Times New Roman;Times;serif"/>
          <w:sz w:val="17"/>
          <w:u w:val="single"/>
        </w:rPr>
        <w:t>Interest; Additional Interest</w:t>
      </w:r>
      <w:r>
        <w:rPr>
          <w:rFonts w:ascii="Times New Roman;Times;serif" w:hAnsi="Times New Roman;Times;serif"/>
          <w:sz w:val="17"/>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6.125% per annum from ___, ___until maturity. The Issuers shall pay interest semi-annually on January 15 and July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___, ___.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20" w:after="283"/>
        <w:jc w:val="left"/>
        <w:rPr/>
      </w:pPr>
      <w:r>
        <w:rPr/>
        <w:t>     </w:t>
      </w:r>
      <w:r>
        <w:rPr>
          <w:rFonts w:ascii="Times New Roman;Times;serif" w:hAnsi="Times New Roman;Times;serif"/>
          <w:sz w:val="17"/>
        </w:rPr>
        <w:t>2. </w:t>
      </w:r>
      <w:r>
        <w:rPr>
          <w:rFonts w:ascii="Times New Roman;Times;serif" w:hAnsi="Times New Roman;Times;serif"/>
          <w:sz w:val="17"/>
          <w:u w:val="single"/>
        </w:rPr>
        <w:t>Method of Payment</w:t>
      </w:r>
      <w:r>
        <w:rPr>
          <w:rFonts w:ascii="Times New Roman;Times;serif" w:hAnsi="Times New Roman;Times;serif"/>
          <w:sz w:val="17"/>
        </w:rPr>
        <w:t xml:space="preserve">. The Issuers shall pay interest on the Notes (except defaulted interest) to the Persons who are registered Holders of Notes at the close of business on the January 1 or July 1 next preceding the Interest Payment Date, even if such Notes are canceled after such record date and on or before such Interest Payment Date, except as provided in Section 2.17 of the Original Indenture with respect to defaulted interest, and the Issuers shall pay principal (and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29"/>
        <w:gridCol w:w="2310"/>
        <w:gridCol w:w="966"/>
      </w:tblGrid>
      <w:tr>
        <w:trPr/>
        <w:tc>
          <w:tcPr>
            <w:tcW w:w="692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3</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To be included on Transfer Restricted Securities only.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Times;serif" w:hAnsi="Times New Roman;Times;serif"/>
          <w:sz w:val="17"/>
          <w:u w:val="single"/>
        </w:rPr>
        <w:t>provided</w:t>
      </w:r>
      <w:r>
        <w:rPr>
          <w:rFonts w:ascii="Times New Roman;Times;serif" w:hAnsi="Times New Roman;Times;serif"/>
          <w:sz w:val="17"/>
        </w:rPr>
        <w:t xml:space="preserve"> that payment by wire transfer of immediately available funds shall be required with respect to principal of and interest, premium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20" w:after="283"/>
        <w:jc w:val="left"/>
        <w:rPr/>
      </w:pPr>
      <w:r>
        <w:rPr/>
        <w:t>     </w:t>
      </w:r>
      <w:r>
        <w:rPr>
          <w:rFonts w:ascii="Times New Roman;Times;serif" w:hAnsi="Times New Roman;Times;serif"/>
          <w:sz w:val="17"/>
        </w:rPr>
        <w:t>3. </w:t>
      </w:r>
      <w:r>
        <w:rPr>
          <w:rFonts w:ascii="Times New Roman;Times;serif" w:hAnsi="Times New Roman;Times;serif"/>
          <w:sz w:val="17"/>
          <w:u w:val="single"/>
        </w:rPr>
        <w:t>Paying Agent and Registrar</w:t>
      </w:r>
      <w:r>
        <w:rPr>
          <w:rFonts w:ascii="Times New Roman;Times;serif" w:hAnsi="Times New Roman;Times;serif"/>
          <w:sz w:val="17"/>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20" w:after="283"/>
        <w:jc w:val="left"/>
        <w:rPr/>
      </w:pPr>
      <w:r>
        <w:rPr/>
        <w:t>     </w:t>
      </w:r>
      <w:r>
        <w:rPr>
          <w:rFonts w:ascii="Times New Roman;Times;serif" w:hAnsi="Times New Roman;Times;serif"/>
          <w:sz w:val="17"/>
        </w:rPr>
        <w:t>4. </w:t>
      </w:r>
      <w:r>
        <w:rPr>
          <w:rFonts w:ascii="Times New Roman;Times;serif" w:hAnsi="Times New Roman;Times;serif"/>
          <w:sz w:val="17"/>
          <w:u w:val="single"/>
        </w:rPr>
        <w:t>Indenture</w:t>
      </w:r>
      <w:r>
        <w:rPr>
          <w:rFonts w:ascii="Times New Roman;Times;serif" w:hAnsi="Times New Roman;Times;serif"/>
          <w:sz w:val="17"/>
        </w:rPr>
        <w:t xml:space="preserve">. The Issuers issued the Notes under an Indenture dated as of September 25, 2002 (the Original Indenture), as supplemented by the Ninth Supplemental Indenture dated as of October 30, 2006 (the Supplemental Indenture and, together with the Original Indenture, the Indenture) among the Issuers and the Trustee and, with respect to the Supplemental Indenture, the subsidiary guarantors signatory thereto (the Subsidiary Guarantors).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$400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issue price and date of first payment of interest)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20" w:after="283"/>
        <w:jc w:val="left"/>
        <w:rPr/>
      </w:pPr>
      <w:r>
        <w:rPr/>
        <w:t>     </w:t>
      </w:r>
      <w:r>
        <w:rPr>
          <w:rFonts w:ascii="Times New Roman;Times;serif" w:hAnsi="Times New Roman;Times;serif"/>
          <w:sz w:val="17"/>
        </w:rPr>
        <w:t>5. </w:t>
      </w:r>
      <w:r>
        <w:rPr>
          <w:rFonts w:ascii="Times New Roman;Times;serif" w:hAnsi="Times New Roman;Times;serif"/>
          <w:sz w:val="17"/>
          <w:u w:val="single"/>
        </w:rPr>
        <w:t>Optional Redemption</w:t>
      </w:r>
      <w:r>
        <w:rPr>
          <w:rFonts w:ascii="Times New Roman;Times;serif" w:hAnsi="Times New Roman;Times;serif"/>
          <w:sz w:val="17"/>
        </w:rPr>
        <w:t xml:space="preserve">. (a) At their option at any time prior to maturity, the Issuers may choose to redeem all or any portion of the Notes at once or from time to time. </w:t>
      </w:r>
    </w:p>
    <w:p>
      <w:pPr>
        <w:pStyle w:val="TextBody"/>
        <w:spacing w:before="120" w:after="283"/>
        <w:jc w:val="left"/>
        <w:rPr/>
      </w:pPr>
      <w:r>
        <w:rPr/>
        <w:t>     </w:t>
      </w:r>
      <w:r>
        <w:rPr>
          <w:rFonts w:ascii="Times New Roman;Times;serif" w:hAnsi="Times New Roman;Times;serif"/>
          <w:sz w:val="17"/>
        </w:rPr>
        <w:t xml:space="preserve">(b) To redeem the Notes, the Issuers must pay a redemption price equal to the greater of (a) 100% of the principal amount of the Notes to be redeemed, and (b) as determined by the Quotation Agent (as defined below), the sum of the present values of the remaining scheduled payments of principal and interest on the Notes to be redeemed (not including any portion of those payments of interest accrued as of the date of redemption) discounted to the date </w:t>
      </w:r>
    </w:p>
    <w:p>
      <w:pPr>
        <w:pStyle w:val="TextBody"/>
        <w:jc w:val="center"/>
        <w:rPr>
          <w:rFonts w:ascii="Times New Roman;Times;serif" w:hAnsi="Times New Roman;Times;serif"/>
          <w:sz w:val="17"/>
        </w:rPr>
      </w:pPr>
      <w:r>
        <w:rPr>
          <w:rFonts w:ascii="Times New Roman;Times;serif" w:hAnsi="Times New Roman;Times;serif"/>
          <w:sz w:val="17"/>
        </w:rPr>
        <w:t xml:space="preserve">A-4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redemption on a semi-annual basis (assuming a 360-day year consisting of twelve 30-day months) at the Adjusted Treasury Rate (as defined below) plus 25 basis points, plus, in either case, accrued and unpaid interest, including Additional Interest, if any, to the date of redemption (subject to the right of Holders on the relevant record date to receive interest due on the relevant interest payment date). </w:t>
      </w:r>
    </w:p>
    <w:p>
      <w:pPr>
        <w:pStyle w:val="TextBody"/>
        <w:spacing w:before="120" w:after="283"/>
        <w:jc w:val="left"/>
        <w:rPr/>
      </w:pPr>
      <w:r>
        <w:rPr/>
        <w:t>     </w:t>
      </w:r>
      <w:r>
        <w:rPr>
          <w:rFonts w:ascii="Times New Roman;Times;serif" w:hAnsi="Times New Roman;Times;serif"/>
          <w:sz w:val="17"/>
        </w:rPr>
        <w:t xml:space="preserve">For purposes of determining any redemption price, the following definitions shall apply: </w:t>
      </w:r>
    </w:p>
    <w:p>
      <w:pPr>
        <w:pStyle w:val="TextBody"/>
        <w:spacing w:before="120" w:after="283"/>
        <w:jc w:val="left"/>
        <w:rPr/>
      </w:pPr>
      <w:r>
        <w:rPr/>
        <w:t>     </w:t>
      </w:r>
      <w:r>
        <w:rPr>
          <w:rFonts w:ascii="Times New Roman;Times;serif" w:hAnsi="Times New Roman;Times;serif"/>
          <w:sz w:val="17"/>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jc w:val="left"/>
        <w:rPr/>
      </w:pPr>
      <w:r>
        <w:rPr/>
        <w:t>     </w:t>
      </w:r>
      <w:r>
        <w:rPr>
          <w:rFonts w:ascii="Times New Roman;Times;serif" w:hAnsi="Times New Roman;Times;serif"/>
          <w:sz w:val="17"/>
        </w:rPr>
        <w:t xml:space="preserve">Comparable Treasury Issue means the United States Treasury security selected by the Quotation Agent as having a maturity comparable to the remaining term of the Notes that would be utilized, at the time of selection and in accordance with customary financial practice, in pricing new issues of corporate debt securities of comparable maturity to the remaining term of the Notes to be redeemed. </w:t>
      </w:r>
    </w:p>
    <w:p>
      <w:pPr>
        <w:pStyle w:val="TextBody"/>
        <w:spacing w:before="120" w:after="283"/>
        <w:jc w:val="left"/>
        <w:rPr/>
      </w:pPr>
      <w:r>
        <w:rPr/>
        <w:t>     </w:t>
      </w:r>
      <w:r>
        <w:rPr>
          <w:rFonts w:ascii="Times New Roman;Times;serif" w:hAnsi="Times New Roman;Times;serif"/>
          <w:sz w:val="17"/>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jc w:val="left"/>
        <w:rPr/>
      </w:pPr>
      <w:r>
        <w:rPr/>
        <w:t>     </w:t>
      </w:r>
      <w:r>
        <w:rPr>
          <w:rFonts w:ascii="Times New Roman;Times;serif" w:hAnsi="Times New Roman;Times;serif"/>
          <w:sz w:val="17"/>
        </w:rPr>
        <w:t xml:space="preserve">Quotation Agent means UBS Securities LLC or another Reference Treasury Dealer appointed by the Issuers. </w:t>
      </w:r>
    </w:p>
    <w:p>
      <w:pPr>
        <w:pStyle w:val="TextBody"/>
        <w:spacing w:before="120" w:after="283"/>
        <w:jc w:val="left"/>
        <w:rPr/>
      </w:pPr>
      <w:r>
        <w:rPr/>
        <w:t>     </w:t>
      </w:r>
      <w:r>
        <w:rPr>
          <w:rFonts w:ascii="Times New Roman;Times;serif" w:hAnsi="Times New Roman;Times;serif"/>
          <w:sz w:val="17"/>
        </w:rPr>
        <w:t xml:space="preserve">Reference Treasury Dealer means (a) UBS Securities LLC and its successors; provided, however, that if the foregoing shall cease to be a primary U.S. Government securities dealer in the United States (a Primary Treasury Dealer), the Issuers shall substitute another Primary Treasury Dealer; and (b) any other Primary Treasury Dealer selected by the Issuers. </w:t>
      </w:r>
    </w:p>
    <w:p>
      <w:pPr>
        <w:pStyle w:val="TextBody"/>
        <w:spacing w:before="120" w:after="283"/>
        <w:jc w:val="left"/>
        <w:rPr/>
      </w:pPr>
      <w:r>
        <w:rPr/>
        <w:t>     </w:t>
      </w:r>
      <w:r>
        <w:rPr>
          <w:rFonts w:ascii="Times New Roman;Times;serif" w:hAnsi="Times New Roman;Times;serif"/>
          <w:sz w:val="17"/>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jc w:val="left"/>
        <w:rPr/>
      </w:pPr>
      <w:r>
        <w:rPr/>
        <w:t>     </w:t>
      </w:r>
      <w:r>
        <w:rPr>
          <w:rFonts w:ascii="Times New Roman;Times;serif" w:hAnsi="Times New Roman;Times;serif"/>
          <w:sz w:val="17"/>
        </w:rPr>
        <w:t>6. </w:t>
      </w:r>
      <w:r>
        <w:rPr>
          <w:rFonts w:ascii="Times New Roman;Times;serif" w:hAnsi="Times New Roman;Times;serif"/>
          <w:sz w:val="17"/>
          <w:u w:val="single"/>
        </w:rPr>
        <w:t>Special Mandatory Redemption</w:t>
      </w:r>
      <w:r>
        <w:rPr>
          <w:rFonts w:ascii="Times New Roman;Times;serif" w:hAnsi="Times New Roman;Times;serif"/>
          <w:sz w:val="17"/>
        </w:rPr>
        <w:t xml:space="preserve">. Following the occurrence of a Special Mandatory Redemption Trigger Event, the Issuers shall redeem the Notes as a whole, upon notice as provided in this paragraph 6, at a redemption price equal to 101% of the aggregate principal amount thereof plus accrued and unpaid interest thereon to the mandatory redemption date. Notice of such mandatory redemption shall be given within ten days of the date of the Special Mandatory Redemption Trigger Event by first-class mail, postage prepaid, mailed not less than 15 nor more than 30 days prior to the redemption date, to the Trustee and to each </w:t>
      </w:r>
    </w:p>
    <w:p>
      <w:pPr>
        <w:pStyle w:val="TextBody"/>
        <w:jc w:val="center"/>
        <w:rPr>
          <w:rFonts w:ascii="Times New Roman;Times;serif" w:hAnsi="Times New Roman;Times;serif"/>
          <w:sz w:val="17"/>
        </w:rPr>
      </w:pPr>
      <w:r>
        <w:rPr>
          <w:rFonts w:ascii="Times New Roman;Times;serif" w:hAnsi="Times New Roman;Times;serif"/>
          <w:sz w:val="17"/>
        </w:rPr>
        <w:t xml:space="preserve">A-5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Holder, at such Holders address appearing in the Debt Security Register, and such notice shall state:. </w:t>
      </w:r>
    </w:p>
    <w:p>
      <w:pPr>
        <w:pStyle w:val="TextBody"/>
        <w:spacing w:before="120" w:after="283"/>
        <w:jc w:val="left"/>
        <w:rPr/>
      </w:pPr>
      <w:r>
        <w:rPr/>
        <w:t>     </w:t>
      </w:r>
      <w:r>
        <w:rPr>
          <w:rFonts w:ascii="Times New Roman;Times;serif" w:hAnsi="Times New Roman;Times;serif"/>
          <w:sz w:val="17"/>
        </w:rPr>
        <w:t xml:space="preserve">(a) that the Special Mandatory Redemption Trigger Event has occurred; </w:t>
      </w:r>
    </w:p>
    <w:p>
      <w:pPr>
        <w:pStyle w:val="TextBody"/>
        <w:spacing w:before="120" w:after="283"/>
        <w:jc w:val="left"/>
        <w:rPr/>
      </w:pPr>
      <w:r>
        <w:rPr/>
        <w:t>     </w:t>
      </w:r>
      <w:r>
        <w:rPr>
          <w:rFonts w:ascii="Times New Roman;Times;serif" w:hAnsi="Times New Roman;Times;serif"/>
          <w:sz w:val="17"/>
        </w:rPr>
        <w:t xml:space="preserve">(b) the redemption date, which shall be no earlier than 15 days and no later than 30 days from the date the notice is mailed; and </w:t>
      </w:r>
    </w:p>
    <w:p>
      <w:pPr>
        <w:pStyle w:val="TextBody"/>
        <w:spacing w:before="120" w:after="283"/>
        <w:jc w:val="left"/>
        <w:rPr/>
      </w:pPr>
      <w:r>
        <w:rPr/>
        <w:t>     </w:t>
      </w:r>
      <w:r>
        <w:rPr>
          <w:rFonts w:ascii="Times New Roman;Times;serif" w:hAnsi="Times New Roman;Times;serif"/>
          <w:sz w:val="17"/>
        </w:rPr>
        <w:t xml:space="preserve">(c) the other information required by Section 3.02 of the Original Indenture.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Except to the extent any provision of this paragraph 6 conflicts with the provisions in Sections 3.01 to 3.03 of the Original Indenture, any redemption shall otherwise be made pursuant to the provisions of Sections 3.01 to 3.03 of the Original Indenture. </w:t>
      </w:r>
    </w:p>
    <w:p>
      <w:pPr>
        <w:pStyle w:val="TextBody"/>
        <w:spacing w:before="120" w:after="283"/>
        <w:jc w:val="left"/>
        <w:rPr/>
      </w:pPr>
      <w:r>
        <w:rPr/>
        <w:t>     </w:t>
      </w:r>
      <w:r>
        <w:rPr>
          <w:rFonts w:ascii="Times New Roman;Times;serif" w:hAnsi="Times New Roman;Times;serif"/>
          <w:sz w:val="17"/>
        </w:rPr>
        <w:t>7. </w:t>
      </w:r>
      <w:r>
        <w:rPr>
          <w:rFonts w:ascii="Times New Roman;Times;serif" w:hAnsi="Times New Roman;Times;serif"/>
          <w:sz w:val="17"/>
          <w:u w:val="single"/>
        </w:rPr>
        <w:t>Notice of Redemption</w:t>
      </w:r>
      <w:r>
        <w:rPr>
          <w:rFonts w:ascii="Times New Roman;Times;serif" w:hAnsi="Times New Roman;Times;serif"/>
          <w:sz w:val="17"/>
        </w:rPr>
        <w:t xml:space="preserve">. Except as described in paragraph 6 above with respect to Special Mandatory Redemption,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20" w:after="283"/>
        <w:jc w:val="left"/>
        <w:rPr/>
      </w:pPr>
      <w:r>
        <w:rPr/>
        <w:t>     </w:t>
      </w:r>
      <w:r>
        <w:rPr>
          <w:rFonts w:ascii="Times New Roman;Times;serif" w:hAnsi="Times New Roman;Times;serif"/>
          <w:sz w:val="17"/>
        </w:rPr>
        <w:t>8. </w:t>
      </w:r>
      <w:r>
        <w:rPr>
          <w:rFonts w:ascii="Times New Roman;Times;serif" w:hAnsi="Times New Roman;Times;serif"/>
          <w:sz w:val="17"/>
          <w:u w:val="single"/>
        </w:rPr>
        <w:t>Denominations, Transfer, Exchange</w:t>
      </w:r>
      <w:r>
        <w:rPr>
          <w:rFonts w:ascii="Times New Roman;Times;serif" w:hAnsi="Times New Roman;Times;serif"/>
          <w:sz w:val="17"/>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20" w:after="283"/>
        <w:jc w:val="left"/>
        <w:rPr/>
      </w:pPr>
      <w:r>
        <w:rPr/>
        <w:t>     </w:t>
      </w:r>
      <w:r>
        <w:rPr>
          <w:rFonts w:ascii="Times New Roman;Times;serif" w:hAnsi="Times New Roman;Times;serif"/>
          <w:sz w:val="17"/>
        </w:rPr>
        <w:t>9. </w:t>
      </w:r>
      <w:r>
        <w:rPr>
          <w:rFonts w:ascii="Times New Roman;Times;serif" w:hAnsi="Times New Roman;Times;serif"/>
          <w:sz w:val="17"/>
          <w:u w:val="single"/>
        </w:rPr>
        <w:t>Persons Deemed Owners</w:t>
      </w:r>
      <w:r>
        <w:rPr>
          <w:rFonts w:ascii="Times New Roman;Times;serif" w:hAnsi="Times New Roman;Times;serif"/>
          <w:sz w:val="17"/>
        </w:rPr>
        <w:t xml:space="preserve">. The registered Holder of a Note shall be treated as its owner for all purposes. </w:t>
      </w:r>
    </w:p>
    <w:p>
      <w:pPr>
        <w:pStyle w:val="TextBody"/>
        <w:spacing w:before="120" w:after="283"/>
        <w:jc w:val="left"/>
        <w:rPr/>
      </w:pPr>
      <w:r>
        <w:rPr/>
        <w:t>     </w:t>
      </w:r>
      <w:r>
        <w:rPr>
          <w:rFonts w:ascii="Times New Roman;Times;serif" w:hAnsi="Times New Roman;Times;serif"/>
          <w:sz w:val="17"/>
        </w:rPr>
        <w:t>10. </w:t>
      </w:r>
      <w:r>
        <w:rPr>
          <w:rFonts w:ascii="Times New Roman;Times;serif" w:hAnsi="Times New Roman;Times;serif"/>
          <w:sz w:val="17"/>
          <w:u w:val="single"/>
        </w:rPr>
        <w:t>Amendment, Supplement and Waiver</w:t>
      </w:r>
      <w:r>
        <w:rPr>
          <w:rFonts w:ascii="Times New Roman;Times;serif" w:hAnsi="Times New Roman;Times;serif"/>
          <w:sz w:val="17"/>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w:t>
      </w:r>
    </w:p>
    <w:p>
      <w:pPr>
        <w:pStyle w:val="TextBody"/>
        <w:jc w:val="center"/>
        <w:rPr>
          <w:rFonts w:ascii="Times New Roman;Times;serif" w:hAnsi="Times New Roman;Times;serif"/>
          <w:sz w:val="17"/>
        </w:rPr>
      </w:pPr>
      <w:r>
        <w:rPr>
          <w:rFonts w:ascii="Times New Roman;Times;serif" w:hAnsi="Times New Roman;Times;serif"/>
          <w:sz w:val="17"/>
        </w:rPr>
        <w:t xml:space="preserve">A-6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120" w:after="283"/>
        <w:jc w:val="left"/>
        <w:rPr/>
      </w:pPr>
      <w:r>
        <w:rPr/>
        <w:t>     </w:t>
      </w:r>
      <w:r>
        <w:rPr>
          <w:rFonts w:ascii="Times New Roman;Times;serif" w:hAnsi="Times New Roman;Times;serif"/>
          <w:sz w:val="17"/>
        </w:rPr>
        <w:t>11. </w:t>
      </w:r>
      <w:r>
        <w:rPr>
          <w:rFonts w:ascii="Times New Roman;Times;serif" w:hAnsi="Times New Roman;Times;serif"/>
          <w:sz w:val="17"/>
          <w:u w:val="single"/>
        </w:rPr>
        <w:t>Defaults and Remedies</w:t>
      </w:r>
      <w:r>
        <w:rPr>
          <w:rFonts w:ascii="Times New Roman;Times;serif" w:hAnsi="Times New Roman;Times;serif"/>
          <w:sz w:val="17"/>
        </w:rPr>
        <w:t>. Events of Default with respect to the Notes include: (i) default for 60 days in the payment when due of interest on, or Additional Interest with respect to, the Notes; (ii) default in payment when due of principal of or premium, if any, on the Notes at maturity, upon redemption or otherwise, (iii) failure by an Issuer or any Subsidiary Guarantor for 30 days after notice to comply with any of the other agreements in the Indenture (</w:t>
      </w:r>
      <w:r>
        <w:rPr>
          <w:rFonts w:ascii="Times New Roman;Times;serif" w:hAnsi="Times New Roman;Times;serif"/>
          <w:sz w:val="17"/>
          <w:u w:val="single"/>
        </w:rPr>
        <w:t>provided</w:t>
      </w:r>
      <w:r>
        <w:rPr>
          <w:rFonts w:ascii="Times New Roman;Times;serif" w:hAnsi="Times New Roman;Times;serif"/>
          <w:sz w:val="17"/>
        </w:rPr>
        <w:t xml:space="preserve"> that notice need not be given, and an Event of Default shall occur, 30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or Event of Default (except a Default or Event of Default relating to the payment of principal, premium, if any, or interest) if it determines that withholding notice is </w:t>
      </w:r>
    </w:p>
    <w:p>
      <w:pPr>
        <w:pStyle w:val="TextBody"/>
        <w:jc w:val="center"/>
        <w:rPr>
          <w:rFonts w:ascii="Times New Roman;Times;serif" w:hAnsi="Times New Roman;Times;serif"/>
          <w:sz w:val="17"/>
        </w:rPr>
      </w:pPr>
      <w:r>
        <w:rPr>
          <w:rFonts w:ascii="Times New Roman;Times;serif" w:hAnsi="Times New Roman;Times;serif"/>
          <w:sz w:val="17"/>
        </w:rPr>
        <w:t xml:space="preserve">A-7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their interests.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the principal of, or premium, if any, on the Notes.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20" w:after="283"/>
        <w:jc w:val="left"/>
        <w:rPr/>
      </w:pPr>
      <w:r>
        <w:rPr/>
        <w:t>     </w:t>
      </w:r>
      <w:r>
        <w:rPr>
          <w:rFonts w:ascii="Times New Roman;Times;serif" w:hAnsi="Times New Roman;Times;serif"/>
          <w:sz w:val="17"/>
        </w:rPr>
        <w:t>12. </w:t>
      </w:r>
      <w:r>
        <w:rPr>
          <w:rFonts w:ascii="Times New Roman;Times;serif" w:hAnsi="Times New Roman;Times;serif"/>
          <w:sz w:val="17"/>
          <w:u w:val="single"/>
        </w:rPr>
        <w:t>Trustee Dealings with Issuers</w:t>
      </w:r>
      <w:r>
        <w:rPr>
          <w:rFonts w:ascii="Times New Roman;Times;serif" w:hAnsi="Times New Roman;Times;serif"/>
          <w:sz w:val="17"/>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120" w:after="283"/>
        <w:jc w:val="left"/>
        <w:rPr/>
      </w:pPr>
      <w:r>
        <w:rPr/>
        <w:t>     </w:t>
      </w:r>
      <w:r>
        <w:rPr>
          <w:rFonts w:ascii="Times New Roman;Times;serif" w:hAnsi="Times New Roman;Times;serif"/>
          <w:sz w:val="17"/>
        </w:rPr>
        <w:t>13. </w:t>
      </w:r>
      <w:r>
        <w:rPr>
          <w:rFonts w:ascii="Times New Roman;Times;serif" w:hAnsi="Times New Roman;Times;serif"/>
          <w:sz w:val="17"/>
          <w:u w:val="single"/>
        </w:rPr>
        <w:t>No Recourse Against Others</w:t>
      </w:r>
      <w:r>
        <w:rPr>
          <w:rFonts w:ascii="Times New Roman;Times;serif" w:hAnsi="Times New Roman;Times;serif"/>
          <w:sz w:val="17"/>
        </w:rPr>
        <w:t xml:space="preserve">. The General Partner and its directors, officers, employees and partners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20" w:after="283"/>
        <w:jc w:val="left"/>
        <w:rPr/>
      </w:pPr>
      <w:r>
        <w:rPr/>
        <w:t>     </w:t>
      </w:r>
      <w:r>
        <w:rPr>
          <w:rFonts w:ascii="Times New Roman;Times;serif" w:hAnsi="Times New Roman;Times;serif"/>
          <w:sz w:val="17"/>
        </w:rPr>
        <w:t>14. </w:t>
      </w:r>
      <w:r>
        <w:rPr>
          <w:rFonts w:ascii="Times New Roman;Times;serif" w:hAnsi="Times New Roman;Times;serif"/>
          <w:sz w:val="17"/>
          <w:u w:val="single"/>
        </w:rPr>
        <w:t>Authentication</w:t>
      </w:r>
      <w:r>
        <w:rPr>
          <w:rFonts w:ascii="Times New Roman;Times;serif" w:hAnsi="Times New Roman;Times;serif"/>
          <w:sz w:val="17"/>
        </w:rPr>
        <w:t xml:space="preserve">. This Note shall not be valid until authenticated by the manual signature of the Trustee or an authenticating agent. </w:t>
      </w:r>
    </w:p>
    <w:p>
      <w:pPr>
        <w:pStyle w:val="TextBody"/>
        <w:spacing w:before="120" w:after="283"/>
        <w:jc w:val="left"/>
        <w:rPr/>
      </w:pPr>
      <w:r>
        <w:rPr/>
        <w:t>     </w:t>
      </w:r>
      <w:r>
        <w:rPr>
          <w:rFonts w:ascii="Times New Roman;Times;serif" w:hAnsi="Times New Roman;Times;serif"/>
          <w:sz w:val="17"/>
        </w:rPr>
        <w:t>15. </w:t>
      </w:r>
      <w:r>
        <w:rPr>
          <w:rFonts w:ascii="Times New Roman;Times;serif" w:hAnsi="Times New Roman;Times;serif"/>
          <w:sz w:val="17"/>
          <w:u w:val="single"/>
        </w:rPr>
        <w:t>Abbreviations</w:t>
      </w:r>
      <w:r>
        <w:rPr>
          <w:rFonts w:ascii="Times New Roman;Times;serif" w:hAnsi="Times New Roman;Times;serif"/>
          <w:sz w:val="17"/>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20" w:after="283"/>
        <w:jc w:val="left"/>
        <w:rPr/>
      </w:pPr>
      <w:r>
        <w:rPr/>
        <w:t>     </w:t>
      </w:r>
      <w:r>
        <w:rPr>
          <w:rFonts w:ascii="Times New Roman;Times;serif" w:hAnsi="Times New Roman;Times;serif"/>
          <w:sz w:val="17"/>
        </w:rPr>
        <w:t>16. </w:t>
      </w:r>
      <w:r>
        <w:rPr>
          <w:rFonts w:ascii="Times New Roman;Times;serif" w:hAnsi="Times New Roman;Times;serif"/>
          <w:sz w:val="17"/>
          <w:u w:val="single"/>
        </w:rPr>
        <w:t>CUSIP and ISIN Numbers</w:t>
      </w:r>
      <w:r>
        <w:rPr>
          <w:rFonts w:ascii="Times New Roman;Times;serif" w:hAnsi="Times New Roman;Times;serif"/>
          <w:sz w:val="17"/>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120" w:after="283"/>
        <w:jc w:val="left"/>
        <w:rPr/>
      </w:pPr>
      <w:r>
        <w:rPr/>
        <w:t>     </w:t>
      </w:r>
      <w:r>
        <w:rPr>
          <w:rFonts w:ascii="Times New Roman;Times;serif" w:hAnsi="Times New Roman;Times;serif"/>
          <w:sz w:val="17"/>
        </w:rPr>
        <w:t>17. </w:t>
      </w:r>
      <w:r>
        <w:rPr>
          <w:rFonts w:ascii="Times New Roman;Times;serif" w:hAnsi="Times New Roman;Times;serif"/>
          <w:sz w:val="17"/>
          <w:u w:val="single"/>
        </w:rPr>
        <w:t>Additional Rights of Holders of Transfer Restricted Securities</w:t>
      </w:r>
      <w:r>
        <w:rPr>
          <w:rFonts w:ascii="Times New Roman;Times;serif" w:hAnsi="Times New Roman;Times;serif"/>
          <w:sz w:val="17"/>
        </w:rPr>
        <w:t xml:space="preserve">. In addition to the rights provided to Holders of Notes under the Indenture, Holders of Transfer Restricted Securities shall have all the rights set forth in the Exchange and Registration Rights Agreement, including the right to receive Additional Interest as set forth therein. </w:t>
      </w:r>
    </w:p>
    <w:p>
      <w:pPr>
        <w:pStyle w:val="TextBody"/>
        <w:jc w:val="center"/>
        <w:rPr>
          <w:rFonts w:ascii="Times New Roman;Times;serif" w:hAnsi="Times New Roman;Times;serif"/>
          <w:sz w:val="17"/>
        </w:rPr>
      </w:pPr>
      <w:r>
        <w:rPr>
          <w:rFonts w:ascii="Times New Roman;Times;serif" w:hAnsi="Times New Roman;Times;serif"/>
          <w:sz w:val="17"/>
        </w:rPr>
        <w:t xml:space="preserve">A-8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Issuers shall furnish to any Holder upon written request and without charge a copy of the Indenture. Requests may be made 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Houston, Texas 77002</w:t>
        <w:br/>
        <w:t xml:space="preserve">Attention: Investor Relations </w:t>
      </w:r>
    </w:p>
    <w:p>
      <w:pPr>
        <w:pStyle w:val="TextBody"/>
        <w:jc w:val="center"/>
        <w:rPr>
          <w:rFonts w:ascii="Times New Roman;Times;serif" w:hAnsi="Times New Roman;Times;serif"/>
          <w:sz w:val="17"/>
        </w:rPr>
      </w:pPr>
      <w:r>
        <w:rPr>
          <w:rFonts w:ascii="Times New Roman;Times;serif" w:hAnsi="Times New Roman;Times;serif"/>
          <w:sz w:val="17"/>
        </w:rPr>
        <w:t xml:space="preserve">A-9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Assignment Form</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To assign this Note, fill in the form below: (I) or (we) assign and transfer this Note to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283"/>
              <w:rPr/>
            </w:pPr>
            <w:r>
              <w:rPr/>
              <w:t> </w:t>
            </w:r>
          </w:p>
        </w:tc>
      </w:tr>
      <w:tr>
        <w:trPr/>
        <w:tc>
          <w:tcPr>
            <w:tcW w:w="10205" w:type="dxa"/>
            <w:tcBorders/>
            <w:shd w:fill="auto" w:val="clear"/>
          </w:tcPr>
          <w:p>
            <w:pPr>
              <w:pStyle w:val="TableContents"/>
              <w:spacing w:before="0" w:after="0"/>
              <w:ind w:left="0" w:right="0" w:hanging="0"/>
              <w:rPr>
                <w:bdr w:val="single" w:sz="2" w:space="1" w:color="000000"/>
              </w:rPr>
            </w:pPr>
            <w:r>
              <w:rPr>
                <w:bdr w:val="single" w:sz="2" w:space="1" w:color="000000"/>
              </w:rPr>
              <w:t> </w:t>
            </w:r>
          </w:p>
        </w:tc>
      </w:tr>
      <w:tr>
        <w:trPr/>
        <w:tc>
          <w:tcPr>
            <w:tcW w:w="10205" w:type="dxa"/>
            <w:tcBorders/>
            <w:shd w:fill="auto" w:val="clear"/>
          </w:tcPr>
          <w:p>
            <w:pPr>
              <w:pStyle w:val="TableContents"/>
              <w:spacing w:before="0" w:after="0"/>
              <w:ind w:left="0" w:right="0" w:hanging="0"/>
              <w:jc w:val="center"/>
              <w:rPr/>
            </w:pPr>
            <w:r>
              <w:rPr/>
              <w:t>(Insert assignees soc. sec. or tax I.D. no.)</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bdr w:val="single" w:sz="2" w:space="1" w:color="000000"/>
              </w:rPr>
            </w:pPr>
            <w:r>
              <w:rPr>
                <w:bdr w:val="single" w:sz="2" w:space="1" w:color="000000"/>
              </w:rPr>
              <w:t> </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bdr w:val="single" w:sz="2" w:space="1" w:color="000000"/>
              </w:rPr>
            </w:pPr>
            <w:r>
              <w:rPr>
                <w:bdr w:val="single" w:sz="2" w:space="1" w:color="000000"/>
              </w:rPr>
              <w:t> </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bdr w:val="single" w:sz="2" w:space="1" w:color="000000"/>
              </w:rPr>
            </w:pPr>
            <w:r>
              <w:rPr>
                <w:bdr w:val="single" w:sz="2" w:space="1" w:color="000000"/>
              </w:rPr>
              <w:t> </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bdr w:val="single" w:sz="2" w:space="1" w:color="000000"/>
              </w:rPr>
            </w:pPr>
            <w:r>
              <w:rPr>
                <w:bdr w:val="single" w:sz="2" w:space="1" w:color="000000"/>
              </w:rPr>
              <w:t> </w:t>
            </w:r>
          </w:p>
        </w:tc>
      </w:tr>
      <w:tr>
        <w:trPr/>
        <w:tc>
          <w:tcPr>
            <w:tcW w:w="10205" w:type="dxa"/>
            <w:tcBorders/>
            <w:shd w:fill="auto" w:val="clear"/>
          </w:tcPr>
          <w:p>
            <w:pPr>
              <w:pStyle w:val="TableContents"/>
              <w:spacing w:before="0" w:after="0"/>
              <w:ind w:left="0" w:right="0" w:hanging="0"/>
              <w:jc w:val="left"/>
              <w:rPr/>
            </w:pPr>
            <w:r>
              <w:rPr/>
              <w:t>(Print or type assignees name, address and zip code)</w:t>
            </w:r>
          </w:p>
        </w:tc>
      </w:tr>
      <w:tr>
        <w:trPr/>
        <w:tc>
          <w:tcPr>
            <w:tcW w:w="10205" w:type="dxa"/>
            <w:tcBorders/>
            <w:shd w:fill="auto" w:val="clear"/>
            <w:vAlign w:val="center"/>
          </w:tcPr>
          <w:p>
            <w:pPr>
              <w:pStyle w:val="TableContents"/>
              <w:spacing w:before="0" w:after="283"/>
              <w:rPr/>
            </w:pPr>
            <w:r>
              <w:rPr/>
              <w:t> </w:t>
            </w:r>
          </w:p>
        </w:tc>
      </w:tr>
      <w:tr>
        <w:trPr/>
        <w:tc>
          <w:tcPr>
            <w:tcW w:w="10205" w:type="dxa"/>
            <w:tcBorders/>
            <w:shd w:fill="auto" w:val="clear"/>
          </w:tcPr>
          <w:p>
            <w:pPr>
              <w:pStyle w:val="TableContents"/>
              <w:spacing w:before="0" w:after="0"/>
              <w:ind w:left="1950" w:right="0" w:hanging="1950"/>
              <w:jc w:val="left"/>
              <w:rPr/>
            </w:pPr>
            <w:r>
              <w:rPr/>
              <w:t>and irrevocably appoint   </w:t>
            </w:r>
          </w:p>
          <w:p>
            <w:pPr>
              <w:pStyle w:val="TableContents"/>
              <w:spacing w:before="0" w:after="0"/>
              <w:jc w:val="left"/>
              <w:rPr>
                <w:bdr w:val="single" w:sz="2" w:space="1" w:color="000000"/>
              </w:rPr>
            </w:pPr>
            <w:r>
              <w:rPr>
                <w:bdr w:val="single" w:sz="2" w:space="1" w:color="000000"/>
              </w:rPr>
              <w:t> </w:t>
            </w:r>
          </w:p>
        </w:tc>
      </w:tr>
      <w:tr>
        <w:trPr/>
        <w:tc>
          <w:tcPr>
            <w:tcW w:w="10205" w:type="dxa"/>
            <w:tcBorders/>
            <w:shd w:fill="auto" w:val="clear"/>
          </w:tcPr>
          <w:p>
            <w:pPr>
              <w:pStyle w:val="TableContents"/>
              <w:spacing w:before="0" w:after="0"/>
              <w:ind w:left="0" w:right="0" w:hanging="0"/>
              <w:jc w:val="left"/>
              <w:rPr/>
            </w:pPr>
            <w:r>
              <w:rPr/>
              <w:t>agent to transfer this Note on the books of the Issuers. The agent may substitute another to act for him.</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bdr w:val="single" w:sz="2" w:space="1" w:color="000000"/>
              </w:rPr>
            </w:pPr>
            <w:r>
              <w:rPr>
                <w:bdr w:val="single" w:sz="2" w:space="1" w:color="000000"/>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Date:</w:t>
      </w:r>
      <w:r>
        <w:rPr>
          <w:rFonts w:ascii="Times New Roman;Times;serif" w:hAnsi="Times New Roman;Times;serif"/>
          <w:sz w:val="17"/>
          <w:u w:val="single"/>
        </w:rPr>
        <w:t>                                        </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761"/>
        <w:gridCol w:w="117"/>
        <w:gridCol w:w="1591"/>
        <w:gridCol w:w="117"/>
        <w:gridCol w:w="5619"/>
      </w:tblGrid>
      <w:tr>
        <w:trPr/>
        <w:tc>
          <w:tcPr>
            <w:tcW w:w="276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591"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5619" w:type="dxa"/>
            <w:tcBorders/>
            <w:shd w:fill="auto" w:val="clear"/>
            <w:vAlign w:val="bottom"/>
          </w:tcPr>
          <w:p>
            <w:pPr>
              <w:pStyle w:val="TableContents"/>
              <w:spacing w:before="0" w:after="283"/>
              <w:rPr/>
            </w:pPr>
            <w:r>
              <w:rPr/>
              <w:t> </w:t>
            </w:r>
          </w:p>
        </w:tc>
      </w:tr>
      <w:tr>
        <w:trPr/>
        <w:tc>
          <w:tcPr>
            <w:tcW w:w="276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1591" w:type="dxa"/>
            <w:tcBorders/>
            <w:shd w:fill="auto" w:val="clear"/>
          </w:tcPr>
          <w:p>
            <w:pPr>
              <w:pStyle w:val="TableContents"/>
              <w:spacing w:before="0" w:after="283"/>
              <w:jc w:val="left"/>
              <w:rPr/>
            </w:pPr>
            <w:r>
              <w:rPr/>
              <w:t>Your Signature:</w:t>
            </w:r>
          </w:p>
        </w:tc>
        <w:tc>
          <w:tcPr>
            <w:tcW w:w="117" w:type="dxa"/>
            <w:tcBorders/>
            <w:shd w:fill="auto" w:val="clear"/>
            <w:vAlign w:val="bottom"/>
          </w:tcPr>
          <w:p>
            <w:pPr>
              <w:pStyle w:val="TableContents"/>
              <w:spacing w:before="0" w:after="283"/>
              <w:rPr/>
            </w:pPr>
            <w:r>
              <w:rPr/>
              <w:t> </w:t>
            </w:r>
          </w:p>
        </w:tc>
        <w:tc>
          <w:tcPr>
            <w:tcW w:w="5619" w:type="dxa"/>
            <w:tcBorders/>
            <w:shd w:fill="auto" w:val="clear"/>
          </w:tcPr>
          <w:p>
            <w:pPr>
              <w:pStyle w:val="TableContents"/>
              <w:spacing w:before="0" w:after="283"/>
              <w:jc w:val="left"/>
              <w:rPr/>
            </w:pPr>
            <w:r>
              <w:rPr/>
              <w:t> </w:t>
            </w:r>
          </w:p>
        </w:tc>
      </w:tr>
      <w:tr>
        <w:trPr/>
        <w:tc>
          <w:tcPr>
            <w:tcW w:w="2761" w:type="dxa"/>
            <w:tcBorders/>
            <w:shd w:fill="auto" w:val="clea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283"/>
              <w:rPr/>
            </w:pPr>
            <w:r>
              <w:rPr/>
              <w:t> </w:t>
            </w:r>
          </w:p>
        </w:tc>
        <w:tc>
          <w:tcPr>
            <w:tcW w:w="1591" w:type="dxa"/>
            <w:tcBorders/>
            <w:shd w:fill="auto" w:val="clear"/>
          </w:tcPr>
          <w:p>
            <w:pPr>
              <w:pStyle w:val="TableContents"/>
              <w:spacing w:before="0" w:after="283"/>
              <w:jc w:val="left"/>
              <w:rPr/>
            </w:pPr>
            <w:r>
              <w:rPr/>
              <w:t> </w:t>
            </w:r>
          </w:p>
        </w:tc>
        <w:tc>
          <w:tcPr>
            <w:tcW w:w="117" w:type="dxa"/>
            <w:tcBorders/>
            <w:shd w:fill="auto" w:val="clear"/>
            <w:vAlign w:val="center"/>
          </w:tcPr>
          <w:p>
            <w:pPr>
              <w:pStyle w:val="TableContents"/>
              <w:spacing w:before="0" w:after="283"/>
              <w:rPr/>
            </w:pPr>
            <w:r>
              <w:rPr/>
              <w:t> </w:t>
            </w:r>
          </w:p>
        </w:tc>
        <w:tc>
          <w:tcPr>
            <w:tcW w:w="5619" w:type="dxa"/>
            <w:tcBorders>
              <w:top w:val="single" w:sz="2" w:space="0" w:color="000000"/>
            </w:tcBorders>
            <w:shd w:fill="auto" w:val="clear"/>
            <w:tcMar>
              <w:top w:w="28" w:type="dxa"/>
            </w:tcMar>
          </w:tcPr>
          <w:p>
            <w:pPr>
              <w:pStyle w:val="TableContents"/>
              <w:spacing w:before="0" w:after="283"/>
              <w:jc w:val="left"/>
              <w:rPr/>
            </w:pPr>
            <w:r>
              <w:rPr/>
              <w:t> </w:t>
            </w:r>
          </w:p>
        </w:tc>
      </w:tr>
      <w:tr>
        <w:trPr/>
        <w:tc>
          <w:tcPr>
            <w:tcW w:w="2761" w:type="dxa"/>
            <w:tcBorders/>
            <w:shd w:fill="auto" w:val="clear"/>
          </w:tcPr>
          <w:p>
            <w:pPr>
              <w:pStyle w:val="TableContents"/>
              <w:spacing w:before="0" w:after="0"/>
              <w:ind w:left="0" w:right="0" w:hanging="0"/>
              <w:rPr/>
            </w:pPr>
            <w:r>
              <w:rPr/>
              <w:t xml:space="preserve">  </w:t>
            </w:r>
          </w:p>
        </w:tc>
        <w:tc>
          <w:tcPr>
            <w:tcW w:w="117" w:type="dxa"/>
            <w:tcBorders/>
            <w:shd w:fill="auto" w:val="clear"/>
            <w:vAlign w:val="bottom"/>
          </w:tcPr>
          <w:p>
            <w:pPr>
              <w:pStyle w:val="TableContents"/>
              <w:spacing w:before="0" w:after="283"/>
              <w:rPr/>
            </w:pPr>
            <w:r>
              <w:rPr/>
              <w:t> </w:t>
            </w:r>
          </w:p>
        </w:tc>
        <w:tc>
          <w:tcPr>
            <w:tcW w:w="1591" w:type="dxa"/>
            <w:tcBorders/>
            <w:shd w:fill="auto" w:val="clear"/>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5619" w:type="dxa"/>
            <w:tcBorders/>
            <w:shd w:fill="auto" w:val="clear"/>
          </w:tcPr>
          <w:p>
            <w:pPr>
              <w:pStyle w:val="TableContents"/>
              <w:spacing w:before="0" w:after="283"/>
              <w:jc w:val="left"/>
              <w:rPr/>
            </w:pPr>
            <w:r>
              <w:rPr/>
              <w:t>(Sign exactly as your name appears on the face of this Note)</w:t>
            </w:r>
          </w:p>
        </w:tc>
      </w:tr>
    </w:tbl>
    <w:p>
      <w:pPr>
        <w:pStyle w:val="TextBody"/>
        <w:spacing w:before="240" w:after="283"/>
        <w:ind w:left="1725" w:right="0" w:hanging="1725"/>
        <w:jc w:val="left"/>
        <w:rPr>
          <w:rFonts w:ascii="Times New Roman;Times;serif" w:hAnsi="Times New Roman;Times;serif"/>
          <w:sz w:val="17"/>
        </w:rPr>
      </w:pPr>
      <w:r>
        <w:rPr>
          <w:rFonts w:ascii="Times New Roman;Times;serif" w:hAnsi="Times New Roman;Times;serif"/>
          <w:sz w:val="17"/>
        </w:rPr>
        <w:t xml:space="preserve">Signature Guarantee: </w:t>
      </w:r>
    </w:p>
    <w:p>
      <w:pPr>
        <w:pStyle w:val="TextBody"/>
        <w:spacing w:before="240" w:after="283"/>
        <w:jc w:val="left"/>
        <w:rPr>
          <w:bdr w:val="single" w:sz="2" w:space="1" w:color="000000"/>
        </w:rPr>
      </w:pPr>
      <w:r>
        <w:rPr>
          <w:bdr w:val="single" w:sz="2" w:space="1" w:color="000000"/>
        </w:rPr>
        <w:t> </w:t>
      </w:r>
    </w:p>
    <w:p>
      <w:pPr>
        <w:pStyle w:val="TextBody"/>
        <w:spacing w:before="0" w:after="283"/>
        <w:jc w:val="left"/>
        <w:rPr>
          <w:rFonts w:ascii="Times New Roman;Times;serif" w:hAnsi="Times New Roman;Times;serif"/>
          <w:sz w:val="17"/>
        </w:rPr>
      </w:pPr>
      <w:r>
        <w:rPr>
          <w:rFonts w:ascii="Times New Roman;Times;serif" w:hAnsi="Times New Roman;Times;serif"/>
          <w:sz w:val="17"/>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pStyle w:val="TextBody"/>
        <w:jc w:val="center"/>
        <w:rPr>
          <w:rFonts w:ascii="Times New Roman;Times;serif" w:hAnsi="Times New Roman;Times;serif"/>
          <w:sz w:val="17"/>
        </w:rPr>
      </w:pPr>
      <w:r>
        <w:rPr>
          <w:rFonts w:ascii="Times New Roman;Times;serif" w:hAnsi="Times New Roman;Times;serif"/>
          <w:sz w:val="17"/>
        </w:rPr>
        <w:t xml:space="preserve">A-10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OF INCREASES OR DECREASES IN THE GLOBAL NOTE4</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original principal amount of this Global Note is ___. The following increases or decreases in this Global Note have been made: </w:t>
      </w:r>
    </w:p>
    <w:tbl>
      <w:tblPr>
        <w:tblW w:w="5000" w:type="pct"/>
        <w:jc w:val="center"/>
        <w:tblInd w:w="0" w:type="dxa"/>
        <w:tblCellMar>
          <w:top w:w="0" w:type="dxa"/>
          <w:left w:w="0" w:type="dxa"/>
          <w:bottom w:w="0" w:type="dxa"/>
          <w:right w:w="0" w:type="dxa"/>
        </w:tblCellMar>
      </w:tblPr>
      <w:tblGrid>
        <w:gridCol w:w="1848"/>
        <w:gridCol w:w="401"/>
        <w:gridCol w:w="1713"/>
        <w:gridCol w:w="401"/>
        <w:gridCol w:w="1713"/>
        <w:gridCol w:w="401"/>
        <w:gridCol w:w="1673"/>
        <w:gridCol w:w="401"/>
        <w:gridCol w:w="1654"/>
      </w:tblGrid>
      <w:tr>
        <w:trPr/>
        <w:tc>
          <w:tcPr>
            <w:tcW w:w="184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rPr/>
            </w:pPr>
            <w:r>
              <w:rPr/>
              <w:t> </w:t>
            </w:r>
          </w:p>
        </w:tc>
      </w:tr>
      <w:tr>
        <w:trPr/>
        <w:tc>
          <w:tcPr>
            <w:tcW w:w="184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center"/>
              <w:rPr/>
            </w:pPr>
            <w:r>
              <w:rPr/>
              <w:t>Principal</w:t>
            </w:r>
          </w:p>
        </w:tc>
        <w:tc>
          <w:tcPr>
            <w:tcW w:w="401"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jc w:val="center"/>
              <w:rPr/>
            </w:pPr>
            <w:r>
              <w:rPr/>
              <w:t> </w:t>
            </w:r>
          </w:p>
        </w:tc>
      </w:tr>
      <w:tr>
        <w:trPr/>
        <w:tc>
          <w:tcPr>
            <w:tcW w:w="184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Amount of</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Amount of</w:t>
            </w:r>
          </w:p>
        </w:tc>
        <w:tc>
          <w:tcPr>
            <w:tcW w:w="401"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center"/>
              <w:rPr/>
            </w:pPr>
            <w:r>
              <w:rPr/>
              <w:t>Amount of</w:t>
            </w:r>
          </w:p>
        </w:tc>
        <w:tc>
          <w:tcPr>
            <w:tcW w:w="401"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jc w:val="center"/>
              <w:rPr/>
            </w:pPr>
            <w:r>
              <w:rPr/>
              <w:t>Signature of</w:t>
            </w:r>
          </w:p>
        </w:tc>
      </w:tr>
      <w:tr>
        <w:trPr/>
        <w:tc>
          <w:tcPr>
            <w:tcW w:w="184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decrease in</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increase in</w:t>
            </w:r>
          </w:p>
        </w:tc>
        <w:tc>
          <w:tcPr>
            <w:tcW w:w="401"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center"/>
              <w:rPr/>
            </w:pPr>
            <w:r>
              <w:rPr/>
              <w:t>this Global Note</w:t>
            </w:r>
          </w:p>
        </w:tc>
        <w:tc>
          <w:tcPr>
            <w:tcW w:w="401"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jc w:val="center"/>
              <w:rPr/>
            </w:pPr>
            <w:r>
              <w:rPr/>
              <w:t>authorized</w:t>
            </w:r>
          </w:p>
        </w:tc>
      </w:tr>
      <w:tr>
        <w:trPr/>
        <w:tc>
          <w:tcPr>
            <w:tcW w:w="1848"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Principal Amount</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Principal Amount</w:t>
            </w:r>
          </w:p>
        </w:tc>
        <w:tc>
          <w:tcPr>
            <w:tcW w:w="401"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center"/>
              <w:rPr/>
            </w:pPr>
            <w:r>
              <w:rPr/>
              <w:t>following such</w:t>
            </w:r>
          </w:p>
        </w:tc>
        <w:tc>
          <w:tcPr>
            <w:tcW w:w="401"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jc w:val="center"/>
              <w:rPr/>
            </w:pPr>
            <w:r>
              <w:rPr/>
              <w:t>signatory of</w:t>
            </w:r>
          </w:p>
        </w:tc>
      </w:tr>
      <w:tr>
        <w:trPr/>
        <w:tc>
          <w:tcPr>
            <w:tcW w:w="1848" w:type="dxa"/>
            <w:tcBorders/>
            <w:shd w:fill="auto" w:val="clear"/>
            <w:vAlign w:val="bottom"/>
          </w:tcPr>
          <w:p>
            <w:pPr>
              <w:pStyle w:val="TableContents"/>
              <w:spacing w:before="0" w:after="283"/>
              <w:jc w:val="left"/>
              <w:rPr/>
            </w:pPr>
            <w:r>
              <w:rPr/>
              <w:t>Date of</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of</w:t>
            </w:r>
          </w:p>
        </w:tc>
        <w:tc>
          <w:tcPr>
            <w:tcW w:w="401" w:type="dxa"/>
            <w:tcBorders/>
            <w:shd w:fill="auto" w:val="clear"/>
            <w:vAlign w:val="bottom"/>
          </w:tcPr>
          <w:p>
            <w:pPr>
              <w:pStyle w:val="TableContents"/>
              <w:spacing w:before="0" w:after="283"/>
              <w:rPr/>
            </w:pPr>
            <w:r>
              <w:rPr/>
              <w:t> </w:t>
            </w:r>
          </w:p>
        </w:tc>
        <w:tc>
          <w:tcPr>
            <w:tcW w:w="1713" w:type="dxa"/>
            <w:tcBorders/>
            <w:shd w:fill="auto" w:val="clear"/>
            <w:vAlign w:val="bottom"/>
          </w:tcPr>
          <w:p>
            <w:pPr>
              <w:pStyle w:val="TableContents"/>
              <w:spacing w:before="0" w:after="283"/>
              <w:jc w:val="center"/>
              <w:rPr/>
            </w:pPr>
            <w:r>
              <w:rPr/>
              <w:t>of</w:t>
            </w:r>
          </w:p>
        </w:tc>
        <w:tc>
          <w:tcPr>
            <w:tcW w:w="401"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center"/>
              <w:rPr/>
            </w:pPr>
            <w:r>
              <w:rPr/>
              <w:t>decrease</w:t>
            </w:r>
          </w:p>
        </w:tc>
        <w:tc>
          <w:tcPr>
            <w:tcW w:w="401" w:type="dxa"/>
            <w:tcBorders/>
            <w:shd w:fill="auto" w:val="clear"/>
            <w:vAlign w:val="bottom"/>
          </w:tcPr>
          <w:p>
            <w:pPr>
              <w:pStyle w:val="TableContents"/>
              <w:spacing w:before="0" w:after="283"/>
              <w:rPr/>
            </w:pPr>
            <w:r>
              <w:rPr/>
              <w:t> </w:t>
            </w:r>
          </w:p>
        </w:tc>
        <w:tc>
          <w:tcPr>
            <w:tcW w:w="1654" w:type="dxa"/>
            <w:tcBorders/>
            <w:shd w:fill="auto" w:val="clear"/>
            <w:vAlign w:val="bottom"/>
          </w:tcPr>
          <w:p>
            <w:pPr>
              <w:pStyle w:val="TableContents"/>
              <w:spacing w:before="0" w:after="283"/>
              <w:jc w:val="center"/>
              <w:rPr/>
            </w:pPr>
            <w:r>
              <w:rPr/>
              <w:t>Trustee or Note</w:t>
            </w:r>
          </w:p>
        </w:tc>
      </w:tr>
      <w:tr>
        <w:trPr/>
        <w:tc>
          <w:tcPr>
            <w:tcW w:w="1848" w:type="dxa"/>
            <w:tcBorders>
              <w:bottom w:val="single" w:sz="2" w:space="0" w:color="000000"/>
            </w:tcBorders>
            <w:shd w:fill="auto" w:val="clear"/>
            <w:tcMar>
              <w:bottom w:w="28" w:type="dxa"/>
            </w:tcMar>
            <w:vAlign w:val="bottom"/>
          </w:tcPr>
          <w:p>
            <w:pPr>
              <w:pStyle w:val="TableContents"/>
              <w:spacing w:before="0" w:after="283"/>
              <w:jc w:val="left"/>
              <w:rPr/>
            </w:pPr>
            <w:r>
              <w:rPr/>
              <w:t>Exchange</w:t>
            </w:r>
          </w:p>
        </w:tc>
        <w:tc>
          <w:tcPr>
            <w:tcW w:w="401" w:type="dxa"/>
            <w:tcBorders/>
            <w:shd w:fill="auto" w:val="clear"/>
            <w:vAlign w:val="bottom"/>
          </w:tcPr>
          <w:p>
            <w:pPr>
              <w:pStyle w:val="TableContents"/>
              <w:spacing w:before="0" w:after="283"/>
              <w:rPr/>
            </w:pPr>
            <w:r>
              <w:rPr/>
              <w:t> </w:t>
            </w:r>
          </w:p>
        </w:tc>
        <w:tc>
          <w:tcPr>
            <w:tcW w:w="1713" w:type="dxa"/>
            <w:tcBorders>
              <w:bottom w:val="single" w:sz="2" w:space="0" w:color="000000"/>
            </w:tcBorders>
            <w:shd w:fill="auto" w:val="clear"/>
            <w:tcMar>
              <w:bottom w:w="28" w:type="dxa"/>
            </w:tcMar>
            <w:vAlign w:val="bottom"/>
          </w:tcPr>
          <w:p>
            <w:pPr>
              <w:pStyle w:val="TableContents"/>
              <w:spacing w:before="0" w:after="283"/>
              <w:jc w:val="center"/>
              <w:rPr/>
            </w:pPr>
            <w:r>
              <w:rPr/>
              <w:t>this Global Note</w:t>
            </w:r>
          </w:p>
        </w:tc>
        <w:tc>
          <w:tcPr>
            <w:tcW w:w="401" w:type="dxa"/>
            <w:tcBorders/>
            <w:shd w:fill="auto" w:val="clear"/>
            <w:vAlign w:val="bottom"/>
          </w:tcPr>
          <w:p>
            <w:pPr>
              <w:pStyle w:val="TableContents"/>
              <w:spacing w:before="0" w:after="283"/>
              <w:rPr/>
            </w:pPr>
            <w:r>
              <w:rPr/>
              <w:t> </w:t>
            </w:r>
          </w:p>
        </w:tc>
        <w:tc>
          <w:tcPr>
            <w:tcW w:w="1713" w:type="dxa"/>
            <w:tcBorders>
              <w:bottom w:val="single" w:sz="2" w:space="0" w:color="000000"/>
            </w:tcBorders>
            <w:shd w:fill="auto" w:val="clear"/>
            <w:tcMar>
              <w:bottom w:w="28" w:type="dxa"/>
            </w:tcMar>
            <w:vAlign w:val="bottom"/>
          </w:tcPr>
          <w:p>
            <w:pPr>
              <w:pStyle w:val="TableContents"/>
              <w:spacing w:before="0" w:after="283"/>
              <w:jc w:val="center"/>
              <w:rPr/>
            </w:pPr>
            <w:r>
              <w:rPr/>
              <w:t>this Global Note</w:t>
            </w:r>
          </w:p>
        </w:tc>
        <w:tc>
          <w:tcPr>
            <w:tcW w:w="401" w:type="dxa"/>
            <w:tcBorders/>
            <w:shd w:fill="auto" w:val="clear"/>
            <w:vAlign w:val="bottom"/>
          </w:tcPr>
          <w:p>
            <w:pPr>
              <w:pStyle w:val="TableContents"/>
              <w:spacing w:before="0" w:after="283"/>
              <w:rPr/>
            </w:pPr>
            <w:r>
              <w:rPr/>
              <w:t> </w:t>
            </w:r>
          </w:p>
        </w:tc>
        <w:tc>
          <w:tcPr>
            <w:tcW w:w="1673" w:type="dxa"/>
            <w:tcBorders>
              <w:bottom w:val="single" w:sz="2" w:space="0" w:color="000000"/>
            </w:tcBorders>
            <w:shd w:fill="auto" w:val="clear"/>
            <w:tcMar>
              <w:bottom w:w="28" w:type="dxa"/>
            </w:tcMar>
            <w:vAlign w:val="bottom"/>
          </w:tcPr>
          <w:p>
            <w:pPr>
              <w:pStyle w:val="TableContents"/>
              <w:spacing w:before="0" w:after="283"/>
              <w:jc w:val="center"/>
              <w:rPr/>
            </w:pPr>
            <w:r>
              <w:rPr/>
              <w:t>(or increase)</w:t>
            </w:r>
          </w:p>
        </w:tc>
        <w:tc>
          <w:tcPr>
            <w:tcW w:w="401" w:type="dxa"/>
            <w:tcBorders/>
            <w:shd w:fill="auto" w:val="clear"/>
            <w:vAlign w:val="bottom"/>
          </w:tcPr>
          <w:p>
            <w:pPr>
              <w:pStyle w:val="TableContents"/>
              <w:spacing w:before="0" w:after="283"/>
              <w:rPr/>
            </w:pPr>
            <w:r>
              <w:rPr/>
              <w:t> </w:t>
            </w:r>
          </w:p>
        </w:tc>
        <w:tc>
          <w:tcPr>
            <w:tcW w:w="1654" w:type="dxa"/>
            <w:tcBorders>
              <w:bottom w:val="single" w:sz="2" w:space="0" w:color="000000"/>
            </w:tcBorders>
            <w:shd w:fill="auto" w:val="clear"/>
            <w:tcMar>
              <w:bottom w:w="28" w:type="dxa"/>
            </w:tcMar>
            <w:vAlign w:val="bottom"/>
          </w:tcPr>
          <w:p>
            <w:pPr>
              <w:pStyle w:val="TableContents"/>
              <w:spacing w:before="0" w:after="283"/>
              <w:jc w:val="center"/>
              <w:rPr/>
            </w:pPr>
            <w:r>
              <w:rPr/>
              <w:t>Custodian</w:t>
            </w:r>
          </w:p>
        </w:tc>
      </w:tr>
      <w:tr>
        <w:trPr/>
        <w:tc>
          <w:tcPr>
            <w:tcW w:w="1848" w:type="dxa"/>
            <w:tcBorders/>
            <w:shd w:fill="auto" w:val="clear"/>
          </w:tcPr>
          <w:p>
            <w:pPr>
              <w:pStyle w:val="TableContents"/>
              <w:spacing w:before="0" w:after="0"/>
              <w:ind w:left="0" w:right="0" w:hanging="0"/>
              <w:rPr/>
            </w:pPr>
            <w:r>
              <w:rPr/>
              <w:t xml:space="preserve">  </w:t>
            </w:r>
          </w:p>
        </w:tc>
        <w:tc>
          <w:tcPr>
            <w:tcW w:w="401" w:type="dxa"/>
            <w:tcBorders/>
            <w:shd w:fill="auto" w:val="clear"/>
            <w:vAlign w:val="bottom"/>
          </w:tcPr>
          <w:p>
            <w:pPr>
              <w:pStyle w:val="TableContents"/>
              <w:spacing w:before="0" w:after="283"/>
              <w:rPr/>
            </w:pPr>
            <w:r>
              <w:rPr/>
              <w:t> </w:t>
            </w:r>
          </w:p>
        </w:tc>
        <w:tc>
          <w:tcPr>
            <w:tcW w:w="1713" w:type="dxa"/>
            <w:tcBorders/>
            <w:shd w:fill="auto" w:val="clear"/>
          </w:tcPr>
          <w:p>
            <w:pPr>
              <w:pStyle w:val="TableContents"/>
              <w:spacing w:before="0" w:after="283"/>
              <w:jc w:val="left"/>
              <w:rPr/>
            </w:pPr>
            <w:r>
              <w:rPr/>
              <w:t xml:space="preserve">  </w:t>
            </w:r>
          </w:p>
        </w:tc>
        <w:tc>
          <w:tcPr>
            <w:tcW w:w="401" w:type="dxa"/>
            <w:tcBorders/>
            <w:shd w:fill="auto" w:val="clear"/>
            <w:vAlign w:val="bottom"/>
          </w:tcPr>
          <w:p>
            <w:pPr>
              <w:pStyle w:val="TableContents"/>
              <w:spacing w:before="0" w:after="283"/>
              <w:rPr/>
            </w:pPr>
            <w:r>
              <w:rPr/>
              <w:t> </w:t>
            </w:r>
          </w:p>
        </w:tc>
        <w:tc>
          <w:tcPr>
            <w:tcW w:w="1713" w:type="dxa"/>
            <w:tcBorders/>
            <w:shd w:fill="auto" w:val="clear"/>
          </w:tcPr>
          <w:p>
            <w:pPr>
              <w:pStyle w:val="TableContents"/>
              <w:spacing w:before="0" w:after="283"/>
              <w:jc w:val="left"/>
              <w:rPr/>
            </w:pPr>
            <w:r>
              <w:rPr/>
              <w:t xml:space="preserve">  </w:t>
            </w:r>
          </w:p>
        </w:tc>
        <w:tc>
          <w:tcPr>
            <w:tcW w:w="401" w:type="dxa"/>
            <w:tcBorders/>
            <w:shd w:fill="auto" w:val="clear"/>
            <w:vAlign w:val="bottom"/>
          </w:tcPr>
          <w:p>
            <w:pPr>
              <w:pStyle w:val="TableContents"/>
              <w:spacing w:before="0" w:after="283"/>
              <w:rPr/>
            </w:pPr>
            <w:r>
              <w:rPr/>
              <w:t> </w:t>
            </w:r>
          </w:p>
        </w:tc>
        <w:tc>
          <w:tcPr>
            <w:tcW w:w="1673" w:type="dxa"/>
            <w:tcBorders/>
            <w:shd w:fill="auto" w:val="clear"/>
          </w:tcPr>
          <w:p>
            <w:pPr>
              <w:pStyle w:val="TableContents"/>
              <w:spacing w:before="0" w:after="283"/>
              <w:jc w:val="left"/>
              <w:rPr/>
            </w:pPr>
            <w:r>
              <w:rPr/>
              <w:t xml:space="preserve">  </w:t>
            </w:r>
          </w:p>
        </w:tc>
        <w:tc>
          <w:tcPr>
            <w:tcW w:w="401" w:type="dxa"/>
            <w:tcBorders/>
            <w:shd w:fill="auto" w:val="clear"/>
            <w:vAlign w:val="bottom"/>
          </w:tcPr>
          <w:p>
            <w:pPr>
              <w:pStyle w:val="TableContents"/>
              <w:spacing w:before="0" w:after="283"/>
              <w:rPr/>
            </w:pPr>
            <w:r>
              <w:rPr/>
              <w:t> </w:t>
            </w:r>
          </w:p>
        </w:tc>
        <w:tc>
          <w:tcPr>
            <w:tcW w:w="1654" w:type="dxa"/>
            <w:tcBorders/>
            <w:shd w:fill="auto" w:val="clear"/>
          </w:tcPr>
          <w:p>
            <w:pPr>
              <w:pStyle w:val="TableContents"/>
              <w:spacing w:before="0" w:after="283"/>
              <w:jc w:val="lef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040"/>
        <w:gridCol w:w="2334"/>
        <w:gridCol w:w="831"/>
      </w:tblGrid>
      <w:tr>
        <w:trPr/>
        <w:tc>
          <w:tcPr>
            <w:tcW w:w="7040"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tcPr>
          <w:p>
            <w:pPr>
              <w:pStyle w:val="TableContents"/>
              <w:spacing w:before="0" w:after="283"/>
              <w:jc w:val="left"/>
              <w:rPr/>
            </w:pPr>
            <w:r>
              <w:rPr/>
              <w:t>4</w:t>
            </w:r>
          </w:p>
        </w:tc>
        <w:tc>
          <w:tcPr>
            <w:tcW w:w="2334" w:type="dxa"/>
            <w:tcBorders/>
            <w:shd w:fill="auto" w:val="clear"/>
          </w:tcPr>
          <w:p>
            <w:pPr>
              <w:pStyle w:val="TableContents"/>
              <w:spacing w:before="0" w:after="283"/>
              <w:rPr/>
            </w:pPr>
            <w:r>
              <w:rPr/>
              <w:t> </w:t>
            </w:r>
          </w:p>
        </w:tc>
        <w:tc>
          <w:tcPr>
            <w:tcW w:w="831" w:type="dxa"/>
            <w:tcBorders/>
            <w:shd w:fill="auto" w:val="clear"/>
          </w:tcPr>
          <w:p>
            <w:pPr>
              <w:pStyle w:val="TableContents"/>
              <w:spacing w:before="0" w:after="283"/>
              <w:rPr/>
            </w:pPr>
            <w:r>
              <w:rPr/>
              <w:t>To be included only if the Note is issued in global form.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A-11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B</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 OF SUPPLEMENTAL INDENTURE </w:t>
      </w:r>
    </w:p>
    <w:p>
      <w:pPr>
        <w:pStyle w:val="TextBody"/>
        <w:spacing w:before="120" w:after="283"/>
        <w:jc w:val="left"/>
        <w:rPr/>
      </w:pPr>
      <w:r>
        <w:rPr/>
        <w:t>     </w:t>
      </w:r>
      <w:r>
        <w:rPr>
          <w:rFonts w:ascii="Times New Roman;Times;serif" w:hAnsi="Times New Roman;Times;serif"/>
          <w:sz w:val="17"/>
        </w:rPr>
        <w:t xml:space="preserve">SUPPLEMENTAL INDENTURE (this Supplemental Indenture), dated as of ___, among Plains All American Pipeline, L.P., a Delaware limited partnership (the Partnership), PAA Finance Corp., a Delaware corporation (PAA Finance and, together with the Partnership, the Issuers), ___(the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 xml:space="preserve">WHEREAS, the Issuers have heretofore executed and delivered to the Trustee an indenture (the Original Indenture), dated as of September 25, 2002, as supplemented by the Ninth Supplemental Indenture (the Ninth Supplemental Indenture and, together with the Original Indenture, the Indenture) dated as of October 30, 2006, among the Issuers, the Subsidiary Guarantors and the Trustee, providing for the issuance of the Issuers 6.125% Senior Notes due 2017 (the Notes); </w:t>
      </w:r>
    </w:p>
    <w:p>
      <w:pPr>
        <w:pStyle w:val="TextBody"/>
        <w:spacing w:before="120" w:after="283"/>
        <w:jc w:val="left"/>
        <w:rPr/>
      </w:pPr>
      <w:r>
        <w:rPr/>
        <w:t>     </w:t>
      </w:r>
      <w:r>
        <w:rPr>
          <w:rFonts w:ascii="Times New Roman;Times;serif" w:hAnsi="Times New Roman;Times;serif"/>
          <w:sz w:val="17"/>
        </w:rPr>
        <w:t xml:space="preserve">WHEREAS, Section 5.05 of the Ninth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20" w:after="283"/>
        <w:jc w:val="left"/>
        <w:rPr/>
      </w:pPr>
      <w:r>
        <w:rPr/>
        <w:t>     </w:t>
      </w:r>
      <w:r>
        <w:rPr>
          <w:rFonts w:ascii="Times New Roman;Times;serif" w:hAnsi="Times New Roman;Times;serif"/>
          <w:sz w:val="17"/>
        </w:rPr>
        <w:t xml:space="preserve">WHEREAS, pursuant to Section 9.01 of the Original Indenture, the Issuers and the Trustee are authorized to execute and deliver this Supplemental Indenture; </w:t>
      </w:r>
    </w:p>
    <w:p>
      <w:pPr>
        <w:pStyle w:val="TextBody"/>
        <w:spacing w:before="120" w:after="283"/>
        <w:jc w:val="left"/>
        <w:rPr/>
      </w:pPr>
      <w:r>
        <w:rPr/>
        <w:t>     </w:t>
      </w:r>
      <w:r>
        <w:rPr>
          <w:rFonts w:ascii="Times New Roman;Times;serif" w:hAnsi="Times New Roman;Times;serif"/>
          <w:sz w:val="17"/>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20" w:after="283"/>
        <w:jc w:val="left"/>
        <w:rPr/>
      </w:pPr>
      <w:r>
        <w:rPr/>
        <w:t>     </w:t>
      </w:r>
      <w:r>
        <w:rPr>
          <w:rFonts w:ascii="Times New Roman;Times;serif" w:hAnsi="Times New Roman;Times;serif"/>
          <w:sz w:val="17"/>
        </w:rPr>
        <w:t>1. </w:t>
      </w:r>
      <w:r>
        <w:rPr>
          <w:rFonts w:ascii="Times New Roman;Times;serif" w:hAnsi="Times New Roman;Times;serif"/>
          <w:sz w:val="17"/>
          <w:u w:val="single"/>
        </w:rPr>
        <w:t>Definitions.</w:t>
      </w:r>
      <w:r>
        <w:rPr>
          <w:rFonts w:ascii="Times New Roman;Times;serif" w:hAnsi="Times New Roman;Times;serif"/>
          <w:sz w:val="17"/>
        </w:rPr>
        <w:t xml:space="preserve"> (a) Capitalized terms used herein without definition shall have the meanings assigned to them in the Indenture. </w:t>
      </w:r>
    </w:p>
    <w:p>
      <w:pPr>
        <w:pStyle w:val="TextBody"/>
        <w:spacing w:before="120" w:after="283"/>
        <w:jc w:val="left"/>
        <w:rPr/>
      </w:pPr>
      <w:r>
        <w:rPr/>
        <w:t>     </w:t>
      </w:r>
      <w:r>
        <w:rPr>
          <w:rFonts w:ascii="Times New Roman;Times;serif" w:hAnsi="Times New Roman;Times;serif"/>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jc w:val="center"/>
        <w:rPr>
          <w:rFonts w:ascii="Times New Roman;Times;serif" w:hAnsi="Times New Roman;Times;serif"/>
          <w:sz w:val="17"/>
        </w:rPr>
      </w:pPr>
      <w:r>
        <w:rPr>
          <w:rFonts w:ascii="Times New Roman;Times;serif" w:hAnsi="Times New Roman;Times;serif"/>
          <w:sz w:val="17"/>
        </w:rPr>
        <w:t xml:space="preserve">B-1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2. </w:t>
      </w:r>
      <w:r>
        <w:rPr>
          <w:rFonts w:ascii="Times New Roman;Times;serif" w:hAnsi="Times New Roman;Times;serif"/>
          <w:sz w:val="17"/>
          <w:u w:val="single"/>
        </w:rPr>
        <w:t>Agreement to Guarantee.</w:t>
      </w:r>
      <w:r>
        <w:rPr>
          <w:rFonts w:ascii="Times New Roman;Times;serif" w:hAnsi="Times New Roman;Times;serif"/>
          <w:sz w:val="17"/>
        </w:rPr>
        <w:t xml:space="preserve"> The Subsidiary Guarantor hereby agrees, jointly and severally with all other Subsidiary Guarantors under the Indenture, to guarantee the Issuers obligations under the Notes on the terms and subject to the conditions set forth in Article IX of the Ninth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283"/>
        <w:jc w:val="left"/>
        <w:rPr/>
      </w:pPr>
      <w:r>
        <w:rPr/>
        <w:t>     </w:t>
      </w:r>
      <w:r>
        <w:rPr>
          <w:rFonts w:ascii="Times New Roman;Times;serif" w:hAnsi="Times New Roman;Times;serif"/>
          <w:sz w:val="17"/>
        </w:rPr>
        <w:t>3. </w:t>
      </w:r>
      <w:r>
        <w:rPr>
          <w:rFonts w:ascii="Times New Roman;Times;serif" w:hAnsi="Times New Roman;Times;serif"/>
          <w:b/>
          <w:sz w:val="17"/>
          <w:u w:val="single"/>
        </w:rPr>
        <w:t>GOVERNING LAW.</w:t>
      </w:r>
      <w:r>
        <w:rPr>
          <w:rFonts w:ascii="Times New Roman;Times;serif" w:hAnsi="Times New Roman;Times;serif"/>
          <w:sz w:val="17"/>
        </w:rPr>
        <w:t xml:space="preserve"> </w:t>
      </w:r>
      <w:r>
        <w:rPr>
          <w:rFonts w:ascii="Times New Roman;Times;serif" w:hAnsi="Times New Roman;Times;serif"/>
          <w:b/>
          <w:sz w:val="17"/>
        </w:rPr>
        <w:t>THIS SUPPLEMENTAL INDENTURE SHALL BE DEEMED TO BE A NEW YORK CONTRACT, AND FOR ALL PURPOSES SHALL BE CONSTRUED IN ACCORDANCE WITH, THE LAWS OF THE STATE OF NEW YORK.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4. </w:t>
      </w:r>
      <w:r>
        <w:rPr>
          <w:rFonts w:ascii="Times New Roman;Times;serif" w:hAnsi="Times New Roman;Times;serif"/>
          <w:sz w:val="17"/>
          <w:u w:val="single"/>
        </w:rPr>
        <w:t>Trustee Makes No Representation.</w:t>
      </w:r>
      <w:r>
        <w:rPr>
          <w:rFonts w:ascii="Times New Roman;Times;serif" w:hAnsi="Times New Roman;Times;serif"/>
          <w:sz w:val="17"/>
        </w:rPr>
        <w:t xml:space="preserve"> The Trustee makes no representation as to the validity or sufficiency of this Supplemental Indenture. </w:t>
      </w:r>
    </w:p>
    <w:p>
      <w:pPr>
        <w:pStyle w:val="TextBody"/>
        <w:spacing w:before="120" w:after="283"/>
        <w:jc w:val="left"/>
        <w:rPr/>
      </w:pPr>
      <w:r>
        <w:rPr/>
        <w:t>     </w:t>
      </w:r>
      <w:r>
        <w:rPr>
          <w:rFonts w:ascii="Times New Roman;Times;serif" w:hAnsi="Times New Roman;Times;serif"/>
          <w:sz w:val="17"/>
        </w:rPr>
        <w:t>5. </w:t>
      </w:r>
      <w:r>
        <w:rPr>
          <w:rFonts w:ascii="Times New Roman;Times;serif" w:hAnsi="Times New Roman;Times;serif"/>
          <w:sz w:val="17"/>
          <w:u w:val="single"/>
        </w:rPr>
        <w:t>Counterparts.</w:t>
      </w:r>
      <w:r>
        <w:rPr>
          <w:rFonts w:ascii="Times New Roman;Times;serif" w:hAnsi="Times New Roman;Times;serif"/>
          <w:sz w:val="17"/>
        </w:rPr>
        <w:t xml:space="preserve"> The parties may sign any number of copies of this Supplemental Indenture. Each signed copy shall be an original, but all of them together represent the same agreement. </w:t>
      </w:r>
    </w:p>
    <w:p>
      <w:pPr>
        <w:pStyle w:val="TextBody"/>
        <w:spacing w:before="120" w:after="283"/>
        <w:jc w:val="left"/>
        <w:rPr/>
      </w:pPr>
      <w:r>
        <w:rPr/>
        <w:t>     </w:t>
      </w:r>
      <w:r>
        <w:rPr>
          <w:rFonts w:ascii="Times New Roman;Times;serif" w:hAnsi="Times New Roman;Times;serif"/>
          <w:sz w:val="17"/>
        </w:rPr>
        <w:t>6. </w:t>
      </w:r>
      <w:r>
        <w:rPr>
          <w:rFonts w:ascii="Times New Roman;Times;serif" w:hAnsi="Times New Roman;Times;serif"/>
          <w:sz w:val="17"/>
          <w:u w:val="single"/>
        </w:rPr>
        <w:t>Effect of Headings.</w:t>
      </w:r>
      <w:r>
        <w:rPr>
          <w:rFonts w:ascii="Times New Roman;Times;serif" w:hAnsi="Times New Roman;Times;serif"/>
          <w:sz w:val="17"/>
        </w:rPr>
        <w:t xml:space="preserve"> The Section headings herein are for convenience only and shall not effect the construction thereof. </w:t>
      </w:r>
    </w:p>
    <w:p>
      <w:pPr>
        <w:pStyle w:val="TextBody"/>
        <w:spacing w:before="120" w:after="283"/>
        <w:jc w:val="left"/>
        <w:rPr/>
      </w:pPr>
      <w:r>
        <w:rPr/>
        <w:t>     </w:t>
      </w:r>
      <w:r>
        <w:rPr>
          <w:rFonts w:ascii="Times New Roman;Times;serif" w:hAnsi="Times New Roman;Times;serif"/>
          <w:sz w:val="17"/>
        </w:rPr>
        <w:t xml:space="preserve">IN WITNESS WHEREOF, the parties hereto have caused this Supplemental Indenture to be duly executed as of the date first above written. </w:t>
      </w:r>
    </w:p>
    <w:tbl>
      <w:tblPr>
        <w:tblW w:w="5000" w:type="pct"/>
        <w:jc w:val="center"/>
        <w:tblInd w:w="0" w:type="dxa"/>
        <w:tblCellMar>
          <w:top w:w="0" w:type="dxa"/>
          <w:left w:w="0" w:type="dxa"/>
          <w:bottom w:w="0" w:type="dxa"/>
          <w:right w:w="0" w:type="dxa"/>
        </w:tblCellMar>
      </w:tblPr>
      <w:tblGrid>
        <w:gridCol w:w="4485"/>
        <w:gridCol w:w="112"/>
        <w:gridCol w:w="5608"/>
      </w:tblGrid>
      <w:tr>
        <w:trPr/>
        <w:tc>
          <w:tcPr>
            <w:tcW w:w="44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5608" w:type="dxa"/>
            <w:tcBorders/>
            <w:shd w:fill="auto" w:val="clear"/>
            <w:vAlign w:val="bottom"/>
          </w:tcPr>
          <w:p>
            <w:pPr>
              <w:pStyle w:val="TableContents"/>
              <w:spacing w:before="0" w:after="283"/>
              <w:rPr/>
            </w:pPr>
            <w:r>
              <w:rPr/>
              <w:t> </w:t>
            </w:r>
          </w:p>
        </w:tc>
      </w:tr>
      <w:tr>
        <w:trPr/>
        <w:tc>
          <w:tcPr>
            <w:tcW w:w="4485" w:type="dxa"/>
            <w:tcBorders/>
            <w:shd w:fill="auto" w:val="clear"/>
          </w:tcPr>
          <w:p>
            <w:pPr>
              <w:pStyle w:val="TableContents"/>
              <w:spacing w:before="0" w:after="0"/>
              <w:ind w:left="0" w:right="0" w:hanging="0"/>
              <w:rPr/>
            </w:pPr>
            <w:r>
              <w:rPr/>
              <w:t xml:space="preserve">  </w:t>
            </w:r>
          </w:p>
        </w:tc>
        <w:tc>
          <w:tcPr>
            <w:tcW w:w="112" w:type="dxa"/>
            <w:tcBorders/>
            <w:shd w:fill="auto" w:val="clear"/>
            <w:vAlign w:val="bottom"/>
          </w:tcPr>
          <w:p>
            <w:pPr>
              <w:pStyle w:val="TableContents"/>
              <w:spacing w:before="0" w:after="283"/>
              <w:rPr/>
            </w:pPr>
            <w:r>
              <w:rPr/>
              <w:t> </w:t>
            </w:r>
          </w:p>
        </w:tc>
        <w:tc>
          <w:tcPr>
            <w:tcW w:w="5608" w:type="dxa"/>
            <w:tcBorders/>
            <w:shd w:fill="auto" w:val="clear"/>
          </w:tcPr>
          <w:p>
            <w:pPr>
              <w:pStyle w:val="TableContents"/>
              <w:spacing w:before="0" w:after="283"/>
              <w:jc w:val="left"/>
              <w:rPr/>
            </w:pPr>
            <w:r>
              <w:rPr/>
              <w:t>PLAINS ALL AMERICAN PIPELINE, L.P.</w:t>
            </w:r>
          </w:p>
        </w:tc>
      </w:tr>
      <w:tr>
        <w:trPr/>
        <w:tc>
          <w:tcPr>
            <w:tcW w:w="4485"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283"/>
              <w:rPr/>
            </w:pPr>
            <w:r>
              <w:rPr/>
              <w:t> </w:t>
            </w:r>
          </w:p>
        </w:tc>
        <w:tc>
          <w:tcPr>
            <w:tcW w:w="5608" w:type="dxa"/>
            <w:tcBorders/>
            <w:shd w:fill="auto" w:val="clear"/>
          </w:tcPr>
          <w:p>
            <w:pPr>
              <w:pStyle w:val="TableContents"/>
              <w:spacing w:before="0" w:after="283"/>
              <w:jc w:val="left"/>
              <w:rPr/>
            </w:pPr>
            <w:r>
              <w:rPr/>
              <w:t> </w:t>
            </w:r>
          </w:p>
        </w:tc>
      </w:tr>
      <w:tr>
        <w:trPr/>
        <w:tc>
          <w:tcPr>
            <w:tcW w:w="4485" w:type="dxa"/>
            <w:tcBorders/>
            <w:shd w:fill="auto" w:val="clear"/>
          </w:tcPr>
          <w:p>
            <w:pPr>
              <w:pStyle w:val="TableContents"/>
              <w:spacing w:before="0" w:after="0"/>
              <w:ind w:left="0" w:right="0" w:hanging="0"/>
              <w:rPr/>
            </w:pPr>
            <w:r>
              <w:rPr/>
              <w:t xml:space="preserve">  </w:t>
            </w:r>
          </w:p>
        </w:tc>
        <w:tc>
          <w:tcPr>
            <w:tcW w:w="112" w:type="dxa"/>
            <w:tcBorders/>
            <w:shd w:fill="auto" w:val="clear"/>
            <w:vAlign w:val="bottom"/>
          </w:tcPr>
          <w:p>
            <w:pPr>
              <w:pStyle w:val="TableContents"/>
              <w:spacing w:before="0" w:after="283"/>
              <w:rPr/>
            </w:pPr>
            <w:r>
              <w:rPr/>
              <w:t> </w:t>
            </w:r>
          </w:p>
        </w:tc>
        <w:tc>
          <w:tcPr>
            <w:tcW w:w="5608" w:type="dxa"/>
            <w:tcBorders/>
            <w:shd w:fill="auto" w:val="clear"/>
          </w:tcPr>
          <w:p>
            <w:pPr>
              <w:pStyle w:val="TableContents"/>
              <w:spacing w:before="0" w:after="283"/>
              <w:jc w:val="left"/>
              <w:rPr/>
            </w:pPr>
            <w:r>
              <w:rPr/>
              <w:t>By: Plains AAP, L.P., its General Partner</w:t>
            </w:r>
          </w:p>
        </w:tc>
      </w:tr>
      <w:tr>
        <w:trPr/>
        <w:tc>
          <w:tcPr>
            <w:tcW w:w="4485" w:type="dxa"/>
            <w:tcBorders/>
            <w:shd w:fill="auto" w:val="clear"/>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283"/>
              <w:rPr/>
            </w:pPr>
            <w:r>
              <w:rPr/>
              <w:t> </w:t>
            </w:r>
          </w:p>
        </w:tc>
        <w:tc>
          <w:tcPr>
            <w:tcW w:w="5608" w:type="dxa"/>
            <w:tcBorders/>
            <w:shd w:fill="auto" w:val="clear"/>
          </w:tcPr>
          <w:p>
            <w:pPr>
              <w:pStyle w:val="TableContents"/>
              <w:spacing w:before="0" w:after="283"/>
              <w:jc w:val="left"/>
              <w:rPr/>
            </w:pPr>
            <w:r>
              <w:rPr/>
              <w:t> </w:t>
            </w:r>
          </w:p>
        </w:tc>
      </w:tr>
      <w:tr>
        <w:trPr/>
        <w:tc>
          <w:tcPr>
            <w:tcW w:w="4485" w:type="dxa"/>
            <w:tcBorders/>
            <w:shd w:fill="auto" w:val="clear"/>
          </w:tcPr>
          <w:p>
            <w:pPr>
              <w:pStyle w:val="TableContents"/>
              <w:spacing w:before="0" w:after="0"/>
              <w:ind w:left="0" w:right="0" w:hanging="0"/>
              <w:rPr/>
            </w:pPr>
            <w:r>
              <w:rPr/>
              <w:t xml:space="preserve">  </w:t>
            </w:r>
          </w:p>
        </w:tc>
        <w:tc>
          <w:tcPr>
            <w:tcW w:w="112" w:type="dxa"/>
            <w:tcBorders/>
            <w:shd w:fill="auto" w:val="clear"/>
            <w:vAlign w:val="bottom"/>
          </w:tcPr>
          <w:p>
            <w:pPr>
              <w:pStyle w:val="TableContents"/>
              <w:spacing w:before="0" w:after="283"/>
              <w:rPr/>
            </w:pPr>
            <w:r>
              <w:rPr/>
              <w:t> </w:t>
            </w:r>
          </w:p>
        </w:tc>
        <w:tc>
          <w:tcPr>
            <w:tcW w:w="5608" w:type="dxa"/>
            <w:tcBorders/>
            <w:shd w:fill="auto" w:val="clear"/>
          </w:tcPr>
          <w:p>
            <w:pPr>
              <w:pStyle w:val="TableContents"/>
              <w:spacing w:before="0" w:after="283"/>
              <w:jc w:val="left"/>
              <w:rPr/>
            </w:pPr>
            <w:r>
              <w:rPr/>
              <w:t>By: Plains All American GP LLC, its General Partner</w:t>
            </w:r>
          </w:p>
        </w:tc>
      </w:tr>
    </w:tbl>
    <w:tbl>
      <w:tblPr>
        <w:tblW w:w="5000" w:type="pct"/>
        <w:jc w:val="center"/>
        <w:tblInd w:w="0" w:type="dxa"/>
        <w:tblCellMar>
          <w:top w:w="0" w:type="dxa"/>
          <w:left w:w="0" w:type="dxa"/>
          <w:bottom w:w="0" w:type="dxa"/>
          <w:right w:w="0" w:type="dxa"/>
        </w:tblCellMar>
      </w:tblPr>
      <w:tblGrid>
        <w:gridCol w:w="5775"/>
        <w:gridCol w:w="126"/>
        <w:gridCol w:w="372"/>
        <w:gridCol w:w="130"/>
        <w:gridCol w:w="3802"/>
      </w:tblGrid>
      <w:tr>
        <w:trPr/>
        <w:tc>
          <w:tcPr>
            <w:tcW w:w="577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vAlign w:val="bottom"/>
          </w:tcPr>
          <w:p>
            <w:pPr>
              <w:pStyle w:val="TableContents"/>
              <w:spacing w:before="0" w:after="283"/>
              <w:rPr/>
            </w:pPr>
            <w:r>
              <w:rPr/>
              <w:t> </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 </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3802" w:type="dxa"/>
            <w:tcBorders>
              <w:top w:val="single" w:sz="2" w:space="0" w:color="000000"/>
            </w:tcBorders>
            <w:shd w:fill="auto" w:val="clear"/>
            <w:tcMar>
              <w:top w:w="28" w:type="dxa"/>
            </w:tcMar>
          </w:tcPr>
          <w:p>
            <w:pPr>
              <w:pStyle w:val="TableContents"/>
              <w:spacing w:before="0" w:after="283"/>
              <w:jc w:val="left"/>
              <w:rPr/>
            </w:pPr>
            <w:r>
              <w:rPr/>
              <w:t> </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Name:</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Title:</w:t>
            </w:r>
          </w:p>
        </w:tc>
      </w:tr>
      <w:tr>
        <w:trPr/>
        <w:tc>
          <w:tcPr>
            <w:tcW w:w="5775"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 </w:t>
            </w:r>
          </w:p>
        </w:tc>
      </w:tr>
      <w:tr>
        <w:trPr/>
        <w:tc>
          <w:tcPr>
            <w:tcW w:w="5775"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304" w:type="dxa"/>
            <w:gridSpan w:val="3"/>
            <w:tcBorders/>
            <w:shd w:fill="auto" w:val="clear"/>
          </w:tcPr>
          <w:p>
            <w:pPr>
              <w:pStyle w:val="TableContents"/>
              <w:spacing w:before="0" w:after="283"/>
              <w:jc w:val="left"/>
              <w:rPr/>
            </w:pPr>
            <w:r>
              <w:rPr/>
              <w:t>PAA FINANCE CORP.</w:t>
            </w:r>
          </w:p>
        </w:tc>
      </w:tr>
      <w:tr>
        <w:trPr/>
        <w:tc>
          <w:tcPr>
            <w:tcW w:w="5775"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 </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By:</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 </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center"/>
          </w:tcPr>
          <w:p>
            <w:pPr>
              <w:pStyle w:val="TableContents"/>
              <w:spacing w:before="0" w:after="283"/>
              <w:rPr/>
            </w:pPr>
            <w:r>
              <w:rPr/>
              <w:t> </w:t>
            </w:r>
          </w:p>
        </w:tc>
        <w:tc>
          <w:tcPr>
            <w:tcW w:w="3802" w:type="dxa"/>
            <w:tcBorders>
              <w:top w:val="single" w:sz="2" w:space="0" w:color="000000"/>
            </w:tcBorders>
            <w:shd w:fill="auto" w:val="clear"/>
            <w:tcMar>
              <w:top w:w="28" w:type="dxa"/>
            </w:tcMar>
          </w:tcPr>
          <w:p>
            <w:pPr>
              <w:pStyle w:val="TableContents"/>
              <w:spacing w:before="0" w:after="283"/>
              <w:jc w:val="left"/>
              <w:rPr/>
            </w:pPr>
            <w:r>
              <w:rPr/>
              <w:t> </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Name:</w:t>
            </w:r>
          </w:p>
        </w:tc>
      </w:tr>
      <w:tr>
        <w:trPr/>
        <w:tc>
          <w:tcPr>
            <w:tcW w:w="5775"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72" w:type="dxa"/>
            <w:tcBorders/>
            <w:shd w:fill="auto" w:val="clear"/>
          </w:tcPr>
          <w:p>
            <w:pPr>
              <w:pStyle w:val="TableContents"/>
              <w:spacing w:before="0" w:after="283"/>
              <w:jc w:val="left"/>
              <w:rPr/>
            </w:pPr>
            <w:r>
              <w:rPr/>
              <w:t> </w:t>
            </w:r>
          </w:p>
        </w:tc>
        <w:tc>
          <w:tcPr>
            <w:tcW w:w="130" w:type="dxa"/>
            <w:tcBorders/>
            <w:shd w:fill="auto" w:val="clear"/>
            <w:vAlign w:val="bottom"/>
          </w:tcPr>
          <w:p>
            <w:pPr>
              <w:pStyle w:val="TableContents"/>
              <w:spacing w:before="0" w:after="283"/>
              <w:rPr/>
            </w:pPr>
            <w:r>
              <w:rPr/>
              <w:t> </w:t>
            </w:r>
          </w:p>
        </w:tc>
        <w:tc>
          <w:tcPr>
            <w:tcW w:w="3802" w:type="dxa"/>
            <w:tcBorders/>
            <w:shd w:fill="auto" w:val="clear"/>
          </w:tcPr>
          <w:p>
            <w:pPr>
              <w:pStyle w:val="TableContents"/>
              <w:spacing w:before="0" w:after="283"/>
              <w:jc w:val="left"/>
              <w:rPr/>
            </w:pPr>
            <w:r>
              <w:rPr/>
              <w:t>Title: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B-2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5330"/>
        <w:gridCol w:w="133"/>
        <w:gridCol w:w="661"/>
        <w:gridCol w:w="163"/>
        <w:gridCol w:w="3918"/>
      </w:tblGrid>
      <w:tr>
        <w:trPr/>
        <w:tc>
          <w:tcPr>
            <w:tcW w:w="533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vAlign w:val="bottom"/>
          </w:tcPr>
          <w:p>
            <w:pPr>
              <w:pStyle w:val="TableContents"/>
              <w:spacing w:before="0" w:after="283"/>
              <w:rPr/>
            </w:pPr>
            <w:r>
              <w:rPr/>
              <w:t> </w:t>
            </w:r>
          </w:p>
        </w:tc>
      </w:tr>
      <w:tr>
        <w:trPr/>
        <w:tc>
          <w:tcPr>
            <w:tcW w:w="533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742" w:type="dxa"/>
            <w:gridSpan w:val="3"/>
            <w:tcBorders/>
            <w:shd w:fill="auto" w:val="clear"/>
          </w:tcPr>
          <w:p>
            <w:pPr>
              <w:pStyle w:val="TableContents"/>
              <w:spacing w:before="0" w:after="283"/>
              <w:jc w:val="left"/>
              <w:rPr/>
            </w:pPr>
            <w:r>
              <w:rPr/>
              <w:t>[SUBSIDIARY GUARANTOR],</w:t>
            </w:r>
          </w:p>
        </w:tc>
      </w:tr>
      <w:tr>
        <w:trPr/>
        <w:tc>
          <w:tcPr>
            <w:tcW w:w="5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 </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By:</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 </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3918" w:type="dxa"/>
            <w:tcBorders>
              <w:top w:val="single" w:sz="2" w:space="0" w:color="000000"/>
            </w:tcBorders>
            <w:shd w:fill="auto" w:val="clear"/>
            <w:tcMar>
              <w:top w:w="28" w:type="dxa"/>
            </w:tcMar>
          </w:tcPr>
          <w:p>
            <w:pPr>
              <w:pStyle w:val="TableContents"/>
              <w:spacing w:before="0" w:after="283"/>
              <w:jc w:val="left"/>
              <w:rPr/>
            </w:pPr>
            <w:r>
              <w:rPr/>
              <w:t> </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Name:</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Title:</w:t>
            </w:r>
          </w:p>
        </w:tc>
      </w:tr>
      <w:tr>
        <w:trPr/>
        <w:tc>
          <w:tcPr>
            <w:tcW w:w="5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 </w:t>
            </w:r>
          </w:p>
        </w:tc>
      </w:tr>
      <w:tr>
        <w:trPr/>
        <w:tc>
          <w:tcPr>
            <w:tcW w:w="533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742" w:type="dxa"/>
            <w:gridSpan w:val="3"/>
            <w:tcBorders/>
            <w:shd w:fill="auto" w:val="clear"/>
          </w:tcPr>
          <w:p>
            <w:pPr>
              <w:pStyle w:val="TableContents"/>
              <w:spacing w:before="0" w:after="283"/>
              <w:jc w:val="left"/>
              <w:rPr/>
            </w:pPr>
            <w:r>
              <w:rPr/>
              <w:t>U.S. BANK NATIONAL ASSOCIATION, as Trustee</w:t>
            </w:r>
          </w:p>
        </w:tc>
      </w:tr>
      <w:tr>
        <w:trPr/>
        <w:tc>
          <w:tcPr>
            <w:tcW w:w="5330" w:type="dxa"/>
            <w:tcBorders/>
            <w:shd w:fill="auto" w:val="clear"/>
            <w:vAlign w:val="center"/>
          </w:tcPr>
          <w:p>
            <w:pPr>
              <w:pStyle w:val="TableContents"/>
              <w:spacing w:before="0" w:after="283"/>
              <w:rPr/>
            </w:pPr>
            <w:r>
              <w:rPr/>
              <w:t> </w:t>
            </w:r>
          </w:p>
        </w:tc>
        <w:tc>
          <w:tcPr>
            <w:tcW w:w="4875" w:type="dxa"/>
            <w:gridSpan w:val="4"/>
            <w:tcBorders/>
            <w:shd w:fill="auto" w:val="clear"/>
          </w:tcPr>
          <w:p>
            <w:pPr>
              <w:pStyle w:val="TableContents"/>
              <w:spacing w:before="0" w:after="283"/>
              <w:rPr>
                <w:sz w:val="4"/>
                <w:szCs w:val="4"/>
              </w:rPr>
            </w:pPr>
            <w:r>
              <w:rPr>
                <w:sz w:val="4"/>
                <w:szCs w:val="4"/>
              </w:rPr>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By:</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 </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center"/>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3918" w:type="dxa"/>
            <w:tcBorders>
              <w:top w:val="single" w:sz="2" w:space="0" w:color="000000"/>
            </w:tcBorders>
            <w:shd w:fill="auto" w:val="clear"/>
            <w:tcMar>
              <w:top w:w="28" w:type="dxa"/>
            </w:tcMar>
          </w:tcPr>
          <w:p>
            <w:pPr>
              <w:pStyle w:val="TableContents"/>
              <w:spacing w:before="0" w:after="283"/>
              <w:jc w:val="left"/>
              <w:rPr/>
            </w:pPr>
            <w:r>
              <w:rPr/>
              <w:t> </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Name:</w:t>
            </w:r>
          </w:p>
        </w:tc>
      </w:tr>
      <w:tr>
        <w:trPr/>
        <w:tc>
          <w:tcPr>
            <w:tcW w:w="5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661"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918" w:type="dxa"/>
            <w:tcBorders/>
            <w:shd w:fill="auto" w:val="clear"/>
          </w:tcPr>
          <w:p>
            <w:pPr>
              <w:pStyle w:val="TableContents"/>
              <w:spacing w:before="0" w:after="283"/>
              <w:jc w:val="left"/>
              <w:rPr/>
            </w:pPr>
            <w:r>
              <w:rPr/>
              <w:t>Title: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B-3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C</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CERTIFICATE TO BE DELIVERED UPON EXCHANGE</w:t>
        <w:br/>
        <w:t>OR REGISTRATION OF TRANSFER OF SECURITIES</w:t>
        <w:br/>
        <w:t xml:space="preserve">PURSUANT TO RULE 144A OR RULE 501 </w:t>
      </w:r>
    </w:p>
    <w:tbl>
      <w:tblPr>
        <w:tblW w:w="5000" w:type="pct"/>
        <w:jc w:val="left"/>
        <w:tblInd w:w="0" w:type="dxa"/>
        <w:tblCellMar>
          <w:top w:w="0" w:type="dxa"/>
          <w:left w:w="0" w:type="dxa"/>
          <w:bottom w:w="0" w:type="dxa"/>
          <w:right w:w="0" w:type="dxa"/>
        </w:tblCellMar>
      </w:tblPr>
      <w:tblGrid>
        <w:gridCol w:w="365"/>
        <w:gridCol w:w="110"/>
        <w:gridCol w:w="9730"/>
      </w:tblGrid>
      <w:tr>
        <w:trPr/>
        <w:tc>
          <w:tcPr>
            <w:tcW w:w="36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730" w:type="dxa"/>
            <w:tcBorders/>
            <w:shd w:fill="auto" w:val="clear"/>
            <w:vAlign w:val="center"/>
          </w:tcPr>
          <w:p>
            <w:pPr>
              <w:pStyle w:val="TableContents"/>
              <w:spacing w:before="0" w:after="283"/>
              <w:rPr>
                <w:sz w:val="4"/>
                <w:szCs w:val="4"/>
              </w:rPr>
            </w:pPr>
            <w:r>
              <w:rPr>
                <w:sz w:val="4"/>
                <w:szCs w:val="4"/>
              </w:rPr>
            </w:r>
          </w:p>
        </w:tc>
      </w:tr>
      <w:tr>
        <w:trPr/>
        <w:tc>
          <w:tcPr>
            <w:tcW w:w="365" w:type="dxa"/>
            <w:tcBorders/>
            <w:shd w:fill="auto" w:val="clear"/>
          </w:tcPr>
          <w:p>
            <w:pPr>
              <w:pStyle w:val="TableContents"/>
              <w:spacing w:before="0" w:after="283"/>
              <w:jc w:val="left"/>
              <w:rPr/>
            </w:pPr>
            <w:r>
              <w:rPr/>
              <w:t>Re:</w:t>
            </w:r>
          </w:p>
        </w:tc>
        <w:tc>
          <w:tcPr>
            <w:tcW w:w="110" w:type="dxa"/>
            <w:tcBorders/>
            <w:shd w:fill="auto" w:val="clear"/>
          </w:tcPr>
          <w:p>
            <w:pPr>
              <w:pStyle w:val="TableContents"/>
              <w:spacing w:before="0" w:after="283"/>
              <w:rPr/>
            </w:pPr>
            <w:r>
              <w:rPr/>
              <w:t> </w:t>
            </w:r>
          </w:p>
        </w:tc>
        <w:tc>
          <w:tcPr>
            <w:tcW w:w="9730" w:type="dxa"/>
            <w:tcBorders/>
            <w:shd w:fill="auto" w:val="clear"/>
          </w:tcPr>
          <w:p>
            <w:pPr>
              <w:pStyle w:val="TableContents"/>
              <w:spacing w:before="0" w:after="283"/>
              <w:rPr/>
            </w:pPr>
            <w:r>
              <w:rPr/>
              <w:t>6.125% Series [A/B] Senior Notes due 2017 of Plains All American Pipeline, L.P. and PAA Finance Corp. (together, the Issuers)</w:t>
            </w:r>
          </w:p>
        </w:tc>
      </w:tr>
    </w:tbl>
    <w:p>
      <w:pPr>
        <w:pStyle w:val="TextBody"/>
        <w:spacing w:before="120" w:after="283"/>
        <w:jc w:val="left"/>
        <w:rPr/>
      </w:pPr>
      <w:r>
        <w:rPr/>
        <w:t>                    </w:t>
      </w:r>
      <w:r>
        <w:rPr>
          <w:rFonts w:ascii="Times New Roman;Times;serif" w:hAnsi="Times New Roman;Times;serif"/>
          <w:sz w:val="17"/>
        </w:rPr>
        <w:t xml:space="preserve">This Certificate relates to $___principal amount of the above captioned Notes held in definitive form (the Securities) by ___(the Transferor).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Transferor has requested the Trustee by written order to exchange or register the transfer of a Security or Securities. </w:t>
      </w:r>
    </w:p>
    <w:p>
      <w:pPr>
        <w:pStyle w:val="TextBody"/>
        <w:spacing w:before="120" w:after="283"/>
        <w:jc w:val="left"/>
        <w:rPr/>
      </w:pPr>
      <w:r>
        <w:rPr/>
        <w:t>     </w:t>
      </w:r>
      <w:r>
        <w:rPr>
          <w:rFonts w:ascii="Times New Roman;Times;serif" w:hAnsi="Times New Roman;Times;serif"/>
          <w:sz w:val="17"/>
        </w:rPr>
        <w:t xml:space="preserve">In connection with such request and in respect of each such Security, the Transferor does hereby certify that the Transferor is familiar with the Indenture and the Supplemental Indenture relative to the Securities and that the transfer of this Security does not require registration under the Securities Act (as defined below) because:* </w:t>
      </w:r>
    </w:p>
    <w:p>
      <w:pPr>
        <w:pStyle w:val="TextBody"/>
        <w:spacing w:before="120" w:after="283"/>
        <w:jc w:val="left"/>
        <w:rPr/>
      </w:pPr>
      <w:r>
        <w:rPr/>
        <w:t>     </w:t>
      </w:r>
      <w:r>
        <w:rPr>
          <w:rFonts w:ascii="Wingdings" w:hAnsi="Wingdings"/>
          <w:sz w:val="17"/>
        </w:rPr>
        <w:t>p</w:t>
      </w:r>
      <w:r>
        <w:rPr>
          <w:rFonts w:ascii="Times New Roman;Times;serif" w:hAnsi="Times New Roman;Times;serif"/>
          <w:sz w:val="17"/>
        </w:rPr>
        <w:t xml:space="preserve">       Such Security is being acquired for the Transferors own account without transfer. </w:t>
      </w:r>
    </w:p>
    <w:p>
      <w:pPr>
        <w:pStyle w:val="TextBody"/>
        <w:spacing w:before="120" w:after="283"/>
        <w:jc w:val="left"/>
        <w:rPr/>
      </w:pPr>
      <w:r>
        <w:rPr/>
        <w:t>     </w:t>
      </w:r>
      <w:r>
        <w:rPr>
          <w:rFonts w:ascii="Wingdings" w:hAnsi="Wingdings"/>
          <w:sz w:val="17"/>
        </w:rPr>
        <w:t>p</w:t>
      </w:r>
      <w:r>
        <w:rPr>
          <w:rFonts w:ascii="Times New Roman;Times;serif" w:hAnsi="Times New Roman;Times;serif"/>
          <w:sz w:val="17"/>
        </w:rPr>
        <w:t xml:space="preserve">      Such Security is being transferred to a qualified institutional buyer (as defined in Rule 144A under the Securities Act of 1933, as amended (the Securities Act)), in reliance on Rule 144A under the Securities Act and in accordance with any applicable securities laws of any state of the United States or any other jurisdiction, that is purchasing for its own account or for the account of another qualified institutional buyer, in each case to whom notice is given that the transfer is being made in reliance on Rule 144A. </w:t>
      </w:r>
    </w:p>
    <w:p>
      <w:pPr>
        <w:pStyle w:val="TextBody"/>
        <w:spacing w:before="120" w:after="283"/>
        <w:jc w:val="left"/>
        <w:rPr/>
      </w:pPr>
      <w:r>
        <w:rPr/>
        <w:t>     </w:t>
      </w:r>
      <w:r>
        <w:rPr>
          <w:rFonts w:ascii="Wingdings" w:hAnsi="Wingdings"/>
          <w:sz w:val="17"/>
        </w:rPr>
        <w:t>p</w:t>
      </w:r>
      <w:r>
        <w:rPr>
          <w:rFonts w:ascii="Times New Roman;Times;serif" w:hAnsi="Times New Roman;Times;serif"/>
          <w:sz w:val="17"/>
        </w:rPr>
        <w:t xml:space="preserve">      Such Security is being transferred (i) in accordance with Rule 144 under the Securities Act (and based on an opinion of counsel if the Issuers or the Trustee so requests) or (ii) pursuant to an effective registration statement under the Securities Act. </w:t>
      </w:r>
    </w:p>
    <w:p>
      <w:pPr>
        <w:pStyle w:val="TextBody"/>
        <w:spacing w:before="120" w:after="283"/>
        <w:jc w:val="left"/>
        <w:rPr/>
      </w:pPr>
      <w:r>
        <w:rPr/>
        <w:t>     </w:t>
      </w:r>
      <w:r>
        <w:rPr>
          <w:rFonts w:ascii="Wingdings" w:hAnsi="Wingdings"/>
          <w:sz w:val="17"/>
        </w:rPr>
        <w:t>p</w:t>
      </w:r>
      <w:r>
        <w:rPr>
          <w:rFonts w:ascii="Times New Roman;Times;serif" w:hAnsi="Times New Roman;Times;serif"/>
          <w:sz w:val="17"/>
        </w:rPr>
        <w:t xml:space="preserve">      Such Security is being transferred to an institutional accredited investor within the meaning of Rule 501(a)(1), (2), (3) or (7) under the Securities Act pursuant to a private placement exemption from the registration requirements of the Securities Act (and based on an opinion of counsel if the Issuers or the Trustee so requests) and in accordance with any applicable securities laws of any state of the United States or any other jurisdiction, that is purchasing for its own account or for the account of another institutional accredited investor, together with a certification in substantially the form of Exhibit D to the Supplemental Indenture and, to the knowledge of the Transferor, such institutional accredited investor to whom such Security is to be transferred is not an affiliate (as defined in Rule 144 under the Securities Act) of an Issuer. </w:t>
      </w:r>
    </w:p>
    <w:p>
      <w:pPr>
        <w:pStyle w:val="TextBody"/>
        <w:jc w:val="center"/>
        <w:rPr>
          <w:rFonts w:ascii="Times New Roman;Times;serif" w:hAnsi="Times New Roman;Times;serif"/>
          <w:sz w:val="17"/>
        </w:rPr>
      </w:pPr>
      <w:r>
        <w:rPr>
          <w:rFonts w:ascii="Times New Roman;Times;serif" w:hAnsi="Times New Roman;Times;serif"/>
          <w:sz w:val="17"/>
        </w:rPr>
        <w:t xml:space="preserve">C-1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Wingdings" w:hAnsi="Wingdings"/>
          <w:sz w:val="17"/>
        </w:rPr>
        <w:t>p</w:t>
      </w:r>
      <w:r>
        <w:rPr>
          <w:rFonts w:ascii="Times New Roman;Times;serif" w:hAnsi="Times New Roman;Times;serif"/>
          <w:sz w:val="17"/>
        </w:rPr>
        <w:t xml:space="preserve">      Such Security is being transferred in reliance on and in compliance with another exemption from the registration requirements of the Securities Act (and based on an opinion of counsel if the Issuers so request).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 Check appropriate response. </w:t>
      </w:r>
    </w:p>
    <w:tbl>
      <w:tblPr>
        <w:tblW w:w="5000" w:type="pct"/>
        <w:jc w:val="center"/>
        <w:tblInd w:w="0" w:type="dxa"/>
        <w:tblCellMar>
          <w:top w:w="0" w:type="dxa"/>
          <w:left w:w="0" w:type="dxa"/>
          <w:bottom w:w="0" w:type="dxa"/>
          <w:right w:w="0" w:type="dxa"/>
        </w:tblCellMar>
      </w:tblPr>
      <w:tblGrid>
        <w:gridCol w:w="5551"/>
        <w:gridCol w:w="126"/>
        <w:gridCol w:w="429"/>
        <w:gridCol w:w="139"/>
        <w:gridCol w:w="3960"/>
      </w:tblGrid>
      <w:tr>
        <w:trPr/>
        <w:tc>
          <w:tcPr>
            <w:tcW w:w="555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60" w:type="dxa"/>
            <w:tcBorders/>
            <w:shd w:fill="auto" w:val="clear"/>
            <w:vAlign w:val="bottom"/>
          </w:tcPr>
          <w:p>
            <w:pPr>
              <w:pStyle w:val="TableContents"/>
              <w:spacing w:before="0" w:after="283"/>
              <w:rPr/>
            </w:pPr>
            <w:r>
              <w:rPr/>
              <w:t> </w:t>
            </w:r>
          </w:p>
        </w:tc>
      </w:tr>
      <w:tr>
        <w:trPr/>
        <w:tc>
          <w:tcPr>
            <w:tcW w:w="5551" w:type="dxa"/>
            <w:tcBorders/>
            <w:shd w:fill="auto" w:val="clea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4528"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5551"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528" w:type="dxa"/>
            <w:gridSpan w:val="3"/>
            <w:tcBorders/>
            <w:shd w:fill="auto" w:val="clear"/>
          </w:tcPr>
          <w:p>
            <w:pPr>
              <w:pStyle w:val="TableContents"/>
              <w:spacing w:before="0" w:after="283"/>
              <w:jc w:val="left"/>
              <w:rPr/>
            </w:pPr>
            <w:r>
              <w:rPr/>
              <w:t>[INSERT NAME OF TRANSFEROR]</w:t>
            </w:r>
          </w:p>
        </w:tc>
      </w:tr>
      <w:tr>
        <w:trPr/>
        <w:tc>
          <w:tcPr>
            <w:tcW w:w="555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3960" w:type="dxa"/>
            <w:tcBorders/>
            <w:shd w:fill="auto" w:val="clear"/>
          </w:tcPr>
          <w:p>
            <w:pPr>
              <w:pStyle w:val="TableContents"/>
              <w:spacing w:before="0" w:after="283"/>
              <w:jc w:val="left"/>
              <w:rPr/>
            </w:pPr>
            <w:r>
              <w:rPr/>
              <w:t> </w:t>
            </w:r>
          </w:p>
        </w:tc>
      </w:tr>
      <w:tr>
        <w:trPr/>
        <w:tc>
          <w:tcPr>
            <w:tcW w:w="555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By:</w:t>
            </w:r>
          </w:p>
        </w:tc>
        <w:tc>
          <w:tcPr>
            <w:tcW w:w="139" w:type="dxa"/>
            <w:tcBorders/>
            <w:shd w:fill="auto" w:val="clear"/>
            <w:vAlign w:val="bottom"/>
          </w:tcPr>
          <w:p>
            <w:pPr>
              <w:pStyle w:val="TableContents"/>
              <w:spacing w:before="0" w:after="283"/>
              <w:rPr/>
            </w:pPr>
            <w:r>
              <w:rPr/>
              <w:t> </w:t>
            </w:r>
          </w:p>
        </w:tc>
        <w:tc>
          <w:tcPr>
            <w:tcW w:w="3960" w:type="dxa"/>
            <w:tcBorders/>
            <w:shd w:fill="auto" w:val="clear"/>
          </w:tcPr>
          <w:p>
            <w:pPr>
              <w:pStyle w:val="TableContents"/>
              <w:spacing w:before="0" w:after="283"/>
              <w:jc w:val="left"/>
              <w:rPr/>
            </w:pPr>
            <w:r>
              <w:rPr/>
              <w:t> </w:t>
            </w:r>
          </w:p>
        </w:tc>
      </w:tr>
      <w:tr>
        <w:trPr/>
        <w:tc>
          <w:tcPr>
            <w:tcW w:w="5551"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39" w:type="dxa"/>
            <w:tcBorders/>
            <w:shd w:fill="auto" w:val="clear"/>
            <w:vAlign w:val="center"/>
          </w:tcPr>
          <w:p>
            <w:pPr>
              <w:pStyle w:val="TableContents"/>
              <w:spacing w:before="0" w:after="283"/>
              <w:rPr/>
            </w:pPr>
            <w:r>
              <w:rPr/>
              <w:t> </w:t>
            </w:r>
          </w:p>
        </w:tc>
        <w:tc>
          <w:tcPr>
            <w:tcW w:w="3960" w:type="dxa"/>
            <w:tcBorders>
              <w:top w:val="single" w:sz="2" w:space="0" w:color="000000"/>
            </w:tcBorders>
            <w:shd w:fill="auto" w:val="clear"/>
            <w:tcMar>
              <w:top w:w="28" w:type="dxa"/>
            </w:tcMar>
          </w:tcPr>
          <w:p>
            <w:pPr>
              <w:pStyle w:val="TableContents"/>
              <w:spacing w:before="0" w:after="283"/>
              <w:jc w:val="left"/>
              <w:rPr/>
            </w:pPr>
            <w:r>
              <w:rPr/>
              <w:t> </w:t>
            </w:r>
          </w:p>
        </w:tc>
      </w:tr>
      <w:tr>
        <w:trPr/>
        <w:tc>
          <w:tcPr>
            <w:tcW w:w="555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3960" w:type="dxa"/>
            <w:tcBorders/>
            <w:shd w:fill="auto" w:val="clear"/>
          </w:tcPr>
          <w:p>
            <w:pPr>
              <w:pStyle w:val="TableContents"/>
              <w:spacing w:before="0" w:after="283"/>
              <w:jc w:val="left"/>
              <w:rPr/>
            </w:pPr>
            <w:r>
              <w:rPr/>
              <w:t>Name:</w:t>
            </w:r>
          </w:p>
        </w:tc>
      </w:tr>
      <w:tr>
        <w:trPr/>
        <w:tc>
          <w:tcPr>
            <w:tcW w:w="555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3960" w:type="dxa"/>
            <w:tcBorders/>
            <w:shd w:fill="auto" w:val="clear"/>
          </w:tcPr>
          <w:p>
            <w:pPr>
              <w:pStyle w:val="TableContents"/>
              <w:spacing w:before="0" w:after="283"/>
              <w:jc w:val="left"/>
              <w:rPr/>
            </w:pPr>
            <w:r>
              <w:rPr/>
              <w:t>Title:</w:t>
            </w:r>
          </w:p>
        </w:tc>
      </w:tr>
      <w:tr>
        <w:trPr/>
        <w:tc>
          <w:tcPr>
            <w:tcW w:w="555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39" w:type="dxa"/>
            <w:tcBorders/>
            <w:shd w:fill="auto" w:val="clear"/>
            <w:vAlign w:val="bottom"/>
          </w:tcPr>
          <w:p>
            <w:pPr>
              <w:pStyle w:val="TableContents"/>
              <w:spacing w:before="0" w:after="283"/>
              <w:rPr/>
            </w:pPr>
            <w:r>
              <w:rPr/>
              <w:t> </w:t>
            </w:r>
          </w:p>
        </w:tc>
        <w:tc>
          <w:tcPr>
            <w:tcW w:w="3960" w:type="dxa"/>
            <w:tcBorders/>
            <w:shd w:fill="auto" w:val="clear"/>
          </w:tcPr>
          <w:p>
            <w:pPr>
              <w:pStyle w:val="TableContents"/>
              <w:spacing w:before="0" w:after="283"/>
              <w:jc w:val="left"/>
              <w:rPr/>
            </w:pPr>
            <w:r>
              <w:rPr/>
              <w:t>Address:</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Date:</w:t>
      </w:r>
      <w:r>
        <w:rPr>
          <w:rFonts w:ascii="Times New Roman;Times;serif" w:hAnsi="Times New Roman;Times;serif"/>
          <w:sz w:val="17"/>
          <w:u w:val="single"/>
        </w:rPr>
        <w:t>                                        </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C-2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D</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TRANSFEREE LETTER OF REPRESENTATIONS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PAA Finance Corp.</w:t>
        <w:br/>
        <w:t>c/o U.S. Bank National Association, Trustee</w:t>
        <w:br/>
        <w:t>5847 San Felipe, Suite 1050</w:t>
        <w:br/>
        <w:t>Houston, Texas 77057</w:t>
        <w:br/>
        <w:t xml:space="preserve">Attn: Corporate Trust Group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In connection with our proposed purchase of $___aggregate principal amount of 6.125% Senior Notes due 2017 (the Securities) of Plains All American Pipeline, L.P. and PAA Finance Corp. (together, the Issuers): </w:t>
      </w:r>
    </w:p>
    <w:p>
      <w:pPr>
        <w:pStyle w:val="TextBody"/>
        <w:spacing w:before="120" w:after="283"/>
        <w:jc w:val="left"/>
        <w:rPr/>
      </w:pPr>
      <w:r>
        <w:rPr/>
        <w:t>     </w:t>
      </w:r>
      <w:r>
        <w:rPr>
          <w:rFonts w:ascii="Times New Roman;Times;serif" w:hAnsi="Times New Roman;Times;serif"/>
          <w:sz w:val="17"/>
        </w:rPr>
        <w:t xml:space="preserve">1. We understand that the Securities have not been registered under the Securities Act of 1933, as amended (the Securities Act), or under any other applicable securities laws, and may not be sold except as permitted in the following sentence. We agree on our own behalf and on behalf of any investor account for which we are purchasing the Securities to offer, sell or otherwise transfer such Securities prior to the date which is two years after the later of the date of original issue and the last date on which the Issuers or any affiliate of an Issuer was the owner of such Securities, or any predecessor, thereto (the Resale Restriction Termination Date) only (a) to the Issuers, (b) pursuant to a registration statement that has been declared effective by the Securities and Exchange Commission (the Commission), (c) for so long as the Securities are eligible for resale pursuant to Rule 144A under the Securities Act, to a person we reasonably believe is a qualified institutional buyer under Rule 144A (a QIB) that purchases for its own account or for the account of a QIB to whom notice is given that the transfer is being made in reliance on Rule 144A, (d) to an institutional accredited investor within the meaning of subparagraph (a)(1), (2), (3) or (7) of Rule 501 under the Securities Act (an Institutional Accredited Investor) that is acquiring the Securities for its own account or for the account of another Institutional Accredited Investor for investment purposes and not with a view to, or for offer or sale in connection with, any distribution thereof in violation of the regulations of the Securities Act and any other applicable securities laws or (e) pursuant to any other available exemption from the registration requirements of the Securities Act, subject in each of the foregoing cases to any requirement of law that the disposition of our property and the property of such investor account or accounts be at all times within our or their control. The foregoing restrictions on resale will not apply subsequent to the Resale Restriction Termination Date. If any resale or other transfer of the Securities is proposed to be made pursuant to clause (d) above prior to the Resale Restriction Termination Date, the transferor shall deliver a letter from the transferee substantially in the form of this letter to the Trustee, which shall provide, among other things, that the transferee is an Institutional Accredited Investor and that it is acquiring such Securities for investment purposes and not for distribution in violation of the Securities Act. We acknowledge that the Issuers and the Trustee reserve the right prior to any offer, sale or other transfer pursuant to clause (d) or (e) prior to the Resale Restriction </w:t>
      </w:r>
    </w:p>
    <w:p>
      <w:pPr>
        <w:pStyle w:val="TextBody"/>
        <w:jc w:val="center"/>
        <w:rPr>
          <w:rFonts w:ascii="Times New Roman;Times;serif" w:hAnsi="Times New Roman;Times;serif"/>
          <w:sz w:val="17"/>
        </w:rPr>
      </w:pPr>
      <w:r>
        <w:rPr>
          <w:rFonts w:ascii="Times New Roman;Times;serif" w:hAnsi="Times New Roman;Times;serif"/>
          <w:sz w:val="17"/>
        </w:rPr>
        <w:t xml:space="preserve">D-1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Termination Date of the Securities to require the delivery of an opinion of counsel, certifications and/or other information satisfactory to the Issuers and the Trustee. </w:t>
      </w:r>
    </w:p>
    <w:p>
      <w:pPr>
        <w:pStyle w:val="TextBody"/>
        <w:spacing w:before="120" w:after="283"/>
        <w:jc w:val="left"/>
        <w:rPr/>
      </w:pPr>
      <w:r>
        <w:rPr/>
        <w:t>     </w:t>
      </w:r>
      <w:r>
        <w:rPr>
          <w:rFonts w:ascii="Times New Roman;Times;serif" w:hAnsi="Times New Roman;Times;serif"/>
          <w:sz w:val="17"/>
        </w:rPr>
        <w:t xml:space="preserve">2. We are an Institutional Accredited Investor purchasing for our own account or for the account of another Institutional Accredited Investor. </w:t>
      </w:r>
    </w:p>
    <w:p>
      <w:pPr>
        <w:pStyle w:val="TextBody"/>
        <w:spacing w:before="120" w:after="283"/>
        <w:jc w:val="left"/>
        <w:rPr/>
      </w:pPr>
      <w:r>
        <w:rPr/>
        <w:t>     </w:t>
      </w:r>
      <w:r>
        <w:rPr>
          <w:rFonts w:ascii="Times New Roman;Times;serif" w:hAnsi="Times New Roman;Times;serif"/>
          <w:sz w:val="17"/>
        </w:rPr>
        <w:t xml:space="preserve">3. We are acquiring the Securities purchased by us for our own account, or for one or more accounts as to each of which we exercise sole investment discretion, for investment purposes and not with a view to, or for offer or sale in connection with any distribution in violation of, the Securities Act. We have such knowledge and experience in financial and business matters as to be capable of evaluating the merits and risks of investment in the Securities, we invest in securities similar to the Securities in the normal course of our business and we, and all accounts for which we are acting, are able to bear the economic risks of investment in the Securities. </w:t>
      </w:r>
    </w:p>
    <w:p>
      <w:pPr>
        <w:pStyle w:val="TextBody"/>
        <w:spacing w:before="120" w:after="283"/>
        <w:jc w:val="left"/>
        <w:rPr/>
      </w:pPr>
      <w:r>
        <w:rPr/>
        <w:t>     </w:t>
      </w:r>
      <w:r>
        <w:rPr>
          <w:rFonts w:ascii="Times New Roman;Times;serif" w:hAnsi="Times New Roman;Times;serif"/>
          <w:sz w:val="17"/>
        </w:rPr>
        <w:t xml:space="preserve">4. You are entitled to rely upon this letter and you are irrevocably authorized to produce this letter or a copy thereof to any interested party in any administrative or legal proceeding or official inquiry with respect to the matters covered hereby. </w:t>
      </w:r>
    </w:p>
    <w:tbl>
      <w:tblPr>
        <w:tblW w:w="5000" w:type="pct"/>
        <w:jc w:val="center"/>
        <w:tblInd w:w="0" w:type="dxa"/>
        <w:tblCellMar>
          <w:top w:w="0" w:type="dxa"/>
          <w:left w:w="0" w:type="dxa"/>
          <w:bottom w:w="0" w:type="dxa"/>
          <w:right w:w="0" w:type="dxa"/>
        </w:tblCellMar>
      </w:tblPr>
      <w:tblGrid>
        <w:gridCol w:w="5637"/>
        <w:gridCol w:w="123"/>
        <w:gridCol w:w="370"/>
        <w:gridCol w:w="123"/>
        <w:gridCol w:w="3952"/>
      </w:tblGrid>
      <w:tr>
        <w:trPr/>
        <w:tc>
          <w:tcPr>
            <w:tcW w:w="563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952" w:type="dxa"/>
            <w:tcBorders/>
            <w:shd w:fill="auto" w:val="clear"/>
            <w:vAlign w:val="bottom"/>
          </w:tcPr>
          <w:p>
            <w:pPr>
              <w:pStyle w:val="TableContents"/>
              <w:spacing w:before="0" w:after="283"/>
              <w:rPr/>
            </w:pPr>
            <w:r>
              <w:rPr/>
              <w:t> </w:t>
            </w:r>
          </w:p>
        </w:tc>
      </w:tr>
      <w:tr>
        <w:trPr/>
        <w:tc>
          <w:tcPr>
            <w:tcW w:w="5637"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445" w:type="dxa"/>
            <w:gridSpan w:val="3"/>
            <w:tcBorders/>
            <w:shd w:fill="auto" w:val="clear"/>
          </w:tcPr>
          <w:p>
            <w:pPr>
              <w:pStyle w:val="TableContents"/>
              <w:spacing w:before="0" w:after="283"/>
              <w:jc w:val="left"/>
              <w:rPr/>
            </w:pPr>
            <w:r>
              <w:rPr/>
              <w:t>Very truly yours,</w:t>
            </w:r>
          </w:p>
        </w:tc>
      </w:tr>
      <w:tr>
        <w:trPr/>
        <w:tc>
          <w:tcPr>
            <w:tcW w:w="5637"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370"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952" w:type="dxa"/>
            <w:tcBorders/>
            <w:shd w:fill="auto" w:val="clear"/>
          </w:tcPr>
          <w:p>
            <w:pPr>
              <w:pStyle w:val="TableContents"/>
              <w:spacing w:before="0" w:after="283"/>
              <w:jc w:val="left"/>
              <w:rPr/>
            </w:pPr>
            <w:r>
              <w:rPr/>
              <w:t> </w:t>
            </w:r>
          </w:p>
        </w:tc>
      </w:tr>
      <w:tr>
        <w:trPr/>
        <w:tc>
          <w:tcPr>
            <w:tcW w:w="5637"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445" w:type="dxa"/>
            <w:gridSpan w:val="3"/>
            <w:tcBorders/>
            <w:shd w:fill="auto" w:val="clear"/>
          </w:tcPr>
          <w:p>
            <w:pPr>
              <w:pStyle w:val="TableContents"/>
              <w:spacing w:before="0" w:after="283"/>
              <w:jc w:val="left"/>
              <w:rPr/>
            </w:pPr>
            <w:r>
              <w:rPr/>
              <w:t>[NAME OF TRANSFEREE]</w:t>
            </w:r>
          </w:p>
        </w:tc>
      </w:tr>
      <w:tr>
        <w:trPr/>
        <w:tc>
          <w:tcPr>
            <w:tcW w:w="5637"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370"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952" w:type="dxa"/>
            <w:tcBorders/>
            <w:shd w:fill="auto" w:val="clear"/>
          </w:tcPr>
          <w:p>
            <w:pPr>
              <w:pStyle w:val="TableContents"/>
              <w:spacing w:before="0" w:after="283"/>
              <w:jc w:val="left"/>
              <w:rPr/>
            </w:pPr>
            <w:r>
              <w:rPr/>
              <w:t> </w:t>
            </w:r>
          </w:p>
        </w:tc>
      </w:tr>
      <w:tr>
        <w:trPr/>
        <w:tc>
          <w:tcPr>
            <w:tcW w:w="5637"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70" w:type="dxa"/>
            <w:tcBorders/>
            <w:shd w:fill="auto" w:val="clear"/>
          </w:tcPr>
          <w:p>
            <w:pPr>
              <w:pStyle w:val="TableContents"/>
              <w:spacing w:before="0" w:after="283"/>
              <w:jc w:val="left"/>
              <w:rPr/>
            </w:pPr>
            <w:r>
              <w:rPr/>
              <w:t>By:</w:t>
            </w:r>
          </w:p>
        </w:tc>
        <w:tc>
          <w:tcPr>
            <w:tcW w:w="123" w:type="dxa"/>
            <w:tcBorders/>
            <w:shd w:fill="auto" w:val="clear"/>
            <w:vAlign w:val="bottom"/>
          </w:tcPr>
          <w:p>
            <w:pPr>
              <w:pStyle w:val="TableContents"/>
              <w:spacing w:before="0" w:after="283"/>
              <w:rPr/>
            </w:pPr>
            <w:r>
              <w:rPr/>
              <w:t> </w:t>
            </w:r>
          </w:p>
        </w:tc>
        <w:tc>
          <w:tcPr>
            <w:tcW w:w="3952" w:type="dxa"/>
            <w:tcBorders/>
            <w:shd w:fill="auto" w:val="clear"/>
          </w:tcPr>
          <w:p>
            <w:pPr>
              <w:pStyle w:val="TableContents"/>
              <w:spacing w:before="0" w:after="283"/>
              <w:jc w:val="left"/>
              <w:rPr/>
            </w:pPr>
            <w:r>
              <w:rPr/>
              <w:t> </w:t>
            </w:r>
          </w:p>
        </w:tc>
      </w:tr>
      <w:tr>
        <w:trPr/>
        <w:tc>
          <w:tcPr>
            <w:tcW w:w="5637" w:type="dxa"/>
            <w:tcBorders/>
            <w:shd w:fill="auto" w:val="clear"/>
          </w:tcPr>
          <w:p>
            <w:pPr>
              <w:pStyle w:val="TableContents"/>
              <w:spacing w:before="0" w:after="0"/>
              <w:ind w:left="0" w:right="0" w:hanging="0"/>
              <w:rPr/>
            </w:pPr>
            <w:r>
              <w:rPr/>
              <w:t xml:space="preserve">  </w:t>
            </w:r>
          </w:p>
        </w:tc>
        <w:tc>
          <w:tcPr>
            <w:tcW w:w="123" w:type="dxa"/>
            <w:tcBorders/>
            <w:shd w:fill="auto" w:val="clear"/>
            <w:vAlign w:val="center"/>
          </w:tcPr>
          <w:p>
            <w:pPr>
              <w:pStyle w:val="TableContents"/>
              <w:spacing w:before="0" w:after="283"/>
              <w:rPr/>
            </w:pPr>
            <w:r>
              <w:rPr/>
              <w:t> </w:t>
            </w:r>
          </w:p>
        </w:tc>
        <w:tc>
          <w:tcPr>
            <w:tcW w:w="370" w:type="dxa"/>
            <w:tcBorders/>
            <w:shd w:fill="auto" w:val="clear"/>
          </w:tcPr>
          <w:p>
            <w:pPr>
              <w:pStyle w:val="TableContents"/>
              <w:spacing w:before="0" w:after="283"/>
              <w:jc w:val="left"/>
              <w:rPr/>
            </w:pPr>
            <w:r>
              <w:rPr/>
              <w:t> </w:t>
            </w:r>
          </w:p>
        </w:tc>
        <w:tc>
          <w:tcPr>
            <w:tcW w:w="123" w:type="dxa"/>
            <w:tcBorders/>
            <w:shd w:fill="auto" w:val="clear"/>
            <w:vAlign w:val="center"/>
          </w:tcPr>
          <w:p>
            <w:pPr>
              <w:pStyle w:val="TableContents"/>
              <w:spacing w:before="0" w:after="283"/>
              <w:rPr/>
            </w:pPr>
            <w:r>
              <w:rPr/>
              <w:t> </w:t>
            </w:r>
          </w:p>
        </w:tc>
        <w:tc>
          <w:tcPr>
            <w:tcW w:w="3952" w:type="dxa"/>
            <w:tcBorders>
              <w:top w:val="single" w:sz="2" w:space="0" w:color="000000"/>
            </w:tcBorders>
            <w:shd w:fill="auto" w:val="clear"/>
            <w:tcMar>
              <w:top w:w="28" w:type="dxa"/>
            </w:tcMar>
          </w:tcPr>
          <w:p>
            <w:pPr>
              <w:pStyle w:val="TableContents"/>
              <w:spacing w:before="0" w:after="283"/>
              <w:jc w:val="left"/>
              <w:rPr/>
            </w:pPr>
            <w:r>
              <w:rPr/>
              <w:t> </w:t>
            </w:r>
          </w:p>
        </w:tc>
      </w:tr>
      <w:tr>
        <w:trPr/>
        <w:tc>
          <w:tcPr>
            <w:tcW w:w="5637"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70"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952" w:type="dxa"/>
            <w:tcBorders/>
            <w:shd w:fill="auto" w:val="clear"/>
          </w:tcPr>
          <w:p>
            <w:pPr>
              <w:pStyle w:val="TableContents"/>
              <w:spacing w:before="0" w:after="283"/>
              <w:jc w:val="left"/>
              <w:rPr/>
            </w:pPr>
            <w:r>
              <w:rPr/>
              <w:t>Authorized Signatory</w:t>
            </w:r>
          </w:p>
        </w:tc>
      </w:tr>
    </w:tbl>
    <w:p>
      <w:pPr>
        <w:pStyle w:val="TextBody"/>
        <w:spacing w:before="120" w:after="283"/>
        <w:jc w:val="left"/>
        <w:rPr/>
      </w:pPr>
      <w:r>
        <w:rPr/>
        <w:t>     </w:t>
      </w:r>
      <w:r>
        <w:rPr>
          <w:rFonts w:ascii="Times New Roman;Times;serif" w:hAnsi="Times New Roman;Times;serif"/>
          <w:sz w:val="17"/>
        </w:rPr>
        <w:t xml:space="preserve">Upon transfer, the Securities should be registered in the name of the new beneficial owner as follows: </w:t>
      </w:r>
    </w:p>
    <w:tbl>
      <w:tblPr>
        <w:tblW w:w="5000" w:type="pct"/>
        <w:jc w:val="center"/>
        <w:tblInd w:w="0" w:type="dxa"/>
        <w:tblCellMar>
          <w:top w:w="0" w:type="dxa"/>
          <w:left w:w="0" w:type="dxa"/>
          <w:bottom w:w="0" w:type="dxa"/>
          <w:right w:w="0" w:type="dxa"/>
        </w:tblCellMar>
      </w:tblPr>
      <w:tblGrid>
        <w:gridCol w:w="1690"/>
        <w:gridCol w:w="120"/>
        <w:gridCol w:w="2828"/>
        <w:gridCol w:w="120"/>
        <w:gridCol w:w="5447"/>
      </w:tblGrid>
      <w:tr>
        <w:trPr/>
        <w:tc>
          <w:tcPr>
            <w:tcW w:w="16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82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447" w:type="dxa"/>
            <w:tcBorders/>
            <w:shd w:fill="auto" w:val="clear"/>
            <w:vAlign w:val="bottom"/>
          </w:tcPr>
          <w:p>
            <w:pPr>
              <w:pStyle w:val="TableContents"/>
              <w:spacing w:before="0" w:after="283"/>
              <w:rPr/>
            </w:pPr>
            <w:r>
              <w:rPr/>
              <w:t> </w:t>
            </w:r>
          </w:p>
        </w:tc>
      </w:tr>
      <w:tr>
        <w:trPr/>
        <w:tc>
          <w:tcPr>
            <w:tcW w:w="1690" w:type="dxa"/>
            <w:tcBorders/>
            <w:shd w:fill="auto" w:val="clear"/>
          </w:tcPr>
          <w:p>
            <w:pPr>
              <w:pStyle w:val="TableContents"/>
              <w:spacing w:before="0" w:after="0"/>
              <w:ind w:left="0" w:right="0" w:hanging="0"/>
              <w:rPr/>
            </w:pPr>
            <w:r>
              <w:rPr/>
              <w:t>Name:</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0"/>
              <w:jc w:val="left"/>
              <w:rPr>
                <w:bdr w:val="single" w:sz="2" w:space="1" w:color="000000"/>
              </w:rPr>
            </w:pPr>
            <w:r>
              <w:rPr>
                <w:bdr w:val="single" w:sz="2" w:space="1" w:color="000000"/>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0"/>
              <w:jc w:val="left"/>
              <w:rPr>
                <w:bdr w:val="single" w:sz="2" w:space="1" w:color="000000"/>
              </w:rPr>
            </w:pPr>
            <w:r>
              <w:rPr>
                <w:bdr w:val="single" w:sz="2" w:space="1" w:color="000000"/>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2828" w:type="dxa"/>
            <w:tcBorders/>
            <w:shd w:fill="auto" w:val="clear"/>
          </w:tcPr>
          <w:p>
            <w:pPr>
              <w:pStyle w:val="TableContents"/>
              <w:spacing w:before="0" w:after="0"/>
              <w:jc w:val="left"/>
              <w:rPr>
                <w:bdr w:val="single" w:sz="2" w:space="1" w:color="000000"/>
              </w:rPr>
            </w:pPr>
            <w:r>
              <w:rPr>
                <w:bdr w:val="single" w:sz="2" w:space="1" w:color="000000"/>
              </w:rPr>
              <w:t> </w:t>
            </w:r>
          </w:p>
        </w:tc>
        <w:tc>
          <w:tcPr>
            <w:tcW w:w="120" w:type="dxa"/>
            <w:tcBorders/>
            <w:shd w:fill="auto" w:val="clear"/>
            <w:vAlign w:val="center"/>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Address:</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0"/>
              <w:jc w:val="left"/>
              <w:rPr>
                <w:bdr w:val="single" w:sz="2" w:space="1" w:color="000000"/>
              </w:rPr>
            </w:pPr>
            <w:r>
              <w:rPr>
                <w:bdr w:val="single" w:sz="2" w:space="1" w:color="000000"/>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2828" w:type="dxa"/>
            <w:tcBorders/>
            <w:shd w:fill="auto" w:val="clear"/>
          </w:tcPr>
          <w:p>
            <w:pPr>
              <w:pStyle w:val="TableContents"/>
              <w:spacing w:before="0" w:after="0"/>
              <w:jc w:val="left"/>
              <w:rPr>
                <w:bdr w:val="single" w:sz="2" w:space="1" w:color="000000"/>
              </w:rPr>
            </w:pPr>
            <w:r>
              <w:rPr>
                <w:bdr w:val="single" w:sz="2" w:space="1" w:color="000000"/>
              </w:rPr>
              <w:t> </w:t>
            </w:r>
          </w:p>
        </w:tc>
        <w:tc>
          <w:tcPr>
            <w:tcW w:w="120" w:type="dxa"/>
            <w:tcBorders/>
            <w:shd w:fill="auto" w:val="clear"/>
            <w:vAlign w:val="center"/>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Taxpayer ID No:</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r>
        <w:trPr/>
        <w:tc>
          <w:tcPr>
            <w:tcW w:w="1690"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2828" w:type="dxa"/>
            <w:tcBorders/>
            <w:shd w:fill="auto" w:val="clear"/>
          </w:tcPr>
          <w:p>
            <w:pPr>
              <w:pStyle w:val="TableContents"/>
              <w:spacing w:before="0" w:after="0"/>
              <w:jc w:val="left"/>
              <w:rPr>
                <w:bdr w:val="single" w:sz="2" w:space="1" w:color="000000"/>
              </w:rPr>
            </w:pPr>
            <w:r>
              <w:rPr>
                <w:bdr w:val="single" w:sz="2" w:space="1" w:color="000000"/>
              </w:rPr>
              <w:t> </w:t>
            </w:r>
          </w:p>
        </w:tc>
        <w:tc>
          <w:tcPr>
            <w:tcW w:w="120" w:type="dxa"/>
            <w:tcBorders/>
            <w:shd w:fill="auto" w:val="clear"/>
            <w:vAlign w:val="bottom"/>
          </w:tcPr>
          <w:p>
            <w:pPr>
              <w:pStyle w:val="TableContents"/>
              <w:spacing w:before="0" w:after="283"/>
              <w:rPr/>
            </w:pPr>
            <w:r>
              <w:rPr/>
              <w:t> </w:t>
            </w:r>
          </w:p>
        </w:tc>
        <w:tc>
          <w:tcPr>
            <w:tcW w:w="5447"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D-2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CERTIFICATE TO BE DELIVERED </w:t>
      </w:r>
    </w:p>
    <w:p>
      <w:pPr>
        <w:pStyle w:val="TextBody"/>
        <w:spacing w:before="0" w:after="283"/>
        <w:jc w:val="center"/>
        <w:rPr>
          <w:rFonts w:ascii="Times New Roman;Times;serif" w:hAnsi="Times New Roman;Times;serif"/>
          <w:sz w:val="17"/>
        </w:rPr>
      </w:pPr>
      <w:r>
        <w:rPr>
          <w:rFonts w:ascii="Times New Roman;Times;serif" w:hAnsi="Times New Roman;Times;serif"/>
          <w:sz w:val="17"/>
        </w:rPr>
        <w:t xml:space="preserve">IN CONNECTION WITH TRANSFERS PURSUANT TO REGULATION S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PAA Finance Corp.</w:t>
        <w:br/>
        <w:t>c/o U.S. Bank National Association, Trustee</w:t>
        <w:br/>
        <w:t>5847 San Felipe, Suite 1050</w:t>
        <w:br/>
        <w:t>Houston, Texas 77057</w:t>
        <w:br/>
        <w:t xml:space="preserve">Attn: Corporate Trust Group </w:t>
      </w:r>
    </w:p>
    <w:tbl>
      <w:tblPr>
        <w:tblW w:w="5000" w:type="pct"/>
        <w:jc w:val="left"/>
        <w:tblInd w:w="0" w:type="dxa"/>
        <w:tblCellMar>
          <w:top w:w="0" w:type="dxa"/>
          <w:left w:w="0" w:type="dxa"/>
          <w:bottom w:w="0" w:type="dxa"/>
          <w:right w:w="0" w:type="dxa"/>
        </w:tblCellMar>
      </w:tblPr>
      <w:tblGrid>
        <w:gridCol w:w="1283"/>
        <w:gridCol w:w="131"/>
        <w:gridCol w:w="8791"/>
      </w:tblGrid>
      <w:tr>
        <w:trPr/>
        <w:tc>
          <w:tcPr>
            <w:tcW w:w="128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8791" w:type="dxa"/>
            <w:tcBorders/>
            <w:shd w:fill="auto" w:val="clear"/>
            <w:vAlign w:val="center"/>
          </w:tcPr>
          <w:p>
            <w:pPr>
              <w:pStyle w:val="TableContents"/>
              <w:spacing w:before="0" w:after="283"/>
              <w:rPr>
                <w:sz w:val="4"/>
                <w:szCs w:val="4"/>
              </w:rPr>
            </w:pPr>
            <w:r>
              <w:rPr>
                <w:sz w:val="4"/>
                <w:szCs w:val="4"/>
              </w:rPr>
            </w:r>
          </w:p>
        </w:tc>
      </w:tr>
      <w:tr>
        <w:trPr/>
        <w:tc>
          <w:tcPr>
            <w:tcW w:w="1283" w:type="dxa"/>
            <w:tcBorders/>
            <w:shd w:fill="auto" w:val="clear"/>
          </w:tcPr>
          <w:p>
            <w:pPr>
              <w:pStyle w:val="TableContents"/>
              <w:spacing w:before="0" w:after="283"/>
              <w:jc w:val="left"/>
              <w:rPr/>
            </w:pPr>
            <w:r>
              <w:rPr/>
              <w:t>               </w:t>
            </w:r>
            <w:r>
              <w:rPr/>
              <w:t>Re:</w:t>
            </w:r>
          </w:p>
        </w:tc>
        <w:tc>
          <w:tcPr>
            <w:tcW w:w="131" w:type="dxa"/>
            <w:tcBorders/>
            <w:shd w:fill="auto" w:val="clear"/>
          </w:tcPr>
          <w:p>
            <w:pPr>
              <w:pStyle w:val="TableContents"/>
              <w:spacing w:before="0" w:after="283"/>
              <w:rPr/>
            </w:pPr>
            <w:r>
              <w:rPr/>
              <w:t> </w:t>
            </w:r>
          </w:p>
        </w:tc>
        <w:tc>
          <w:tcPr>
            <w:tcW w:w="8791" w:type="dxa"/>
            <w:tcBorders/>
            <w:shd w:fill="auto" w:val="clear"/>
          </w:tcPr>
          <w:p>
            <w:pPr>
              <w:pStyle w:val="TableContents"/>
              <w:spacing w:before="0" w:after="283"/>
              <w:rPr/>
            </w:pPr>
            <w:r>
              <w:rPr/>
              <w:t>Plains All American Pipeline, L.P. and PAA Finance Corp. (the Issuers) 6.125% Series [A/B] Senior Notes due 2017 (the Securities)</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In connection with our proposed sale of $___aggregate principal amount of the Securities, we confirm that such sale has been effected pursuant to and in accordance with Regulation S under the United States Securities Act of 1933, as amended (the Securities Act), and, accordingly, we represent that: </w:t>
      </w:r>
    </w:p>
    <w:p>
      <w:pPr>
        <w:pStyle w:val="TextBody"/>
        <w:spacing w:before="120" w:after="283"/>
        <w:jc w:val="left"/>
        <w:rPr/>
      </w:pPr>
      <w:r>
        <w:rPr/>
        <w:t>     </w:t>
      </w:r>
      <w:r>
        <w:rPr>
          <w:rFonts w:ascii="Times New Roman;Times;serif" w:hAnsi="Times New Roman;Times;serif"/>
          <w:sz w:val="17"/>
        </w:rPr>
        <w:t xml:space="preserve">(a) the offer of the Securities was not made to a person in the United States; </w:t>
      </w:r>
    </w:p>
    <w:p>
      <w:pPr>
        <w:pStyle w:val="TextBody"/>
        <w:spacing w:before="120" w:after="283"/>
        <w:jc w:val="left"/>
        <w:rPr/>
      </w:pPr>
      <w:r>
        <w:rPr/>
        <w:t>     </w:t>
      </w:r>
      <w:r>
        <w:rPr>
          <w:rFonts w:ascii="Times New Roman;Times;serif" w:hAnsi="Times New Roman;Times;serif"/>
          <w:sz w:val="17"/>
        </w:rPr>
        <w:t xml:space="preserve">(b) 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 </w:t>
      </w:r>
    </w:p>
    <w:p>
      <w:pPr>
        <w:pStyle w:val="TextBody"/>
        <w:spacing w:before="120" w:after="283"/>
        <w:jc w:val="left"/>
        <w:rPr/>
      </w:pPr>
      <w:r>
        <w:rPr/>
        <w:t>     </w:t>
      </w:r>
      <w:r>
        <w:rPr>
          <w:rFonts w:ascii="Times New Roman;Times;serif" w:hAnsi="Times New Roman;Times;serif"/>
          <w:sz w:val="17"/>
        </w:rPr>
        <w:t xml:space="preserve">(c) no directed selling efforts have been made in the United States in contravention of the requirements of Rule 904(a) of Regulation S, as applicable; and </w:t>
      </w:r>
    </w:p>
    <w:p>
      <w:pPr>
        <w:pStyle w:val="TextBody"/>
        <w:spacing w:before="120" w:after="283"/>
        <w:jc w:val="left"/>
        <w:rPr/>
      </w:pPr>
      <w:r>
        <w:rPr/>
        <w:t>     </w:t>
      </w:r>
      <w:r>
        <w:rPr>
          <w:rFonts w:ascii="Times New Roman;Times;serif" w:hAnsi="Times New Roman;Times;serif"/>
          <w:sz w:val="17"/>
        </w:rPr>
        <w:t xml:space="preserve">(d) the transaction is not part of a plan or scheme to evade the registration requirements of the Securities Act. </w:t>
      </w:r>
    </w:p>
    <w:p>
      <w:pPr>
        <w:pStyle w:val="TextBody"/>
        <w:spacing w:before="120" w:after="283"/>
        <w:jc w:val="left"/>
        <w:rPr/>
      </w:pPr>
      <w:r>
        <w:rPr/>
        <w:t>     </w:t>
      </w:r>
      <w:r>
        <w:rPr>
          <w:rFonts w:ascii="Times New Roman;Times;serif" w:hAnsi="Times New Roman;Times;serif"/>
          <w:sz w:val="17"/>
        </w:rPr>
        <w:t xml:space="preserve">In addition, if the sale is made during a restricted period and the provisions of Rule 904(b)(1) of Regulation S are applicable thereto, we confirm that such sale has been made in accordance with the applicable provisions of Rule 904(b)(1). </w:t>
      </w:r>
    </w:p>
    <w:p>
      <w:pPr>
        <w:pStyle w:val="TextBody"/>
        <w:spacing w:before="120" w:after="283"/>
        <w:jc w:val="left"/>
        <w:rPr/>
      </w:pPr>
      <w:r>
        <w:rPr/>
        <w:t>     </w:t>
      </w:r>
      <w:r>
        <w:rPr>
          <w:rFonts w:ascii="Times New Roman;Times;serif" w:hAnsi="Times New Roman;Times;serif"/>
          <w:sz w:val="17"/>
        </w:rPr>
        <w:t xml:space="preserve">You and the Issuers are entitled to rely upon this letter and are irrevocably authorized to produce this letter or a copy hereof to any interested party in any administrative or </w:t>
      </w:r>
    </w:p>
    <w:p>
      <w:pPr>
        <w:pStyle w:val="TextBody"/>
        <w:jc w:val="center"/>
        <w:rPr>
          <w:rFonts w:ascii="Times New Roman;Times;serif" w:hAnsi="Times New Roman;Times;serif"/>
          <w:sz w:val="17"/>
        </w:rPr>
      </w:pPr>
      <w:r>
        <w:rPr>
          <w:rFonts w:ascii="Times New Roman;Times;serif" w:hAnsi="Times New Roman;Times;serif"/>
          <w:sz w:val="17"/>
        </w:rPr>
        <w:t xml:space="preserve">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legal proceedings or official inquiry with respect to the matters covered hereby. Terms used in this certificate have the meanings set forth in Regulation S. </w:t>
      </w:r>
    </w:p>
    <w:tbl>
      <w:tblPr>
        <w:tblW w:w="5000" w:type="pct"/>
        <w:jc w:val="center"/>
        <w:tblInd w:w="0" w:type="dxa"/>
        <w:tblCellMar>
          <w:top w:w="0" w:type="dxa"/>
          <w:left w:w="0" w:type="dxa"/>
          <w:bottom w:w="0" w:type="dxa"/>
          <w:right w:w="0" w:type="dxa"/>
        </w:tblCellMar>
      </w:tblPr>
      <w:tblGrid>
        <w:gridCol w:w="3749"/>
        <w:gridCol w:w="123"/>
        <w:gridCol w:w="375"/>
        <w:gridCol w:w="123"/>
        <w:gridCol w:w="5835"/>
      </w:tblGrid>
      <w:tr>
        <w:trPr/>
        <w:tc>
          <w:tcPr>
            <w:tcW w:w="374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5835" w:type="dxa"/>
            <w:tcBorders/>
            <w:shd w:fill="auto" w:val="clear"/>
            <w:vAlign w:val="bottom"/>
          </w:tcPr>
          <w:p>
            <w:pPr>
              <w:pStyle w:val="TableContents"/>
              <w:spacing w:before="0" w:after="283"/>
              <w:rPr/>
            </w:pPr>
            <w:r>
              <w:rPr/>
              <w:t> </w:t>
            </w:r>
          </w:p>
        </w:tc>
      </w:tr>
      <w:tr>
        <w:trPr/>
        <w:tc>
          <w:tcPr>
            <w:tcW w:w="374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333" w:type="dxa"/>
            <w:gridSpan w:val="3"/>
            <w:tcBorders/>
            <w:shd w:fill="auto" w:val="clear"/>
          </w:tcPr>
          <w:p>
            <w:pPr>
              <w:pStyle w:val="TableContents"/>
              <w:spacing w:before="0" w:after="283"/>
              <w:jc w:val="left"/>
              <w:rPr/>
            </w:pPr>
            <w:r>
              <w:rPr/>
              <w:t>Very truly yours,</w:t>
            </w:r>
          </w:p>
        </w:tc>
      </w:tr>
      <w:tr>
        <w:trPr/>
        <w:tc>
          <w:tcPr>
            <w:tcW w:w="374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5835" w:type="dxa"/>
            <w:tcBorders/>
            <w:shd w:fill="auto" w:val="clear"/>
          </w:tcPr>
          <w:p>
            <w:pPr>
              <w:pStyle w:val="TableContents"/>
              <w:spacing w:before="0" w:after="283"/>
              <w:jc w:val="left"/>
              <w:rPr/>
            </w:pPr>
            <w:r>
              <w:rPr/>
              <w:t> </w:t>
            </w:r>
          </w:p>
        </w:tc>
      </w:tr>
      <w:tr>
        <w:trPr/>
        <w:tc>
          <w:tcPr>
            <w:tcW w:w="374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333" w:type="dxa"/>
            <w:gridSpan w:val="3"/>
            <w:tcBorders/>
            <w:shd w:fill="auto" w:val="clear"/>
          </w:tcPr>
          <w:p>
            <w:pPr>
              <w:pStyle w:val="TableContents"/>
              <w:spacing w:before="0" w:after="283"/>
              <w:jc w:val="left"/>
              <w:rPr/>
            </w:pPr>
            <w:r>
              <w:rPr/>
              <w:t>[NAME OF TRANSFEROR]</w:t>
            </w:r>
          </w:p>
        </w:tc>
      </w:tr>
      <w:tr>
        <w:trPr/>
        <w:tc>
          <w:tcPr>
            <w:tcW w:w="374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5835" w:type="dxa"/>
            <w:tcBorders/>
            <w:shd w:fill="auto" w:val="clear"/>
          </w:tcPr>
          <w:p>
            <w:pPr>
              <w:pStyle w:val="TableContents"/>
              <w:spacing w:before="0" w:after="283"/>
              <w:jc w:val="left"/>
              <w:rPr/>
            </w:pPr>
            <w:r>
              <w:rPr/>
              <w:t> </w:t>
            </w:r>
          </w:p>
        </w:tc>
      </w:tr>
      <w:tr>
        <w:trPr/>
        <w:tc>
          <w:tcPr>
            <w:tcW w:w="374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By:</w:t>
            </w:r>
          </w:p>
        </w:tc>
        <w:tc>
          <w:tcPr>
            <w:tcW w:w="123" w:type="dxa"/>
            <w:tcBorders/>
            <w:shd w:fill="auto" w:val="clear"/>
            <w:vAlign w:val="bottom"/>
          </w:tcPr>
          <w:p>
            <w:pPr>
              <w:pStyle w:val="TableContents"/>
              <w:spacing w:before="0" w:after="283"/>
              <w:rPr/>
            </w:pPr>
            <w:r>
              <w:rPr/>
              <w:t> </w:t>
            </w:r>
          </w:p>
        </w:tc>
        <w:tc>
          <w:tcPr>
            <w:tcW w:w="5835" w:type="dxa"/>
            <w:tcBorders/>
            <w:shd w:fill="auto" w:val="clear"/>
          </w:tcPr>
          <w:p>
            <w:pPr>
              <w:pStyle w:val="TableContents"/>
              <w:spacing w:before="0" w:after="283"/>
              <w:jc w:val="left"/>
              <w:rPr/>
            </w:pPr>
            <w:r>
              <w:rPr/>
              <w:t> </w:t>
            </w:r>
          </w:p>
        </w:tc>
      </w:tr>
      <w:tr>
        <w:trPr/>
        <w:tc>
          <w:tcPr>
            <w:tcW w:w="3749" w:type="dxa"/>
            <w:tcBorders/>
            <w:shd w:fill="auto" w:val="clear"/>
          </w:tcPr>
          <w:p>
            <w:pPr>
              <w:pStyle w:val="TableContents"/>
              <w:spacing w:before="0" w:after="0"/>
              <w:ind w:left="0" w:right="0" w:hanging="0"/>
              <w:rPr/>
            </w:pPr>
            <w:r>
              <w:rPr/>
              <w:t xml:space="preserve">  </w:t>
            </w:r>
          </w:p>
        </w:tc>
        <w:tc>
          <w:tcPr>
            <w:tcW w:w="123" w:type="dxa"/>
            <w:tcBorders/>
            <w:shd w:fill="auto" w:val="clear"/>
            <w:vAlign w:val="center"/>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3" w:type="dxa"/>
            <w:tcBorders/>
            <w:shd w:fill="auto" w:val="clear"/>
            <w:vAlign w:val="center"/>
          </w:tcPr>
          <w:p>
            <w:pPr>
              <w:pStyle w:val="TableContents"/>
              <w:spacing w:before="0" w:after="283"/>
              <w:rPr/>
            </w:pPr>
            <w:r>
              <w:rPr/>
              <w:t> </w:t>
            </w:r>
          </w:p>
        </w:tc>
        <w:tc>
          <w:tcPr>
            <w:tcW w:w="5835" w:type="dxa"/>
            <w:tcBorders>
              <w:top w:val="single" w:sz="2" w:space="0" w:color="000000"/>
            </w:tcBorders>
            <w:shd w:fill="auto" w:val="clear"/>
            <w:tcMar>
              <w:top w:w="28" w:type="dxa"/>
            </w:tcMar>
          </w:tcPr>
          <w:p>
            <w:pPr>
              <w:pStyle w:val="TableContents"/>
              <w:spacing w:before="0" w:after="283"/>
              <w:jc w:val="left"/>
              <w:rPr/>
            </w:pPr>
            <w:r>
              <w:rPr/>
              <w:t> </w:t>
            </w:r>
          </w:p>
        </w:tc>
      </w:tr>
      <w:tr>
        <w:trPr/>
        <w:tc>
          <w:tcPr>
            <w:tcW w:w="374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75"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5835" w:type="dxa"/>
            <w:tcBorders/>
            <w:shd w:fill="auto" w:val="clear"/>
          </w:tcPr>
          <w:p>
            <w:pPr>
              <w:pStyle w:val="TableContents"/>
              <w:spacing w:before="0" w:after="283"/>
              <w:jc w:val="left"/>
              <w:rPr/>
            </w:pPr>
            <w:r>
              <w:rPr/>
              <w:t>Authorized Signatory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E-2 </w:t>
      </w:r>
      <w:r>
        <w:br w:type="page"/>
      </w:r>
    </w:p>
    <w:p>
      <w:pPr>
        <w:pStyle w:val="Heading5"/>
        <w:jc w:val="left"/>
        <w:rPr/>
      </w:pPr>
      <w:bookmarkStart w:id="10" w:name="h40667exv4w2.htm"/>
      <w:bookmarkStart w:id="11" w:name="ksh40667exv4w2"/>
      <w:bookmarkEnd w:id="10"/>
      <w:bookmarkEnd w:id="1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Execution Version</w:t>
      </w:r>
      <w:r>
        <w:rPr>
          <w:rFonts w:ascii="Times New Roman;Times;serif" w:hAnsi="Times New Roman;Times;serif"/>
          <w:sz w:val="17"/>
        </w:rPr>
        <w:t xml:space="preserve"> </w:t>
      </w:r>
    </w:p>
    <w:p>
      <w:pPr>
        <w:pStyle w:val="TextBody"/>
        <w:spacing w:before="120" w:after="283"/>
        <w:jc w:val="left"/>
        <w:rPr/>
      </w:pPr>
      <w:r>
        <w:rPr/>
        <w:t>     </w:t>
      </w:r>
    </w:p>
    <w:p>
      <w:pPr>
        <w:pStyle w:val="TextBody"/>
        <w:spacing w:before="120" w:after="283"/>
        <w:jc w:val="left"/>
        <w:rPr>
          <w:bdr w:val="double" w:sz="6" w:space="1" w:color="000000"/>
        </w:rPr>
      </w:pPr>
      <w:r>
        <w:rPr>
          <w:bdr w:val="double" w:sz="6"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PLAINS ALL AMERICAN PIPELINE, L.P.</w:t>
        <w:br/>
        <w:t>PAA FINANCE CORP.</w:t>
        <w:br/>
        <w:t xml:space="preserve">as Issuers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and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THE SUBSIDIARY GUARANTORS NAMED HEREIN</w:t>
        <w:br/>
        <w:t xml:space="preserve">as Guarantors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$600,000,000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SERIES A AND SERIES B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6.650% SENIOR NOTES DUE 2037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TENTH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SUPPLEMENTAL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INDENTURE </w:t>
      </w:r>
    </w:p>
    <w:p>
      <w:pPr>
        <w:pStyle w:val="TextBody"/>
        <w:spacing w:before="320" w:after="283"/>
        <w:jc w:val="center"/>
        <w:rPr>
          <w:bdr w:val="single" w:sz="2" w:space="1" w:color="000000"/>
        </w:rPr>
      </w:pPr>
      <w:r>
        <w:rPr>
          <w:bdr w:val="single" w:sz="2" w:space="1" w:color="000000"/>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br/>
        <w:t>Dated as of October 30, 2006</w:t>
      </w:r>
    </w:p>
    <w:p>
      <w:pPr>
        <w:pStyle w:val="TextBody"/>
        <w:spacing w:before="320" w:after="283"/>
        <w:jc w:val="center"/>
        <w:rPr>
          <w:bdr w:val="single" w:sz="2" w:space="1" w:color="000000"/>
        </w:rPr>
      </w:pPr>
      <w:r>
        <w:rPr>
          <w:bdr w:val="single" w:sz="2" w:space="1" w:color="000000"/>
        </w:rPr>
        <w:t>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U.S. BANK NATIONAL ASSOCIATION</w:t>
        <w:br/>
        <w:t xml:space="preserve">as Trustee </w:t>
      </w:r>
    </w:p>
    <w:p>
      <w:pPr>
        <w:pStyle w:val="TextBody"/>
        <w:spacing w:before="120" w:after="283"/>
        <w:jc w:val="center"/>
        <w:rPr>
          <w:bdr w:val="double" w:sz="6" w:space="1" w:color="000000"/>
        </w:rPr>
      </w:pPr>
      <w:r>
        <w:rPr>
          <w:bdr w:val="double" w:sz="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515"/>
        <w:gridCol w:w="125"/>
        <w:gridCol w:w="7756"/>
        <w:gridCol w:w="125"/>
        <w:gridCol w:w="209"/>
        <w:gridCol w:w="263"/>
        <w:gridCol w:w="212"/>
      </w:tblGrid>
      <w:tr>
        <w:trPr/>
        <w:tc>
          <w:tcPr>
            <w:tcW w:w="15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I</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1.01.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Establishment</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II DEFINITIONS AND INCORPORATION BY REFERENCE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2.01.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Definitions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2.02.</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Other Definitions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8</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III THE NOTES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8</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3.01.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Form</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8</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3.02.</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Issuance of Additional Notes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9</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3.03.</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Transfer of Transfer Restricted Securities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9</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3.04.</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Restrictive Legends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11</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IV REDEMPTION AND PREPAYMENT</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4.01.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Optional Redemption</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4.02.</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Special Mandatory Redemption</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V COVENANTS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5.01.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Compliance Certificate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5.02.</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Limitations on Liens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14</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5.03.</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Restriction of Sale-Leaseback Transactions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15</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5.04.</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SEC Reports; Financial Statements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16</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5.05.</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Additional Subsidiary Guarantees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17</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VI SUCCESSORS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17</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6.01.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Consolidation and Mergers of the Issuers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17</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6.02.</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Rights and Duties of Successor</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17</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6.03.</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Supplemental Indenture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18</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VII DEFAULTS AND REMEDIES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18</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7.01.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Events of Default</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18</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VIII LEGAL DEFEASANCE AND COVENANT DEFEASANCE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20</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Option to Effect Legal Defeasance or Covenant Defeasance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20</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8.02.</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Legal Defeasance and Discharge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20</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8.03.</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Covenant Defeasance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21</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8.04.</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Conditions to Legal or Covenant Defeasance</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21</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8.05.</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Deposited Money and U.S. Government Obligations to be Held in Trust; Other Miscellaneous Provisions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22</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8.06.</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Repayment to Issuers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8.07.</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Reinstatement</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 </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r>
      <w:tr>
        <w:trPr/>
        <w:tc>
          <w:tcPr>
            <w:tcW w:w="9396" w:type="dxa"/>
            <w:gridSpan w:val="3"/>
            <w:tcBorders/>
            <w:shd w:fill="auto" w:val="clear"/>
            <w:vAlign w:val="bottom"/>
          </w:tcPr>
          <w:p>
            <w:pPr>
              <w:pStyle w:val="TableContents"/>
              <w:spacing w:before="0" w:after="283"/>
              <w:jc w:val="left"/>
              <w:rPr/>
            </w:pPr>
            <w:r>
              <w:rPr/>
              <w:t>ARTICLE IX SUBSIDIARY GUARANTEES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23</w:t>
            </w:r>
          </w:p>
        </w:tc>
        <w:tc>
          <w:tcPr>
            <w:tcW w:w="212" w:type="dxa"/>
            <w:tcBorders/>
            <w:shd w:fill="auto" w:val="clear"/>
            <w:vAlign w:val="bottom"/>
          </w:tcPr>
          <w:p>
            <w:pPr>
              <w:pStyle w:val="TableContents"/>
              <w:spacing w:before="0" w:after="283"/>
              <w:rPr/>
            </w:pPr>
            <w:r>
              <w:rPr/>
              <w:t> </w:t>
            </w:r>
          </w:p>
        </w:tc>
      </w:tr>
      <w:tr>
        <w:trPr/>
        <w:tc>
          <w:tcPr>
            <w:tcW w:w="1515" w:type="dxa"/>
            <w:tcBorders/>
            <w:shd w:fill="auto" w:val="clear"/>
            <w:vAlign w:val="bottom"/>
          </w:tcPr>
          <w:p>
            <w:pPr>
              <w:pStyle w:val="TableContents"/>
              <w:spacing w:before="0" w:after="0"/>
              <w:ind w:left="225" w:right="0" w:hanging="225"/>
              <w:rPr/>
            </w:pPr>
            <w:r>
              <w:rPr/>
              <w:t>Section 9.01.</w:t>
            </w:r>
          </w:p>
        </w:tc>
        <w:tc>
          <w:tcPr>
            <w:tcW w:w="125" w:type="dxa"/>
            <w:tcBorders/>
            <w:shd w:fill="auto" w:val="clear"/>
            <w:vAlign w:val="bottom"/>
          </w:tcPr>
          <w:p>
            <w:pPr>
              <w:pStyle w:val="TableContents"/>
              <w:spacing w:before="0" w:after="283"/>
              <w:rPr/>
            </w:pPr>
            <w:r>
              <w:rPr/>
              <w:t> </w:t>
            </w:r>
          </w:p>
        </w:tc>
        <w:tc>
          <w:tcPr>
            <w:tcW w:w="7756" w:type="dxa"/>
            <w:tcBorders/>
            <w:shd w:fill="auto" w:val="clear"/>
          </w:tcPr>
          <w:p>
            <w:pPr>
              <w:pStyle w:val="TableContents"/>
              <w:spacing w:before="0" w:after="283"/>
              <w:jc w:val="left"/>
              <w:rPr/>
            </w:pPr>
            <w:r>
              <w:rPr/>
              <w:t>Subsidiary Guarantees</w:t>
            </w:r>
          </w:p>
        </w:tc>
        <w:tc>
          <w:tcPr>
            <w:tcW w:w="1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jc w:val="right"/>
              <w:rPr/>
            </w:pPr>
            <w:r>
              <w:rPr/>
              <w:t>23</w:t>
            </w:r>
          </w:p>
        </w:tc>
        <w:tc>
          <w:tcPr>
            <w:tcW w:w="212" w:type="dxa"/>
            <w:tcBorders/>
            <w:shd w:fill="auto"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12870" w:type="dxa"/>
        <w:jc w:val="center"/>
        <w:tblInd w:w="0" w:type="dxa"/>
        <w:tblCellMar>
          <w:top w:w="0" w:type="dxa"/>
          <w:left w:w="0" w:type="dxa"/>
          <w:bottom w:w="0" w:type="dxa"/>
          <w:right w:w="0" w:type="dxa"/>
        </w:tblCellMar>
      </w:tblPr>
      <w:tblGrid>
        <w:gridCol w:w="1100"/>
        <w:gridCol w:w="60"/>
        <w:gridCol w:w="11270"/>
        <w:gridCol w:w="60"/>
        <w:gridCol w:w="60"/>
        <w:gridCol w:w="260"/>
        <w:gridCol w:w="60"/>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9.02.</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Limitation on Liability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9.03.</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Successors and Assigns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9.04.</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No Waiver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9.05.</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Modification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9.06.</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Execution of Supplemental Indenture for Future Subsidiary Guarantors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9.07.</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Release of Guarantee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2430" w:type="dxa"/>
            <w:gridSpan w:val="3"/>
            <w:tcBorders/>
            <w:shd w:fill="auto" w:val="clear"/>
            <w:vAlign w:val="bottom"/>
          </w:tcPr>
          <w:p>
            <w:pPr>
              <w:pStyle w:val="TableContents"/>
              <w:spacing w:before="0" w:after="283"/>
              <w:jc w:val="left"/>
              <w:rPr/>
            </w:pPr>
            <w:r>
              <w:rPr/>
              <w:t>ARTICLE X MISCELLANEOUS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10.01.</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Additional Amendments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10.02.</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Integral Part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10.03.</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Adoption, Ratification and Confirmation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10.04.</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Counterparts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450" w:right="0" w:hanging="225"/>
              <w:rPr/>
            </w:pPr>
            <w:r>
              <w:rPr/>
              <w:t>Section 10.05.</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Governing Law</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tcPr>
          <w:p>
            <w:pPr>
              <w:pStyle w:val="TableContents"/>
              <w:spacing w:before="0" w:after="0"/>
              <w:ind w:left="225" w:right="0" w:hanging="225"/>
              <w:rPr/>
            </w:pPr>
            <w:r>
              <w:rPr/>
              <w:t>EXHIBIT A:</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Form of Note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tcPr>
          <w:p>
            <w:pPr>
              <w:pStyle w:val="TableContents"/>
              <w:spacing w:before="0" w:after="0"/>
              <w:ind w:left="225" w:right="0" w:hanging="225"/>
              <w:rPr/>
            </w:pPr>
            <w:r>
              <w:rPr/>
              <w:t>EXHIBIT B:</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Form of Supplemental Indenture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tcPr>
          <w:p>
            <w:pPr>
              <w:pStyle w:val="TableContents"/>
              <w:spacing w:before="0" w:after="0"/>
              <w:ind w:left="225" w:right="0" w:hanging="225"/>
              <w:rPr/>
            </w:pPr>
            <w:r>
              <w:rPr/>
              <w:t>EXHIBIT C:</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Certificate to be Delivered Upon Exchange or Registration of Transfer of Securities Pursuant to Rule144A or Rule 501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tcPr>
          <w:p>
            <w:pPr>
              <w:pStyle w:val="TableContents"/>
              <w:spacing w:before="0" w:after="0"/>
              <w:ind w:left="225" w:right="0" w:hanging="225"/>
              <w:rPr/>
            </w:pPr>
            <w:r>
              <w:rPr/>
              <w:t>EXHIBIT D:</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Transferee Letter of Representations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1100" w:type="dxa"/>
            <w:tcBorders/>
            <w:shd w:fill="auto" w:val="clear"/>
          </w:tcPr>
          <w:p>
            <w:pPr>
              <w:pStyle w:val="TableContents"/>
              <w:spacing w:before="0" w:after="0"/>
              <w:ind w:left="225" w:right="0" w:hanging="225"/>
              <w:rPr/>
            </w:pPr>
            <w:r>
              <w:rPr/>
              <w:t>EXHIBIT E:</w:t>
            </w:r>
          </w:p>
        </w:tc>
        <w:tc>
          <w:tcPr>
            <w:tcW w:w="60" w:type="dxa"/>
            <w:tcBorders/>
            <w:shd w:fill="auto" w:val="clear"/>
            <w:vAlign w:val="bottom"/>
          </w:tcPr>
          <w:p>
            <w:pPr>
              <w:pStyle w:val="TableContents"/>
              <w:spacing w:before="0" w:after="283"/>
              <w:rPr/>
            </w:pPr>
            <w:r>
              <w:rPr/>
              <w:t> </w:t>
            </w:r>
          </w:p>
        </w:tc>
        <w:tc>
          <w:tcPr>
            <w:tcW w:w="11270" w:type="dxa"/>
            <w:tcBorders/>
            <w:shd w:fill="auto" w:val="clear"/>
          </w:tcPr>
          <w:p>
            <w:pPr>
              <w:pStyle w:val="TableContents"/>
              <w:spacing w:before="0" w:after="283"/>
              <w:jc w:val="left"/>
              <w:rPr/>
            </w:pPr>
            <w:r>
              <w:rPr/>
              <w:t>Certificate to be Delivered Upon Exchange or Registration of Transfer of Securities Pursuant to Regulation S</w:t>
            </w:r>
          </w:p>
        </w:tc>
        <w:tc>
          <w:tcPr>
            <w:tcW w:w="60" w:type="dxa"/>
            <w:tcBorders/>
            <w:shd w:fill="auto" w:val="clear"/>
            <w:vAlign w:val="bottom"/>
          </w:tcPr>
          <w:p>
            <w:pPr>
              <w:pStyle w:val="TableContents"/>
              <w:spacing w:before="0" w:after="283"/>
              <w:rPr/>
            </w:pPr>
            <w:r>
              <w:rPr/>
              <w:t> </w:t>
            </w:r>
          </w:p>
        </w:tc>
        <w:tc>
          <w:tcPr>
            <w:tcW w:w="380" w:type="dxa"/>
            <w:gridSpan w:val="3"/>
            <w:tcBorders/>
            <w:shd w:fill="auto" w:val="clear"/>
            <w:vAlign w:val="bottom"/>
          </w:tcPr>
          <w:p>
            <w:pPr>
              <w:pStyle w:val="TableContents"/>
              <w:spacing w:before="0" w:after="283"/>
              <w:jc w:val="righ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-ii-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TENTH SUPPLEMENTAL INDENTURE dated as of October 30, 2006 (this Supplemental Indenture) among PLAINS ALL AMERICAN PIPELINE, L.P., a Delaware limited partnership (the Partnership), PAA FINANCE CORP., a wholly owned subsidiary of the Partnership and a Delaware corporation (PAA Finance and, together with the Partnership, the Issuers), and the subsidiary guarantors signatory hereto (the Subsidiary Guarantors), and U.S. BANK NATIONAL ASSOCIATION, as trustee (the Trustee).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20" w:after="283"/>
        <w:jc w:val="left"/>
        <w:rPr/>
      </w:pPr>
      <w:r>
        <w:rPr/>
        <w:t>          </w:t>
      </w:r>
      <w:r>
        <w:rPr>
          <w:rFonts w:ascii="Times New Roman;Times;serif" w:hAnsi="Times New Roman;Times;serif"/>
          <w:sz w:val="17"/>
        </w:rPr>
        <w:t xml:space="preserve">WHEREAS, the Original Indenture, as supplemented by this Supplemental Indenture, is herein called the Indenture; </w:t>
      </w:r>
    </w:p>
    <w:p>
      <w:pPr>
        <w:pStyle w:val="TextBody"/>
        <w:spacing w:before="120" w:after="283"/>
        <w:jc w:val="left"/>
        <w:rPr/>
      </w:pPr>
      <w:r>
        <w:rPr/>
        <w:t>          </w:t>
      </w:r>
      <w:r>
        <w:rPr>
          <w:rFonts w:ascii="Times New Roman;Times;serif" w:hAnsi="Times New Roman;Times;serif"/>
          <w:sz w:val="17"/>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20" w:after="283"/>
        <w:jc w:val="left"/>
        <w:rPr/>
      </w:pPr>
      <w:r>
        <w:rPr/>
        <w:t>          </w:t>
      </w:r>
      <w:r>
        <w:rPr>
          <w:rFonts w:ascii="Times New Roman;Times;serif" w:hAnsi="Times New Roman;Times;serif"/>
          <w:sz w:val="17"/>
        </w:rPr>
        <w:t xml:space="preserve">WHEREAS, also under the Original Indenture, guarantors with respect to a series of Debt Securities may be added as parties to the Indenture by a supplemental indenture executed by themselves, the Issuers and the Trustee; </w:t>
      </w:r>
    </w:p>
    <w:p>
      <w:pPr>
        <w:pStyle w:val="TextBody"/>
        <w:spacing w:before="120" w:after="283"/>
        <w:jc w:val="left"/>
        <w:rPr/>
      </w:pPr>
      <w:r>
        <w:rPr/>
        <w:t>          </w:t>
      </w:r>
      <w:r>
        <w:rPr>
          <w:rFonts w:ascii="Times New Roman;Times;serif" w:hAnsi="Times New Roman;Times;serif"/>
          <w:sz w:val="17"/>
        </w:rPr>
        <w:t xml:space="preserve">WHEREAS, the Issuers propose to create under the Indenture a new series of Debt Securities, such series to be guaranteed by the Subsidiary Guarantors; </w:t>
      </w:r>
    </w:p>
    <w:p>
      <w:pPr>
        <w:pStyle w:val="TextBody"/>
        <w:spacing w:before="120" w:after="283"/>
        <w:jc w:val="left"/>
        <w:rPr/>
      </w:pPr>
      <w:r>
        <w:rPr/>
        <w:t>          </w:t>
      </w:r>
      <w:r>
        <w:rPr>
          <w:rFonts w:ascii="Times New Roman;Times;serif" w:hAnsi="Times New Roman;Times;serif"/>
          <w:sz w:val="17"/>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20" w:after="283"/>
        <w:jc w:val="left"/>
        <w:rPr/>
      </w:pPr>
      <w:r>
        <w:rPr/>
        <w:t>          </w:t>
      </w:r>
      <w:r>
        <w:rPr>
          <w:rFonts w:ascii="Times New Roman;Times;serif" w:hAnsi="Times New Roman;Times;serif"/>
          <w:sz w:val="17"/>
        </w:rPr>
        <w:t xml:space="preserve">WHEREAS, all conditions necessary to authorize the execution and delivery of this Supplemental Indenture and to make it a valid and binding obligation of the Issuers and the Subsidiary Guarantors have been done or performed. </w:t>
      </w:r>
    </w:p>
    <w:p>
      <w:pPr>
        <w:pStyle w:val="TextBody"/>
        <w:spacing w:before="120" w:after="283"/>
        <w:jc w:val="left"/>
        <w:rPr/>
      </w:pPr>
      <w:r>
        <w:rPr/>
        <w:t>          </w:t>
      </w:r>
      <w:r>
        <w:rPr>
          <w:rFonts w:ascii="Times New Roman;Times;serif" w:hAnsi="Times New Roman;Times;serif"/>
          <w:sz w:val="17"/>
        </w:rPr>
        <w:t xml:space="preserve">NOW, THEREFORE, in consideration of the agreements and obligations set forth herein and for other good and valuable consideration, the sufficiency of which is hereby acknowledged, the parties hereto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 </w:t>
      </w:r>
    </w:p>
    <w:p>
      <w:pPr>
        <w:pStyle w:val="TextBody"/>
        <w:spacing w:before="120" w:after="283"/>
        <w:jc w:val="left"/>
        <w:rPr/>
      </w:pPr>
      <w:r>
        <w:rPr/>
        <w:t>          </w:t>
      </w:r>
      <w:r>
        <w:rPr>
          <w:rFonts w:ascii="Times New Roman;Times;serif" w:hAnsi="Times New Roman;Times;serif"/>
          <w:sz w:val="17"/>
        </w:rPr>
        <w:t xml:space="preserve">Section 1.01. </w:t>
      </w:r>
      <w:r>
        <w:rPr>
          <w:rFonts w:ascii="Times New Roman;Times;serif" w:hAnsi="Times New Roman;Times;serif"/>
          <w:sz w:val="17"/>
          <w:u w:val="single"/>
        </w:rPr>
        <w:t>Establishment</w:t>
      </w:r>
      <w:r>
        <w:rPr>
          <w:rFonts w:ascii="Times New Roman;Times;serif" w:hAnsi="Times New Roman;Times;serif"/>
          <w:sz w:val="17"/>
        </w:rPr>
        <w:t xml:space="preserve">. (a) There is hereby established a new series of Debt Securities to be issued under the Indenture, to be designated as the Issuers 6.650% Senior </w:t>
      </w:r>
    </w:p>
    <w:p>
      <w:pPr>
        <w:pStyle w:val="TextBody"/>
        <w:spacing w:before="120" w:after="283"/>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due 2037 (the Notes). As provided in Article III hereof, the Notes shall be issued as either Series A Notes or Series B Notes, and any Notes may have such additional designation. </w:t>
      </w:r>
    </w:p>
    <w:p>
      <w:pPr>
        <w:pStyle w:val="TextBody"/>
        <w:spacing w:before="120" w:after="283"/>
        <w:jc w:val="left"/>
        <w:rPr/>
      </w:pPr>
      <w:r>
        <w:rPr/>
        <w:t>          </w:t>
      </w:r>
      <w:r>
        <w:rPr>
          <w:rFonts w:ascii="Times New Roman;Times;serif" w:hAnsi="Times New Roman;Times;serif"/>
          <w:sz w:val="17"/>
        </w:rPr>
        <w:t xml:space="preserve">(b) There are to be authenticated and delivered $600,000,000 principal amount of Series A Notes on the Issue Date, and from time to time thereafter there may be authenticated and delivered an unlimited principal amount of Additional Notes. Further, from time to time after the Issue Date, Series B Notes may be authenticated and delivered in a principal amount equal to the principal amount of the Series A Notes exchanged therefor pursuant to an Exchange Offer. </w:t>
      </w:r>
    </w:p>
    <w:p>
      <w:pPr>
        <w:pStyle w:val="TextBody"/>
        <w:spacing w:before="120" w:after="283"/>
        <w:jc w:val="left"/>
        <w:rPr/>
      </w:pPr>
      <w:r>
        <w:rPr/>
        <w:t>          </w:t>
      </w:r>
      <w:r>
        <w:rPr>
          <w:rFonts w:ascii="Times New Roman;Times;serif" w:hAnsi="Times New Roman;Times;serif"/>
          <w:sz w:val="17"/>
        </w:rPr>
        <w:t xml:space="preserve">(c) The Notes shall be issued initially in the form of one or more Global Securities in substantially the form set out in Exhibit A hereto. The Depositary with respect to the Notes shall be The Depository Trust Company. </w:t>
      </w:r>
    </w:p>
    <w:p>
      <w:pPr>
        <w:pStyle w:val="TextBody"/>
        <w:spacing w:before="120" w:after="283"/>
        <w:jc w:val="left"/>
        <w:rPr/>
      </w:pPr>
      <w:r>
        <w:rPr/>
        <w:t>          </w:t>
      </w:r>
      <w:r>
        <w:rPr>
          <w:rFonts w:ascii="Times New Roman;Times;serif" w:hAnsi="Times New Roman;Times;serif"/>
          <w:sz w:val="17"/>
        </w:rPr>
        <w:t xml:space="preserve">(d) Each Note shall be dated the date of authentication thereof and shall bear interest from the date of original issuance thereof or from the most recent date to which interest has been paid or duly provided for. </w:t>
      </w:r>
    </w:p>
    <w:p>
      <w:pPr>
        <w:pStyle w:val="TextBody"/>
        <w:spacing w:before="120" w:after="283"/>
        <w:jc w:val="left"/>
        <w:rPr/>
      </w:pPr>
      <w:r>
        <w:rPr/>
        <w:t>          </w:t>
      </w:r>
      <w:r>
        <w:rPr>
          <w:rFonts w:ascii="Times New Roman;Times;serif" w:hAnsi="Times New Roman;Times;serif"/>
          <w:sz w:val="17"/>
        </w:rPr>
        <w:t xml:space="preserve">(e) If and to the extent that the provisions of the Original Indenture are duplicative of, or in contradiction with, the provisions of this Supplemental Indenture, the provisions of this Supplemental Indenture shall govern.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II</w:t>
        <w:br/>
        <w:t xml:space="preserve">DEFINITIONS AND INCORPORATION BY REFERENCE </w:t>
      </w:r>
    </w:p>
    <w:p>
      <w:pPr>
        <w:pStyle w:val="TextBody"/>
        <w:spacing w:before="120" w:after="283"/>
        <w:jc w:val="left"/>
        <w:rPr/>
      </w:pPr>
      <w:r>
        <w:rPr/>
        <w:t>          </w:t>
      </w:r>
      <w:r>
        <w:rPr>
          <w:rFonts w:ascii="Times New Roman;Times;serif" w:hAnsi="Times New Roman;Times;serif"/>
          <w:sz w:val="17"/>
        </w:rPr>
        <w:t xml:space="preserve">Section 2.01. </w:t>
      </w:r>
      <w:r>
        <w:rPr>
          <w:rFonts w:ascii="Times New Roman;Times;serif" w:hAnsi="Times New Roman;Times;serif"/>
          <w:sz w:val="17"/>
          <w:u w:val="single"/>
        </w:rPr>
        <w:t>Definitions</w:t>
      </w:r>
      <w:r>
        <w:rPr>
          <w:rFonts w:ascii="Times New Roman;Times;serif" w:hAnsi="Times New Roman;Times;serif"/>
          <w:sz w:val="17"/>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20" w:after="283"/>
        <w:jc w:val="left"/>
        <w:rPr/>
      </w:pPr>
      <w:r>
        <w:rPr/>
        <w:t>          </w:t>
      </w:r>
      <w:r>
        <w:rPr>
          <w:rFonts w:ascii="Times New Roman;Times;serif" w:hAnsi="Times New Roman;Times;serif"/>
          <w:sz w:val="17"/>
        </w:rPr>
        <w:t xml:space="preserve">Additional Interest means all additional interest owing on the Notes pursuant to a registration default under an Exchange and Registration Rights Agreement. </w:t>
      </w:r>
    </w:p>
    <w:p>
      <w:pPr>
        <w:pStyle w:val="TextBody"/>
        <w:spacing w:before="120" w:after="283"/>
        <w:jc w:val="left"/>
        <w:rPr/>
      </w:pPr>
      <w:r>
        <w:rPr/>
        <w:t>          </w:t>
      </w:r>
      <w:r>
        <w:rPr>
          <w:rFonts w:ascii="Times New Roman;Times;serif" w:hAnsi="Times New Roman;Times;serif"/>
          <w:sz w:val="17"/>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20" w:after="283"/>
        <w:jc w:val="left"/>
        <w:rPr/>
      </w:pPr>
      <w:r>
        <w:rPr/>
        <w:t>          </w:t>
      </w:r>
      <w:r>
        <w:rPr>
          <w:rFonts w:ascii="Times New Roman;Times;serif" w:hAnsi="Times New Roman;Times;serif"/>
          <w:sz w:val="17"/>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jc w:val="left"/>
        <w:rPr/>
      </w:pPr>
      <w:r>
        <w:rPr/>
        <w:t>          </w:t>
      </w:r>
      <w:r>
        <w:rPr>
          <w:rFonts w:ascii="Times New Roman;Times;serif" w:hAnsi="Times New Roman;Times;serif"/>
          <w:sz w:val="17"/>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jc w:val="left"/>
        <w:rPr/>
      </w:pPr>
      <w:r>
        <w:rPr/>
        <w:t>          </w:t>
      </w:r>
      <w:r>
        <w:rPr>
          <w:rFonts w:ascii="Times New Roman;Times;serif" w:hAnsi="Times New Roman;Times;serif"/>
          <w:sz w:val="17"/>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20" w:after="283"/>
        <w:jc w:val="left"/>
        <w:rPr/>
      </w:pPr>
      <w:r>
        <w:rPr/>
        <w:t>          </w:t>
      </w:r>
      <w:r>
        <w:rPr>
          <w:rFonts w:ascii="Times New Roman;Times;serif" w:hAnsi="Times New Roman;Times;serif"/>
          <w:sz w:val="17"/>
        </w:rPr>
        <w:t xml:space="preserve">Debt means any obligation created or assumed by any Person for the repayment of money borrowed, any purchase money obligation created or assumed by such Person, and any guarantee of the foregoing. </w:t>
      </w:r>
    </w:p>
    <w:p>
      <w:pPr>
        <w:pStyle w:val="TextBody"/>
        <w:spacing w:before="120" w:after="283"/>
        <w:jc w:val="left"/>
        <w:rPr/>
      </w:pPr>
      <w:r>
        <w:rPr/>
        <w:t>          </w:t>
      </w:r>
      <w:r>
        <w:rPr>
          <w:rFonts w:ascii="Times New Roman;Times;serif" w:hAnsi="Times New Roman;Times;serif"/>
          <w:sz w:val="17"/>
        </w:rPr>
        <w:t xml:space="preserve">Exchange and Registration Rights Agreement means (a) the Registration Rights Agreement among the Partnership, PAA Finance, the Subsidiary Guarantors and the Initial Purchasers dated the Issue Date relating to the Series A Notes issued on such date and (b) any similar agreement that the Issuers may enter into in relation to any other Series A Notes, in each case as such agreement may be amended or modified from time to time. </w:t>
      </w:r>
    </w:p>
    <w:p>
      <w:pPr>
        <w:pStyle w:val="TextBody"/>
        <w:spacing w:before="120" w:after="283"/>
        <w:jc w:val="left"/>
        <w:rPr/>
      </w:pPr>
      <w:r>
        <w:rPr/>
        <w:t>          </w:t>
      </w:r>
      <w:r>
        <w:rPr>
          <w:rFonts w:ascii="Times New Roman;Times;serif" w:hAnsi="Times New Roman;Times;serif"/>
          <w:sz w:val="17"/>
        </w:rPr>
        <w:t xml:space="preserve">Exchange Offer means the offer by the Issuers to the Holders of all outstanding Transfer Restricted Securities to exchange all such outstanding Transfer Restricted Securities held by such Holders for Series B Notes, in an aggregate principal amount equal to the aggregate principal amount of the Transfer Restricted Securities tendered in such exchange offer by such Holders. </w:t>
      </w:r>
    </w:p>
    <w:p>
      <w:pPr>
        <w:pStyle w:val="TextBody"/>
        <w:spacing w:before="120" w:after="283"/>
        <w:jc w:val="left"/>
        <w:rPr/>
      </w:pPr>
      <w:r>
        <w:rPr/>
        <w:t>          </w:t>
      </w:r>
      <w:r>
        <w:rPr>
          <w:rFonts w:ascii="Times New Roman;Times;serif" w:hAnsi="Times New Roman;Times;serif"/>
          <w:sz w:val="17"/>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jc w:val="left"/>
        <w:rPr/>
      </w:pPr>
      <w:r>
        <w:rPr/>
        <w:t>          </w:t>
      </w:r>
      <w:r>
        <w:rPr>
          <w:rFonts w:ascii="Times New Roman;Times;serif" w:hAnsi="Times New Roman;Times;serif"/>
          <w:sz w:val="17"/>
        </w:rPr>
        <w:t xml:space="preserve">Guarantee means a guarantee of the Notes given by a Subsidiary Guarantor pursuant to the Indenture, including all obligations under Article IX hereof.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guarantee means a guarantee (other than by endorsement of negotiable instruments for collection in the ordinary course of business), direct or indirect, in any manner (including, without limitation, by way of a pledge of assets, or through letters of credit or reimbursement, claw-back, make-well, or keep-well agreements in respect thereof), of all or any part of the payment of any Debt. The term guarantee used as a verb has a corresponding meaning. </w:t>
      </w:r>
    </w:p>
    <w:p>
      <w:pPr>
        <w:pStyle w:val="TextBody"/>
        <w:spacing w:before="120" w:after="283"/>
        <w:jc w:val="left"/>
        <w:rPr/>
      </w:pPr>
      <w:r>
        <w:rPr/>
        <w:t>          </w:t>
      </w:r>
      <w:r>
        <w:rPr>
          <w:rFonts w:ascii="Times New Roman;Times;serif" w:hAnsi="Times New Roman;Times;serif"/>
          <w:sz w:val="17"/>
        </w:rPr>
        <w:t xml:space="preserve">Initial Purchasers means Citigroup Global Markets Inc. and the other initial purchasers party to the initial Exchange and Registration Rights Agreement. </w:t>
      </w:r>
    </w:p>
    <w:p>
      <w:pPr>
        <w:pStyle w:val="TextBody"/>
        <w:spacing w:before="120" w:after="283"/>
        <w:jc w:val="left"/>
        <w:rPr/>
      </w:pPr>
      <w:r>
        <w:rPr/>
        <w:t>          </w:t>
      </w:r>
      <w:r>
        <w:rPr>
          <w:rFonts w:ascii="Times New Roman;Times;serif" w:hAnsi="Times New Roman;Times;serif"/>
          <w:sz w:val="17"/>
        </w:rPr>
        <w:t xml:space="preserve">Issue Date means, with respect to the Notes, the date on which the Notes are initially issued. </w:t>
      </w:r>
    </w:p>
    <w:p>
      <w:pPr>
        <w:pStyle w:val="TextBody"/>
        <w:spacing w:before="120" w:after="283"/>
        <w:jc w:val="left"/>
        <w:rPr/>
      </w:pPr>
      <w:r>
        <w:rPr/>
        <w:t>          </w:t>
      </w:r>
      <w:r>
        <w:rPr>
          <w:rFonts w:ascii="Times New Roman;Times;serif" w:hAnsi="Times New Roman;Times;serif"/>
          <w:sz w:val="17"/>
        </w:rPr>
        <w:t xml:space="preserve">Notes has the meaning assigned to it in Section 1.01(a) hereof, and includes both the Series A Notes and the Series B Notes. </w:t>
      </w:r>
    </w:p>
    <w:p>
      <w:pPr>
        <w:pStyle w:val="TextBody"/>
        <w:spacing w:before="120" w:after="283"/>
        <w:jc w:val="left"/>
        <w:rPr/>
      </w:pPr>
      <w:r>
        <w:rPr/>
        <w:t>          </w:t>
      </w:r>
      <w:r>
        <w:rPr>
          <w:rFonts w:ascii="Times New Roman;Times;serif" w:hAnsi="Times New Roman;Times;serif"/>
          <w:sz w:val="17"/>
        </w:rPr>
        <w:t xml:space="preserve">Obligations means any principal, interest, liquidated damages, penalties, fees, indemnifications, reimbursement obligations, damages and other liabilities payable under the documentation governing any Debt. </w:t>
      </w:r>
    </w:p>
    <w:p>
      <w:pPr>
        <w:pStyle w:val="TextBody"/>
        <w:spacing w:before="120" w:after="283"/>
        <w:jc w:val="left"/>
        <w:rPr/>
      </w:pPr>
      <w:r>
        <w:rPr/>
        <w:t>          </w:t>
      </w:r>
      <w:r>
        <w:rPr>
          <w:rFonts w:ascii="Times New Roman;Times;serif" w:hAnsi="Times New Roman;Times;serif"/>
          <w:sz w:val="17"/>
        </w:rPr>
        <w:t xml:space="preserve">Pari Passu Debt means any Funded Debt of either of the Issuers, whether outstanding on the Issue Date of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20" w:after="283"/>
        <w:jc w:val="left"/>
        <w:rPr/>
      </w:pPr>
      <w:r>
        <w:rPr/>
        <w:t>          </w:t>
      </w:r>
      <w:r>
        <w:rPr>
          <w:rFonts w:ascii="Times New Roman;Times;serif" w:hAnsi="Times New Roman;Times;serif"/>
          <w:sz w:val="17"/>
        </w:rPr>
        <w:t xml:space="preserve">Pacific means Pacific Energy Partners, L.P. </w:t>
      </w:r>
    </w:p>
    <w:p>
      <w:pPr>
        <w:pStyle w:val="TextBody"/>
        <w:spacing w:before="120" w:after="283"/>
        <w:jc w:val="left"/>
        <w:rPr/>
      </w:pPr>
      <w:r>
        <w:rPr/>
        <w:t>          </w:t>
      </w:r>
      <w:r>
        <w:rPr>
          <w:rFonts w:ascii="Times New Roman;Times;serif" w:hAnsi="Times New Roman;Times;serif"/>
          <w:sz w:val="17"/>
        </w:rPr>
        <w:t xml:space="preserve">Pacific Merger means the merger of the Pacific into the Partnership pursuant to the terms of the Pacific Merger Agreement. </w:t>
      </w:r>
    </w:p>
    <w:p>
      <w:pPr>
        <w:pStyle w:val="TextBody"/>
        <w:spacing w:before="120" w:after="283"/>
        <w:jc w:val="left"/>
        <w:rPr/>
      </w:pPr>
      <w:r>
        <w:rPr/>
        <w:t>          </w:t>
      </w:r>
      <w:r>
        <w:rPr>
          <w:rFonts w:ascii="Times New Roman;Times;serif" w:hAnsi="Times New Roman;Times;serif"/>
          <w:sz w:val="17"/>
        </w:rPr>
        <w:t xml:space="preserve">Pacific Merger Agreement means the Agreement and Plan of Merger dated as of June 11, 2006, by and among the Partnership, Plains AAP, L.P., Plains All American GP LLC, Pacific, Pacific Energy Management LLC and Pacific Energy GP, LP, as it may be amended from time to time. </w:t>
      </w:r>
    </w:p>
    <w:p>
      <w:pPr>
        <w:pStyle w:val="TextBody"/>
        <w:spacing w:before="120" w:after="283"/>
        <w:jc w:val="left"/>
        <w:rPr/>
      </w:pPr>
      <w:r>
        <w:rPr/>
        <w:t>          </w:t>
      </w:r>
      <w:r>
        <w:rPr>
          <w:rFonts w:ascii="Times New Roman;Times;serif" w:hAnsi="Times New Roman;Times;serif"/>
          <w:sz w:val="17"/>
        </w:rPr>
        <w:t xml:space="preserve">Partnership Agreement means the Third Amended and Restated Agreement of Limited Partnership of Plains All American Pipeline, L.P., amended and restated effective as of June 27, 2001, as amended by Amendment No. 1 thereto dated as of April 15, 2004 and as such may be otherwise amended, modified or supplemented from time to time. </w:t>
      </w:r>
    </w:p>
    <w:p>
      <w:pPr>
        <w:pStyle w:val="TextBody"/>
        <w:spacing w:before="120" w:after="283"/>
        <w:jc w:val="left"/>
        <w:rPr/>
      </w:pPr>
      <w:r>
        <w:rPr/>
        <w:t>          </w:t>
      </w:r>
      <w:r>
        <w:rPr>
          <w:rFonts w:ascii="Times New Roman;Times;serif" w:hAnsi="Times New Roman;Times;serif"/>
          <w:sz w:val="17"/>
        </w:rPr>
        <w:t xml:space="preserve">Permitted Liens means: </w:t>
      </w:r>
    </w:p>
    <w:p>
      <w:pPr>
        <w:pStyle w:val="TextBody"/>
        <w:spacing w:before="120" w:after="283"/>
        <w:jc w:val="left"/>
        <w:rPr/>
      </w:pPr>
      <w:r>
        <w:rPr/>
        <w:t>     </w:t>
      </w:r>
      <w:r>
        <w:rPr>
          <w:rFonts w:ascii="Times New Roman;Times;serif" w:hAnsi="Times New Roman;Times;serif"/>
          <w:sz w:val="17"/>
        </w:rPr>
        <w:t xml:space="preserve">(1) Liens upon rights-of-way for pipeline purposes; </w:t>
      </w:r>
    </w:p>
    <w:p>
      <w:pPr>
        <w:pStyle w:val="TextBody"/>
        <w:spacing w:before="120" w:after="283"/>
        <w:jc w:val="left"/>
        <w:rPr/>
      </w:pPr>
      <w:r>
        <w:rPr/>
        <w:t>     </w:t>
      </w:r>
      <w:r>
        <w:rPr>
          <w:rFonts w:ascii="Times New Roman;Times;serif" w:hAnsi="Times New Roman;Times;serif"/>
          <w:sz w:val="17"/>
        </w:rPr>
        <w:t xml:space="preserve">(2) any statutory or governmental Lien or Lien arising by operation of law, or any mechanics, repairmens, materialmens, suppliers, carriers, landlords, warehousemens or similar Lien incurred in the ordinary course of business which is not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yet due or which is being contested in good faith by appropriate proceedings and any undetermined Lien which is incidental to construction, development, improvement or repair; </w:t>
      </w:r>
    </w:p>
    <w:p>
      <w:pPr>
        <w:pStyle w:val="TextBody"/>
        <w:spacing w:before="120" w:after="283"/>
        <w:jc w:val="left"/>
        <w:rPr/>
      </w:pPr>
      <w:r>
        <w:rPr/>
        <w:t>     </w:t>
      </w:r>
      <w:r>
        <w:rPr>
          <w:rFonts w:ascii="Times New Roman;Times;serif" w:hAnsi="Times New Roman;Times;serif"/>
          <w:sz w:val="17"/>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jc w:val="left"/>
        <w:rPr/>
      </w:pPr>
      <w:r>
        <w:rPr/>
        <w:t>     </w:t>
      </w:r>
      <w:r>
        <w:rPr>
          <w:rFonts w:ascii="Times New Roman;Times;serif" w:hAnsi="Times New Roman;Times;serif"/>
          <w:sz w:val="17"/>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120" w:after="283"/>
        <w:jc w:val="left"/>
        <w:rPr/>
      </w:pPr>
      <w:r>
        <w:rPr/>
        <w:t>     </w:t>
      </w:r>
      <w:r>
        <w:rPr>
          <w:rFonts w:ascii="Times New Roman;Times;serif" w:hAnsi="Times New Roman;Times;serif"/>
          <w:sz w:val="17"/>
        </w:rPr>
        <w:t xml:space="preserve">(5) Liens of, or to secure performance of, leases, other than capital leases; </w:t>
      </w:r>
    </w:p>
    <w:p>
      <w:pPr>
        <w:pStyle w:val="TextBody"/>
        <w:spacing w:before="120" w:after="283"/>
        <w:jc w:val="left"/>
        <w:rPr/>
      </w:pPr>
      <w:r>
        <w:rPr/>
        <w:t>     </w:t>
      </w:r>
      <w:r>
        <w:rPr>
          <w:rFonts w:ascii="Times New Roman;Times;serif" w:hAnsi="Times New Roman;Times;serif"/>
          <w:sz w:val="17"/>
        </w:rPr>
        <w:t xml:space="preserve">(6) any Lien upon, or deposits of, any assets in favor of any surety company or clerk of court for the purpose of obtaining indemnity or stay of judicial proceedings; </w:t>
      </w:r>
    </w:p>
    <w:p>
      <w:pPr>
        <w:pStyle w:val="TextBody"/>
        <w:spacing w:before="120" w:after="283"/>
        <w:jc w:val="left"/>
        <w:rPr/>
      </w:pPr>
      <w:r>
        <w:rPr/>
        <w:t>     </w:t>
      </w:r>
      <w:r>
        <w:rPr>
          <w:rFonts w:ascii="Times New Roman;Times;serif" w:hAnsi="Times New Roman;Times;serif"/>
          <w:sz w:val="17"/>
        </w:rPr>
        <w:t xml:space="preserve">(7) any Lien upon property or assets acquired or sold by an Issuer or any Restricted Subsidiary resulting from the exercise of any rights arising out of defaults on receivables; </w:t>
      </w:r>
    </w:p>
    <w:p>
      <w:pPr>
        <w:pStyle w:val="TextBody"/>
        <w:spacing w:before="120" w:after="283"/>
        <w:jc w:val="left"/>
        <w:rPr/>
      </w:pPr>
      <w:r>
        <w:rPr/>
        <w:t>     </w:t>
      </w:r>
      <w:r>
        <w:rPr>
          <w:rFonts w:ascii="Times New Roman;Times;serif" w:hAnsi="Times New Roman;Times;serif"/>
          <w:sz w:val="17"/>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jc w:val="left"/>
        <w:rPr/>
      </w:pPr>
      <w:r>
        <w:rPr/>
        <w:t>     </w:t>
      </w:r>
      <w:r>
        <w:rPr>
          <w:rFonts w:ascii="Times New Roman;Times;serif" w:hAnsi="Times New Roman;Times;serif"/>
          <w:sz w:val="17"/>
        </w:rPr>
        <w:t xml:space="preserve">(9) any Lien in favor of an Issuer or any Restricted Subsidiary; </w:t>
      </w:r>
    </w:p>
    <w:p>
      <w:pPr>
        <w:pStyle w:val="TextBody"/>
        <w:spacing w:before="120" w:after="283"/>
        <w:jc w:val="left"/>
        <w:rPr/>
      </w:pPr>
      <w:r>
        <w:rPr/>
        <w:t>     </w:t>
      </w:r>
      <w:r>
        <w:rPr>
          <w:rFonts w:ascii="Times New Roman;Times;serif" w:hAnsi="Times New Roman;Times;serif"/>
          <w:sz w:val="17"/>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120" w:after="283"/>
        <w:jc w:val="left"/>
        <w:rPr/>
      </w:pPr>
      <w:r>
        <w:rPr/>
        <w:t>     </w:t>
      </w:r>
      <w:r>
        <w:rPr>
          <w:rFonts w:ascii="Times New Roman;Times;serif" w:hAnsi="Times New Roman;Times;serif"/>
          <w:sz w:val="17"/>
        </w:rPr>
        <w:t xml:space="preserve">(11) any Lien securing industrial development, pollution control or similar revenue bonds; </w:t>
      </w:r>
    </w:p>
    <w:p>
      <w:pPr>
        <w:pStyle w:val="TextBody"/>
        <w:spacing w:before="120" w:after="283"/>
        <w:jc w:val="left"/>
        <w:rPr/>
      </w:pPr>
      <w:r>
        <w:rPr/>
        <w:t>     </w:t>
      </w:r>
      <w:r>
        <w:rPr>
          <w:rFonts w:ascii="Times New Roman;Times;serif" w:hAnsi="Times New Roman;Times;serif"/>
          <w:sz w:val="17"/>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accrued interest thereon and reasonable fees and expenses and premium, if any, incurred by the Issuers or any Restricted Subsidiary in connection therewith; </w:t>
      </w:r>
    </w:p>
    <w:p>
      <w:pPr>
        <w:pStyle w:val="TextBody"/>
        <w:spacing w:before="120" w:after="283"/>
        <w:jc w:val="left"/>
        <w:rPr/>
      </w:pPr>
      <w:r>
        <w:rPr/>
        <w:t>     </w:t>
      </w:r>
      <w:r>
        <w:rPr>
          <w:rFonts w:ascii="Times New Roman;Times;serif" w:hAnsi="Times New Roman;Times;serif"/>
          <w:sz w:val="17"/>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120" w:after="283"/>
        <w:jc w:val="left"/>
        <w:rPr/>
      </w:pPr>
      <w:r>
        <w:rPr/>
        <w:t>     </w:t>
      </w:r>
      <w:r>
        <w:rPr>
          <w:rFonts w:ascii="Times New Roman;Times;serif" w:hAnsi="Times New Roman;Times;serif"/>
          <w:sz w:val="17"/>
        </w:rPr>
        <w:t xml:space="preserve">(14) any Lien upon or deposits of any assets to secure performance of bids, trade contracts, leases or statutory obligations; </w:t>
      </w:r>
    </w:p>
    <w:p>
      <w:pPr>
        <w:pStyle w:val="TextBody"/>
        <w:spacing w:before="120" w:after="283"/>
        <w:jc w:val="left"/>
        <w:rPr/>
      </w:pPr>
      <w:r>
        <w:rPr/>
        <w:t>     </w:t>
      </w:r>
      <w:r>
        <w:rPr>
          <w:rFonts w:ascii="Times New Roman;Times;serif" w:hAnsi="Times New Roman;Times;serif"/>
          <w:sz w:val="17"/>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jc w:val="left"/>
        <w:rPr/>
      </w:pPr>
      <w:r>
        <w:rPr/>
        <w:t>     </w:t>
      </w:r>
      <w:r>
        <w:rPr>
          <w:rFonts w:ascii="Times New Roman;Times;serif" w:hAnsi="Times New Roman;Times;serif"/>
          <w:sz w:val="17"/>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120" w:after="283"/>
        <w:jc w:val="left"/>
        <w:rPr/>
      </w:pPr>
      <w:r>
        <w:rPr/>
        <w:t>     </w:t>
      </w:r>
      <w:r>
        <w:rPr>
          <w:rFonts w:ascii="Times New Roman;Times;serif" w:hAnsi="Times New Roman;Times;serif"/>
          <w:sz w:val="17"/>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120" w:after="283"/>
        <w:jc w:val="left"/>
        <w:rPr/>
      </w:pPr>
      <w:r>
        <w:rPr/>
        <w:t>     </w:t>
      </w:r>
      <w:r>
        <w:rPr>
          <w:rFonts w:ascii="Times New Roman;Times;serif" w:hAnsi="Times New Roman;Times;serif"/>
          <w:sz w:val="17"/>
        </w:rPr>
        <w:t xml:space="preserve">(18) any obligations or duties to any municipality or public authority with respect to any lease, easement, right-of-way, license, franchise, privilege, permit or grant. </w:t>
      </w:r>
    </w:p>
    <w:p>
      <w:pPr>
        <w:pStyle w:val="TextBody"/>
        <w:spacing w:before="120" w:after="283"/>
        <w:jc w:val="left"/>
        <w:rPr/>
      </w:pPr>
      <w:r>
        <w:rPr/>
        <w:t>          </w:t>
      </w:r>
      <w:r>
        <w:rPr>
          <w:rFonts w:ascii="Times New Roman;Times;serif" w:hAnsi="Times New Roman;Times;serif"/>
          <w:sz w:val="17"/>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relation to the activities of the Partnership or the activities of the Partnership and its Subsidiaries, taken as a whole. </w:t>
      </w:r>
    </w:p>
    <w:p>
      <w:pPr>
        <w:pStyle w:val="TextBody"/>
        <w:spacing w:before="120" w:after="283"/>
        <w:jc w:val="left"/>
        <w:rPr/>
      </w:pPr>
      <w:r>
        <w:rPr/>
        <w:t>          </w:t>
      </w:r>
      <w:r>
        <w:rPr>
          <w:rFonts w:ascii="Times New Roman;Times;serif" w:hAnsi="Times New Roman;Times;serif"/>
          <w:sz w:val="17"/>
        </w:rPr>
        <w:t xml:space="preserve">Restricted Subsidiary means any Subsidiary of the Partnership owning or leasing, directly or indirectly through ownership in another Subsidiary, and Principal Property. </w:t>
      </w:r>
    </w:p>
    <w:p>
      <w:pPr>
        <w:pStyle w:val="TextBody"/>
        <w:spacing w:before="120" w:after="283"/>
        <w:jc w:val="left"/>
        <w:rPr/>
      </w:pPr>
      <w:r>
        <w:rPr/>
        <w:t>          </w:t>
      </w:r>
      <w:r>
        <w:rPr>
          <w:rFonts w:ascii="Times New Roman;Times;serif" w:hAnsi="Times New Roman;Times;serif"/>
          <w:sz w:val="17"/>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20" w:after="283"/>
        <w:jc w:val="left"/>
        <w:rPr/>
      </w:pPr>
      <w:r>
        <w:rPr/>
        <w:t>          </w:t>
      </w:r>
      <w:r>
        <w:rPr>
          <w:rFonts w:ascii="Times New Roman;Times;serif" w:hAnsi="Times New Roman;Times;serif"/>
          <w:sz w:val="17"/>
        </w:rPr>
        <w:t xml:space="preserve">Securities shall have the meaning assigned to such term in the Exchange and Registration Rights Agreement relating thereto. </w:t>
      </w:r>
    </w:p>
    <w:p>
      <w:pPr>
        <w:pStyle w:val="TextBody"/>
        <w:spacing w:before="120" w:after="283"/>
        <w:jc w:val="left"/>
        <w:rPr/>
      </w:pPr>
      <w:r>
        <w:rPr/>
        <w:t>          </w:t>
      </w:r>
      <w:r>
        <w:rPr>
          <w:rFonts w:ascii="Times New Roman;Times;serif" w:hAnsi="Times New Roman;Times;serif"/>
          <w:sz w:val="17"/>
        </w:rPr>
        <w:t xml:space="preserve">Series A Notes means the Issuers 6.650% Series A Senior Notes due 2037 to be issued pursuant to this Supplemental Indenture. </w:t>
      </w:r>
    </w:p>
    <w:p>
      <w:pPr>
        <w:pStyle w:val="TextBody"/>
        <w:spacing w:before="120" w:after="283"/>
        <w:jc w:val="left"/>
        <w:rPr/>
      </w:pPr>
      <w:r>
        <w:rPr/>
        <w:t>          </w:t>
      </w:r>
      <w:r>
        <w:rPr>
          <w:rFonts w:ascii="Times New Roman;Times;serif" w:hAnsi="Times New Roman;Times;serif"/>
          <w:sz w:val="17"/>
        </w:rPr>
        <w:t xml:space="preserve">Series B Notes means the Issuers 6.650% Series B Notes due 2037 to be issued pursuant to an Exchange Offer. </w:t>
      </w:r>
    </w:p>
    <w:p>
      <w:pPr>
        <w:pStyle w:val="TextBody"/>
        <w:spacing w:before="120" w:after="283"/>
        <w:jc w:val="left"/>
        <w:rPr/>
      </w:pPr>
      <w:r>
        <w:rPr/>
        <w:t>          </w:t>
      </w:r>
      <w:r>
        <w:rPr>
          <w:rFonts w:ascii="Times New Roman;Times;serif" w:hAnsi="Times New Roman;Times;serif"/>
          <w:sz w:val="17"/>
        </w:rPr>
        <w:t xml:space="preserve">Special Mandatory Redemption Trigger Event means the earlier to occur of the following two events: </w:t>
      </w:r>
    </w:p>
    <w:p>
      <w:pPr>
        <w:pStyle w:val="TextBody"/>
        <w:spacing w:before="120" w:after="283"/>
        <w:jc w:val="left"/>
        <w:rPr/>
      </w:pPr>
      <w:r>
        <w:rPr/>
        <w:t>     </w:t>
      </w:r>
      <w:r>
        <w:rPr>
          <w:rFonts w:ascii="Times New Roman;Times;serif" w:hAnsi="Times New Roman;Times;serif"/>
          <w:sz w:val="17"/>
        </w:rPr>
        <w:t xml:space="preserve">(1) February 15, 2007, if the Pacific Merger has not been consummated by such date; or </w:t>
      </w:r>
    </w:p>
    <w:p>
      <w:pPr>
        <w:pStyle w:val="TextBody"/>
        <w:spacing w:before="120" w:after="283"/>
        <w:jc w:val="left"/>
        <w:rPr/>
      </w:pPr>
      <w:r>
        <w:rPr/>
        <w:t>     </w:t>
      </w:r>
      <w:r>
        <w:rPr>
          <w:rFonts w:ascii="Times New Roman;Times;serif" w:hAnsi="Times New Roman;Times;serif"/>
          <w:sz w:val="17"/>
        </w:rPr>
        <w:t xml:space="preserve">(2) the termination of the Pacific Merger Agreement. </w:t>
      </w:r>
    </w:p>
    <w:p>
      <w:pPr>
        <w:pStyle w:val="TextBody"/>
        <w:spacing w:before="120" w:after="283"/>
        <w:jc w:val="left"/>
        <w:rPr/>
      </w:pPr>
      <w:r>
        <w:rPr/>
        <w:t>          </w:t>
      </w:r>
      <w:r>
        <w:rPr>
          <w:rFonts w:ascii="Times New Roman;Times;serif" w:hAnsi="Times New Roman;Times;serif"/>
          <w:sz w:val="17"/>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20" w:after="283"/>
        <w:jc w:val="left"/>
        <w:rPr/>
      </w:pPr>
      <w:r>
        <w:rPr/>
        <w:t>          </w:t>
      </w:r>
      <w:r>
        <w:rPr>
          <w:rFonts w:ascii="Times New Roman;Times;serif" w:hAnsi="Times New Roman;Times;serif"/>
          <w:sz w:val="17"/>
        </w:rPr>
        <w:t xml:space="preserve">Subsidiary Guarantors means each of: </w:t>
      </w:r>
    </w:p>
    <w:p>
      <w:pPr>
        <w:pStyle w:val="TextBody"/>
        <w:spacing w:before="120" w:after="283"/>
        <w:jc w:val="left"/>
        <w:rPr/>
      </w:pPr>
      <w:r>
        <w:rPr/>
        <w:t>     </w:t>
      </w:r>
      <w:r>
        <w:rPr>
          <w:rFonts w:ascii="Times New Roman;Times;serif" w:hAnsi="Times New Roman;Times;serif"/>
          <w:sz w:val="17"/>
        </w:rPr>
        <w:t xml:space="preserve">(1) the Subsidiaries of the Partnership named as the Subsidiary Guarantors on the signature pages of this Supplemental Indenture; </w:t>
      </w:r>
    </w:p>
    <w:p>
      <w:pPr>
        <w:pStyle w:val="TextBody"/>
        <w:spacing w:before="120" w:after="283"/>
        <w:jc w:val="left"/>
        <w:rPr/>
      </w:pPr>
      <w:r>
        <w:rPr/>
        <w:t>     </w:t>
      </w:r>
      <w:r>
        <w:rPr>
          <w:rFonts w:ascii="Times New Roman;Times;serif" w:hAnsi="Times New Roman;Times;serif"/>
          <w:sz w:val="17"/>
        </w:rPr>
        <w:t xml:space="preserve">(2) any other Subsidiary that executes a supplemental Indenture to provide a Guarantee in accordance with the provisions of the Indenture; and </w:t>
      </w:r>
    </w:p>
    <w:p>
      <w:pPr>
        <w:pStyle w:val="TextBody"/>
        <w:spacing w:before="120" w:after="283"/>
        <w:jc w:val="left"/>
        <w:rPr/>
      </w:pPr>
      <w:r>
        <w:rPr/>
        <w:t>     </w:t>
      </w:r>
      <w:r>
        <w:rPr>
          <w:rFonts w:ascii="Times New Roman;Times;serif" w:hAnsi="Times New Roman;Times;serif"/>
          <w:sz w:val="17"/>
        </w:rPr>
        <w:t xml:space="preserve">(3) their respective successors and assigns.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anything in the Indenture to the contrary, PAA Finance, Atchafalaya Pipeline, L.L.C. and Andrews Partners, LLC shall not be Subsidiary Guarantors. </w:t>
      </w:r>
    </w:p>
    <w:p>
      <w:pPr>
        <w:pStyle w:val="TextBody"/>
        <w:spacing w:before="120" w:after="283"/>
        <w:jc w:val="left"/>
        <w:rPr/>
      </w:pPr>
      <w:r>
        <w:rPr/>
        <w:t>          </w:t>
      </w:r>
      <w:r>
        <w:rPr>
          <w:rFonts w:ascii="Times New Roman;Times;serif" w:hAnsi="Times New Roman;Times;serif"/>
          <w:sz w:val="17"/>
        </w:rPr>
        <w:t xml:space="preserve">Transfer Restricted Securities means any Notes outstanding prior to the Resale Restriction Termination Date with respect to such Notes and which must bear the legend required under Section 3.04 hereof. </w:t>
      </w:r>
    </w:p>
    <w:p>
      <w:pPr>
        <w:pStyle w:val="TextBody"/>
        <w:spacing w:before="120" w:after="283"/>
        <w:jc w:val="left"/>
        <w:rPr/>
      </w:pPr>
      <w:r>
        <w:rPr/>
        <w:t>          </w:t>
      </w:r>
      <w:r>
        <w:rPr>
          <w:rFonts w:ascii="Times New Roman;Times;serif" w:hAnsi="Times New Roman;Times;serif"/>
          <w:sz w:val="17"/>
        </w:rPr>
        <w:t>Section 2.02.</w:t>
      </w:r>
      <w:r>
        <w:rPr>
          <w:rFonts w:ascii="Times New Roman;Times;serif" w:hAnsi="Times New Roman;Times;serif"/>
          <w:sz w:val="17"/>
          <w:u w:val="single"/>
        </w:rPr>
        <w:t>Other Definitions.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237"/>
        <w:gridCol w:w="462"/>
        <w:gridCol w:w="170"/>
        <w:gridCol w:w="1056"/>
        <w:gridCol w:w="280"/>
      </w:tblGrid>
      <w:tr>
        <w:trPr/>
        <w:tc>
          <w:tcPr>
            <w:tcW w:w="8237"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283"/>
              <w:rPr/>
            </w:pPr>
            <w:r>
              <w:rPr/>
              <w:t> </w:t>
            </w:r>
          </w:p>
        </w:tc>
        <w:tc>
          <w:tcPr>
            <w:tcW w:w="462"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jc w:val="center"/>
              <w:rPr/>
            </w:pPr>
            <w:r>
              <w:rPr/>
              <w:t>Defined in</w:t>
            </w:r>
          </w:p>
        </w:tc>
        <w:tc>
          <w:tcPr>
            <w:tcW w:w="280" w:type="dxa"/>
            <w:tcBorders/>
            <w:shd w:fill="auto"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283"/>
              <w:jc w:val="center"/>
              <w:rPr/>
            </w:pPr>
            <w:r>
              <w:rPr/>
              <w:t>Term</w:t>
            </w:r>
          </w:p>
        </w:tc>
        <w:tc>
          <w:tcPr>
            <w:tcW w:w="462" w:type="dxa"/>
            <w:tcBorders/>
            <w:shd w:fill="auto" w:val="clear"/>
            <w:vAlign w:val="bottom"/>
          </w:tcPr>
          <w:p>
            <w:pPr>
              <w:pStyle w:val="TableContents"/>
              <w:spacing w:before="0" w:after="283"/>
              <w:rPr/>
            </w:pPr>
            <w:r>
              <w:rPr/>
              <w:t> </w:t>
            </w:r>
          </w:p>
        </w:tc>
        <w:tc>
          <w:tcPr>
            <w:tcW w:w="1226" w:type="dxa"/>
            <w:gridSpan w:val="2"/>
            <w:tcBorders/>
            <w:shd w:fill="auto" w:val="clear"/>
            <w:vAlign w:val="bottom"/>
          </w:tcPr>
          <w:p>
            <w:pPr>
              <w:pStyle w:val="TableContents"/>
              <w:spacing w:before="0" w:after="283"/>
              <w:jc w:val="center"/>
              <w:rPr/>
            </w:pPr>
            <w:r>
              <w:rPr/>
              <w:t>Section</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Additional Notes</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3.02</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Covenant Defeasance</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8.03</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Distribution Compliance Period</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pPr>
            <w:r>
              <w:rPr/>
              <w:t>3.03</w:t>
            </w:r>
          </w:p>
        </w:tc>
        <w:tc>
          <w:tcPr>
            <w:tcW w:w="280" w:type="dxa"/>
            <w:tcBorders/>
            <w:shd w:fill="CCEEFF" w:val="clear"/>
            <w:vAlign w:val="bottom"/>
          </w:tcPr>
          <w:p>
            <w:pPr>
              <w:pStyle w:val="TableContents"/>
              <w:spacing w:before="0" w:after="283"/>
              <w:rPr/>
            </w:pPr>
            <w:r>
              <w:rPr/>
              <w:t>(c)</w:t>
            </w:r>
          </w:p>
        </w:tc>
      </w:tr>
      <w:tr>
        <w:trPr/>
        <w:tc>
          <w:tcPr>
            <w:tcW w:w="8237" w:type="dxa"/>
            <w:tcBorders/>
            <w:shd w:fill="auto" w:val="clear"/>
            <w:vAlign w:val="bottom"/>
          </w:tcPr>
          <w:p>
            <w:pPr>
              <w:pStyle w:val="TableContents"/>
              <w:spacing w:before="0" w:after="0"/>
              <w:ind w:left="225" w:right="0" w:hanging="225"/>
              <w:rPr/>
            </w:pPr>
            <w:r>
              <w:rPr/>
              <w:t>Event of Default</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7.01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IAI Global Note</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3.01</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IAIs</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Legal Defeasance</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8.02</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Note Obligations</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9.01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Payment Default</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7.01</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QIBs</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Regulation S</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3.01</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Regulation S Global Note</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Required Filing Dates</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5.04</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Resale Restriction Termination Date</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3.04</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Rule 144A</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3.01</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Rule 144A Global Note</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3.01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Special Mandatory Redemption</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4.02</w:t>
            </w:r>
          </w:p>
        </w:tc>
        <w:tc>
          <w:tcPr>
            <w:tcW w:w="280" w:type="dxa"/>
            <w:tcBorders/>
            <w:shd w:fill="CCEEFF" w:val="clear"/>
            <w:vAlign w:val="bottom"/>
          </w:tcPr>
          <w:p>
            <w:pPr>
              <w:pStyle w:val="TableContents"/>
              <w:spacing w:before="0" w:after="283"/>
              <w:rPr/>
            </w:pPr>
            <w:r>
              <w:rPr/>
              <w:t> </w:t>
            </w:r>
          </w:p>
        </w:tc>
      </w:tr>
      <w:tr>
        <w:trPr/>
        <w:tc>
          <w:tcPr>
            <w:tcW w:w="8237" w:type="dxa"/>
            <w:tcBorders/>
            <w:shd w:fill="auto" w:val="clear"/>
            <w:vAlign w:val="bottom"/>
          </w:tcPr>
          <w:p>
            <w:pPr>
              <w:pStyle w:val="TableContents"/>
              <w:spacing w:before="0" w:after="0"/>
              <w:ind w:left="225" w:right="0" w:hanging="225"/>
              <w:rPr/>
            </w:pPr>
            <w:r>
              <w:rPr/>
              <w:t>Successor Company</w:t>
            </w:r>
          </w:p>
        </w:tc>
        <w:tc>
          <w:tcPr>
            <w:tcW w:w="462"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pPr>
            <w:r>
              <w:rPr/>
              <w:t>6.01</w:t>
            </w:r>
          </w:p>
        </w:tc>
        <w:tc>
          <w:tcPr>
            <w:tcW w:w="280" w:type="dxa"/>
            <w:tcBorders/>
            <w:shd w:fill="auto" w:val="clear"/>
            <w:vAlign w:val="bottom"/>
          </w:tcPr>
          <w:p>
            <w:pPr>
              <w:pStyle w:val="TableContents"/>
              <w:spacing w:before="0" w:after="283"/>
              <w:rPr/>
            </w:pPr>
            <w:r>
              <w:rPr/>
              <w:t> </w:t>
            </w:r>
          </w:p>
        </w:tc>
      </w:tr>
      <w:tr>
        <w:trPr/>
        <w:tc>
          <w:tcPr>
            <w:tcW w:w="8237" w:type="dxa"/>
            <w:tcBorders/>
            <w:shd w:fill="CCEEFF" w:val="clear"/>
            <w:vAlign w:val="bottom"/>
          </w:tcPr>
          <w:p>
            <w:pPr>
              <w:pStyle w:val="TableContents"/>
              <w:spacing w:before="0" w:after="0"/>
              <w:ind w:left="225" w:right="0" w:hanging="225"/>
              <w:rPr/>
            </w:pPr>
            <w:r>
              <w:rPr/>
              <w:t>U.S. Persons</w:t>
            </w:r>
          </w:p>
        </w:tc>
        <w:tc>
          <w:tcPr>
            <w:tcW w:w="46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pPr>
            <w:r>
              <w:rPr/>
              <w:t>3.01</w:t>
            </w:r>
          </w:p>
        </w:tc>
        <w:tc>
          <w:tcPr>
            <w:tcW w:w="280" w:type="dxa"/>
            <w:tcBorders/>
            <w:shd w:fill="CCEEFF"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III</w:t>
        <w:br/>
        <w:t xml:space="preserve">THE NOTES </w:t>
      </w:r>
    </w:p>
    <w:p>
      <w:pPr>
        <w:pStyle w:val="TextBody"/>
        <w:spacing w:before="120" w:after="283"/>
        <w:jc w:val="left"/>
        <w:rPr/>
      </w:pPr>
      <w:r>
        <w:rPr/>
        <w:t>          </w:t>
      </w:r>
      <w:r>
        <w:rPr>
          <w:rFonts w:ascii="Times New Roman;Times;serif" w:hAnsi="Times New Roman;Times;serif"/>
          <w:sz w:val="17"/>
        </w:rPr>
        <w:t xml:space="preserve">Section 3.01. </w:t>
      </w:r>
      <w:r>
        <w:rPr>
          <w:rFonts w:ascii="Times New Roman;Times;serif" w:hAnsi="Times New Roman;Times;serif"/>
          <w:sz w:val="17"/>
          <w:u w:val="single"/>
        </w:rPr>
        <w:t>Form</w:t>
      </w:r>
      <w:r>
        <w:rPr>
          <w:rFonts w:ascii="Times New Roman;Times;serif" w:hAnsi="Times New Roman;Times;serif"/>
          <w:sz w:val="17"/>
        </w:rPr>
        <w:t xml:space="preserve">. The Notes shall be issued initially in the form of one or more Global Securities as Series A Notes, with Series A Notes initially resold in reliance upon Rule 144A and Regulation S being represented by separate Global Securities, which are referred to herein as the Rule 144A Global Note and the Regulation S Global Note, respectively. The Series A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The Series A Notes constituting Transfer Restricted Securities will be resold initially only to (a) Qualified Institutional Buyers (as such term is defined in Section 144A of the Securities Act) (QIBs) in reliance on Rule 144A of the Securities Act (Rule 144A) and (b) Persons other than U.S. Persons (as defined under Regulation S under the Securities Act (Regulation S)) (U.S.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Persons) in reliance on Regulation S. Thereafter, the Series A Notes may be transferred to, among others, QIBs, purchasers in reliance upon Regulation S and institutional accredited investors (as defined in subparagraph (a)(1), (2), (3) or (7) of Rule 501 of the Securities Act (IAIs)) in accordance with the procedures set forth in Rule 501 of the Securities Act, provided that any Series A Notes constituting Transfer Restricted Securities that are transferred to IAIs who are not QIBs shall be issued only in definitive form or in the form of interests in a separate Global Security (the IAI Global Note). Pursuant to the terms of an Exchange and Registration Rights Agreement, upon consummation of the Exchange Offer contemplated thereby, the Series A Notes constituting Transfer Restricted Securities will be exchanged by the Holders for Series B Notes to be issued by the Issuers in accordance with Section 3.03 hereof. The Series B Notes shall be issued initially in the form of one or more Global Securities, and the Series B Notes and the Trustees certificate of authentication shall be substantially in the form of Exhibit A hereto. </w:t>
      </w:r>
    </w:p>
    <w:p>
      <w:pPr>
        <w:pStyle w:val="TextBody"/>
        <w:spacing w:before="120" w:after="283"/>
        <w:jc w:val="left"/>
        <w:rPr/>
      </w:pPr>
      <w:r>
        <w:rPr/>
        <w:t>          </w:t>
      </w:r>
      <w:r>
        <w:rPr>
          <w:rFonts w:ascii="Times New Roman;Times;serif" w:hAnsi="Times New Roman;Times;serif"/>
          <w:sz w:val="17"/>
        </w:rPr>
        <w:t xml:space="preserve">Section 3.02. </w:t>
      </w:r>
      <w:r>
        <w:rPr>
          <w:rFonts w:ascii="Times New Roman;Times;serif" w:hAnsi="Times New Roman;Times;serif"/>
          <w:sz w:val="17"/>
          <w:u w:val="single"/>
        </w:rPr>
        <w:t>Issuance of Additional Notes</w:t>
      </w:r>
      <w:r>
        <w:rPr>
          <w:rFonts w:ascii="Times New Roman;Times;serif" w:hAnsi="Times New Roman;Times;serif"/>
          <w:sz w:val="17"/>
        </w:rPr>
        <w:t xml:space="preserve">. The Issuers may, from time to time, issue an unlimited amount of additional Series A Notes (Additional Notes) under the Indenture, which shall be issued in the same form as the Series A Notes issued on the Issue Date and which shall have identical terms as the Series A Notes issued on the Issue Date other than with respect to the issue date, issue price and date of first payment of interest. The Series A Notes issued on the Issue Date shall be limited in aggregate principal amount to $600,000,000. The Series A Notes issued on the Issue Date and any Additional Notes subsequently issued, together with any Series B Notes issued in exchange therefor pursuant to an Exchange Offer, shall be treated as a single series for all purposes under the Indenture, including waivers, amendments, redemptions and offers to purchase. If the Issuers issue additional Series A Notes prior to the completion of an Exchange Offer, the period of the resale restrictions applicable to any Series A Notes previously offered and sold in reliance on Rule 144A will be automatically extended to the last day of the period of any resale restrictions imposed on any such additional Series A Notes. </w:t>
      </w:r>
    </w:p>
    <w:p>
      <w:pPr>
        <w:pStyle w:val="TextBody"/>
        <w:spacing w:before="120" w:after="283"/>
        <w:jc w:val="left"/>
        <w:rPr/>
      </w:pPr>
      <w:r>
        <w:rPr/>
        <w:t>          </w:t>
      </w:r>
      <w:r>
        <w:rPr>
          <w:rFonts w:ascii="Times New Roman;Times;serif" w:hAnsi="Times New Roman;Times;serif"/>
          <w:sz w:val="17"/>
        </w:rPr>
        <w:t xml:space="preserve">Section 3.03. </w:t>
      </w:r>
      <w:r>
        <w:rPr>
          <w:rFonts w:ascii="Times New Roman;Times;serif" w:hAnsi="Times New Roman;Times;serif"/>
          <w:sz w:val="17"/>
          <w:u w:val="single"/>
        </w:rPr>
        <w:t>Transfer of Transfer Restricted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When Notes are presented to the Registrar with the request to register the transfer of such Notes or exchange such Notes for an equal principal amount of Notes of other authorized denominations, the Registrar shall register the transfer or make the exchange in accordance with Article II of the Original Indenture. In addition, in the case of Series A Notes that are Transfer Restricted Securities in definitive form, such request to register the transfer or make the exchange shall be accompanied by the following additional information and documents, as applicable, upon which the Registrar may conclusively rely: </w:t>
      </w:r>
    </w:p>
    <w:p>
      <w:pPr>
        <w:pStyle w:val="TextBody"/>
        <w:spacing w:before="120" w:after="283"/>
        <w:jc w:val="left"/>
        <w:rPr/>
      </w:pPr>
      <w:r>
        <w:rPr/>
        <w:t>          </w:t>
      </w:r>
      <w:r>
        <w:rPr>
          <w:rFonts w:ascii="Times New Roman;Times;serif" w:hAnsi="Times New Roman;Times;serif"/>
          <w:sz w:val="17"/>
        </w:rPr>
        <w:t xml:space="preserve">(1) if such Transfer Restricted Securities are being delivered to the Registrar by a Holder for registration in the name of such Holder, without transfer, a certification from such Holder to that effect in substantially the form of Exhibit C hereto; or </w:t>
      </w:r>
    </w:p>
    <w:p>
      <w:pPr>
        <w:pStyle w:val="TextBody"/>
        <w:spacing w:before="120" w:after="283"/>
        <w:jc w:val="left"/>
        <w:rPr/>
      </w:pPr>
      <w:r>
        <w:rPr/>
        <w:t>          </w:t>
      </w:r>
      <w:r>
        <w:rPr>
          <w:rFonts w:ascii="Times New Roman;Times;serif" w:hAnsi="Times New Roman;Times;serif"/>
          <w:sz w:val="17"/>
        </w:rPr>
        <w:t xml:space="preserve">(2) if such Transfer Restricted Securities are being transferred (i) to a QIB in accordance with Rule 144A under the Securities Act or (ii) pursuant to an exemption from registration in accordance with Rule 144 under the Securities Act (and based upon an opinion of counsel if the Issuers or the Trustee so requests) or (iii)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an effective registration statement under the Securities Act, a certification to that effect from such Holder in substantially the form of Exhibit C hereto; or </w:t>
      </w:r>
    </w:p>
    <w:p>
      <w:pPr>
        <w:pStyle w:val="TextBody"/>
        <w:spacing w:before="120" w:after="283"/>
        <w:jc w:val="left"/>
        <w:rPr/>
      </w:pPr>
      <w:r>
        <w:rPr/>
        <w:t>          </w:t>
      </w:r>
      <w:r>
        <w:rPr>
          <w:rFonts w:ascii="Times New Roman;Times;serif" w:hAnsi="Times New Roman;Times;serif"/>
          <w:sz w:val="17"/>
        </w:rPr>
        <w:t xml:space="preserve">(3) if such Transfer Restricted Securities are being transferred to an IAI within the meaning of Rule 501(a)(1), (2), (3) or (7) under the Securities Act pursuant to a private placement exemption from the registration requirements of the Securities Act (and based upon an opinion of counsel if the Issuers or the Trustee so requests), a certification to that effect from such Holder in substantially the form of Exhibit C hereto and a certification from the applicable transferee in substantially the form of Exhibit D hereto; or </w:t>
      </w:r>
    </w:p>
    <w:p>
      <w:pPr>
        <w:pStyle w:val="TextBody"/>
        <w:spacing w:before="120" w:after="283"/>
        <w:jc w:val="left"/>
        <w:rPr/>
      </w:pPr>
      <w:r>
        <w:rPr/>
        <w:t>          </w:t>
      </w:r>
      <w:r>
        <w:rPr>
          <w:rFonts w:ascii="Times New Roman;Times;serif" w:hAnsi="Times New Roman;Times;serif"/>
          <w:sz w:val="17"/>
        </w:rPr>
        <w:t xml:space="preserve">(4) if such Transfer Restricted Securities are being transferred to Persons other than U.S. Persons in reliance on Regulation S, a certification to that effect from such Holder in substantially the form of Exhibit E hereto; or </w:t>
      </w:r>
    </w:p>
    <w:p>
      <w:pPr>
        <w:pStyle w:val="TextBody"/>
        <w:spacing w:before="120" w:after="283"/>
        <w:jc w:val="left"/>
        <w:rPr/>
      </w:pPr>
      <w:r>
        <w:rPr/>
        <w:t>          </w:t>
      </w:r>
      <w:r>
        <w:rPr>
          <w:rFonts w:ascii="Times New Roman;Times;serif" w:hAnsi="Times New Roman;Times;serif"/>
          <w:sz w:val="17"/>
        </w:rPr>
        <w:t xml:space="preserve">(5) if such Transfer Restricted Securities are being transferred in reliance on another exemption from the registration requirements of the Securities Act (and based upon an opinion of counsel if the Issuers or the Trustee so requests), a certification to that effect from such Holder in substantially the form of Exhibit C hereto. </w:t>
      </w:r>
    </w:p>
    <w:p>
      <w:pPr>
        <w:pStyle w:val="TextBody"/>
        <w:spacing w:before="120" w:after="283"/>
        <w:jc w:val="left"/>
        <w:rPr/>
      </w:pPr>
      <w:r>
        <w:rPr/>
        <w:t>          </w:t>
      </w:r>
      <w:r>
        <w:rPr>
          <w:rFonts w:ascii="Times New Roman;Times;serif" w:hAnsi="Times New Roman;Times;serif"/>
          <w:sz w:val="17"/>
        </w:rPr>
        <w:t xml:space="preserve">(b) Upon any sale or transfer of a Transfer Restricted Security (including any Transfer Restricted Security represented by a Global Security) pursuant to Rule 144 under the Securities Act or an effective registration statement under the Securities Act: </w:t>
      </w:r>
    </w:p>
    <w:p>
      <w:pPr>
        <w:pStyle w:val="TextBody"/>
        <w:spacing w:before="120" w:after="283"/>
        <w:jc w:val="left"/>
        <w:rPr/>
      </w:pPr>
      <w:r>
        <w:rPr/>
        <w:t>          </w:t>
      </w:r>
      <w:r>
        <w:rPr>
          <w:rFonts w:ascii="Times New Roman;Times;serif" w:hAnsi="Times New Roman;Times;serif"/>
          <w:sz w:val="17"/>
        </w:rPr>
        <w:t xml:space="preserve">(1) in the case of any Transfer Restricted Security that is in the form of a definitive Note, the Registrar shall permit the Holder thereof to exchange such Transfer Restricted Security for a definitive Note that does not bear the legend set forth in Section 3.04(a) below and rescind any restriction on the transfer of such Transfer Restricted Security; and </w:t>
      </w:r>
    </w:p>
    <w:p>
      <w:pPr>
        <w:pStyle w:val="TextBody"/>
        <w:spacing w:before="120" w:after="283"/>
        <w:jc w:val="left"/>
        <w:rPr/>
      </w:pPr>
      <w:r>
        <w:rPr/>
        <w:t>          </w:t>
      </w:r>
      <w:r>
        <w:rPr>
          <w:rFonts w:ascii="Times New Roman;Times;serif" w:hAnsi="Times New Roman;Times;serif"/>
          <w:sz w:val="17"/>
        </w:rPr>
        <w:t xml:space="preserve">(2) in the case of any Transfer Restricted Security represented by a Global Security, such Transfer Restricted Security shall not be required to bear the legend set forth in Section 3.04(a) below if all other interests in such Global Security have been or are concurrently being sold or transferred pursuant to Rule 144 under the Securities Act or pursuant to an effective registration statement under the Securities Act.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Notwithstanding the foregoing, upon consummation of an Exchange Offer, the Issuers shall issue and, upon receipt of an authentication order in accordance with Section 2.05 of the Original Indenture, the Trustee shall authenticate Series B Notes in exchange for Series A Notes accepted for exchange in the Exchange Offer, which Series B Notes shall not bear the legend set forth in Section 3.04(a) below, and the Registrar shall rescind any restriction on the transfer of such Notes, in each case unless the Holder of such Series A Notes is either (1) is an affiliate of the Issuers within the meaning of Rule 405 under the Securities Act or an Initial Purchaser holding Series A Notes acquired by it and having the status of an unsold allotment in the initial offering and sale of Series A Notes pursuant to the Purchase Agreement, dated as of October 23, 2006, between the Issuers, the other parties referred to as Plains Parties therein and the Initial Purchasers, (2) does not acquire the Series B Notes in the ordinary course of such Holders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business or (3) has an arrangement or understanding with any Person to participate in the Exchange Offer for the purpose of distributing such Series B Notes or is engaged in, and intends to engage in, any such distribution. The Issuers shall identify to the Trustee such Holders of the Notes in a written certification signed by an officer of each Issuer and, absent certification from the Issuers to such effect, the Trustee shall assume that there are no such Holders. </w:t>
      </w:r>
    </w:p>
    <w:p>
      <w:pPr>
        <w:pStyle w:val="TextBody"/>
        <w:spacing w:before="120" w:after="283"/>
        <w:jc w:val="left"/>
        <w:rPr/>
      </w:pPr>
      <w:r>
        <w:rPr/>
        <w:t>          </w:t>
      </w:r>
      <w:r>
        <w:rPr>
          <w:rFonts w:ascii="Times New Roman;Times;serif" w:hAnsi="Times New Roman;Times;serif"/>
          <w:sz w:val="17"/>
        </w:rPr>
        <w:t xml:space="preserve">(c) Until the 40th day after the later of the commencement of the offering of the Series A Notes and the Issue Date thereof (such period, the Distribution Compliance Period), a beneficial interest in a Regulation S Global Note may be transferred to a Person who takes delivery in the form of an interest in a Rule 144A Global Note or an IAI Global Note only if the transferor first delivers to the Trustee a written certificate (in the form provided in Exhibit C hereto) to the effect that such transfer is being made to a Person who the transferor reasonably believes is purchasing for its own account or accounts as to which it exercises sole investment discretion and that such Person is a QIB acquiring such Series A Notes in a transaction meeting the requirements of Rule 144A or an IAI acquiring such Series A Notes pursuant to a private placement exemption under the Securities Act, in each case in accordance with any applicable securities laws of any state of the United States or any other jurisdiction; provided that, in the case of a transfer to a Person who takes delivery in the form of an interest in an IAI Global Note, such Person shall deliver to the Trustee a written certificate in the form provided in Exhibit D hereto. After the expiration of the Distribution Compliance Period, such certification requirements shall not apply to such transfers of beneficial interests in the Regulation S Global Notes. </w:t>
      </w:r>
    </w:p>
    <w:p>
      <w:pPr>
        <w:pStyle w:val="TextBody"/>
        <w:spacing w:before="120" w:after="283"/>
        <w:jc w:val="left"/>
        <w:rPr/>
      </w:pPr>
      <w:r>
        <w:rPr/>
        <w:t>          </w:t>
      </w:r>
      <w:r>
        <w:rPr>
          <w:rFonts w:ascii="Times New Roman;Times;serif" w:hAnsi="Times New Roman;Times;serif"/>
          <w:sz w:val="17"/>
        </w:rPr>
        <w:t xml:space="preserve">(d) Beneficial interests in a Rule 144A Global Note or an IAI Global Note may be transferred to a Person who takes delivery in the form of an interest in a Regulation S Global Note, whether before or after the expiration of the Distribution Compliance Period, only if the transferor first delivers to the Trustee a written certificate (in the form provided in Exhibit C or E hereto, as applicable) to the effect that such transfer is being made in accordance with Rule 904 of Regulation S or Rule 144 (if available). </w:t>
      </w:r>
    </w:p>
    <w:p>
      <w:pPr>
        <w:pStyle w:val="TextBody"/>
        <w:spacing w:before="120" w:after="283"/>
        <w:jc w:val="left"/>
        <w:rPr/>
      </w:pPr>
      <w:r>
        <w:rPr/>
        <w:t>          </w:t>
      </w:r>
      <w:r>
        <w:rPr>
          <w:rFonts w:ascii="Times New Roman;Times;serif" w:hAnsi="Times New Roman;Times;serif"/>
          <w:sz w:val="17"/>
        </w:rPr>
        <w:t xml:space="preserve">Section 3.04. </w:t>
      </w:r>
      <w:r>
        <w:rPr>
          <w:rFonts w:ascii="Times New Roman;Times;serif" w:hAnsi="Times New Roman;Times;serif"/>
          <w:sz w:val="17"/>
          <w:u w:val="single"/>
        </w:rPr>
        <w:t>Restrictive Legends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Except as provided in Section 3.03 hereof, prior to the Resale Restriction Termination Date, each security certificate evidencing the Notes shall bear a legend in substantially the following form: </w:t>
      </w:r>
    </w:p>
    <w:p>
      <w:pPr>
        <w:pStyle w:val="TextBody"/>
        <w:spacing w:before="120" w:after="283"/>
        <w:jc w:val="left"/>
        <w:rPr/>
      </w:pPr>
      <w:r>
        <w:rPr/>
        <w:t>          </w:t>
      </w:r>
      <w:r>
        <w:rPr>
          <w:rFonts w:ascii="Times New Roman;Times;serif" w:hAnsi="Times New Roman;Times;serif"/>
          <w:sz w:val="17"/>
        </w:rPr>
        <w:t xml:space="preserve">THE ISSUANCE AND SALE OF THIS SECURITY (AND ANY GUARANTEE HEREOF) HAVE NOT BEEN REGISTERED UNDER THE SECURITIES ACT OF 1933, AS AMENDED (THE SECURITIES ACT), OR ANY STATE SECURITIES LAWS. NEITHER THIS SECURITY (NOR ANY GUARANTEE HEREOF) NOR ANY INTEREST OR PARTICIPATION HEREIN (OR THEREIN) MAY BE OFFERED, SOLD, ASSIGNED, TRANSFERRED, PLEDGED, ENCUMBERED OR OTHERWISE DISPOSED OF IN THE ABSENCE OF SUCH REGISTRATION OR UNLESS SUCH TRANSACTION IS EXEMPT FROM, OR NOT SUBJECT TO, THE REGISTRATION REQUIREMENTS OF THE SECURITIES ACT OR ANY APPLICABLE STATE SECURITIES LAWS. THE HOLDER HEREOF, BY ITS ACCEPTANCE OF THIS SECURITY, AGREES FOR THE BENEFIT OF THE ISSUERS THAT THIS SECURITY MAY NOT BE OFFERED, SOLD, PLEDGED OR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OTHERWISE TRANSFERRED PRIOR TO THE EXPIRATION OF THE HOLDING PERIOD APPLICABLE THERETO UNDER RULE 144(k) UNDER THE SECURITIES ACT (OR, IN THE CASE OF A TRANSFER PURSUANT TO REGULATION S, THE DISTRIBUTION COMPLIANCE PERIOD DEFINED THEREIN) WHICH IS APPLICABLE TO THIS SECURITY (THE RESALE RESTRICTION TERMINATION DATE) OTHER THAN (1) TO THE ISSUERS OR THEIR RESPECTIVE SUBSIDIARIES, (2)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IN EACH CASE TO WHOM NOTICE IS GIVEN THAT THE RESALE, PLEDGE OR OTHER TRANSFER IS BEING MADE IN RELIANCE ON RULE 144A, (3) INSIDE THE UNITED STATES TO AN INSTITUTIONAL ACCREDITED INVESTOR (AS DEFINED IN RULE 501(A)(1), (2), (3) OR (7) UNDER THE SECURITIES ACT), (4) TO A NON-U.S. PERSON IN AN OFFSHORE TRANSACTION (AS SUCH TERMS ARE DEFINED IN REGULATION S UNDER THE SECURITIES ACT) IN ACCORDANCE WITH REGULATION S UNDER THE SECURITIES ACT, (5) PURSUANT TO ANY OTHER AVAILABLE EXEMPTION FROM THE REGISTRATION REQUIREMENTS OF THE SECURITIES ACT, INCLUDING THE EXEMPTION PROVIDED BY RULE 144 UNDER THE SECURITIES ACT, IF AVAILABLE, OR (6) PURSUANT TO AN EFFECTIVE REGISTRATION STATEMENT UNDER THE SECURITIES ACT, SUBJECT IN EACH OF THE FOREGOING CASES TO ANY REQUIREMENT OF LAW THAT THE DISPOSITION OF ITS PROPERTY OR THE PROPERTY OF SUCH INVESTOR ACCOUNT OR ACCOUNTS BE AT ALL TIMES WITHIN ITS OR THEIR CONTROL, AND SUBJECT TO THE RIGHT OF THE ISSUERS OR THE TRUSTEE FOR THE SECURITIES PRIOR TO ANY SUCH SALE, PLEDGE OR OTHER TRANSFER TO REQUIRE THE DELIVERY OF AN OPINION OF COUNSEL, CERTIFICATIONS AND/OR OTHER INFORMATION SATISFACTORY TO EACH OF THEM. THIS LEGEND WILL BE REMOVED UPON REQUEST OF THE HOLDER ON OR AFTER THE RESALE RESTRICTION TERMINATION DATE. </w:t>
      </w:r>
    </w:p>
    <w:p>
      <w:pPr>
        <w:pStyle w:val="TextBody"/>
        <w:spacing w:before="120" w:after="283"/>
        <w:jc w:val="left"/>
        <w:rPr/>
      </w:pPr>
      <w:r>
        <w:rPr/>
        <w:t>          </w:t>
      </w:r>
      <w:r>
        <w:rPr>
          <w:rFonts w:ascii="Times New Roman;Times;serif" w:hAnsi="Times New Roman;Times;serif"/>
          <w:sz w:val="17"/>
        </w:rPr>
        <w:t xml:space="preserve">(b) Each security certificate evidencing the Global Securities shall bear a legend in substantially the following form: </w:t>
      </w:r>
    </w:p>
    <w:p>
      <w:pPr>
        <w:pStyle w:val="TextBody"/>
        <w:spacing w:before="120" w:after="283"/>
        <w:jc w:val="left"/>
        <w:rPr/>
      </w:pPr>
      <w:r>
        <w:rPr/>
        <w:t>          </w:t>
      </w:r>
      <w:r>
        <w:rPr>
          <w:rFonts w:ascii="Times New Roman;Times;serif" w:hAnsi="Times New Roman;Times;serif"/>
          <w:sz w:val="17"/>
        </w:rPr>
        <w:t xml:space="preserve">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IV</w:t>
        <w:br/>
        <w:t xml:space="preserve">REDEMPTION AND PREPAYMENT </w:t>
      </w:r>
    </w:p>
    <w:p>
      <w:pPr>
        <w:pStyle w:val="TextBody"/>
        <w:spacing w:before="120" w:after="283"/>
        <w:jc w:val="left"/>
        <w:rPr/>
      </w:pPr>
      <w:r>
        <w:rPr/>
        <w:t>          </w:t>
      </w:r>
      <w:r>
        <w:rPr>
          <w:rFonts w:ascii="Times New Roman;Times;serif" w:hAnsi="Times New Roman;Times;serif"/>
          <w:sz w:val="17"/>
        </w:rPr>
        <w:t xml:space="preserve">Section 4.01. </w:t>
      </w:r>
      <w:r>
        <w:rPr>
          <w:rFonts w:ascii="Times New Roman;Times;serif" w:hAnsi="Times New Roman;Times;serif"/>
          <w:sz w:val="17"/>
          <w:u w:val="single"/>
        </w:rPr>
        <w:t>Optional Redemption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At their option at any time prior to maturity, the Issuers may choose to redeem all or any portion of the Notes, at once or from time to time. </w:t>
      </w:r>
    </w:p>
    <w:p>
      <w:pPr>
        <w:pStyle w:val="TextBody"/>
        <w:spacing w:before="120" w:after="283"/>
        <w:jc w:val="left"/>
        <w:rPr/>
      </w:pPr>
      <w:r>
        <w:rPr/>
        <w:t>          </w:t>
      </w:r>
      <w:r>
        <w:rPr>
          <w:rFonts w:ascii="Times New Roman;Times;serif" w:hAnsi="Times New Roman;Times;serif"/>
          <w:sz w:val="17"/>
        </w:rPr>
        <w:t xml:space="preserve">(b) To redeem the Notes, the Issuers must pay a redemption price in an amount determined in accordance with the provisions of paragraph number 5 of the form of Note in Exhibit A hereto, plus accrued and unpaid interest, if any, including Additional Interest, if any, to the redemption date (subject to the right of Holders on the relevant record date to receive interest due on the relevant interest payment date). </w:t>
      </w:r>
    </w:p>
    <w:p>
      <w:pPr>
        <w:pStyle w:val="TextBody"/>
        <w:spacing w:before="120" w:after="283"/>
        <w:jc w:val="left"/>
        <w:rPr/>
      </w:pPr>
      <w:r>
        <w:rPr/>
        <w:t>          </w:t>
      </w:r>
      <w:r>
        <w:rPr>
          <w:rFonts w:ascii="Times New Roman;Times;serif" w:hAnsi="Times New Roman;Times;serif"/>
          <w:sz w:val="17"/>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120" w:after="283"/>
        <w:jc w:val="left"/>
        <w:rPr/>
      </w:pPr>
      <w:r>
        <w:rPr/>
        <w:t>          </w:t>
      </w:r>
      <w:r>
        <w:rPr>
          <w:rFonts w:ascii="Times New Roman;Times;serif" w:hAnsi="Times New Roman;Times;serif"/>
          <w:sz w:val="17"/>
        </w:rPr>
        <w:t xml:space="preserve">Section 4.02. </w:t>
      </w:r>
      <w:r>
        <w:rPr>
          <w:rFonts w:ascii="Times New Roman;Times;serif" w:hAnsi="Times New Roman;Times;serif"/>
          <w:sz w:val="17"/>
          <w:u w:val="single"/>
        </w:rPr>
        <w:t>Special Mandatory Redemption</w:t>
      </w:r>
      <w:r>
        <w:rPr>
          <w:rFonts w:ascii="Times New Roman;Times;serif" w:hAnsi="Times New Roman;Times;serif"/>
          <w:sz w:val="17"/>
        </w:rPr>
        <w:t xml:space="preserve">. Following the occurrence of a Special Mandatory Redemption Trigger Event, the Issuers shall redeem the Notes as a whole (the Special Mandatory Redemption), upon notice as provided in this Section 4.02, at a redemption price equal to 101% of the aggregate principal amount thereof plus accrued and unpaid interest thereon to the mandatory redemption date. Notice of such mandatory redemption shall be given within ten days of the date of the Special Mandatory Redemption Trigger Event by first-class mail, postage prepaid, mailed not less than 15 nor more than 30 days prior to the redemption date, to the Trustee and to each Holder, at such Holders address appearing in the Debt Security Register, and such notice shall state: </w:t>
      </w:r>
    </w:p>
    <w:p>
      <w:pPr>
        <w:pStyle w:val="TextBody"/>
        <w:spacing w:before="120" w:after="283"/>
        <w:jc w:val="left"/>
        <w:rPr/>
      </w:pPr>
      <w:r>
        <w:rPr/>
        <w:t>          </w:t>
      </w:r>
      <w:r>
        <w:rPr>
          <w:rFonts w:ascii="Times New Roman;Times;serif" w:hAnsi="Times New Roman;Times;serif"/>
          <w:sz w:val="17"/>
        </w:rPr>
        <w:t xml:space="preserve">(a) that the Special Mandatory Redemption Trigger Event has occurred; </w:t>
      </w:r>
    </w:p>
    <w:p>
      <w:pPr>
        <w:pStyle w:val="TextBody"/>
        <w:spacing w:before="120" w:after="283"/>
        <w:jc w:val="left"/>
        <w:rPr/>
      </w:pPr>
      <w:r>
        <w:rPr/>
        <w:t>          </w:t>
      </w:r>
      <w:r>
        <w:rPr>
          <w:rFonts w:ascii="Times New Roman;Times;serif" w:hAnsi="Times New Roman;Times;serif"/>
          <w:sz w:val="17"/>
        </w:rPr>
        <w:t xml:space="preserve">(b) the redemption date, which shall be no earlier than 15 days and no later than 30 days from the date the notice is mailed; and </w:t>
      </w:r>
    </w:p>
    <w:p>
      <w:pPr>
        <w:pStyle w:val="TextBody"/>
        <w:spacing w:before="120" w:after="283"/>
        <w:jc w:val="left"/>
        <w:rPr/>
      </w:pPr>
      <w:r>
        <w:rPr/>
        <w:t>          </w:t>
      </w:r>
      <w:r>
        <w:rPr>
          <w:rFonts w:ascii="Times New Roman;Times;serif" w:hAnsi="Times New Roman;Times;serif"/>
          <w:sz w:val="17"/>
        </w:rPr>
        <w:t xml:space="preserve">(c) the other information required by Section 3.02 of the Original Indenture.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Except to the extent any provision of this Section 4.02 conflicts with the provisions of Sections 3.01 to 3.03 of the Original Indenture, any redemption shall otherwise be made pursuant to the provisions of Sections 3.01 to 3.03 of the Original Indenture.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w:t>
        <w:br/>
        <w:t xml:space="preserve">COVENANTS </w:t>
      </w:r>
    </w:p>
    <w:p>
      <w:pPr>
        <w:pStyle w:val="TextBody"/>
        <w:spacing w:before="120" w:after="283"/>
        <w:jc w:val="left"/>
        <w:rPr/>
      </w:pPr>
      <w:r>
        <w:rPr/>
        <w:t>          </w:t>
      </w:r>
      <w:r>
        <w:rPr>
          <w:rFonts w:ascii="Times New Roman;Times;serif" w:hAnsi="Times New Roman;Times;serif"/>
          <w:sz w:val="17"/>
        </w:rPr>
        <w:t xml:space="preserve">Section 5.01. </w:t>
      </w:r>
      <w:r>
        <w:rPr>
          <w:rFonts w:ascii="Times New Roman;Times;serif" w:hAnsi="Times New Roman;Times;serif"/>
          <w:sz w:val="17"/>
          <w:u w:val="single"/>
        </w:rPr>
        <w:t>Compliance Certificate</w:t>
      </w:r>
      <w:r>
        <w:rPr>
          <w:rFonts w:ascii="Times New Roman;Times;serif" w:hAnsi="Times New Roman;Times;serif"/>
          <w:sz w:val="17"/>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Officer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 </w:t>
      </w:r>
    </w:p>
    <w:p>
      <w:pPr>
        <w:pStyle w:val="TextBody"/>
        <w:spacing w:before="120" w:after="283"/>
        <w:jc w:val="left"/>
        <w:rPr/>
      </w:pPr>
      <w:r>
        <w:rPr/>
        <w:t>          </w:t>
      </w:r>
      <w:r>
        <w:rPr>
          <w:rFonts w:ascii="Times New Roman;Times;serif" w:hAnsi="Times New Roman;Times;serif"/>
          <w:sz w:val="17"/>
        </w:rPr>
        <w:t xml:space="preserve">(b) The Issuers shall, so long as any of the Notes are outstanding, deliver to the Trustee, forthwith and in any event within five days upon any Officer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120" w:after="283"/>
        <w:jc w:val="left"/>
        <w:rPr/>
      </w:pPr>
      <w:r>
        <w:rPr/>
        <w:t>          </w:t>
      </w:r>
      <w:r>
        <w:rPr>
          <w:rFonts w:ascii="Times New Roman;Times;serif" w:hAnsi="Times New Roman;Times;serif"/>
          <w:sz w:val="17"/>
        </w:rPr>
        <w:t xml:space="preserve">Section 5.02. </w:t>
      </w:r>
      <w:r>
        <w:rPr>
          <w:rFonts w:ascii="Times New Roman;Times;serif" w:hAnsi="Times New Roman;Times;serif"/>
          <w:sz w:val="17"/>
          <w:u w:val="single"/>
        </w:rPr>
        <w:t>Limitations on Liens</w:t>
      </w:r>
      <w:r>
        <w:rPr>
          <w:rFonts w:ascii="Times New Roman;Times;serif" w:hAnsi="Times New Roman;Times;serif"/>
          <w:sz w:val="17"/>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120" w:after="283"/>
        <w:jc w:val="left"/>
        <w:rPr/>
      </w:pPr>
      <w:r>
        <w:rPr/>
        <w:t>          </w:t>
      </w:r>
      <w:r>
        <w:rPr>
          <w:rFonts w:ascii="Times New Roman;Times;serif" w:hAnsi="Times New Roman;Times;serif"/>
          <w:sz w:val="17"/>
        </w:rPr>
        <w:t xml:space="preserve">(a) Permitted Liens; </w:t>
      </w:r>
    </w:p>
    <w:p>
      <w:pPr>
        <w:pStyle w:val="TextBody"/>
        <w:spacing w:before="120" w:after="283"/>
        <w:jc w:val="left"/>
        <w:rPr/>
      </w:pPr>
      <w:r>
        <w:rPr/>
        <w:t>          </w:t>
      </w:r>
      <w:r>
        <w:rPr>
          <w:rFonts w:ascii="Times New Roman;Times;serif" w:hAnsi="Times New Roman;Times;serif"/>
          <w:sz w:val="17"/>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120" w:after="283"/>
        <w:jc w:val="left"/>
        <w:rPr/>
      </w:pPr>
      <w:r>
        <w:rPr/>
        <w:t>          </w:t>
      </w:r>
      <w:r>
        <w:rPr>
          <w:rFonts w:ascii="Times New Roman;Times;serif" w:hAnsi="Times New Roman;Times;serif"/>
          <w:sz w:val="17"/>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120" w:after="283"/>
        <w:jc w:val="left"/>
        <w:rPr/>
      </w:pPr>
      <w:r>
        <w:rPr/>
        <w:t>          </w:t>
      </w:r>
      <w:r>
        <w:rPr>
          <w:rFonts w:ascii="Times New Roman;Times;serif" w:hAnsi="Times New Roman;Times;serif"/>
          <w:sz w:val="17"/>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120" w:after="283"/>
        <w:jc w:val="left"/>
        <w:rPr/>
      </w:pPr>
      <w:r>
        <w:rPr/>
        <w:t>          </w:t>
      </w:r>
      <w:r>
        <w:rPr>
          <w:rFonts w:ascii="Times New Roman;Times;serif" w:hAnsi="Times New Roman;Times;serif"/>
          <w:sz w:val="17"/>
        </w:rPr>
        <w:t xml:space="preserve">(f) any Lien upon any property or assets of an Issuer or any Restricted Subsidiary in existence on December 10, 2003 or provided for pursuant to agreements existing on December 10, 2003; </w:t>
      </w:r>
    </w:p>
    <w:p>
      <w:pPr>
        <w:pStyle w:val="TextBody"/>
        <w:spacing w:before="120" w:after="283"/>
        <w:jc w:val="left"/>
        <w:rPr/>
      </w:pPr>
      <w:r>
        <w:rPr/>
        <w:t>          </w:t>
      </w:r>
      <w:r>
        <w:rPr>
          <w:rFonts w:ascii="Times New Roman;Times;serif" w:hAnsi="Times New Roman;Times;serif"/>
          <w:sz w:val="17"/>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120" w:after="283"/>
        <w:jc w:val="left"/>
        <w:rPr/>
      </w:pPr>
      <w:r>
        <w:rPr/>
        <w:t>          </w:t>
      </w:r>
      <w:r>
        <w:rPr>
          <w:rFonts w:ascii="Times New Roman;Times;serif" w:hAnsi="Times New Roman;Times;serif"/>
          <w:sz w:val="17"/>
        </w:rPr>
        <w:t xml:space="preserve">(h) any extension, renewal, refinancing, refunding or replacement (or successive extensions, renewals, refinancing, refunding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120" w:after="283"/>
        <w:jc w:val="left"/>
        <w:rPr/>
      </w:pPr>
      <w:r>
        <w:rPr/>
        <w:t>          </w:t>
      </w:r>
      <w:r>
        <w:rPr>
          <w:rFonts w:ascii="Times New Roman;Times;serif" w:hAnsi="Times New Roman;Times;serif"/>
          <w:sz w:val="17"/>
        </w:rPr>
        <w:t xml:space="preserve">(i) any Lien resulting from the deposit of moneys or evidence of indebtedness in trust for the purpose of defeasing Debt of an Issuer or any Restricted Subsidiary. </w:t>
      </w:r>
    </w:p>
    <w:p>
      <w:pPr>
        <w:pStyle w:val="TextBody"/>
        <w:spacing w:before="120" w:after="283"/>
        <w:jc w:val="left"/>
        <w:rPr/>
      </w:pPr>
      <w:r>
        <w:rPr/>
        <w:t>          </w:t>
      </w:r>
      <w:r>
        <w:rPr>
          <w:rFonts w:ascii="Times New Roman;Times;serif" w:hAnsi="Times New Roman;Times;serif"/>
          <w:sz w:val="17"/>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20" w:after="283"/>
        <w:jc w:val="left"/>
        <w:rPr/>
      </w:pPr>
      <w:r>
        <w:rPr/>
        <w:t>          </w:t>
      </w:r>
      <w:r>
        <w:rPr>
          <w:rFonts w:ascii="Times New Roman;Times;serif" w:hAnsi="Times New Roman;Times;serif"/>
          <w:sz w:val="17"/>
        </w:rPr>
        <w:t xml:space="preserve">Section 5.03. </w:t>
      </w:r>
      <w:r>
        <w:rPr>
          <w:rFonts w:ascii="Times New Roman;Times;serif" w:hAnsi="Times New Roman;Times;serif"/>
          <w:sz w:val="17"/>
          <w:u w:val="single"/>
        </w:rPr>
        <w:t>Restriction of Sale-Leaseback Transactions</w:t>
      </w:r>
      <w:r>
        <w:rPr>
          <w:rFonts w:ascii="Times New Roman;Times;serif" w:hAnsi="Times New Roman;Times;serif"/>
          <w:sz w:val="17"/>
        </w:rPr>
        <w:t xml:space="preserve">. The Issuers will not, and will not permit any Subsidiary of the Partnership to, engage in a Sale-Leaseback Transaction, unless: </w:t>
      </w:r>
    </w:p>
    <w:p>
      <w:pPr>
        <w:pStyle w:val="TextBody"/>
        <w:spacing w:before="120" w:after="283"/>
        <w:jc w:val="left"/>
        <w:rPr/>
      </w:pPr>
      <w:r>
        <w:rPr/>
        <w:t>          </w:t>
      </w:r>
      <w:r>
        <w:rPr>
          <w:rFonts w:ascii="Times New Roman;Times;serif" w:hAnsi="Times New Roman;Times;serif"/>
          <w:sz w:val="17"/>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(b) the Sale-Leaseback Transaction involves a lease for a period, including renewals, of not more than three years; </w:t>
      </w:r>
    </w:p>
    <w:p>
      <w:pPr>
        <w:pStyle w:val="TextBody"/>
        <w:spacing w:before="120" w:after="283"/>
        <w:jc w:val="left"/>
        <w:rPr/>
      </w:pPr>
      <w:r>
        <w:rPr/>
        <w:t>          </w:t>
      </w:r>
      <w:r>
        <w:rPr>
          <w:rFonts w:ascii="Times New Roman;Times;serif" w:hAnsi="Times New Roman;Times;serif"/>
          <w:sz w:val="17"/>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120" w:after="283"/>
        <w:jc w:val="left"/>
        <w:rPr/>
      </w:pPr>
      <w:r>
        <w:rPr/>
        <w:t>          </w:t>
      </w:r>
      <w:r>
        <w:rPr>
          <w:rFonts w:ascii="Times New Roman;Times;serif" w:hAnsi="Times New Roman;Times;serif"/>
          <w:sz w:val="17"/>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20" w:after="283"/>
        <w:jc w:val="left"/>
        <w:rPr/>
      </w:pPr>
      <w:r>
        <w:rPr/>
        <w:t>          </w:t>
      </w:r>
      <w:r>
        <w:rPr>
          <w:rFonts w:ascii="Times New Roman;Times;serif" w:hAnsi="Times New Roman;Times;serif"/>
          <w:sz w:val="17"/>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Property not excepted by clauses (a) through (i), inclusive, of Section 5.02, does not exceed 10% of Consolidated Net Tangible Assets. </w:t>
      </w:r>
    </w:p>
    <w:p>
      <w:pPr>
        <w:pStyle w:val="TextBody"/>
        <w:spacing w:before="120" w:after="283"/>
        <w:jc w:val="left"/>
        <w:rPr/>
      </w:pPr>
      <w:r>
        <w:rPr/>
        <w:t>          </w:t>
      </w:r>
      <w:r>
        <w:rPr>
          <w:rFonts w:ascii="Times New Roman;Times;serif" w:hAnsi="Times New Roman;Times;serif"/>
          <w:sz w:val="17"/>
        </w:rPr>
        <w:t xml:space="preserve">Section 5.04. </w:t>
      </w:r>
      <w:r>
        <w:rPr>
          <w:rFonts w:ascii="Times New Roman;Times;serif" w:hAnsi="Times New Roman;Times;serif"/>
          <w:sz w:val="17"/>
          <w:u w:val="single"/>
        </w:rPr>
        <w:t>SEC Reports; Financial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120" w:after="283"/>
        <w:jc w:val="left"/>
        <w:rPr/>
      </w:pPr>
      <w:r>
        <w:rPr/>
        <w:t>          </w:t>
      </w:r>
      <w:r>
        <w:rPr>
          <w:rFonts w:ascii="Times New Roman;Times;serif" w:hAnsi="Times New Roman;Times;serif"/>
          <w:sz w:val="17"/>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120" w:after="283"/>
        <w:jc w:val="left"/>
        <w:rPr/>
      </w:pPr>
      <w:r>
        <w:rPr/>
        <w:t>          </w:t>
      </w:r>
      <w:r>
        <w:rPr>
          <w:rFonts w:ascii="Times New Roman;Times;serif" w:hAnsi="Times New Roman;Times;serif"/>
          <w:sz w:val="17"/>
        </w:rPr>
        <w:t xml:space="preserve">(c) In addition, the Issuers shall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120" w:after="283"/>
        <w:jc w:val="left"/>
        <w:rPr/>
      </w:pPr>
      <w:r>
        <w:rPr/>
        <w:t>          </w:t>
      </w:r>
      <w:r>
        <w:rPr>
          <w:rFonts w:ascii="Times New Roman;Times;serif" w:hAnsi="Times New Roman;Times;serif"/>
          <w:sz w:val="17"/>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120" w:after="283"/>
        <w:jc w:val="left"/>
        <w:rPr/>
      </w:pPr>
      <w:r>
        <w:rPr/>
        <w:t>          </w:t>
      </w:r>
      <w:r>
        <w:rPr>
          <w:rFonts w:ascii="Times New Roman;Times;serif" w:hAnsi="Times New Roman;Times;serif"/>
          <w:sz w:val="17"/>
        </w:rPr>
        <w:t xml:space="preserve">Section 5.05. </w:t>
      </w:r>
      <w:r>
        <w:rPr>
          <w:rFonts w:ascii="Times New Roman;Times;serif" w:hAnsi="Times New Roman;Times;serif"/>
          <w:sz w:val="17"/>
          <w:u w:val="single"/>
        </w:rPr>
        <w:t>Additional Subsidiary Guarantees</w:t>
      </w:r>
      <w:r>
        <w:rPr>
          <w:rFonts w:ascii="Times New Roman;Times;serif" w:hAnsi="Times New Roman;Times;serif"/>
          <w:sz w:val="17"/>
        </w:rPr>
        <w:t xml:space="preserve">. If any Subsidiary (or its successor) of the Partnership that is not then a Subsidiary Guarantor guarantees Debt of either of the Issuers or any other Subsidiary of the Partnership, in either case after the Issue Date, then such Subsidiary (or successor) shall execute and deliver a supplemental Indenture providing for the guarantee of the payment of the Notes pursuant to Article IX hereof.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VI</w:t>
        <w:br/>
        <w:t xml:space="preserve">SUCCESSORS </w:t>
      </w:r>
    </w:p>
    <w:p>
      <w:pPr>
        <w:pStyle w:val="TextBody"/>
        <w:spacing w:before="120" w:after="283"/>
        <w:jc w:val="left"/>
        <w:rPr/>
      </w:pPr>
      <w:r>
        <w:rPr/>
        <w:t>          </w:t>
      </w:r>
      <w:r>
        <w:rPr>
          <w:rFonts w:ascii="Times New Roman;Times;serif" w:hAnsi="Times New Roman;Times;serif"/>
          <w:sz w:val="17"/>
        </w:rPr>
        <w:t xml:space="preserve">With respect to the Notes, the provisions of this Article VI shall preempt the provisions of Article X of the Original Indenture in their entirety. </w:t>
      </w:r>
    </w:p>
    <w:p>
      <w:pPr>
        <w:pStyle w:val="TextBody"/>
        <w:spacing w:before="120" w:after="283"/>
        <w:jc w:val="left"/>
        <w:rPr/>
      </w:pPr>
      <w:r>
        <w:rPr/>
        <w:t>          </w:t>
      </w:r>
      <w:r>
        <w:rPr>
          <w:rFonts w:ascii="Times New Roman;Times;serif" w:hAnsi="Times New Roman;Times;serif"/>
          <w:sz w:val="17"/>
        </w:rPr>
        <w:t xml:space="preserve">Section 6.01. </w:t>
      </w:r>
      <w:r>
        <w:rPr>
          <w:rFonts w:ascii="Times New Roman;Times;serif" w:hAnsi="Times New Roman;Times;serif"/>
          <w:sz w:val="17"/>
          <w:u w:val="single"/>
        </w:rPr>
        <w:t>Consolidation and Mergers of the Issuers</w:t>
      </w:r>
      <w:r>
        <w:rPr>
          <w:rFonts w:ascii="Times New Roman;Times;serif" w:hAnsi="Times New Roman;Times;serif"/>
          <w:sz w:val="17"/>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(including Additional Interest, if any)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20" w:after="283"/>
        <w:jc w:val="left"/>
        <w:rPr/>
      </w:pPr>
      <w:r>
        <w:rPr/>
        <w:t>          </w:t>
      </w:r>
      <w:r>
        <w:rPr>
          <w:rFonts w:ascii="Times New Roman;Times;serif" w:hAnsi="Times New Roman;Times;serif"/>
          <w:sz w:val="17"/>
        </w:rPr>
        <w:t xml:space="preserve">Section 6.02. </w:t>
      </w:r>
      <w:r>
        <w:rPr>
          <w:rFonts w:ascii="Times New Roman;Times;serif" w:hAnsi="Times New Roman;Times;serif"/>
          <w:sz w:val="17"/>
          <w:u w:val="single"/>
        </w:rPr>
        <w:t>Rights and Duties of Successor</w:t>
      </w:r>
      <w:r>
        <w:rPr>
          <w:rFonts w:ascii="Times New Roman;Times;serif" w:hAnsi="Times New Roman;Times;serif"/>
          <w:sz w:val="17"/>
        </w:rPr>
        <w:t xml:space="preserve"> . In case of any consolidation,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20" w:after="283"/>
        <w:jc w:val="left"/>
        <w:rPr/>
      </w:pPr>
      <w:r>
        <w:rPr/>
        <w:t>          </w:t>
      </w:r>
      <w:r>
        <w:rPr>
          <w:rFonts w:ascii="Times New Roman;Times;serif" w:hAnsi="Times New Roman;Times;serif"/>
          <w:sz w:val="17"/>
        </w:rPr>
        <w:t xml:space="preserve">Section 6.03. </w:t>
      </w:r>
      <w:r>
        <w:rPr>
          <w:rFonts w:ascii="Times New Roman;Times;serif" w:hAnsi="Times New Roman;Times;serif"/>
          <w:sz w:val="17"/>
          <w:u w:val="single"/>
        </w:rPr>
        <w:t>Supplemental Indenture</w:t>
      </w:r>
      <w:r>
        <w:rPr>
          <w:rFonts w:ascii="Times New Roman;Times;serif" w:hAnsi="Times New Roman;Times;serif"/>
          <w:sz w:val="17"/>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VII</w:t>
        <w:br/>
        <w:t xml:space="preserve">DEFAULTS AND REMEDIES </w:t>
      </w:r>
    </w:p>
    <w:p>
      <w:pPr>
        <w:pStyle w:val="TextBody"/>
        <w:spacing w:before="120" w:after="283"/>
        <w:jc w:val="left"/>
        <w:rPr/>
      </w:pPr>
      <w:r>
        <w:rPr/>
        <w:t>          </w:t>
      </w:r>
      <w:r>
        <w:rPr>
          <w:rFonts w:ascii="Times New Roman;Times;serif" w:hAnsi="Times New Roman;Times;serif"/>
          <w:sz w:val="17"/>
        </w:rPr>
        <w:t xml:space="preserve">Section 7.01. </w:t>
      </w:r>
      <w:r>
        <w:rPr>
          <w:rFonts w:ascii="Times New Roman;Times;serif" w:hAnsi="Times New Roman;Times;serif"/>
          <w:sz w:val="17"/>
          <w:u w:val="single"/>
        </w:rPr>
        <w:t>Events of Default</w:t>
      </w:r>
      <w:r>
        <w:rPr>
          <w:rFonts w:ascii="Times New Roman;Times;serif" w:hAnsi="Times New Roman;Times;serif"/>
          <w:sz w:val="17"/>
        </w:rPr>
        <w:t xml:space="preserve">. With respect to the Notes, the provisions of this Section 7.01 shall preempt the provisions of the first and final paragraphs of Section 6.01 of the Original Indenture in their entirety. </w:t>
      </w:r>
    </w:p>
    <w:p>
      <w:pPr>
        <w:pStyle w:val="TextBody"/>
        <w:spacing w:before="120" w:after="283"/>
        <w:jc w:val="left"/>
        <w:rPr/>
      </w:pPr>
      <w:r>
        <w:rPr/>
        <w:t>     </w:t>
      </w:r>
      <w:r>
        <w:rPr>
          <w:rFonts w:ascii="Times New Roman;Times;serif" w:hAnsi="Times New Roman;Times;serif"/>
          <w:sz w:val="17"/>
        </w:rPr>
        <w:t xml:space="preserve">(a) An Event of Default occurs if: </w:t>
      </w:r>
    </w:p>
    <w:p>
      <w:pPr>
        <w:pStyle w:val="TextBody"/>
        <w:spacing w:before="120" w:after="283"/>
        <w:jc w:val="left"/>
        <w:rPr/>
      </w:pPr>
      <w:r>
        <w:rPr/>
        <w:t>     </w:t>
      </w:r>
      <w:r>
        <w:rPr>
          <w:rFonts w:ascii="Times New Roman;Times;serif" w:hAnsi="Times New Roman;Times;serif"/>
          <w:sz w:val="17"/>
        </w:rPr>
        <w:t xml:space="preserve">(i) the Issuers default for 60 days in the payment when due of interest on, or Additional Interest with respect to, the Notes; </w:t>
      </w:r>
    </w:p>
    <w:p>
      <w:pPr>
        <w:pStyle w:val="TextBody"/>
        <w:spacing w:before="120" w:after="283"/>
        <w:jc w:val="left"/>
        <w:rPr/>
      </w:pPr>
      <w:r>
        <w:rPr/>
        <w:t>     </w:t>
      </w:r>
      <w:r>
        <w:rPr>
          <w:rFonts w:ascii="Times New Roman;Times;serif" w:hAnsi="Times New Roman;Times;serif"/>
          <w:sz w:val="17"/>
        </w:rPr>
        <w:t xml:space="preserve">(ii) the Issuers default in the payment when due of principal of or premium, if any, on the Notes at maturity, upon redemption or otherwise; </w:t>
      </w:r>
    </w:p>
    <w:p>
      <w:pPr>
        <w:pStyle w:val="TextBody"/>
        <w:spacing w:before="120" w:after="283"/>
        <w:jc w:val="left"/>
        <w:rPr/>
      </w:pPr>
      <w:r>
        <w:rPr/>
        <w:t>     </w:t>
      </w:r>
      <w:r>
        <w:rPr>
          <w:rFonts w:ascii="Times New Roman;Times;serif" w:hAnsi="Times New Roman;Times;serif"/>
          <w:sz w:val="17"/>
        </w:rPr>
        <w:t>(iii) failure by an Issuer or any Subsidiary Guarantor for 30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Times;serif" w:hAnsi="Times New Roman;Times;serif"/>
          <w:sz w:val="17"/>
          <w:u w:val="single"/>
        </w:rPr>
        <w:t>provided</w:t>
      </w:r>
      <w:r>
        <w:rPr>
          <w:rFonts w:ascii="Times New Roman;Times;serif" w:hAnsi="Times New Roman;Times;serif"/>
          <w:sz w:val="17"/>
        </w:rPr>
        <w:t xml:space="preserve"> that notice need not be given, and an Event of Default shall occur, 30 days after any breach of the provisions of Section 6.01 hereof); </w:t>
      </w:r>
    </w:p>
    <w:p>
      <w:pPr>
        <w:pStyle w:val="TextBody"/>
        <w:spacing w:before="120" w:after="283"/>
        <w:jc w:val="left"/>
        <w:rPr/>
      </w:pPr>
      <w:r>
        <w:rPr/>
        <w:t>     </w:t>
      </w:r>
      <w:r>
        <w:rPr>
          <w:rFonts w:ascii="Times New Roman;Times;serif" w:hAnsi="Times New Roman;Times;serif"/>
          <w:sz w:val="17"/>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which has been so accelerated, aggregates $25.0 million or more; </w:t>
      </w:r>
      <w:r>
        <w:rPr>
          <w:rFonts w:ascii="Times New Roman;Times;serif" w:hAnsi="Times New Roman;Times;serif"/>
          <w:sz w:val="17"/>
          <w:u w:val="single"/>
        </w:rPr>
        <w:t>provided</w:t>
      </w:r>
      <w:r>
        <w:rPr>
          <w:rFonts w:ascii="Times New Roman;Times;serif" w:hAnsi="Times New Roman;Times;serif"/>
          <w:i/>
          <w:sz w:val="17"/>
        </w:rPr>
        <w:t xml:space="preserve">, </w:t>
      </w:r>
      <w:r>
        <w:rPr>
          <w:rFonts w:ascii="Times New Roman;Times;serif" w:hAnsi="Times New Roman;Times;serif"/>
          <w:sz w:val="17"/>
          <w:u w:val="single"/>
        </w:rPr>
        <w:t>further</w:t>
      </w:r>
      <w:r>
        <w:rPr>
          <w:rFonts w:ascii="Times New Roman;Times;serif" w:hAnsi="Times New Roman;Times;serif"/>
          <w:i/>
          <w:sz w:val="17"/>
        </w:rPr>
        <w:t xml:space="preserve">, </w:t>
      </w:r>
      <w:r>
        <w:rPr>
          <w:rFonts w:ascii="Times New Roman;Times;serif" w:hAnsi="Times New Roman;Times;serif"/>
          <w:sz w:val="17"/>
        </w:rPr>
        <w:t xml:space="preserve">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120" w:after="283"/>
        <w:jc w:val="left"/>
        <w:rPr/>
      </w:pPr>
      <w:r>
        <w:rPr/>
        <w:t>     </w:t>
      </w:r>
      <w:r>
        <w:rPr>
          <w:rFonts w:ascii="Times New Roman;Times;serif" w:hAnsi="Times New Roman;Times;serif"/>
          <w:sz w:val="17"/>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120" w:after="283"/>
        <w:jc w:val="left"/>
        <w:rPr/>
      </w:pPr>
      <w:r>
        <w:rPr/>
        <w:t>     </w:t>
      </w:r>
      <w:r>
        <w:rPr>
          <w:rFonts w:ascii="Times New Roman;Times;serif" w:hAnsi="Times New Roman;Times;serif"/>
          <w:sz w:val="17"/>
        </w:rPr>
        <w:t xml:space="preserve">(vi) an Issuer or any Subsidiary Guarantor pursuant to or within the meaning of any Bankruptcy Law: </w:t>
      </w:r>
    </w:p>
    <w:p>
      <w:pPr>
        <w:pStyle w:val="TextBody"/>
        <w:spacing w:before="120" w:after="283"/>
        <w:jc w:val="left"/>
        <w:rPr/>
      </w:pPr>
      <w:r>
        <w:rPr/>
        <w:t>     </w:t>
      </w:r>
      <w:r>
        <w:rPr>
          <w:rFonts w:ascii="Times New Roman;Times;serif" w:hAnsi="Times New Roman;Times;serif"/>
          <w:sz w:val="17"/>
        </w:rPr>
        <w:t xml:space="preserve">(A) commences a voluntary case, </w:t>
      </w:r>
    </w:p>
    <w:p>
      <w:pPr>
        <w:pStyle w:val="TextBody"/>
        <w:spacing w:before="120" w:after="283"/>
        <w:jc w:val="left"/>
        <w:rPr/>
      </w:pPr>
      <w:r>
        <w:rPr/>
        <w:t>     </w:t>
      </w:r>
      <w:r>
        <w:rPr>
          <w:rFonts w:ascii="Times New Roman;Times;serif" w:hAnsi="Times New Roman;Times;serif"/>
          <w:sz w:val="17"/>
        </w:rPr>
        <w:t xml:space="preserve">(B) consents to the entry of an order for relief against it in an involuntary case, </w:t>
      </w:r>
    </w:p>
    <w:p>
      <w:pPr>
        <w:pStyle w:val="TextBody"/>
        <w:spacing w:before="120" w:after="283"/>
        <w:jc w:val="left"/>
        <w:rPr/>
      </w:pPr>
      <w:r>
        <w:rPr/>
        <w:t>     </w:t>
      </w:r>
      <w:r>
        <w:rPr>
          <w:rFonts w:ascii="Times New Roman;Times;serif" w:hAnsi="Times New Roman;Times;serif"/>
          <w:sz w:val="17"/>
        </w:rPr>
        <w:t xml:space="preserve">(C) consents to the appointment of a custodian of it or for all or substantially all of its property, </w:t>
      </w:r>
    </w:p>
    <w:p>
      <w:pPr>
        <w:pStyle w:val="TextBody"/>
        <w:spacing w:before="120" w:after="283"/>
        <w:jc w:val="left"/>
        <w:rPr/>
      </w:pPr>
      <w:r>
        <w:rPr/>
        <w:t>     </w:t>
      </w:r>
      <w:r>
        <w:rPr>
          <w:rFonts w:ascii="Times New Roman;Times;serif" w:hAnsi="Times New Roman;Times;serif"/>
          <w:sz w:val="17"/>
        </w:rPr>
        <w:t xml:space="preserve">(D) makes a general assignment for the benefit of its creditors, or </w:t>
      </w:r>
    </w:p>
    <w:p>
      <w:pPr>
        <w:pStyle w:val="TextBody"/>
        <w:spacing w:before="120" w:after="283"/>
        <w:jc w:val="left"/>
        <w:rPr/>
      </w:pPr>
      <w:r>
        <w:rPr/>
        <w:t>     </w:t>
      </w:r>
      <w:r>
        <w:rPr>
          <w:rFonts w:ascii="Times New Roman;Times;serif" w:hAnsi="Times New Roman;Times;serif"/>
          <w:sz w:val="17"/>
        </w:rPr>
        <w:t xml:space="preserve">(E) generally is not paying its debts as they become due; or </w:t>
      </w:r>
    </w:p>
    <w:p>
      <w:pPr>
        <w:pStyle w:val="TextBody"/>
        <w:spacing w:before="120" w:after="283"/>
        <w:jc w:val="left"/>
        <w:rPr/>
      </w:pPr>
      <w:r>
        <w:rPr/>
        <w:t>     </w:t>
      </w:r>
      <w:r>
        <w:rPr>
          <w:rFonts w:ascii="Times New Roman;Times;serif" w:hAnsi="Times New Roman;Times;serif"/>
          <w:sz w:val="17"/>
        </w:rPr>
        <w:t xml:space="preserve">(vii) a court of competent jurisdiction enters an order or decree under any Bankruptcy Law that: </w:t>
      </w:r>
    </w:p>
    <w:p>
      <w:pPr>
        <w:pStyle w:val="TextBody"/>
        <w:spacing w:before="120" w:after="283"/>
        <w:jc w:val="left"/>
        <w:rPr/>
      </w:pPr>
      <w:r>
        <w:rPr/>
        <w:t>     </w:t>
      </w:r>
      <w:r>
        <w:rPr>
          <w:rFonts w:ascii="Times New Roman;Times;serif" w:hAnsi="Times New Roman;Times;serif"/>
          <w:sz w:val="17"/>
        </w:rPr>
        <w:t xml:space="preserve">(A) is for relief against an Issuer or any Subsidiary Guarantor in an involuntary case; </w:t>
      </w:r>
    </w:p>
    <w:p>
      <w:pPr>
        <w:pStyle w:val="TextBody"/>
        <w:spacing w:before="120" w:after="283"/>
        <w:jc w:val="left"/>
        <w:rPr/>
      </w:pPr>
      <w:r>
        <w:rPr/>
        <w:t>     </w:t>
      </w:r>
      <w:r>
        <w:rPr>
          <w:rFonts w:ascii="Times New Roman;Times;serif" w:hAnsi="Times New Roman;Times;serif"/>
          <w:sz w:val="17"/>
        </w:rPr>
        <w:t xml:space="preserve">(B) appoints a custodian of an Issuer or any Subsidiary Guarantor or for all or substantially all of the property of an Issuer or any Subsidiary Guarantor; or </w:t>
      </w:r>
    </w:p>
    <w:p>
      <w:pPr>
        <w:pStyle w:val="TextBody"/>
        <w:spacing w:before="120" w:after="283"/>
        <w:jc w:val="left"/>
        <w:rPr/>
      </w:pPr>
      <w:r>
        <w:rPr/>
        <w:t>     </w:t>
      </w:r>
      <w:r>
        <w:rPr>
          <w:rFonts w:ascii="Times New Roman;Times;serif" w:hAnsi="Times New Roman;Times;serif"/>
          <w:sz w:val="17"/>
        </w:rPr>
        <w:t xml:space="preserve">(C) orders the liquidation of an Issuer or any Subsidiary Guarantor; and the order or decree remains unstayed and in effect for 60 consecutive days. </w:t>
      </w:r>
    </w:p>
    <w:p>
      <w:pPr>
        <w:pStyle w:val="TextBody"/>
        <w:spacing w:before="120" w:after="283"/>
        <w:jc w:val="left"/>
        <w:rPr/>
      </w:pPr>
      <w:r>
        <w:rPr/>
        <w:t>          </w:t>
      </w:r>
      <w:r>
        <w:rPr>
          <w:rFonts w:ascii="Times New Roman;Times;serif" w:hAnsi="Times New Roman;Times;serif"/>
          <w:sz w:val="17"/>
        </w:rPr>
        <w:t xml:space="preserve">(b) In the case of an Event of Default arising from Section 7.01(a)(vi) or 7.01(a)(vii) hereof involving an Issuer (and, for the avoidance of debt, excluding any such Event of Default that involves only one or more Subsidiary Guarantors), the principal amount of all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VIII</w:t>
        <w:br/>
        <w:t xml:space="preserve">LEGAL DEFEASANCE AND COVENANT DEFEASANCE </w:t>
      </w:r>
    </w:p>
    <w:p>
      <w:pPr>
        <w:pStyle w:val="TextBody"/>
        <w:spacing w:before="120" w:after="283"/>
        <w:jc w:val="left"/>
        <w:rPr/>
      </w:pPr>
      <w:r>
        <w:rPr/>
        <w:t>          </w:t>
      </w:r>
      <w:r>
        <w:rPr>
          <w:rFonts w:ascii="Times New Roman;Times;serif" w:hAnsi="Times New Roman;Times;serif"/>
          <w:sz w:val="17"/>
        </w:rPr>
        <w:t xml:space="preserve">Section 8.01. </w:t>
      </w:r>
      <w:r>
        <w:rPr>
          <w:rFonts w:ascii="Times New Roman;Times;serif" w:hAnsi="Times New Roman;Times;serif"/>
          <w:sz w:val="17"/>
          <w:u w:val="single"/>
        </w:rPr>
        <w:t>Option to Effect Legal Defeasance or Covenant Defeasance</w:t>
      </w:r>
      <w:r>
        <w:rPr>
          <w:rFonts w:ascii="Times New Roman;Times;serif" w:hAnsi="Times New Roman;Times;serif"/>
          <w:sz w:val="17"/>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20" w:after="283"/>
        <w:jc w:val="left"/>
        <w:rPr/>
      </w:pPr>
      <w:r>
        <w:rPr/>
        <w:t>          </w:t>
      </w:r>
      <w:r>
        <w:rPr>
          <w:rFonts w:ascii="Times New Roman;Times;serif" w:hAnsi="Times New Roman;Times;serif"/>
          <w:sz w:val="17"/>
        </w:rPr>
        <w:t xml:space="preserve">Section 8.02. </w:t>
      </w:r>
      <w:r>
        <w:rPr>
          <w:rFonts w:ascii="Times New Roman;Times;serif" w:hAnsi="Times New Roman;Times;serif"/>
          <w:sz w:val="17"/>
          <w:u w:val="single"/>
        </w:rPr>
        <w:t>Legal Defeasance and Discharge</w:t>
      </w:r>
      <w:r>
        <w:rPr>
          <w:rFonts w:ascii="Times New Roman;Times;serif" w:hAnsi="Times New Roman;Times;serif"/>
          <w:sz w:val="17"/>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120" w:after="283"/>
        <w:jc w:val="left"/>
        <w:rPr/>
      </w:pPr>
      <w:r>
        <w:rPr/>
        <w:t>          </w:t>
      </w:r>
      <w:r>
        <w:rPr>
          <w:rFonts w:ascii="Times New Roman;Times;serif" w:hAnsi="Times New Roman;Times;serif"/>
          <w:sz w:val="17"/>
        </w:rPr>
        <w:t xml:space="preserve">(a) the rights of Holders of Outstanding Notes to receive solely from the trust fund described in Section 8.04 hereof, and as more fully set forth in such Section, payments in respect of the principal of, premium on, if any, interest and Additional Interest, if any, on such Notes when such payments are due, </w:t>
      </w:r>
    </w:p>
    <w:p>
      <w:pPr>
        <w:pStyle w:val="TextBody"/>
        <w:spacing w:before="120" w:after="283"/>
        <w:jc w:val="left"/>
        <w:rPr/>
      </w:pPr>
      <w:r>
        <w:rPr/>
        <w:t>          </w:t>
      </w:r>
      <w:r>
        <w:rPr>
          <w:rFonts w:ascii="Times New Roman;Times;serif" w:hAnsi="Times New Roman;Times;serif"/>
          <w:sz w:val="17"/>
        </w:rPr>
        <w:t xml:space="preserve">(b) the Issuers obligations with respect to such Notes under Sections 2.07, 2.08, 2.09 and 4.02 of the Original Indenture and Section 4.02 hereof, </w:t>
      </w:r>
    </w:p>
    <w:p>
      <w:pPr>
        <w:pStyle w:val="TextBody"/>
        <w:spacing w:before="120" w:after="283"/>
        <w:jc w:val="left"/>
        <w:rPr/>
      </w:pPr>
      <w:r>
        <w:rPr/>
        <w:t>          </w:t>
      </w:r>
      <w:r>
        <w:rPr>
          <w:rFonts w:ascii="Times New Roman;Times;serif" w:hAnsi="Times New Roman;Times;serif"/>
          <w:sz w:val="17"/>
        </w:rPr>
        <w:t xml:space="preserve">(c) the rights, powers, trusts, duties and immunities of the Trustee hereunder and the Issuers obligations in connection therewith, </w:t>
      </w:r>
    </w:p>
    <w:p>
      <w:pPr>
        <w:pStyle w:val="TextBody"/>
        <w:spacing w:before="120" w:after="283"/>
        <w:jc w:val="left"/>
        <w:rPr/>
      </w:pPr>
      <w:r>
        <w:rPr/>
        <w:t>          </w:t>
      </w:r>
      <w:r>
        <w:rPr>
          <w:rFonts w:ascii="Times New Roman;Times;serif" w:hAnsi="Times New Roman;Times;serif"/>
          <w:sz w:val="17"/>
        </w:rPr>
        <w:t xml:space="preserve">(d) this Article VIII, and </w:t>
      </w:r>
    </w:p>
    <w:p>
      <w:pPr>
        <w:pStyle w:val="TextBody"/>
        <w:spacing w:before="120" w:after="283"/>
        <w:jc w:val="left"/>
        <w:rPr/>
      </w:pPr>
      <w:r>
        <w:rPr/>
        <w:t>          </w:t>
      </w:r>
      <w:r>
        <w:rPr>
          <w:rFonts w:ascii="Times New Roman;Times;serif" w:hAnsi="Times New Roman;Times;serif"/>
          <w:sz w:val="17"/>
        </w:rPr>
        <w:t xml:space="preserve">(e) the Issuers rights of optional redemption under Section 4.01 hereof.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Subject to compliance with this Article VIII, the Issuers may exercise their option under this Section 8.02 notwithstanding the prior exercise of their option under Section 8.03 hereof. </w:t>
      </w:r>
    </w:p>
    <w:p>
      <w:pPr>
        <w:pStyle w:val="TextBody"/>
        <w:spacing w:before="120" w:after="283"/>
        <w:jc w:val="left"/>
        <w:rPr/>
      </w:pPr>
      <w:r>
        <w:rPr/>
        <w:t>          </w:t>
      </w:r>
      <w:r>
        <w:rPr>
          <w:rFonts w:ascii="Times New Roman;Times;serif" w:hAnsi="Times New Roman;Times;serif"/>
          <w:sz w:val="17"/>
        </w:rPr>
        <w:t xml:space="preserve">Section 8.03. </w:t>
      </w:r>
      <w:r>
        <w:rPr>
          <w:rFonts w:ascii="Times New Roman;Times;serif" w:hAnsi="Times New Roman;Times;serif"/>
          <w:sz w:val="17"/>
          <w:u w:val="single"/>
        </w:rPr>
        <w:t>Covenant Defeasance</w:t>
      </w:r>
      <w:r>
        <w:rPr>
          <w:rFonts w:ascii="Times New Roman;Times;serif" w:hAnsi="Times New Roman;Times;serif"/>
          <w:sz w:val="17"/>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120" w:after="283"/>
        <w:jc w:val="left"/>
        <w:rPr/>
      </w:pPr>
      <w:r>
        <w:rPr/>
        <w:t>          </w:t>
      </w:r>
      <w:r>
        <w:rPr>
          <w:rFonts w:ascii="Times New Roman;Times;serif" w:hAnsi="Times New Roman;Times;serif"/>
          <w:sz w:val="17"/>
        </w:rPr>
        <w:t xml:space="preserve">Section 8.04. </w:t>
      </w:r>
      <w:r>
        <w:rPr>
          <w:rFonts w:ascii="Times New Roman;Times;serif" w:hAnsi="Times New Roman;Times;serif"/>
          <w:sz w:val="17"/>
          <w:u w:val="single"/>
        </w:rPr>
        <w:t>Conditions to Legal or Covenant Defeasance</w:t>
      </w:r>
      <w:r>
        <w:rPr>
          <w:rFonts w:ascii="Times New Roman;Times;serif" w:hAnsi="Times New Roman;Times;serif"/>
          <w:sz w:val="17"/>
        </w:rPr>
        <w:t xml:space="preserve">. The following shall be the conditions to the application of either Section 8.02 or 8.03 hereof to the Outstanding Notes: </w:t>
      </w:r>
    </w:p>
    <w:p>
      <w:pPr>
        <w:pStyle w:val="TextBody"/>
        <w:spacing w:before="120" w:after="283"/>
        <w:jc w:val="left"/>
        <w:rPr/>
      </w:pPr>
      <w:r>
        <w:rPr/>
        <w:t>          </w:t>
      </w:r>
      <w:r>
        <w:rPr>
          <w:rFonts w:ascii="Times New Roman;Times;serif" w:hAnsi="Times New Roman;Times;serif"/>
          <w:sz w:val="17"/>
        </w:rPr>
        <w:t xml:space="preserve">In order to exercise either Legal Defeasance or Covenant Defeasance: </w:t>
      </w:r>
    </w:p>
    <w:p>
      <w:pPr>
        <w:pStyle w:val="TextBody"/>
        <w:spacing w:before="120" w:after="283"/>
        <w:jc w:val="left"/>
        <w:rPr/>
      </w:pPr>
      <w:r>
        <w:rPr/>
        <w:t>          </w:t>
      </w:r>
      <w:r>
        <w:rPr>
          <w:rFonts w:ascii="Times New Roman;Times;serif" w:hAnsi="Times New Roman;Times;serif"/>
          <w:sz w:val="17"/>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interest and Additional Interest, if any,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120" w:after="283"/>
        <w:jc w:val="left"/>
        <w:rPr/>
      </w:pPr>
      <w:r>
        <w:rPr/>
        <w:t>          </w:t>
      </w:r>
      <w:r>
        <w:rPr>
          <w:rFonts w:ascii="Times New Roman;Times;serif" w:hAnsi="Times New Roman;Times;serif"/>
          <w:sz w:val="17"/>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120" w:after="283"/>
        <w:jc w:val="left"/>
        <w:rPr/>
      </w:pPr>
      <w:r>
        <w:rPr/>
        <w:t>          </w:t>
      </w:r>
      <w:r>
        <w:rPr>
          <w:rFonts w:ascii="Times New Roman;Times;serif" w:hAnsi="Times New Roman;Times;serif"/>
          <w:sz w:val="17"/>
        </w:rPr>
        <w:t xml:space="preserve">(c) in the case of an election under Section 8.03 hereof, the Issuers shall have delivered to the Trustee an Opinion of Counsel confirming that the Holders of the Outstanding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120" w:after="283"/>
        <w:jc w:val="left"/>
        <w:rPr/>
      </w:pPr>
      <w:r>
        <w:rPr/>
        <w:t>          </w:t>
      </w:r>
      <w:r>
        <w:rPr>
          <w:rFonts w:ascii="Times New Roman;Times;serif" w:hAnsi="Times New Roman;Times;serif"/>
          <w:sz w:val="17"/>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120" w:after="283"/>
        <w:jc w:val="left"/>
        <w:rPr/>
      </w:pPr>
      <w:r>
        <w:rPr/>
        <w:t>          </w:t>
      </w:r>
      <w:r>
        <w:rPr>
          <w:rFonts w:ascii="Times New Roman;Times;serif" w:hAnsi="Times New Roman;Times;serif"/>
          <w:sz w:val="17"/>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120" w:after="283"/>
        <w:jc w:val="left"/>
        <w:rPr/>
      </w:pPr>
      <w:r>
        <w:rPr/>
        <w:t>          </w:t>
      </w:r>
      <w:r>
        <w:rPr>
          <w:rFonts w:ascii="Times New Roman;Times;serif" w:hAnsi="Times New Roman;Times;serif"/>
          <w:sz w:val="17"/>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120" w:after="283"/>
        <w:jc w:val="left"/>
        <w:rPr/>
      </w:pPr>
      <w:r>
        <w:rPr/>
        <w:t>          </w:t>
      </w:r>
      <w:r>
        <w:rPr>
          <w:rFonts w:ascii="Times New Roman;Times;serif" w:hAnsi="Times New Roman;Times;serif"/>
          <w:sz w:val="17"/>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120" w:after="283"/>
        <w:jc w:val="left"/>
        <w:rPr/>
      </w:pPr>
      <w:r>
        <w:rPr/>
        <w:t>          </w:t>
      </w:r>
      <w:r>
        <w:rPr>
          <w:rFonts w:ascii="Times New Roman;Times;serif" w:hAnsi="Times New Roman;Times;serif"/>
          <w:sz w:val="17"/>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20" w:after="283"/>
        <w:jc w:val="left"/>
        <w:rPr/>
      </w:pPr>
      <w:r>
        <w:rPr/>
        <w:t>          </w:t>
      </w:r>
      <w:r>
        <w:rPr>
          <w:rFonts w:ascii="Times New Roman;Times;serif" w:hAnsi="Times New Roman;Times;serif"/>
          <w:sz w:val="17"/>
        </w:rPr>
        <w:t xml:space="preserve">Section 8.05. </w:t>
      </w:r>
      <w:r>
        <w:rPr>
          <w:rFonts w:ascii="Times New Roman;Times;serif" w:hAnsi="Times New Roman;Times;serif"/>
          <w:sz w:val="17"/>
          <w:u w:val="single"/>
        </w:rPr>
        <w:t>Deposited Money and U.S. Government Obligations to be Held in Trust; Other Miscellaneous Provisions</w:t>
      </w:r>
      <w:r>
        <w:rPr>
          <w:rFonts w:ascii="Times New Roman;Times;serif" w:hAnsi="Times New Roman;Times;serif"/>
          <w:sz w:val="17"/>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on, if any, interest and Additional Interest, if any, but such money need not be segregated from other funds except to the extent required by law. </w:t>
      </w:r>
    </w:p>
    <w:p>
      <w:pPr>
        <w:pStyle w:val="TextBody"/>
        <w:spacing w:before="120" w:after="283"/>
        <w:jc w:val="left"/>
        <w:rPr/>
      </w:pPr>
      <w:r>
        <w:rPr/>
        <w:t>          </w:t>
      </w:r>
      <w:r>
        <w:rPr>
          <w:rFonts w:ascii="Times New Roman;Times;serif" w:hAnsi="Times New Roman;Times;serif"/>
          <w:sz w:val="17"/>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20" w:after="283"/>
        <w:jc w:val="left"/>
        <w:rPr/>
      </w:pPr>
      <w:r>
        <w:rPr/>
        <w:t>          </w:t>
      </w:r>
      <w:r>
        <w:rPr>
          <w:rFonts w:ascii="Times New Roman;Times;serif" w:hAnsi="Times New Roman;Times;serif"/>
          <w:sz w:val="17"/>
        </w:rPr>
        <w:t xml:space="preserve">Section 8.06. </w:t>
      </w:r>
      <w:r>
        <w:rPr>
          <w:rFonts w:ascii="Times New Roman;Times;serif" w:hAnsi="Times New Roman;Times;serif"/>
          <w:sz w:val="17"/>
          <w:u w:val="single"/>
        </w:rPr>
        <w:t>Repayment to Issuers</w:t>
      </w:r>
      <w:r>
        <w:rPr>
          <w:rFonts w:ascii="Times New Roman;Times;serif" w:hAnsi="Times New Roman;Times;serif"/>
          <w:sz w:val="17"/>
        </w:rPr>
        <w:t xml:space="preserve">. Any money deposited with the Trustee or any paying agent, or then held by the Issuers, in trust for the payment of the principal of, premium on, if any, interest or Additional Interest, if any, on any Note and remaining unclaimed for two years after such principal, premium, if any, interest or Additional Interest, if any,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Times;serif" w:hAnsi="Times New Roman;Times;serif"/>
          <w:sz w:val="17"/>
          <w:u w:val="single"/>
        </w:rPr>
        <w:t>provided</w:t>
      </w:r>
      <w:r>
        <w:rPr>
          <w:rFonts w:ascii="Times New Roman;Times;serif" w:hAnsi="Times New Roman;Times;serif"/>
          <w:i/>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Trustee or such paying agent, before being required to make any such repayment, may at the expense of the Issuers cause to be published once, in the </w:t>
      </w:r>
      <w:r>
        <w:rPr>
          <w:rFonts w:ascii="Times New Roman;Times;serif" w:hAnsi="Times New Roman;Times;serif"/>
          <w:i/>
          <w:sz w:val="17"/>
        </w:rPr>
        <w:t xml:space="preserve">New York Times </w:t>
      </w:r>
      <w:r>
        <w:rPr>
          <w:rFonts w:ascii="Times New Roman;Times;serif" w:hAnsi="Times New Roman;Times;serif"/>
          <w:sz w:val="17"/>
        </w:rPr>
        <w:t xml:space="preserve">and </w:t>
      </w:r>
      <w:r>
        <w:rPr>
          <w:rFonts w:ascii="Times New Roman;Times;serif" w:hAnsi="Times New Roman;Times;serif"/>
          <w:i/>
          <w:sz w:val="17"/>
        </w:rPr>
        <w:t xml:space="preserve">The Wall Street Journal </w:t>
      </w:r>
      <w:r>
        <w:rPr>
          <w:rFonts w:ascii="Times New Roman;Times;serif" w:hAnsi="Times New Roman;Times;serif"/>
          <w:sz w:val="17"/>
        </w:rPr>
        <w:t xml:space="preserve">(national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120" w:after="283"/>
        <w:jc w:val="left"/>
        <w:rPr/>
      </w:pPr>
      <w:r>
        <w:rPr/>
        <w:t>          </w:t>
      </w:r>
      <w:r>
        <w:rPr>
          <w:rFonts w:ascii="Times New Roman;Times;serif" w:hAnsi="Times New Roman;Times;serif"/>
          <w:sz w:val="17"/>
        </w:rPr>
        <w:t xml:space="preserve">Section 8.07. </w:t>
      </w:r>
      <w:r>
        <w:rPr>
          <w:rFonts w:ascii="Times New Roman;Times;serif" w:hAnsi="Times New Roman;Times;serif"/>
          <w:sz w:val="17"/>
          <w:u w:val="single"/>
        </w:rPr>
        <w:t>Reinstatement</w:t>
      </w:r>
      <w:r>
        <w:rPr>
          <w:rFonts w:ascii="Times New Roman;Times;serif" w:hAnsi="Times New Roman;Times;serif"/>
          <w:sz w:val="17"/>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Times;serif" w:hAnsi="Times New Roman;Times;serif"/>
          <w:sz w:val="17"/>
          <w:u w:val="single"/>
        </w:rPr>
        <w:t>provided</w:t>
      </w:r>
      <w:r>
        <w:rPr>
          <w:rFonts w:ascii="Times New Roman;Times;serif" w:hAnsi="Times New Roman;Times;serif"/>
          <w:i/>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if the Issuers make any payment of principal of, premium on, if any, interest or Additional Interest, if any, on any Note following the reinstatement of their obligations, the Issuers shall be subrogated to the rights of the Holders of such Notes to receive such payment from the money held by the Trustee or paying agent.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IX</w:t>
        <w:br/>
        <w:t xml:space="preserve">SUBSIDIARY GUARANTEES </w:t>
      </w:r>
    </w:p>
    <w:p>
      <w:pPr>
        <w:pStyle w:val="TextBody"/>
        <w:spacing w:before="120" w:after="283"/>
        <w:jc w:val="left"/>
        <w:rPr/>
      </w:pPr>
      <w:r>
        <w:rPr/>
        <w:t>          </w:t>
      </w:r>
      <w:r>
        <w:rPr>
          <w:rFonts w:ascii="Times New Roman;Times;serif" w:hAnsi="Times New Roman;Times;serif"/>
          <w:sz w:val="17"/>
        </w:rPr>
        <w:t xml:space="preserve">Section 9.01. </w:t>
      </w:r>
      <w:r>
        <w:rPr>
          <w:rFonts w:ascii="Times New Roman;Times;serif" w:hAnsi="Times New Roman;Times;serif"/>
          <w:sz w:val="17"/>
          <w:u w:val="single"/>
        </w:rPr>
        <w:t>Subsidiary Guarantees</w:t>
      </w:r>
      <w:r>
        <w:rPr>
          <w:rFonts w:ascii="Times New Roman;Times;serif" w:hAnsi="Times New Roman;Times;serif"/>
          <w:sz w:val="17"/>
        </w:rPr>
        <w:t xml:space="preserve">. (a) Each Subsidiary Guarantor hereby jointly and severally unconditionally and irrevocably guarantees on a senior basis to each Holder and to the Trustee and its successors and assigns (i) the full and punctual payment of principal, premium, if any, interest, and Additional Interest, if any,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120" w:after="283"/>
        <w:jc w:val="left"/>
        <w:rPr/>
      </w:pPr>
      <w:r>
        <w:rPr/>
        <w:t>          </w:t>
      </w:r>
      <w:r>
        <w:rPr>
          <w:rFonts w:ascii="Times New Roman;Times;serif" w:hAnsi="Times New Roman;Times;serif"/>
          <w:sz w:val="17"/>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120" w:after="283"/>
        <w:jc w:val="left"/>
        <w:rPr/>
      </w:pPr>
      <w:r>
        <w:rPr/>
        <w:t>          </w:t>
      </w:r>
      <w:r>
        <w:rPr>
          <w:rFonts w:ascii="Times New Roman;Times;serif" w:hAnsi="Times New Roman;Times;serif"/>
          <w:sz w:val="17"/>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120" w:after="283"/>
        <w:jc w:val="left"/>
        <w:rPr/>
      </w:pPr>
      <w:r>
        <w:rPr/>
        <w:t>          </w:t>
      </w:r>
      <w:r>
        <w:rPr>
          <w:rFonts w:ascii="Times New Roman;Times;serif" w:hAnsi="Times New Roman;Times;serif"/>
          <w:sz w:val="17"/>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120" w:after="283"/>
        <w:jc w:val="left"/>
        <w:rPr/>
      </w:pPr>
      <w:r>
        <w:rPr/>
        <w:t>          </w:t>
      </w:r>
      <w:r>
        <w:rPr>
          <w:rFonts w:ascii="Times New Roman;Times;serif" w:hAnsi="Times New Roman;Times;serif"/>
          <w:sz w:val="17"/>
        </w:rPr>
        <w:t xml:space="preserve">(e) Each Subsidiary Guarantor further agrees that its Guarantee herein shall continue to be effective or be reinstated, as the case may be, if at any time payment, or any part thereof, of principal, premium, if any, interest or Additional Interest, if any, with respect to any Note Obligation is rescinded or must otherwise be restored by any Holder or the Trustee upon the bankruptcy or reorganization of either of the Issuers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(f) In furtherance of the foregoing and not in limitation of any other right which any Holder or the Trustee has at law or in equity against any Subsidiary Guarantor by virtue hereof, upon the failure of the Issuers to pay the principal, premium, if any, interest or Additional Interest, if any,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120" w:after="283"/>
        <w:jc w:val="left"/>
        <w:rPr/>
      </w:pPr>
      <w:r>
        <w:rPr/>
        <w:t>          </w:t>
      </w:r>
      <w:r>
        <w:rPr>
          <w:rFonts w:ascii="Times New Roman;Times;serif" w:hAnsi="Times New Roman;Times;serif"/>
          <w:sz w:val="17"/>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120" w:after="283"/>
        <w:jc w:val="left"/>
        <w:rPr/>
      </w:pPr>
      <w:r>
        <w:rPr/>
        <w:t>          </w:t>
      </w:r>
      <w:r>
        <w:rPr>
          <w:rFonts w:ascii="Times New Roman;Times;serif" w:hAnsi="Times New Roman;Times;serif"/>
          <w:sz w:val="17"/>
        </w:rPr>
        <w:t xml:space="preserve">(h) Each Subsidiary Guarantor also agrees to pay any and all costs and expenses (including reasonable attorneys fees) incurred by the Trustee or any Holder in enforcing any rights under this Section 9.01. </w:t>
      </w:r>
    </w:p>
    <w:p>
      <w:pPr>
        <w:pStyle w:val="TextBody"/>
        <w:spacing w:before="120" w:after="283"/>
        <w:jc w:val="left"/>
        <w:rPr/>
      </w:pPr>
      <w:r>
        <w:rPr/>
        <w:t>          </w:t>
      </w:r>
      <w:r>
        <w:rPr>
          <w:rFonts w:ascii="Times New Roman;Times;serif" w:hAnsi="Times New Roman;Times;serif"/>
          <w:sz w:val="17"/>
        </w:rPr>
        <w:t xml:space="preserve">Section 9.02. </w:t>
      </w:r>
      <w:r>
        <w:rPr>
          <w:rFonts w:ascii="Times New Roman;Times;serif" w:hAnsi="Times New Roman;Times;serif"/>
          <w:sz w:val="17"/>
          <w:u w:val="single"/>
        </w:rPr>
        <w:t>Limitation on Liability</w:t>
      </w:r>
      <w:r>
        <w:rPr>
          <w:rFonts w:ascii="Times New Roman;Times;serif" w:hAnsi="Times New Roman;Times;serif"/>
          <w:sz w:val="17"/>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120" w:after="283"/>
        <w:jc w:val="left"/>
        <w:rPr/>
      </w:pPr>
      <w:r>
        <w:rPr/>
        <w:t>          </w:t>
      </w:r>
      <w:r>
        <w:rPr>
          <w:rFonts w:ascii="Times New Roman;Times;serif" w:hAnsi="Times New Roman;Times;serif"/>
          <w:sz w:val="17"/>
        </w:rPr>
        <w:t xml:space="preserve">Section 9.03. </w:t>
      </w:r>
      <w:r>
        <w:rPr>
          <w:rFonts w:ascii="Times New Roman;Times;serif" w:hAnsi="Times New Roman;Times;serif"/>
          <w:sz w:val="17"/>
          <w:u w:val="single"/>
        </w:rPr>
        <w:t>Successors and Assigns</w:t>
      </w:r>
      <w:r>
        <w:rPr>
          <w:rFonts w:ascii="Times New Roman;Times;serif" w:hAnsi="Times New Roman;Times;serif"/>
          <w:sz w:val="17"/>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20" w:after="283"/>
        <w:jc w:val="left"/>
        <w:rPr/>
      </w:pPr>
      <w:r>
        <w:rPr/>
        <w:t>          </w:t>
      </w:r>
      <w:r>
        <w:rPr>
          <w:rFonts w:ascii="Times New Roman;Times;serif" w:hAnsi="Times New Roman;Times;serif"/>
          <w:sz w:val="17"/>
        </w:rPr>
        <w:t xml:space="preserve">Section 9.04. </w:t>
      </w:r>
      <w:r>
        <w:rPr>
          <w:rFonts w:ascii="Times New Roman;Times;serif" w:hAnsi="Times New Roman;Times;serif"/>
          <w:sz w:val="17"/>
          <w:u w:val="single"/>
        </w:rPr>
        <w:t>No Waiver</w:t>
      </w:r>
      <w:r>
        <w:rPr>
          <w:rFonts w:ascii="Times New Roman;Times;serif" w:hAnsi="Times New Roman;Times;serif"/>
          <w:sz w:val="17"/>
        </w:rPr>
        <w:t xml:space="preserve">. Neither a failure nor a delay on the part of either the Trustee or the Holders in exercising any right, power or privilege under this Article IX shall operate as a waiver thereof, nor shall a single or partial exercise thereof preclude any other or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20" w:after="283"/>
        <w:jc w:val="left"/>
        <w:rPr/>
      </w:pPr>
      <w:r>
        <w:rPr/>
        <w:t>          </w:t>
      </w:r>
      <w:r>
        <w:rPr>
          <w:rFonts w:ascii="Times New Roman;Times;serif" w:hAnsi="Times New Roman;Times;serif"/>
          <w:sz w:val="17"/>
        </w:rPr>
        <w:t xml:space="preserve">Section 9.05. </w:t>
      </w:r>
      <w:r>
        <w:rPr>
          <w:rFonts w:ascii="Times New Roman;Times;serif" w:hAnsi="Times New Roman;Times;serif"/>
          <w:sz w:val="17"/>
          <w:u w:val="single"/>
        </w:rPr>
        <w:t>Modification</w:t>
      </w:r>
      <w:r>
        <w:rPr>
          <w:rFonts w:ascii="Times New Roman;Times;serif" w:hAnsi="Times New Roman;Times;serif"/>
          <w:sz w:val="17"/>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20" w:after="283"/>
        <w:jc w:val="left"/>
        <w:rPr/>
      </w:pPr>
      <w:r>
        <w:rPr/>
        <w:t>          </w:t>
      </w:r>
      <w:r>
        <w:rPr>
          <w:rFonts w:ascii="Times New Roman;Times;serif" w:hAnsi="Times New Roman;Times;serif"/>
          <w:sz w:val="17"/>
        </w:rPr>
        <w:t xml:space="preserve">Section 9.06. </w:t>
      </w:r>
      <w:r>
        <w:rPr>
          <w:rFonts w:ascii="Times New Roman;Times;serif" w:hAnsi="Times New Roman;Times;serif"/>
          <w:sz w:val="17"/>
          <w:u w:val="single"/>
        </w:rPr>
        <w:t>Execution of Supplemental Indenture for Future Subsidiary Guarantors</w:t>
      </w:r>
      <w:r>
        <w:rPr>
          <w:rFonts w:ascii="Times New Roman;Times;serif" w:hAnsi="Times New Roman;Times;serif"/>
          <w:sz w:val="17"/>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120" w:after="283"/>
        <w:jc w:val="left"/>
        <w:rPr/>
      </w:pPr>
      <w:r>
        <w:rPr/>
        <w:t>          </w:t>
      </w:r>
      <w:r>
        <w:rPr>
          <w:rFonts w:ascii="Times New Roman;Times;serif" w:hAnsi="Times New Roman;Times;serif"/>
          <w:sz w:val="17"/>
        </w:rPr>
        <w:t xml:space="preserve">Section 9.07. </w:t>
      </w:r>
      <w:r>
        <w:rPr>
          <w:rFonts w:ascii="Times New Roman;Times;serif" w:hAnsi="Times New Roman;Times;serif"/>
          <w:sz w:val="17"/>
          <w:u w:val="single"/>
        </w:rPr>
        <w:t>Release of Guarantee</w:t>
      </w:r>
      <w:r>
        <w:rPr>
          <w:rFonts w:ascii="Times New Roman;Times;serif" w:hAnsi="Times New Roman;Times;serif"/>
          <w:sz w:val="17"/>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120" w:after="283"/>
        <w:jc w:val="left"/>
        <w:rPr/>
      </w:pPr>
      <w:r>
        <w:rPr/>
        <w:t>          </w:t>
      </w:r>
      <w:r>
        <w:rPr>
          <w:rFonts w:ascii="Times New Roman;Times;serif" w:hAnsi="Times New Roman;Times;serif"/>
          <w:sz w:val="17"/>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120" w:after="283"/>
        <w:jc w:val="left"/>
        <w:rPr/>
      </w:pPr>
      <w:r>
        <w:rPr/>
        <w:t>          </w:t>
      </w:r>
      <w:r>
        <w:rPr>
          <w:rFonts w:ascii="Times New Roman;Times;serif" w:hAnsi="Times New Roman;Times;serif"/>
          <w:sz w:val="17"/>
        </w:rPr>
        <w:t xml:space="preserve">(b) upon any sale or other disposition of all of the Equity Interests of a Subsidiary Guarantor, to any Person that is not an Affiliate of either of the Issuers; or </w:t>
      </w:r>
    </w:p>
    <w:p>
      <w:pPr>
        <w:pStyle w:val="TextBody"/>
        <w:spacing w:before="120" w:after="283"/>
        <w:jc w:val="left"/>
        <w:rPr/>
      </w:pPr>
      <w:r>
        <w:rPr/>
        <w:t>          </w:t>
      </w:r>
      <w:r>
        <w:rPr>
          <w:rFonts w:ascii="Times New Roman;Times;serif" w:hAnsi="Times New Roman;Times;serif"/>
          <w:sz w:val="17"/>
        </w:rPr>
        <w:t xml:space="preserve">(c) following the release or discharge of all guarantees by such Subsidiary Guarantor of any Debt of the Issuers and any Subsidiary of the Partnership (other than any Debt Securities), upon delivery by the Issuers to the Trustee of a written notice of such release or discharge from the guarantees.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ARTICLE X</w:t>
        <w:br/>
        <w:t xml:space="preserve">MISCELLANEOUS </w:t>
      </w:r>
    </w:p>
    <w:p>
      <w:pPr>
        <w:pStyle w:val="TextBody"/>
        <w:spacing w:before="120" w:after="283"/>
        <w:jc w:val="left"/>
        <w:rPr/>
      </w:pPr>
      <w:r>
        <w:rPr/>
        <w:t>          </w:t>
      </w:r>
      <w:r>
        <w:rPr>
          <w:rFonts w:ascii="Times New Roman;Times;serif" w:hAnsi="Times New Roman;Times;serif"/>
          <w:sz w:val="17"/>
        </w:rPr>
        <w:t xml:space="preserve">Section 10.01. </w:t>
      </w:r>
      <w:r>
        <w:rPr>
          <w:rFonts w:ascii="Times New Roman;Times;serif" w:hAnsi="Times New Roman;Times;serif"/>
          <w:sz w:val="17"/>
          <w:u w:val="single"/>
        </w:rPr>
        <w:t>Additional Amendments</w:t>
      </w:r>
      <w:r>
        <w:rPr>
          <w:rFonts w:ascii="Times New Roman;Times;serif" w:hAnsi="Times New Roman;Times;serif"/>
          <w:sz w:val="17"/>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All references to interest in the Original Indenture shall be deemed to include Additional Interest, if any, unless the context otherwise requires. </w:t>
      </w:r>
    </w:p>
    <w:p>
      <w:pPr>
        <w:pStyle w:val="TextBody"/>
        <w:spacing w:before="120" w:after="283"/>
        <w:jc w:val="left"/>
        <w:rPr/>
      </w:pPr>
      <w:r>
        <w:rPr/>
        <w:t>          </w:t>
      </w:r>
      <w:r>
        <w:rPr>
          <w:rFonts w:ascii="Times New Roman;Times;serif" w:hAnsi="Times New Roman;Times;serif"/>
          <w:sz w:val="17"/>
        </w:rPr>
        <w:t xml:space="preserve">Section 10.02. </w:t>
      </w:r>
      <w:r>
        <w:rPr>
          <w:rFonts w:ascii="Times New Roman;Times;serif" w:hAnsi="Times New Roman;Times;serif"/>
          <w:sz w:val="17"/>
          <w:u w:val="single"/>
        </w:rPr>
        <w:t>Integral Part</w:t>
      </w:r>
      <w:r>
        <w:rPr>
          <w:rFonts w:ascii="Times New Roman;Times;serif" w:hAnsi="Times New Roman;Times;serif"/>
          <w:sz w:val="17"/>
        </w:rPr>
        <w:t xml:space="preserve">. This Supplemental Indenture constitutes an integral part of the Indenture. </w:t>
      </w:r>
    </w:p>
    <w:p>
      <w:pPr>
        <w:pStyle w:val="TextBody"/>
        <w:spacing w:before="120" w:after="283"/>
        <w:jc w:val="left"/>
        <w:rPr/>
      </w:pPr>
      <w:r>
        <w:rPr/>
        <w:t>          </w:t>
      </w:r>
      <w:r>
        <w:rPr>
          <w:rFonts w:ascii="Times New Roman;Times;serif" w:hAnsi="Times New Roman;Times;serif"/>
          <w:sz w:val="17"/>
        </w:rPr>
        <w:t xml:space="preserve">Section 10.03. </w:t>
      </w:r>
      <w:r>
        <w:rPr>
          <w:rFonts w:ascii="Times New Roman;Times;serif" w:hAnsi="Times New Roman;Times;serif"/>
          <w:sz w:val="17"/>
          <w:u w:val="single"/>
        </w:rPr>
        <w:t>Adoption, Ratification and Confirmation</w:t>
      </w:r>
      <w:r>
        <w:rPr>
          <w:rFonts w:ascii="Times New Roman;Times;serif" w:hAnsi="Times New Roman;Times;serif"/>
          <w:sz w:val="17"/>
        </w:rPr>
        <w:t xml:space="preserve">. The Original Indenture, as supplemented and amended by this Supplemental Indenture, is in all respects hereby adopted, ratified and confirmed. </w:t>
      </w:r>
    </w:p>
    <w:p>
      <w:pPr>
        <w:pStyle w:val="TextBody"/>
        <w:spacing w:before="120" w:after="283"/>
        <w:jc w:val="left"/>
        <w:rPr/>
      </w:pPr>
      <w:r>
        <w:rPr/>
        <w:t>          </w:t>
      </w:r>
      <w:r>
        <w:rPr>
          <w:rFonts w:ascii="Times New Roman;Times;serif" w:hAnsi="Times New Roman;Times;serif"/>
          <w:sz w:val="17"/>
        </w:rPr>
        <w:t xml:space="preserve">Section 10.04. </w:t>
      </w:r>
      <w:r>
        <w:rPr>
          <w:rFonts w:ascii="Times New Roman;Times;serif" w:hAnsi="Times New Roman;Times;serif"/>
          <w:sz w:val="17"/>
          <w:u w:val="single"/>
        </w:rPr>
        <w:t>Counterparts</w:t>
      </w:r>
      <w:r>
        <w:rPr>
          <w:rFonts w:ascii="Times New Roman;Times;serif" w:hAnsi="Times New Roman;Times;serif"/>
          <w:sz w:val="17"/>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120" w:after="283"/>
        <w:jc w:val="left"/>
        <w:rPr/>
      </w:pPr>
      <w:r>
        <w:rPr/>
        <w:t>          </w:t>
      </w:r>
      <w:r>
        <w:rPr>
          <w:rFonts w:ascii="Times New Roman;Times;serif" w:hAnsi="Times New Roman;Times;serif"/>
          <w:sz w:val="17"/>
        </w:rPr>
        <w:t xml:space="preserve">Section 10.05. </w:t>
      </w:r>
      <w:r>
        <w:rPr>
          <w:rFonts w:ascii="Times New Roman;Times;serif" w:hAnsi="Times New Roman;Times;serif"/>
          <w:sz w:val="17"/>
          <w:u w:val="single"/>
        </w:rPr>
        <w:t>Governing Law</w:t>
      </w:r>
      <w:r>
        <w:rPr>
          <w:rFonts w:ascii="Times New Roman;Times;serif" w:hAnsi="Times New Roman;Times;serif"/>
          <w:sz w:val="17"/>
        </w:rPr>
        <w:t xml:space="preserve">. </w:t>
      </w:r>
      <w:r>
        <w:rPr>
          <w:rFonts w:ascii="Times New Roman;Times;serif" w:hAnsi="Times New Roman;Times;serif"/>
          <w:b/>
          <w:sz w:val="17"/>
        </w:rPr>
        <w:t>THIS SUPPLEMENTAL INDENTURE AND THE NOTES SHALL BE GOVERNED BY AND CONSTRUED IN ACCORDANCE WITH THE LAWS OF THE STATE OF NEW YORK.</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[Signatures on following pages]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SIGNATURES </w:t>
      </w:r>
    </w:p>
    <w:tbl>
      <w:tblPr>
        <w:tblW w:w="5000" w:type="pct"/>
        <w:jc w:val="center"/>
        <w:tblInd w:w="0" w:type="dxa"/>
        <w:tblCellMar>
          <w:top w:w="0" w:type="dxa"/>
          <w:left w:w="0" w:type="dxa"/>
          <w:bottom w:w="0" w:type="dxa"/>
          <w:right w:w="0" w:type="dxa"/>
        </w:tblCellMar>
      </w:tblPr>
      <w:tblGrid>
        <w:gridCol w:w="3638"/>
        <w:gridCol w:w="133"/>
        <w:gridCol w:w="309"/>
        <w:gridCol w:w="133"/>
        <w:gridCol w:w="309"/>
        <w:gridCol w:w="133"/>
        <w:gridCol w:w="4292"/>
        <w:gridCol w:w="133"/>
        <w:gridCol w:w="1125"/>
      </w:tblGrid>
      <w:tr>
        <w:trPr/>
        <w:tc>
          <w:tcPr>
            <w:tcW w:w="363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vAlign w:val="bottom"/>
          </w:tcPr>
          <w:p>
            <w:pPr>
              <w:pStyle w:val="TableContents"/>
              <w:spacing w:before="0" w:after="283"/>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34" w:type="dxa"/>
            <w:gridSpan w:val="7"/>
            <w:tcBorders/>
            <w:shd w:fill="auto" w:val="clear"/>
          </w:tcPr>
          <w:p>
            <w:pPr>
              <w:pStyle w:val="TableContents"/>
              <w:spacing w:before="0" w:after="283"/>
              <w:jc w:val="left"/>
              <w:rPr/>
            </w:pPr>
            <w:r>
              <w:rPr>
                <w:b/>
                <w:u w:val="single"/>
              </w:rPr>
              <w:t>ISSUERS</w:t>
            </w:r>
            <w:r>
              <w:rPr>
                <w:b/>
              </w:rPr>
              <w:t>:</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34" w:type="dxa"/>
            <w:gridSpan w:val="7"/>
            <w:tcBorders/>
            <w:shd w:fill="auto" w:val="clear"/>
          </w:tcPr>
          <w:p>
            <w:pPr>
              <w:pStyle w:val="TableContents"/>
              <w:spacing w:before="0" w:after="283"/>
              <w:jc w:val="left"/>
              <w:rPr/>
            </w:pPr>
            <w:r>
              <w:rPr/>
              <w:t>PLAINS ALL AMERICAN PIPELINE, L.P.</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5992" w:type="dxa"/>
            <w:gridSpan w:val="5"/>
            <w:tcBorders/>
            <w:shd w:fill="auto" w:val="clear"/>
          </w:tcPr>
          <w:p>
            <w:pPr>
              <w:pStyle w:val="TableContents"/>
              <w:spacing w:before="0" w:after="283"/>
              <w:jc w:val="left"/>
              <w:rPr/>
            </w:pPr>
            <w:r>
              <w:rPr/>
              <w:t>Plains AAP, L.P., its General Partner</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5992" w:type="dxa"/>
            <w:gridSpan w:val="5"/>
            <w:tcBorders/>
            <w:shd w:fill="auto" w:val="clear"/>
          </w:tcPr>
          <w:p>
            <w:pPr>
              <w:pStyle w:val="TableContents"/>
              <w:spacing w:before="0" w:after="283"/>
              <w:jc w:val="left"/>
              <w:rPr/>
            </w:pPr>
            <w:r>
              <w:rPr/>
              <w:t>Plains All American GP LLC, its General Partner</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/s/ Phil Kramer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Phil Kramer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Executive Vice President</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and Chief Financial Officer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34" w:type="dxa"/>
            <w:gridSpan w:val="7"/>
            <w:tcBorders/>
            <w:shd w:fill="auto" w:val="clear"/>
          </w:tcPr>
          <w:p>
            <w:pPr>
              <w:pStyle w:val="TableContents"/>
              <w:spacing w:before="0" w:after="283"/>
              <w:jc w:val="left"/>
              <w:rPr/>
            </w:pPr>
            <w:r>
              <w:rPr/>
              <w:t>PAA FINANCE CORP.</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4734" w:type="dxa"/>
            <w:gridSpan w:val="3"/>
            <w:tcBorders/>
            <w:shd w:fill="auto" w:val="clear"/>
          </w:tcPr>
          <w:p>
            <w:pPr>
              <w:pStyle w:val="TableContents"/>
              <w:spacing w:before="0" w:after="283"/>
              <w:jc w:val="left"/>
              <w:rPr/>
            </w:pPr>
            <w:r>
              <w:rPr/>
              <w:t>/s/ Phil Kramer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center"/>
          </w:tcPr>
          <w:p>
            <w:pPr>
              <w:pStyle w:val="TableContents"/>
              <w:spacing w:before="0" w:after="283"/>
              <w:rPr/>
            </w:pPr>
            <w:r>
              <w:rPr/>
              <w:t> </w:t>
            </w:r>
          </w:p>
        </w:tc>
        <w:tc>
          <w:tcPr>
            <w:tcW w:w="4734"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33" w:type="dxa"/>
            <w:tcBorders/>
            <w:shd w:fill="auto" w:val="clear"/>
            <w:vAlign w:val="center"/>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734" w:type="dxa"/>
            <w:gridSpan w:val="3"/>
            <w:tcBorders/>
            <w:shd w:fill="auto" w:val="clear"/>
          </w:tcPr>
          <w:p>
            <w:pPr>
              <w:pStyle w:val="TableContents"/>
              <w:spacing w:before="0" w:after="283"/>
              <w:jc w:val="left"/>
              <w:rPr/>
            </w:pPr>
            <w:r>
              <w:rPr/>
              <w:t>Phil Kramer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734" w:type="dxa"/>
            <w:gridSpan w:val="3"/>
            <w:tcBorders/>
            <w:shd w:fill="auto" w:val="clear"/>
          </w:tcPr>
          <w:p>
            <w:pPr>
              <w:pStyle w:val="TableContents"/>
              <w:spacing w:before="0" w:after="283"/>
              <w:jc w:val="left"/>
              <w:rPr/>
            </w:pPr>
            <w:r>
              <w:rPr/>
              <w:t>Executive Vice President</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734" w:type="dxa"/>
            <w:gridSpan w:val="3"/>
            <w:tcBorders/>
            <w:shd w:fill="auto" w:val="clear"/>
          </w:tcPr>
          <w:p>
            <w:pPr>
              <w:pStyle w:val="TableContents"/>
              <w:spacing w:before="0" w:after="283"/>
              <w:jc w:val="left"/>
              <w:rPr/>
            </w:pPr>
            <w:r>
              <w:rPr/>
              <w:t>and Chief Financial Officer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34" w:type="dxa"/>
            <w:gridSpan w:val="7"/>
            <w:tcBorders/>
            <w:shd w:fill="auto" w:val="clear"/>
          </w:tcPr>
          <w:p>
            <w:pPr>
              <w:pStyle w:val="TableContents"/>
              <w:spacing w:before="0" w:after="283"/>
              <w:jc w:val="left"/>
              <w:rPr/>
            </w:pPr>
            <w:r>
              <w:rPr>
                <w:b/>
                <w:u w:val="single"/>
              </w:rPr>
              <w:t>SUBSIDIARY GUARANTORS</w:t>
            </w:r>
            <w:r>
              <w:rPr>
                <w:b/>
              </w:rPr>
              <w:t>:</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434" w:type="dxa"/>
            <w:gridSpan w:val="7"/>
            <w:tcBorders/>
            <w:shd w:fill="auto" w:val="clear"/>
          </w:tcPr>
          <w:p>
            <w:pPr>
              <w:pStyle w:val="TableContents"/>
              <w:spacing w:before="0" w:after="283"/>
              <w:jc w:val="left"/>
              <w:rPr/>
            </w:pPr>
            <w:r>
              <w:rPr/>
              <w:t>PLAINS MARKETING, L.P.</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5992" w:type="dxa"/>
            <w:gridSpan w:val="5"/>
            <w:tcBorders/>
            <w:shd w:fill="auto" w:val="clear"/>
          </w:tcPr>
          <w:p>
            <w:pPr>
              <w:pStyle w:val="TableContents"/>
              <w:spacing w:before="0" w:after="283"/>
              <w:jc w:val="left"/>
              <w:rPr/>
            </w:pPr>
            <w:r>
              <w:rPr/>
              <w:t>Plains Marketing GP Inc., its General Partner</w:t>
            </w:r>
          </w:p>
        </w:tc>
      </w:tr>
      <w:tr>
        <w:trPr/>
        <w:tc>
          <w:tcPr>
            <w:tcW w:w="363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/s/ Phil Kramer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Phil Kramer </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Executive Vice President</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r>
        <w:trPr/>
        <w:tc>
          <w:tcPr>
            <w:tcW w:w="363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292" w:type="dxa"/>
            <w:tcBorders/>
            <w:shd w:fill="auto" w:val="clear"/>
          </w:tcPr>
          <w:p>
            <w:pPr>
              <w:pStyle w:val="TableContents"/>
              <w:spacing w:before="0" w:after="283"/>
              <w:jc w:val="left"/>
              <w:rPr/>
            </w:pPr>
            <w:r>
              <w:rPr/>
              <w:t>and Chief Financial Officer</w:t>
            </w:r>
          </w:p>
        </w:tc>
        <w:tc>
          <w:tcPr>
            <w:tcW w:w="133" w:type="dxa"/>
            <w:tcBorders/>
            <w:shd w:fill="auto" w:val="clear"/>
            <w:vAlign w:val="bottom"/>
          </w:tcPr>
          <w:p>
            <w:pPr>
              <w:pStyle w:val="TableContents"/>
              <w:spacing w:before="0" w:after="283"/>
              <w:rPr/>
            </w:pPr>
            <w:r>
              <w:rPr/>
              <w:t> </w:t>
            </w:r>
          </w:p>
        </w:tc>
        <w:tc>
          <w:tcPr>
            <w:tcW w:w="1125"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1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027"/>
        <w:gridCol w:w="133"/>
        <w:gridCol w:w="309"/>
        <w:gridCol w:w="133"/>
        <w:gridCol w:w="4155"/>
        <w:gridCol w:w="133"/>
        <w:gridCol w:w="1315"/>
      </w:tblGrid>
      <w:tr>
        <w:trPr/>
        <w:tc>
          <w:tcPr>
            <w:tcW w:w="402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rPr/>
            </w:pPr>
            <w:r>
              <w:rPr/>
              <w:t> </w:t>
            </w:r>
          </w:p>
        </w:tc>
      </w:tr>
      <w:tr>
        <w:trPr/>
        <w:tc>
          <w:tcPr>
            <w:tcW w:w="4027"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97" w:type="dxa"/>
            <w:gridSpan w:val="3"/>
            <w:tcBorders/>
            <w:shd w:fill="auto" w:val="clear"/>
          </w:tcPr>
          <w:p>
            <w:pPr>
              <w:pStyle w:val="TableContents"/>
              <w:spacing w:before="0" w:after="283"/>
              <w:jc w:val="left"/>
              <w:rPr/>
            </w:pPr>
            <w:r>
              <w:rPr/>
              <w:t>PLAINS PIPELINE, L.P.</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931"/>
        <w:gridCol w:w="135"/>
        <w:gridCol w:w="378"/>
        <w:gridCol w:w="135"/>
        <w:gridCol w:w="4202"/>
        <w:gridCol w:w="135"/>
        <w:gridCol w:w="1289"/>
      </w:tblGrid>
      <w:tr>
        <w:trPr/>
        <w:tc>
          <w:tcPr>
            <w:tcW w:w="393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rPr/>
            </w:pPr>
            <w:r>
              <w:rPr/>
              <w:t> </w:t>
            </w:r>
          </w:p>
        </w:tc>
      </w:tr>
      <w:tr>
        <w:trPr/>
        <w:tc>
          <w:tcPr>
            <w:tcW w:w="3931"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15" w:type="dxa"/>
            <w:gridSpan w:val="3"/>
            <w:tcBorders/>
            <w:shd w:fill="auto" w:val="clear"/>
          </w:tcPr>
          <w:p>
            <w:pPr>
              <w:pStyle w:val="TableContents"/>
              <w:spacing w:before="0" w:after="283"/>
              <w:jc w:val="left"/>
              <w:rPr/>
            </w:pPr>
            <w:r>
              <w:rPr/>
              <w:t>PLAINS MARKETING GP INC.</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vAlign w:val="center"/>
          </w:tcPr>
          <w:p>
            <w:pPr>
              <w:pStyle w:val="TableContents"/>
              <w:spacing w:before="0" w:after="283"/>
              <w:rPr/>
            </w:pPr>
            <w:r>
              <w:rPr/>
              <w:t> </w:t>
            </w:r>
          </w:p>
        </w:tc>
        <w:tc>
          <w:tcPr>
            <w:tcW w:w="6274" w:type="dxa"/>
            <w:gridSpan w:val="6"/>
            <w:tcBorders/>
            <w:shd w:fill="auto" w:val="clear"/>
          </w:tcPr>
          <w:p>
            <w:pPr>
              <w:pStyle w:val="TableContents"/>
              <w:spacing w:before="0" w:after="283"/>
              <w:rPr>
                <w:sz w:val="4"/>
                <w:szCs w:val="4"/>
              </w:rPr>
            </w:pPr>
            <w:r>
              <w:rPr>
                <w:sz w:val="4"/>
                <w:szCs w:val="4"/>
              </w:rPr>
            </w:r>
          </w:p>
        </w:tc>
      </w:tr>
      <w:tr>
        <w:trPr/>
        <w:tc>
          <w:tcPr>
            <w:tcW w:w="3931"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By:</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/s/ Phil Kramer</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Phil Kramer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Executive Vice President and Chief Financial Officer</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3931"/>
        <w:gridCol w:w="135"/>
        <w:gridCol w:w="378"/>
        <w:gridCol w:w="135"/>
        <w:gridCol w:w="4202"/>
        <w:gridCol w:w="135"/>
        <w:gridCol w:w="1289"/>
      </w:tblGrid>
      <w:tr>
        <w:trPr/>
        <w:tc>
          <w:tcPr>
            <w:tcW w:w="393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rPr/>
            </w:pPr>
            <w:r>
              <w:rPr/>
              <w:t> </w:t>
            </w:r>
          </w:p>
        </w:tc>
      </w:tr>
      <w:tr>
        <w:trPr/>
        <w:tc>
          <w:tcPr>
            <w:tcW w:w="3931"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15" w:type="dxa"/>
            <w:gridSpan w:val="3"/>
            <w:tcBorders/>
            <w:shd w:fill="auto" w:val="clear"/>
          </w:tcPr>
          <w:p>
            <w:pPr>
              <w:pStyle w:val="TableContents"/>
              <w:spacing w:before="0" w:after="283"/>
              <w:jc w:val="left"/>
              <w:rPr/>
            </w:pPr>
            <w:r>
              <w:rPr/>
              <w:t>PLAINS MARKETING CANADA LLC</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By:</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Plains Marketing, L.P., its Sole Member</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By:</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Plains Marketing GP Inc., its General Partner</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41"/>
        <w:gridCol w:w="133"/>
        <w:gridCol w:w="307"/>
        <w:gridCol w:w="133"/>
        <w:gridCol w:w="4139"/>
        <w:gridCol w:w="133"/>
        <w:gridCol w:w="1319"/>
      </w:tblGrid>
      <w:tr>
        <w:trPr/>
        <w:tc>
          <w:tcPr>
            <w:tcW w:w="404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3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r>
      <w:tr>
        <w:trPr/>
        <w:tc>
          <w:tcPr>
            <w:tcW w:w="4041"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79" w:type="dxa"/>
            <w:gridSpan w:val="3"/>
            <w:tcBorders/>
            <w:shd w:fill="auto" w:val="clear"/>
          </w:tcPr>
          <w:p>
            <w:pPr>
              <w:pStyle w:val="TableContents"/>
              <w:spacing w:before="0" w:after="283"/>
              <w:jc w:val="left"/>
              <w:rPr/>
            </w:pPr>
            <w:r>
              <w:rPr/>
              <w:t>PMC (NOVA SCOTIA) COMPANY</w:t>
            </w:r>
          </w:p>
        </w:tc>
        <w:tc>
          <w:tcPr>
            <w:tcW w:w="133" w:type="dxa"/>
            <w:tcBorders/>
            <w:shd w:fill="auto" w:val="clear"/>
            <w:vAlign w:val="bottom"/>
          </w:tcPr>
          <w:p>
            <w:pPr>
              <w:pStyle w:val="TableContents"/>
              <w:spacing w:before="0" w:after="283"/>
              <w:rPr/>
            </w:pPr>
            <w:r>
              <w:rPr/>
              <w:t> </w:t>
            </w:r>
          </w:p>
        </w:tc>
        <w:tc>
          <w:tcPr>
            <w:tcW w:w="1319" w:type="dxa"/>
            <w:tcBorders/>
            <w:shd w:fill="auto" w:val="clear"/>
          </w:tcPr>
          <w:p>
            <w:pPr>
              <w:pStyle w:val="TableContents"/>
              <w:spacing w:before="0" w:after="283"/>
              <w:jc w:val="left"/>
              <w:rPr/>
            </w:pPr>
            <w:r>
              <w:rPr/>
              <w:t> </w:t>
            </w:r>
          </w:p>
        </w:tc>
      </w:tr>
      <w:tr>
        <w:trPr/>
        <w:tc>
          <w:tcPr>
            <w:tcW w:w="4041" w:type="dxa"/>
            <w:tcBorders/>
            <w:shd w:fill="auto" w:val="clear"/>
            <w:vAlign w:val="center"/>
          </w:tcPr>
          <w:p>
            <w:pPr>
              <w:pStyle w:val="TableContents"/>
              <w:spacing w:before="0" w:after="283"/>
              <w:rPr/>
            </w:pPr>
            <w:r>
              <w:rPr/>
              <w:t> </w:t>
            </w:r>
          </w:p>
        </w:tc>
        <w:tc>
          <w:tcPr>
            <w:tcW w:w="6164" w:type="dxa"/>
            <w:gridSpan w:val="6"/>
            <w:tcBorders/>
            <w:shd w:fill="auto" w:val="clear"/>
          </w:tcPr>
          <w:p>
            <w:pPr>
              <w:pStyle w:val="TableContents"/>
              <w:spacing w:before="0" w:after="283"/>
              <w:rPr>
                <w:sz w:val="4"/>
                <w:szCs w:val="4"/>
              </w:rPr>
            </w:pPr>
            <w:r>
              <w:rPr>
                <w:sz w:val="4"/>
                <w:szCs w:val="4"/>
              </w:rPr>
            </w:r>
          </w:p>
        </w:tc>
      </w:tr>
      <w:tr>
        <w:trPr/>
        <w:tc>
          <w:tcPr>
            <w:tcW w:w="4041"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9" w:type="dxa"/>
            <w:tcBorders/>
            <w:shd w:fill="auto" w:val="clear"/>
          </w:tcPr>
          <w:p>
            <w:pPr>
              <w:pStyle w:val="TableContents"/>
              <w:spacing w:before="0" w:after="283"/>
              <w:jc w:val="left"/>
              <w:rPr/>
            </w:pPr>
            <w:r>
              <w:rPr/>
              <w:t> </w:t>
            </w:r>
          </w:p>
        </w:tc>
      </w:tr>
      <w:tr>
        <w:trPr/>
        <w:tc>
          <w:tcPr>
            <w:tcW w:w="4041"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283"/>
              <w:jc w:val="left"/>
              <w:rPr/>
            </w:pPr>
            <w:r>
              <w:rPr/>
              <w:t>/s/ Phil Kramer</w:t>
            </w:r>
          </w:p>
        </w:tc>
        <w:tc>
          <w:tcPr>
            <w:tcW w:w="133" w:type="dxa"/>
            <w:tcBorders/>
            <w:shd w:fill="auto" w:val="clear"/>
            <w:vAlign w:val="bottom"/>
          </w:tcPr>
          <w:p>
            <w:pPr>
              <w:pStyle w:val="TableContents"/>
              <w:spacing w:before="0" w:after="283"/>
              <w:rPr/>
            </w:pPr>
            <w:r>
              <w:rPr/>
              <w:t> </w:t>
            </w:r>
          </w:p>
        </w:tc>
        <w:tc>
          <w:tcPr>
            <w:tcW w:w="1319" w:type="dxa"/>
            <w:tcBorders/>
            <w:shd w:fill="auto" w:val="clear"/>
          </w:tcPr>
          <w:p>
            <w:pPr>
              <w:pStyle w:val="TableContents"/>
              <w:spacing w:before="0" w:after="283"/>
              <w:jc w:val="left"/>
              <w:rPr/>
            </w:pPr>
            <w:r>
              <w:rPr/>
              <w:t> </w:t>
            </w:r>
          </w:p>
        </w:tc>
      </w:tr>
      <w:tr>
        <w:trPr/>
        <w:tc>
          <w:tcPr>
            <w:tcW w:w="4041"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9"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Phil Kramer</w:t>
              <w:br/>
              <w:t xml:space="preserve">Executive Vice President </w:t>
            </w:r>
          </w:p>
        </w:tc>
        <w:tc>
          <w:tcPr>
            <w:tcW w:w="133" w:type="dxa"/>
            <w:tcBorders/>
            <w:shd w:fill="auto" w:val="clear"/>
            <w:vAlign w:val="bottom"/>
          </w:tcPr>
          <w:p>
            <w:pPr>
              <w:pStyle w:val="TableContents"/>
              <w:spacing w:before="0" w:after="283"/>
              <w:rPr/>
            </w:pPr>
            <w:r>
              <w:rPr/>
              <w:t> </w:t>
            </w:r>
          </w:p>
        </w:tc>
        <w:tc>
          <w:tcPr>
            <w:tcW w:w="1319"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2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931"/>
        <w:gridCol w:w="135"/>
        <w:gridCol w:w="378"/>
        <w:gridCol w:w="135"/>
        <w:gridCol w:w="4202"/>
        <w:gridCol w:w="135"/>
        <w:gridCol w:w="1289"/>
      </w:tblGrid>
      <w:tr>
        <w:trPr/>
        <w:tc>
          <w:tcPr>
            <w:tcW w:w="393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rPr/>
            </w:pPr>
            <w:r>
              <w:rPr/>
              <w:t> </w:t>
            </w:r>
          </w:p>
        </w:tc>
      </w:tr>
      <w:tr>
        <w:trPr/>
        <w:tc>
          <w:tcPr>
            <w:tcW w:w="3931"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15" w:type="dxa"/>
            <w:gridSpan w:val="3"/>
            <w:tcBorders/>
            <w:shd w:fill="auto" w:val="clear"/>
          </w:tcPr>
          <w:p>
            <w:pPr>
              <w:pStyle w:val="TableContents"/>
              <w:spacing w:before="0" w:after="283"/>
              <w:jc w:val="left"/>
              <w:rPr/>
            </w:pPr>
            <w:r>
              <w:rPr/>
              <w:t>PLAINS MARKETING CANADA, L.P.</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78" w:type="dxa"/>
            <w:tcBorders/>
            <w:shd w:fill="auto" w:val="clear"/>
          </w:tcPr>
          <w:p>
            <w:pPr>
              <w:pStyle w:val="TableContents"/>
              <w:spacing w:before="0" w:after="283"/>
              <w:jc w:val="left"/>
              <w:rPr/>
            </w:pPr>
            <w:r>
              <w:rPr/>
              <w:t>By:</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PMC (Nova Scotia) Company, its General Partner</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27"/>
        <w:gridCol w:w="133"/>
        <w:gridCol w:w="309"/>
        <w:gridCol w:w="133"/>
        <w:gridCol w:w="4155"/>
        <w:gridCol w:w="133"/>
        <w:gridCol w:w="1315"/>
      </w:tblGrid>
      <w:tr>
        <w:trPr/>
        <w:tc>
          <w:tcPr>
            <w:tcW w:w="402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rPr/>
            </w:pPr>
            <w:r>
              <w:rPr/>
              <w:t> </w:t>
            </w:r>
          </w:p>
        </w:tc>
      </w:tr>
      <w:tr>
        <w:trPr/>
        <w:tc>
          <w:tcPr>
            <w:tcW w:w="4027"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97" w:type="dxa"/>
            <w:gridSpan w:val="3"/>
            <w:tcBorders/>
            <w:shd w:fill="auto" w:val="clear"/>
          </w:tcPr>
          <w:p>
            <w:pPr>
              <w:pStyle w:val="TableContents"/>
              <w:spacing w:before="0" w:after="283"/>
              <w:jc w:val="left"/>
              <w:rPr/>
            </w:pPr>
            <w:r>
              <w:rPr/>
              <w:t>BASIN HOLDINGS GP LLC</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Pipeline, L.P., its Sole Member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27"/>
        <w:gridCol w:w="133"/>
        <w:gridCol w:w="309"/>
        <w:gridCol w:w="133"/>
        <w:gridCol w:w="4155"/>
        <w:gridCol w:w="133"/>
        <w:gridCol w:w="1315"/>
      </w:tblGrid>
      <w:tr>
        <w:trPr/>
        <w:tc>
          <w:tcPr>
            <w:tcW w:w="402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rPr/>
            </w:pPr>
            <w:r>
              <w:rPr/>
              <w:t> </w:t>
            </w:r>
          </w:p>
        </w:tc>
      </w:tr>
      <w:tr>
        <w:trPr/>
        <w:tc>
          <w:tcPr>
            <w:tcW w:w="4027"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97" w:type="dxa"/>
            <w:gridSpan w:val="3"/>
            <w:tcBorders/>
            <w:shd w:fill="auto" w:val="clear"/>
          </w:tcPr>
          <w:p>
            <w:pPr>
              <w:pStyle w:val="TableContents"/>
              <w:spacing w:before="0" w:after="283"/>
              <w:jc w:val="left"/>
              <w:rPr/>
            </w:pPr>
            <w:r>
              <w:rPr/>
              <w:t>BASIN PIPELINE HOLDINGS, L.P.</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Basin Holdings GP LLC,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Pipeline, L.P., its Sole Member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3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027"/>
        <w:gridCol w:w="133"/>
        <w:gridCol w:w="309"/>
        <w:gridCol w:w="133"/>
        <w:gridCol w:w="4155"/>
        <w:gridCol w:w="133"/>
        <w:gridCol w:w="1315"/>
      </w:tblGrid>
      <w:tr>
        <w:trPr/>
        <w:tc>
          <w:tcPr>
            <w:tcW w:w="402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rPr/>
            </w:pPr>
            <w:r>
              <w:rPr/>
              <w:t> </w:t>
            </w:r>
          </w:p>
        </w:tc>
      </w:tr>
      <w:tr>
        <w:trPr/>
        <w:tc>
          <w:tcPr>
            <w:tcW w:w="4027"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97" w:type="dxa"/>
            <w:gridSpan w:val="3"/>
            <w:tcBorders/>
            <w:shd w:fill="auto" w:val="clear"/>
          </w:tcPr>
          <w:p>
            <w:pPr>
              <w:pStyle w:val="TableContents"/>
              <w:spacing w:before="0" w:after="283"/>
              <w:jc w:val="left"/>
              <w:rPr/>
            </w:pPr>
            <w:r>
              <w:rPr/>
              <w:t>RANCHO HOLDINGS GP LLC</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Pipeline, L.P., its Sole Member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27"/>
        <w:gridCol w:w="133"/>
        <w:gridCol w:w="309"/>
        <w:gridCol w:w="133"/>
        <w:gridCol w:w="4155"/>
        <w:gridCol w:w="133"/>
        <w:gridCol w:w="1315"/>
      </w:tblGrid>
      <w:tr>
        <w:trPr/>
        <w:tc>
          <w:tcPr>
            <w:tcW w:w="402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rPr/>
            </w:pPr>
            <w:r>
              <w:rPr/>
              <w:t> </w:t>
            </w:r>
          </w:p>
        </w:tc>
      </w:tr>
      <w:tr>
        <w:trPr/>
        <w:tc>
          <w:tcPr>
            <w:tcW w:w="4027"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97" w:type="dxa"/>
            <w:gridSpan w:val="3"/>
            <w:tcBorders/>
            <w:shd w:fill="auto" w:val="clear"/>
          </w:tcPr>
          <w:p>
            <w:pPr>
              <w:pStyle w:val="TableContents"/>
              <w:spacing w:before="0" w:after="283"/>
              <w:jc w:val="left"/>
              <w:rPr/>
            </w:pPr>
            <w:r>
              <w:rPr/>
              <w:t>RANCHO PIPELINE HOLDINGS, L.P.</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Rancho Holdings GP LLC,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Pipeline, L.P., its Sole Member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00"/>
        <w:gridCol w:w="133"/>
        <w:gridCol w:w="312"/>
        <w:gridCol w:w="133"/>
        <w:gridCol w:w="4187"/>
        <w:gridCol w:w="133"/>
        <w:gridCol w:w="1307"/>
      </w:tblGrid>
      <w:tr>
        <w:trPr/>
        <w:tc>
          <w:tcPr>
            <w:tcW w:w="400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r>
      <w:tr>
        <w:trPr/>
        <w:tc>
          <w:tcPr>
            <w:tcW w:w="400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632" w:type="dxa"/>
            <w:gridSpan w:val="3"/>
            <w:tcBorders/>
            <w:shd w:fill="auto" w:val="clear"/>
          </w:tcPr>
          <w:p>
            <w:pPr>
              <w:pStyle w:val="TableContents"/>
              <w:spacing w:before="0" w:after="283"/>
              <w:jc w:val="left"/>
              <w:rPr/>
            </w:pPr>
            <w:r>
              <w:rPr/>
              <w:t>PLAINS LPG SERVICES GP LLC</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00"/>
        <w:gridCol w:w="133"/>
        <w:gridCol w:w="312"/>
        <w:gridCol w:w="133"/>
        <w:gridCol w:w="4187"/>
        <w:gridCol w:w="133"/>
        <w:gridCol w:w="1307"/>
      </w:tblGrid>
      <w:tr>
        <w:trPr/>
        <w:tc>
          <w:tcPr>
            <w:tcW w:w="400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r>
      <w:tr>
        <w:trPr/>
        <w:tc>
          <w:tcPr>
            <w:tcW w:w="400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632" w:type="dxa"/>
            <w:gridSpan w:val="3"/>
            <w:tcBorders/>
            <w:shd w:fill="auto" w:val="clear"/>
          </w:tcPr>
          <w:p>
            <w:pPr>
              <w:pStyle w:val="TableContents"/>
              <w:spacing w:before="0" w:after="283"/>
              <w:jc w:val="left"/>
              <w:rPr/>
            </w:pPr>
            <w:r>
              <w:rPr/>
              <w:t>PLAINS LPG SERVICES, L.P.</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LPG Services GP LLC, its General Partner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4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027"/>
        <w:gridCol w:w="133"/>
        <w:gridCol w:w="309"/>
        <w:gridCol w:w="133"/>
        <w:gridCol w:w="4155"/>
        <w:gridCol w:w="133"/>
        <w:gridCol w:w="1315"/>
      </w:tblGrid>
      <w:tr>
        <w:trPr/>
        <w:tc>
          <w:tcPr>
            <w:tcW w:w="402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15" w:type="dxa"/>
            <w:tcBorders/>
            <w:shd w:fill="auto" w:val="clear"/>
            <w:vAlign w:val="bottom"/>
          </w:tcPr>
          <w:p>
            <w:pPr>
              <w:pStyle w:val="TableContents"/>
              <w:spacing w:before="0" w:after="283"/>
              <w:rPr/>
            </w:pPr>
            <w:r>
              <w:rPr/>
              <w:t> </w:t>
            </w:r>
          </w:p>
        </w:tc>
      </w:tr>
      <w:tr>
        <w:trPr/>
        <w:tc>
          <w:tcPr>
            <w:tcW w:w="402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55" w:type="dxa"/>
            <w:tcBorders/>
            <w:shd w:fill="auto" w:val="clear"/>
          </w:tcPr>
          <w:p>
            <w:pPr>
              <w:pStyle w:val="TableContents"/>
              <w:spacing w:before="0" w:after="283"/>
              <w:jc w:val="left"/>
              <w:rPr/>
            </w:pPr>
            <w:r>
              <w:rPr/>
              <w:t xml:space="preserve">Plains Marketing GP Inc., its General Partner </w:t>
            </w:r>
          </w:p>
        </w:tc>
        <w:tc>
          <w:tcPr>
            <w:tcW w:w="133" w:type="dxa"/>
            <w:tcBorders/>
            <w:shd w:fill="auto" w:val="clear"/>
            <w:vAlign w:val="bottom"/>
          </w:tcPr>
          <w:p>
            <w:pPr>
              <w:pStyle w:val="TableContents"/>
              <w:spacing w:before="0" w:after="283"/>
              <w:rPr/>
            </w:pPr>
            <w:r>
              <w:rPr/>
              <w:t> </w:t>
            </w:r>
          </w:p>
        </w:tc>
        <w:tc>
          <w:tcPr>
            <w:tcW w:w="131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00"/>
        <w:gridCol w:w="133"/>
        <w:gridCol w:w="312"/>
        <w:gridCol w:w="133"/>
        <w:gridCol w:w="4187"/>
        <w:gridCol w:w="133"/>
        <w:gridCol w:w="1307"/>
      </w:tblGrid>
      <w:tr>
        <w:trPr/>
        <w:tc>
          <w:tcPr>
            <w:tcW w:w="400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r>
      <w:tr>
        <w:trPr/>
        <w:tc>
          <w:tcPr>
            <w:tcW w:w="400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632" w:type="dxa"/>
            <w:gridSpan w:val="3"/>
            <w:tcBorders/>
            <w:shd w:fill="auto" w:val="clear"/>
          </w:tcPr>
          <w:p>
            <w:pPr>
              <w:pStyle w:val="TableContents"/>
              <w:spacing w:before="0" w:after="283"/>
              <w:jc w:val="left"/>
              <w:rPr/>
            </w:pPr>
            <w:r>
              <w:rPr/>
              <w:t>LONE STAR TRUCKING, LLC</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LPG Services,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LPG Services GP LLC, its General Partner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GP Inc., its General Partner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368"/>
        <w:gridCol w:w="355"/>
        <w:gridCol w:w="607"/>
        <w:gridCol w:w="3470"/>
        <w:gridCol w:w="1405"/>
      </w:tblGrid>
      <w:tr>
        <w:trPr/>
        <w:tc>
          <w:tcPr>
            <w:tcW w:w="436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405" w:type="dxa"/>
            <w:tcBorders/>
            <w:shd w:fill="auto" w:val="clear"/>
            <w:vAlign w:val="center"/>
          </w:tcPr>
          <w:p>
            <w:pPr>
              <w:pStyle w:val="TableContents"/>
              <w:spacing w:before="0" w:after="283"/>
              <w:rPr/>
            </w:pPr>
            <w:r>
              <w:rPr/>
              <w:t> </w:t>
            </w:r>
          </w:p>
        </w:tc>
      </w:tr>
      <w:tr>
        <w:trPr/>
        <w:tc>
          <w:tcPr>
            <w:tcW w:w="436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 Financial Officer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5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729"/>
        <w:gridCol w:w="132"/>
        <w:gridCol w:w="413"/>
        <w:gridCol w:w="132"/>
        <w:gridCol w:w="4442"/>
        <w:gridCol w:w="132"/>
        <w:gridCol w:w="1225"/>
      </w:tblGrid>
      <w:tr>
        <w:trPr/>
        <w:tc>
          <w:tcPr>
            <w:tcW w:w="37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r>
      <w:tr>
        <w:trPr/>
        <w:tc>
          <w:tcPr>
            <w:tcW w:w="3729"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987" w:type="dxa"/>
            <w:gridSpan w:val="3"/>
            <w:tcBorders/>
            <w:shd w:fill="auto" w:val="clear"/>
          </w:tcPr>
          <w:p>
            <w:pPr>
              <w:pStyle w:val="TableContents"/>
              <w:spacing w:before="0" w:after="283"/>
              <w:jc w:val="left"/>
              <w:rPr/>
            </w:pPr>
            <w:r>
              <w:rPr/>
              <w:t>PLAINS MARKETING INTERNATIONAL GP LLC</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PLAINS MARKETING, L.P., its Sole Member</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PLAINS MARKETING GP INC., its General Partner</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06"/>
        <w:gridCol w:w="350"/>
        <w:gridCol w:w="598"/>
        <w:gridCol w:w="3639"/>
        <w:gridCol w:w="1412"/>
      </w:tblGrid>
      <w:tr>
        <w:trPr/>
        <w:tc>
          <w:tcPr>
            <w:tcW w:w="42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639"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tcPr>
          <w:p>
            <w:pPr>
              <w:pStyle w:val="TableContents"/>
              <w:spacing w:before="0" w:after="283"/>
              <w:jc w:val="left"/>
              <w:rPr/>
            </w:pPr>
            <w:r>
              <w:rPr/>
              <w:t> </w:t>
            </w:r>
          </w:p>
        </w:tc>
        <w:tc>
          <w:tcPr>
            <w:tcW w:w="4587" w:type="dxa"/>
            <w:gridSpan w:val="3"/>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23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639" w:type="dxa"/>
            <w:tcBorders/>
            <w:shd w:fill="auto" w:val="clear"/>
            <w:vAlign w:val="center"/>
          </w:tcPr>
          <w:p>
            <w:pPr>
              <w:pStyle w:val="TableContents"/>
              <w:spacing w:before="0" w:after="283"/>
              <w:jc w:val="left"/>
              <w:rPr/>
            </w:pPr>
            <w:r>
              <w:rPr/>
              <w:t>Phil Kramer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639" w:type="dxa"/>
            <w:tcBorders/>
            <w:shd w:fill="auto" w:val="clear"/>
            <w:vAlign w:val="center"/>
          </w:tcPr>
          <w:p>
            <w:pPr>
              <w:pStyle w:val="TableContents"/>
              <w:spacing w:before="0" w:after="283"/>
              <w:jc w:val="left"/>
              <w:rPr/>
            </w:pPr>
            <w:r>
              <w:rPr/>
              <w:t>Executive Vice President and Chief Financial Officer </w:t>
            </w:r>
          </w:p>
        </w:tc>
        <w:tc>
          <w:tcPr>
            <w:tcW w:w="14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71"/>
        <w:gridCol w:w="127"/>
        <w:gridCol w:w="310"/>
        <w:gridCol w:w="127"/>
        <w:gridCol w:w="4640"/>
        <w:gridCol w:w="127"/>
        <w:gridCol w:w="1203"/>
      </w:tblGrid>
      <w:tr>
        <w:trPr/>
        <w:tc>
          <w:tcPr>
            <w:tcW w:w="367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6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203" w:type="dxa"/>
            <w:tcBorders/>
            <w:shd w:fill="auto" w:val="clear"/>
            <w:vAlign w:val="bottom"/>
          </w:tcPr>
          <w:p>
            <w:pPr>
              <w:pStyle w:val="TableContents"/>
              <w:spacing w:before="0" w:after="283"/>
              <w:rPr/>
            </w:pPr>
            <w:r>
              <w:rPr/>
              <w:t> </w:t>
            </w:r>
          </w:p>
        </w:tc>
      </w:tr>
      <w:tr>
        <w:trPr/>
        <w:tc>
          <w:tcPr>
            <w:tcW w:w="3671"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077" w:type="dxa"/>
            <w:gridSpan w:val="3"/>
            <w:tcBorders/>
            <w:shd w:fill="auto" w:val="clear"/>
          </w:tcPr>
          <w:p>
            <w:pPr>
              <w:pStyle w:val="TableContents"/>
              <w:spacing w:before="0" w:after="283"/>
              <w:jc w:val="left"/>
              <w:rPr/>
            </w:pPr>
            <w:r>
              <w:rPr/>
              <w:t>PLAINS MARKETING INTERNATIONAL, L.P.</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r>
        <w:trPr/>
        <w:tc>
          <w:tcPr>
            <w:tcW w:w="3671"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r>
        <w:trPr/>
        <w:tc>
          <w:tcPr>
            <w:tcW w:w="3671"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PLAINS MARKETING INTERNATIONAL GP LLC, its General Partner</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r>
        <w:trPr/>
        <w:tc>
          <w:tcPr>
            <w:tcW w:w="3671"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r>
        <w:trPr/>
        <w:tc>
          <w:tcPr>
            <w:tcW w:w="3671"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PLAINS MARKETING, L.P., its Sole Member</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r>
        <w:trPr/>
        <w:tc>
          <w:tcPr>
            <w:tcW w:w="3671"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r>
        <w:trPr/>
        <w:tc>
          <w:tcPr>
            <w:tcW w:w="3671"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640" w:type="dxa"/>
            <w:tcBorders/>
            <w:shd w:fill="auto" w:val="clear"/>
          </w:tcPr>
          <w:p>
            <w:pPr>
              <w:pStyle w:val="TableContents"/>
              <w:spacing w:before="0" w:after="283"/>
              <w:jc w:val="left"/>
              <w:rPr/>
            </w:pPr>
            <w:r>
              <w:rPr/>
              <w:t>PLAINS MARKETING GP INC., its General Partner</w:t>
            </w:r>
          </w:p>
        </w:tc>
        <w:tc>
          <w:tcPr>
            <w:tcW w:w="127" w:type="dxa"/>
            <w:tcBorders/>
            <w:shd w:fill="auto" w:val="clear"/>
            <w:vAlign w:val="bottom"/>
          </w:tcPr>
          <w:p>
            <w:pPr>
              <w:pStyle w:val="TableContents"/>
              <w:spacing w:before="0" w:after="283"/>
              <w:rPr/>
            </w:pPr>
            <w:r>
              <w:rPr/>
              <w:t> </w:t>
            </w:r>
          </w:p>
        </w:tc>
        <w:tc>
          <w:tcPr>
            <w:tcW w:w="1203"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06"/>
        <w:gridCol w:w="350"/>
        <w:gridCol w:w="598"/>
        <w:gridCol w:w="3639"/>
        <w:gridCol w:w="1412"/>
      </w:tblGrid>
      <w:tr>
        <w:trPr/>
        <w:tc>
          <w:tcPr>
            <w:tcW w:w="42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639"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tcPr>
          <w:p>
            <w:pPr>
              <w:pStyle w:val="TableContents"/>
              <w:spacing w:before="0" w:after="283"/>
              <w:jc w:val="left"/>
              <w:rPr/>
            </w:pPr>
            <w:r>
              <w:rPr/>
              <w:t> </w:t>
            </w:r>
          </w:p>
        </w:tc>
        <w:tc>
          <w:tcPr>
            <w:tcW w:w="4587" w:type="dxa"/>
            <w:gridSpan w:val="3"/>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23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639" w:type="dxa"/>
            <w:tcBorders/>
            <w:shd w:fill="auto" w:val="clear"/>
            <w:vAlign w:val="center"/>
          </w:tcPr>
          <w:p>
            <w:pPr>
              <w:pStyle w:val="TableContents"/>
              <w:spacing w:before="0" w:after="283"/>
              <w:jc w:val="left"/>
              <w:rPr/>
            </w:pPr>
            <w:r>
              <w:rPr/>
              <w:t>Phil Kramer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639" w:type="dxa"/>
            <w:tcBorders/>
            <w:shd w:fill="auto" w:val="clear"/>
            <w:vAlign w:val="center"/>
          </w:tcPr>
          <w:p>
            <w:pPr>
              <w:pStyle w:val="TableContents"/>
              <w:spacing w:before="0" w:after="283"/>
              <w:jc w:val="left"/>
              <w:rPr/>
            </w:pPr>
            <w:r>
              <w:rPr/>
              <w:t>Executive Vice President and Chief Financial Officer </w:t>
            </w:r>
          </w:p>
        </w:tc>
        <w:tc>
          <w:tcPr>
            <w:tcW w:w="14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6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2336"/>
        <w:gridCol w:w="102"/>
        <w:gridCol w:w="306"/>
        <w:gridCol w:w="102"/>
        <w:gridCol w:w="6477"/>
        <w:gridCol w:w="102"/>
        <w:gridCol w:w="780"/>
      </w:tblGrid>
      <w:tr>
        <w:trPr/>
        <w:tc>
          <w:tcPr>
            <w:tcW w:w="233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47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r>
      <w:tr>
        <w:trPr/>
        <w:tc>
          <w:tcPr>
            <w:tcW w:w="2336" w:type="dxa"/>
            <w:tcBorders/>
            <w:shd w:fill="auto" w:val="cle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885" w:type="dxa"/>
            <w:gridSpan w:val="3"/>
            <w:tcBorders/>
            <w:shd w:fill="auto" w:val="clear"/>
          </w:tcPr>
          <w:p>
            <w:pPr>
              <w:pStyle w:val="TableContents"/>
              <w:spacing w:before="0" w:after="283"/>
              <w:jc w:val="left"/>
              <w:rPr/>
            </w:pPr>
            <w:r>
              <w:rPr/>
              <w:t>PLAINS LPG MARKETING, L.P.</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r>
        <w:trPr/>
        <w:tc>
          <w:tcPr>
            <w:tcW w:w="2336"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7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r>
        <w:trPr/>
        <w:tc>
          <w:tcPr>
            <w:tcW w:w="2336"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02" w:type="dxa"/>
            <w:tcBorders/>
            <w:shd w:fill="auto" w:val="clear"/>
            <w:vAlign w:val="bottom"/>
          </w:tcPr>
          <w:p>
            <w:pPr>
              <w:pStyle w:val="TableContents"/>
              <w:spacing w:before="0" w:after="283"/>
              <w:rPr/>
            </w:pPr>
            <w:r>
              <w:rPr/>
              <w:t> </w:t>
            </w:r>
          </w:p>
        </w:tc>
        <w:tc>
          <w:tcPr>
            <w:tcW w:w="6477" w:type="dxa"/>
            <w:tcBorders/>
            <w:shd w:fill="auto" w:val="clear"/>
          </w:tcPr>
          <w:p>
            <w:pPr>
              <w:pStyle w:val="TableContents"/>
              <w:spacing w:before="0" w:after="283"/>
              <w:jc w:val="left"/>
              <w:rPr/>
            </w:pPr>
            <w:r>
              <w:rPr/>
              <w:t>PLAINS LPG SERVICES GP LLC, its General Partner</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r>
        <w:trPr/>
        <w:tc>
          <w:tcPr>
            <w:tcW w:w="2336"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7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r>
        <w:trPr/>
        <w:tc>
          <w:tcPr>
            <w:tcW w:w="2336"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02" w:type="dxa"/>
            <w:tcBorders/>
            <w:shd w:fill="auto" w:val="clear"/>
            <w:vAlign w:val="bottom"/>
          </w:tcPr>
          <w:p>
            <w:pPr>
              <w:pStyle w:val="TableContents"/>
              <w:spacing w:before="0" w:after="283"/>
              <w:rPr/>
            </w:pPr>
            <w:r>
              <w:rPr/>
              <w:t> </w:t>
            </w:r>
          </w:p>
        </w:tc>
        <w:tc>
          <w:tcPr>
            <w:tcW w:w="6477" w:type="dxa"/>
            <w:tcBorders/>
            <w:shd w:fill="auto" w:val="clear"/>
          </w:tcPr>
          <w:p>
            <w:pPr>
              <w:pStyle w:val="TableContents"/>
              <w:spacing w:before="0" w:after="283"/>
              <w:jc w:val="left"/>
              <w:rPr/>
            </w:pPr>
            <w:r>
              <w:rPr/>
              <w:t>PLAINS MARKETING, L.P., its Sole Member</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r>
        <w:trPr/>
        <w:tc>
          <w:tcPr>
            <w:tcW w:w="2336"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77"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r>
        <w:trPr/>
        <w:tc>
          <w:tcPr>
            <w:tcW w:w="2336"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02" w:type="dxa"/>
            <w:tcBorders/>
            <w:shd w:fill="auto" w:val="clear"/>
            <w:vAlign w:val="bottom"/>
          </w:tcPr>
          <w:p>
            <w:pPr>
              <w:pStyle w:val="TableContents"/>
              <w:spacing w:before="0" w:after="283"/>
              <w:rPr/>
            </w:pPr>
            <w:r>
              <w:rPr/>
              <w:t> </w:t>
            </w:r>
          </w:p>
        </w:tc>
        <w:tc>
          <w:tcPr>
            <w:tcW w:w="6477" w:type="dxa"/>
            <w:tcBorders/>
            <w:shd w:fill="auto" w:val="clear"/>
          </w:tcPr>
          <w:p>
            <w:pPr>
              <w:pStyle w:val="TableContents"/>
              <w:spacing w:before="0" w:after="283"/>
              <w:jc w:val="left"/>
              <w:rPr/>
            </w:pPr>
            <w:r>
              <w:rPr/>
              <w:t>PLAINS MARKETING GP INC., its General Partner</w:t>
            </w:r>
          </w:p>
        </w:tc>
        <w:tc>
          <w:tcPr>
            <w:tcW w:w="102" w:type="dxa"/>
            <w:tcBorders/>
            <w:shd w:fill="auto" w:val="clear"/>
            <w:vAlign w:val="bottom"/>
          </w:tcPr>
          <w:p>
            <w:pPr>
              <w:pStyle w:val="TableContents"/>
              <w:spacing w:before="0" w:after="283"/>
              <w:rPr/>
            </w:pPr>
            <w:r>
              <w:rPr/>
              <w:t> </w:t>
            </w:r>
          </w:p>
        </w:tc>
        <w:tc>
          <w:tcPr>
            <w:tcW w:w="780"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06"/>
        <w:gridCol w:w="350"/>
        <w:gridCol w:w="598"/>
        <w:gridCol w:w="3639"/>
        <w:gridCol w:w="1412"/>
      </w:tblGrid>
      <w:tr>
        <w:trPr/>
        <w:tc>
          <w:tcPr>
            <w:tcW w:w="42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639"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tcPr>
          <w:p>
            <w:pPr>
              <w:pStyle w:val="TableContents"/>
              <w:spacing w:before="0" w:after="283"/>
              <w:jc w:val="left"/>
              <w:rPr/>
            </w:pPr>
            <w:r>
              <w:rPr/>
              <w:t> </w:t>
            </w:r>
          </w:p>
        </w:tc>
        <w:tc>
          <w:tcPr>
            <w:tcW w:w="4587" w:type="dxa"/>
            <w:gridSpan w:val="3"/>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23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639" w:type="dxa"/>
            <w:tcBorders/>
            <w:shd w:fill="auto" w:val="clear"/>
            <w:vAlign w:val="center"/>
          </w:tcPr>
          <w:p>
            <w:pPr>
              <w:pStyle w:val="TableContents"/>
              <w:spacing w:before="0" w:after="283"/>
              <w:jc w:val="left"/>
              <w:rPr/>
            </w:pPr>
            <w:r>
              <w:rPr/>
              <w:t>Phil Kramer </w:t>
            </w:r>
          </w:p>
        </w:tc>
        <w:tc>
          <w:tcPr>
            <w:tcW w:w="1412" w:type="dxa"/>
            <w:tcBorders/>
            <w:shd w:fill="auto" w:val="clear"/>
            <w:vAlign w:val="center"/>
          </w:tcPr>
          <w:p>
            <w:pPr>
              <w:pStyle w:val="TableContents"/>
              <w:spacing w:before="0" w:after="283"/>
              <w:rPr/>
            </w:pPr>
            <w:r>
              <w:rPr/>
              <w:t> </w:t>
            </w:r>
          </w:p>
        </w:tc>
      </w:tr>
      <w:tr>
        <w:trPr/>
        <w:tc>
          <w:tcPr>
            <w:tcW w:w="4206"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639" w:type="dxa"/>
            <w:tcBorders/>
            <w:shd w:fill="auto" w:val="clear"/>
            <w:vAlign w:val="center"/>
          </w:tcPr>
          <w:p>
            <w:pPr>
              <w:pStyle w:val="TableContents"/>
              <w:spacing w:before="0" w:after="283"/>
              <w:jc w:val="left"/>
              <w:rPr/>
            </w:pPr>
            <w:r>
              <w:rPr/>
              <w:t>Executive Vice President and Chief Financial Officer </w:t>
            </w:r>
          </w:p>
        </w:tc>
        <w:tc>
          <w:tcPr>
            <w:tcW w:w="141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7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47"/>
        <w:gridCol w:w="137"/>
        <w:gridCol w:w="575"/>
        <w:gridCol w:w="575"/>
        <w:gridCol w:w="5071"/>
      </w:tblGrid>
      <w:tr>
        <w:trPr/>
        <w:tc>
          <w:tcPr>
            <w:tcW w:w="384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rPr/>
            </w:pPr>
            <w:r>
              <w:rPr/>
              <w:t> </w:t>
            </w:r>
          </w:p>
        </w:tc>
        <w:tc>
          <w:tcPr>
            <w:tcW w:w="5071" w:type="dxa"/>
            <w:tcBorders/>
            <w:shd w:fill="auto" w:val="clear"/>
            <w:vAlign w:val="bottom"/>
          </w:tcPr>
          <w:p>
            <w:pPr>
              <w:pStyle w:val="TableContents"/>
              <w:spacing w:before="0" w:after="283"/>
              <w:rPr/>
            </w:pPr>
            <w:r>
              <w:rPr/>
              <w:t> </w:t>
            </w:r>
          </w:p>
        </w:tc>
      </w:tr>
      <w:tr>
        <w:trPr/>
        <w:tc>
          <w:tcPr>
            <w:tcW w:w="384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221" w:type="dxa"/>
            <w:gridSpan w:val="3"/>
            <w:tcBorders/>
            <w:shd w:fill="auto" w:val="clear"/>
          </w:tcPr>
          <w:p>
            <w:pPr>
              <w:pStyle w:val="TableContents"/>
              <w:spacing w:before="0" w:after="283"/>
              <w:jc w:val="left"/>
              <w:rPr/>
            </w:pPr>
            <w:r>
              <w:rPr>
                <w:b/>
                <w:u w:val="single"/>
              </w:rPr>
              <w:t>TRUSTEE</w:t>
            </w:r>
            <w:r>
              <w:rPr>
                <w:b/>
              </w:rPr>
              <w:t>:</w:t>
            </w:r>
          </w:p>
        </w:tc>
      </w:tr>
      <w:tr>
        <w:trPr/>
        <w:tc>
          <w:tcPr>
            <w:tcW w:w="384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575" w:type="dxa"/>
            <w:tcBorders/>
            <w:shd w:fill="auto" w:val="clear"/>
          </w:tcPr>
          <w:p>
            <w:pPr>
              <w:pStyle w:val="TableContents"/>
              <w:spacing w:before="0" w:after="283"/>
              <w:jc w:val="left"/>
              <w:rPr/>
            </w:pPr>
            <w:r>
              <w:rPr/>
              <w:t> </w:t>
            </w:r>
          </w:p>
        </w:tc>
        <w:tc>
          <w:tcPr>
            <w:tcW w:w="575" w:type="dxa"/>
            <w:tcBorders/>
            <w:shd w:fill="auto" w:val="clear"/>
            <w:vAlign w:val="bottom"/>
          </w:tcPr>
          <w:p>
            <w:pPr>
              <w:pStyle w:val="TableContents"/>
              <w:spacing w:before="0" w:after="283"/>
              <w:rPr/>
            </w:pPr>
            <w:r>
              <w:rPr/>
              <w:t> </w:t>
            </w:r>
          </w:p>
        </w:tc>
        <w:tc>
          <w:tcPr>
            <w:tcW w:w="5071" w:type="dxa"/>
            <w:tcBorders/>
            <w:shd w:fill="auto" w:val="clear"/>
          </w:tcPr>
          <w:p>
            <w:pPr>
              <w:pStyle w:val="TableContents"/>
              <w:spacing w:before="0" w:after="283"/>
              <w:jc w:val="left"/>
              <w:rPr/>
            </w:pPr>
            <w:r>
              <w:rPr/>
              <w:t> </w:t>
            </w:r>
          </w:p>
        </w:tc>
      </w:tr>
      <w:tr>
        <w:trPr/>
        <w:tc>
          <w:tcPr>
            <w:tcW w:w="384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221" w:type="dxa"/>
            <w:gridSpan w:val="3"/>
            <w:tcBorders/>
            <w:shd w:fill="auto" w:val="clear"/>
          </w:tcPr>
          <w:p>
            <w:pPr>
              <w:pStyle w:val="TableContents"/>
              <w:spacing w:before="0" w:after="283"/>
              <w:jc w:val="left"/>
              <w:rPr/>
            </w:pPr>
            <w:r>
              <w:rPr/>
              <w:t>U.S. BANK NATIONAL ASSOCIATION, as Trustee</w:t>
            </w:r>
          </w:p>
        </w:tc>
      </w:tr>
    </w:tbl>
    <w:tbl>
      <w:tblPr>
        <w:tblW w:w="5000" w:type="pct"/>
        <w:jc w:val="left"/>
        <w:tblInd w:w="0" w:type="dxa"/>
        <w:tblCellMar>
          <w:top w:w="0" w:type="dxa"/>
          <w:left w:w="0" w:type="dxa"/>
          <w:bottom w:w="0" w:type="dxa"/>
          <w:right w:w="0" w:type="dxa"/>
        </w:tblCellMar>
      </w:tblPr>
      <w:tblGrid>
        <w:gridCol w:w="4043"/>
        <w:gridCol w:w="350"/>
        <w:gridCol w:w="598"/>
        <w:gridCol w:w="3799"/>
        <w:gridCol w:w="1415"/>
      </w:tblGrid>
      <w:tr>
        <w:trPr/>
        <w:tc>
          <w:tcPr>
            <w:tcW w:w="4043"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Ronda L. Parman</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Ronda L. Parman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41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i/>
          <w:sz w:val="17"/>
        </w:rPr>
      </w:pPr>
      <w:r>
        <w:rPr>
          <w:rFonts w:ascii="Times New Roman;Times;serif" w:hAnsi="Times New Roman;Times;serif"/>
          <w:i/>
          <w:sz w:val="17"/>
        </w:rPr>
        <w:t>Signature Page to Tenth Supplemental Indenture</w:t>
      </w:r>
    </w:p>
    <w:p>
      <w:pPr>
        <w:pStyle w:val="TextBody"/>
        <w:spacing w:before="200" w:after="283"/>
        <w:jc w:val="center"/>
        <w:rPr>
          <w:rFonts w:ascii="Times New Roman;Times;serif" w:hAnsi="Times New Roman;Times;serif"/>
          <w:sz w:val="17"/>
        </w:rPr>
      </w:pPr>
      <w:r>
        <w:rPr>
          <w:rFonts w:ascii="Times New Roman;Times;serif" w:hAnsi="Times New Roman;Times;serif"/>
          <w:sz w:val="17"/>
        </w:rPr>
        <w:t xml:space="preserve">8 of 8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 of Face of Note) </w:t>
      </w:r>
    </w:p>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4847" w:type="dxa"/>
            <w:tcBorders/>
            <w:shd w:fill="auto" w:val="clear"/>
            <w:vAlign w:val="bottom"/>
          </w:tcPr>
          <w:p>
            <w:pPr>
              <w:pStyle w:val="TableContents"/>
              <w:spacing w:before="0" w:after="283"/>
              <w:rPr>
                <w:sz w:val="4"/>
                <w:szCs w:val="4"/>
              </w:rPr>
            </w:pPr>
            <w:r>
              <w:rPr>
                <w:sz w:val="4"/>
                <w:szCs w:val="4"/>
              </w:rPr>
            </w:r>
          </w:p>
        </w:tc>
      </w:tr>
      <w:tr>
        <w:trPr/>
        <w:tc>
          <w:tcPr>
            <w:tcW w:w="4846" w:type="dxa"/>
            <w:tcBorders/>
            <w:shd w:fill="auto" w:val="clear"/>
          </w:tcPr>
          <w:p>
            <w:pPr>
              <w:pStyle w:val="TableContents"/>
              <w:spacing w:before="0" w:after="283"/>
              <w:jc w:val="left"/>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 </w:t>
            </w:r>
          </w:p>
        </w:tc>
      </w:tr>
      <w:tr>
        <w:trPr/>
        <w:tc>
          <w:tcPr>
            <w:tcW w:w="4846" w:type="dxa"/>
            <w:tcBorders/>
            <w:shd w:fill="auto" w:val="clear"/>
          </w:tcPr>
          <w:p>
            <w:pPr>
              <w:pStyle w:val="TableContents"/>
              <w:spacing w:before="0" w:after="283"/>
              <w:jc w:val="left"/>
              <w:rPr/>
            </w:pPr>
            <w:r>
              <w:rPr/>
              <w:t xml:space="preserve">CUSIP ______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No. ___</w:t>
            </w:r>
          </w:p>
        </w:tc>
      </w:tr>
      <w:tr>
        <w:trPr/>
        <w:tc>
          <w:tcPr>
            <w:tcW w:w="4846" w:type="dxa"/>
            <w:tcBorders/>
            <w:shd w:fill="auto" w:val="clear"/>
          </w:tcPr>
          <w:p>
            <w:pPr>
              <w:pStyle w:val="TableContents"/>
              <w:spacing w:before="0" w:after="283"/>
              <w:jc w:val="left"/>
              <w:rPr/>
            </w:pPr>
            <w:r>
              <w:rPr/>
              <w:t xml:space="preserve">ISIN ______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$_______</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PLAINS ALL AMERICAN PIPELINE, L.P. </w:t>
      </w:r>
    </w:p>
    <w:p>
      <w:pPr>
        <w:pStyle w:val="TextBody"/>
        <w:spacing w:before="0" w:after="0"/>
        <w:jc w:val="center"/>
        <w:rPr>
          <w:rFonts w:ascii="Times New Roman;Times;serif" w:hAnsi="Times New Roman;Times;serif"/>
          <w:sz w:val="17"/>
        </w:rPr>
      </w:pPr>
      <w:r>
        <w:rPr>
          <w:rFonts w:ascii="Times New Roman;Times;serif" w:hAnsi="Times New Roman;Times;serif"/>
          <w:sz w:val="17"/>
        </w:rPr>
        <w:t>PAA FINANCE CORP.</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6.650% Series ___Senior Notes due 2037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All American Pipeline, L.P., a Delaware limited partnership, and PAA Finance Corp., a Delaware corporation, jointly and severally promise to pay to </w:t>
      </w:r>
      <w:r>
        <w:rPr>
          <w:rFonts w:ascii="Times New Roman;Times;serif" w:hAnsi="Times New Roman;Times;serif"/>
          <w:sz w:val="17"/>
          <w:u w:val="single"/>
        </w:rPr>
        <w:t>                    </w:t>
      </w:r>
      <w:r>
        <w:rPr>
          <w:rFonts w:ascii="Times New Roman;Times;serif" w:hAnsi="Times New Roman;Times;serif"/>
          <w:sz w:val="17"/>
        </w:rPr>
        <w:t xml:space="preserve">, or registered assigns, the principal sum of </w:t>
      </w:r>
      <w:r>
        <w:rPr>
          <w:rFonts w:ascii="Times New Roman;Times;serif" w:hAnsi="Times New Roman;Times;serif"/>
          <w:sz w:val="17"/>
          <w:u w:val="single"/>
        </w:rPr>
        <w:t>                                        </w:t>
      </w:r>
      <w:r>
        <w:rPr>
          <w:rFonts w:ascii="Times New Roman;Times;serif" w:hAnsi="Times New Roman;Times;serif"/>
          <w:sz w:val="17"/>
        </w:rPr>
        <w:t xml:space="preserve"> Dollars [or such greater or lesser amount as may be endorsed on the Schedule attached hereto]1 on January 15, 2037.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Interest Payment Dates: January 15 and July 15</w:t>
        <w:br/>
        <w:t xml:space="preserve">Record Dates: January 1 and July 1 </w:t>
      </w:r>
    </w:p>
    <w:tbl>
      <w:tblPr>
        <w:tblW w:w="5000" w:type="pct"/>
        <w:jc w:val="center"/>
        <w:tblInd w:w="0" w:type="dxa"/>
        <w:tblCellMar>
          <w:top w:w="0" w:type="dxa"/>
          <w:left w:w="0" w:type="dxa"/>
          <w:bottom w:w="0" w:type="dxa"/>
          <w:right w:w="0" w:type="dxa"/>
        </w:tblCellMar>
      </w:tblPr>
      <w:tblGrid>
        <w:gridCol w:w="4005"/>
        <w:gridCol w:w="136"/>
        <w:gridCol w:w="332"/>
        <w:gridCol w:w="136"/>
        <w:gridCol w:w="4151"/>
        <w:gridCol w:w="136"/>
        <w:gridCol w:w="1309"/>
      </w:tblGrid>
      <w:tr>
        <w:trPr/>
        <w:tc>
          <w:tcPr>
            <w:tcW w:w="400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1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rPr/>
            </w:pPr>
            <w:r>
              <w:rPr/>
              <w:t> </w:t>
            </w:r>
          </w:p>
        </w:tc>
      </w:tr>
      <w:tr>
        <w:trPr/>
        <w:tc>
          <w:tcPr>
            <w:tcW w:w="4005" w:type="dxa"/>
            <w:tcBorders/>
            <w:shd w:fill="auto" w:val="clea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619" w:type="dxa"/>
            <w:gridSpan w:val="3"/>
            <w:tcBorders/>
            <w:shd w:fill="auto" w:val="clear"/>
          </w:tcPr>
          <w:p>
            <w:pPr>
              <w:pStyle w:val="TableContents"/>
              <w:spacing w:before="0" w:after="283"/>
              <w:jc w:val="left"/>
              <w:rPr/>
            </w:pPr>
            <w:r>
              <w:rPr/>
              <w:t>PLAINS ALL AMERICAN PIPELINE, L.P.</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r>
        <w:trPr/>
        <w:tc>
          <w:tcPr>
            <w:tcW w:w="4005" w:type="dxa"/>
            <w:tcBorders/>
            <w:shd w:fill="auto" w:val="clear"/>
          </w:tcPr>
          <w:p>
            <w:pPr>
              <w:pStyle w:val="TableContents"/>
              <w:spacing w:before="0" w:after="0"/>
              <w:ind w:left="0" w:right="0" w:hanging="0"/>
              <w:rPr/>
            </w:pPr>
            <w:r>
              <w:rPr/>
              <w:t xml:space="preserve">  </w:t>
            </w:r>
          </w:p>
        </w:tc>
        <w:tc>
          <w:tcPr>
            <w:tcW w:w="136"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jc w:val="left"/>
              <w:rPr/>
            </w:pPr>
            <w:r>
              <w:rPr/>
              <w:t xml:space="preserve">By: </w:t>
            </w:r>
          </w:p>
        </w:tc>
        <w:tc>
          <w:tcPr>
            <w:tcW w:w="136" w:type="dxa"/>
            <w:tcBorders/>
            <w:shd w:fill="auto" w:val="clear"/>
            <w:vAlign w:val="bottom"/>
          </w:tcPr>
          <w:p>
            <w:pPr>
              <w:pStyle w:val="TableContents"/>
              <w:spacing w:before="0" w:after="283"/>
              <w:rPr/>
            </w:pPr>
            <w:r>
              <w:rPr/>
              <w:t> </w:t>
            </w:r>
          </w:p>
        </w:tc>
        <w:tc>
          <w:tcPr>
            <w:tcW w:w="4151" w:type="dxa"/>
            <w:tcBorders/>
            <w:shd w:fill="auto" w:val="clear"/>
          </w:tcPr>
          <w:p>
            <w:pPr>
              <w:pStyle w:val="TableContents"/>
              <w:spacing w:before="0" w:after="283"/>
              <w:jc w:val="left"/>
              <w:rPr/>
            </w:pPr>
            <w:r>
              <w:rPr/>
              <w:t>Plains AAP, L.P., its General Partner</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r>
        <w:trPr/>
        <w:tc>
          <w:tcPr>
            <w:tcW w:w="4005" w:type="dxa"/>
            <w:tcBorders/>
            <w:shd w:fill="auto" w:val="clear"/>
          </w:tcPr>
          <w:p>
            <w:pPr>
              <w:pStyle w:val="TableContents"/>
              <w:spacing w:before="0" w:after="0"/>
              <w:ind w:left="0" w:right="0" w:hanging="0"/>
              <w:rPr/>
            </w:pPr>
            <w:r>
              <w:rPr/>
              <w:t xml:space="preserve">  </w:t>
            </w:r>
          </w:p>
        </w:tc>
        <w:tc>
          <w:tcPr>
            <w:tcW w:w="136"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jc w:val="left"/>
              <w:rPr/>
            </w:pPr>
            <w:r>
              <w:rPr/>
              <w:t xml:space="preserve">By: </w:t>
            </w:r>
          </w:p>
        </w:tc>
        <w:tc>
          <w:tcPr>
            <w:tcW w:w="136" w:type="dxa"/>
            <w:tcBorders/>
            <w:shd w:fill="auto" w:val="clear"/>
            <w:vAlign w:val="bottom"/>
          </w:tcPr>
          <w:p>
            <w:pPr>
              <w:pStyle w:val="TableContents"/>
              <w:spacing w:before="0" w:after="283"/>
              <w:rPr/>
            </w:pPr>
            <w:r>
              <w:rPr/>
              <w:t> </w:t>
            </w:r>
          </w:p>
        </w:tc>
        <w:tc>
          <w:tcPr>
            <w:tcW w:w="4151" w:type="dxa"/>
            <w:tcBorders/>
            <w:shd w:fill="auto" w:val="clear"/>
          </w:tcPr>
          <w:p>
            <w:pPr>
              <w:pStyle w:val="TableContents"/>
              <w:spacing w:before="0" w:after="283"/>
              <w:jc w:val="left"/>
              <w:rPr/>
            </w:pPr>
            <w:r>
              <w:rPr/>
              <w:t>Plains All American GP LLC, its General Partner</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618"/>
        <w:gridCol w:w="371"/>
        <w:gridCol w:w="632"/>
        <w:gridCol w:w="3036"/>
        <w:gridCol w:w="1548"/>
      </w:tblGrid>
      <w:tr>
        <w:trPr/>
        <w:tc>
          <w:tcPr>
            <w:tcW w:w="461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632" w:type="dxa"/>
            <w:tcBorders/>
            <w:shd w:fill="auto" w:val="clear"/>
            <w:vAlign w:val="center"/>
          </w:tcPr>
          <w:p>
            <w:pPr>
              <w:pStyle w:val="TableContents"/>
              <w:spacing w:before="0" w:after="283"/>
              <w:rPr/>
            </w:pPr>
            <w:r>
              <w:rPr/>
              <w:t> </w:t>
            </w:r>
          </w:p>
        </w:tc>
        <w:tc>
          <w:tcPr>
            <w:tcW w:w="3036" w:type="dxa"/>
            <w:tcBorders/>
            <w:shd w:fill="auto" w:val="clear"/>
            <w:vAlign w:val="center"/>
          </w:tcPr>
          <w:p>
            <w:pPr>
              <w:pStyle w:val="TableContents"/>
              <w:spacing w:before="0" w:after="283"/>
              <w:rPr/>
            </w:pPr>
            <w:r>
              <w:rPr/>
              <w:t> </w:t>
            </w:r>
          </w:p>
        </w:tc>
        <w:tc>
          <w:tcPr>
            <w:tcW w:w="1548" w:type="dxa"/>
            <w:tcBorders/>
            <w:shd w:fill="auto" w:val="clear"/>
            <w:vAlign w:val="center"/>
          </w:tcPr>
          <w:p>
            <w:pPr>
              <w:pStyle w:val="TableContents"/>
              <w:spacing w:before="0" w:after="283"/>
              <w:rPr/>
            </w:pPr>
            <w:r>
              <w:rPr/>
              <w:t> </w:t>
            </w:r>
          </w:p>
        </w:tc>
      </w:tr>
      <w:tr>
        <w:trPr/>
        <w:tc>
          <w:tcPr>
            <w:tcW w:w="4618" w:type="dxa"/>
            <w:tcBorders/>
            <w:shd w:fill="auto" w:val="clear"/>
          </w:tcPr>
          <w:p>
            <w:pPr>
              <w:pStyle w:val="TableContents"/>
              <w:spacing w:before="0" w:after="283"/>
              <w:jc w:val="left"/>
              <w:rPr/>
            </w:pPr>
            <w:r>
              <w:rPr/>
              <w:t> </w:t>
            </w:r>
          </w:p>
        </w:tc>
        <w:tc>
          <w:tcPr>
            <w:tcW w:w="4039" w:type="dxa"/>
            <w:gridSpan w:val="3"/>
            <w:tcBorders/>
            <w:shd w:fill="auto" w:val="clear"/>
            <w:vAlign w:val="center"/>
          </w:tcPr>
          <w:p>
            <w:pPr>
              <w:pStyle w:val="TableContents"/>
              <w:spacing w:before="0" w:after="283"/>
              <w:jc w:val="left"/>
              <w:rPr/>
            </w:pPr>
            <w:r>
              <w:rPr/>
              <w:t> </w:t>
            </w:r>
          </w:p>
        </w:tc>
        <w:tc>
          <w:tcPr>
            <w:tcW w:w="1548" w:type="dxa"/>
            <w:tcBorders/>
            <w:shd w:fill="auto" w:val="clear"/>
            <w:vAlign w:val="center"/>
          </w:tcPr>
          <w:p>
            <w:pPr>
              <w:pStyle w:val="TableContents"/>
              <w:spacing w:before="0" w:after="283"/>
              <w:rPr/>
            </w:pPr>
            <w:r>
              <w:rPr/>
              <w:t> </w:t>
            </w:r>
          </w:p>
        </w:tc>
      </w:tr>
      <w:tr>
        <w:trPr/>
        <w:tc>
          <w:tcPr>
            <w:tcW w:w="4618" w:type="dxa"/>
            <w:tcBorders/>
            <w:shd w:fill="auto" w:val="clear"/>
            <w:vAlign w:val="center"/>
          </w:tcPr>
          <w:p>
            <w:pPr>
              <w:pStyle w:val="TableContents"/>
              <w:spacing w:before="0" w:after="283"/>
              <w:jc w:val="left"/>
              <w:rPr/>
            </w:pPr>
            <w:r>
              <w:rPr/>
              <w:t> </w:t>
            </w:r>
          </w:p>
        </w:tc>
        <w:tc>
          <w:tcPr>
            <w:tcW w:w="371" w:type="dxa"/>
            <w:tcBorders/>
            <w:shd w:fill="auto" w:val="clear"/>
          </w:tcPr>
          <w:p>
            <w:pPr>
              <w:pStyle w:val="TableContents"/>
              <w:spacing w:before="0" w:after="283"/>
              <w:rPr/>
            </w:pPr>
            <w:r>
              <w:rPr/>
              <w:t>By:  </w:t>
            </w:r>
          </w:p>
        </w:tc>
        <w:tc>
          <w:tcPr>
            <w:tcW w:w="3668"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548" w:type="dxa"/>
            <w:tcBorders/>
            <w:shd w:fill="auto" w:val="clear"/>
            <w:vAlign w:val="center"/>
          </w:tcPr>
          <w:p>
            <w:pPr>
              <w:pStyle w:val="TableContents"/>
              <w:spacing w:before="0" w:after="283"/>
              <w:rPr/>
            </w:pPr>
            <w:r>
              <w:rPr/>
              <w:t> </w:t>
            </w:r>
          </w:p>
        </w:tc>
      </w:tr>
      <w:tr>
        <w:trPr/>
        <w:tc>
          <w:tcPr>
            <w:tcW w:w="4618" w:type="dxa"/>
            <w:tcBorders/>
            <w:shd w:fill="auto" w:val="clear"/>
            <w:vAlign w:val="center"/>
          </w:tcPr>
          <w:p>
            <w:pPr>
              <w:pStyle w:val="TableContents"/>
              <w:spacing w:before="0" w:after="283"/>
              <w:jc w:val="left"/>
              <w:rPr/>
            </w:pPr>
            <w:r>
              <w:rPr/>
              <w:t> </w:t>
            </w:r>
          </w:p>
        </w:tc>
        <w:tc>
          <w:tcPr>
            <w:tcW w:w="371" w:type="dxa"/>
            <w:tcBorders/>
            <w:shd w:fill="auto" w:val="clear"/>
            <w:vAlign w:val="center"/>
          </w:tcPr>
          <w:p>
            <w:pPr>
              <w:pStyle w:val="TableContents"/>
              <w:spacing w:before="0" w:after="283"/>
              <w:rPr/>
            </w:pPr>
            <w:r>
              <w:rPr/>
              <w:t> </w:t>
            </w:r>
          </w:p>
        </w:tc>
        <w:tc>
          <w:tcPr>
            <w:tcW w:w="632" w:type="dxa"/>
            <w:tcBorders/>
            <w:shd w:fill="auto" w:val="clear"/>
          </w:tcPr>
          <w:p>
            <w:pPr>
              <w:pStyle w:val="TableContents"/>
              <w:spacing w:before="0" w:after="283"/>
              <w:rPr/>
            </w:pPr>
            <w:r>
              <w:rPr/>
              <w:t>Name:  </w:t>
            </w:r>
          </w:p>
        </w:tc>
        <w:tc>
          <w:tcPr>
            <w:tcW w:w="3036" w:type="dxa"/>
            <w:tcBorders/>
            <w:shd w:fill="auto" w:val="clear"/>
            <w:vAlign w:val="center"/>
          </w:tcPr>
          <w:p>
            <w:pPr>
              <w:pStyle w:val="TableContents"/>
              <w:spacing w:before="0" w:after="283"/>
              <w:jc w:val="left"/>
              <w:rPr/>
            </w:pPr>
            <w:r>
              <w:rPr/>
              <w:t> </w:t>
            </w:r>
          </w:p>
        </w:tc>
        <w:tc>
          <w:tcPr>
            <w:tcW w:w="1548" w:type="dxa"/>
            <w:tcBorders/>
            <w:shd w:fill="auto" w:val="clear"/>
            <w:vAlign w:val="center"/>
          </w:tcPr>
          <w:p>
            <w:pPr>
              <w:pStyle w:val="TableContents"/>
              <w:spacing w:before="0" w:after="283"/>
              <w:rPr/>
            </w:pPr>
            <w:r>
              <w:rPr/>
              <w:t> </w:t>
            </w:r>
          </w:p>
        </w:tc>
      </w:tr>
      <w:tr>
        <w:trPr/>
        <w:tc>
          <w:tcPr>
            <w:tcW w:w="4618" w:type="dxa"/>
            <w:tcBorders/>
            <w:shd w:fill="auto" w:val="clear"/>
            <w:vAlign w:val="center"/>
          </w:tcPr>
          <w:p>
            <w:pPr>
              <w:pStyle w:val="TableContents"/>
              <w:spacing w:before="0" w:after="283"/>
              <w:jc w:val="left"/>
              <w:rPr/>
            </w:pPr>
            <w:r>
              <w:rPr/>
              <w:t> </w:t>
            </w:r>
          </w:p>
        </w:tc>
        <w:tc>
          <w:tcPr>
            <w:tcW w:w="371" w:type="dxa"/>
            <w:tcBorders/>
            <w:shd w:fill="auto" w:val="clear"/>
            <w:vAlign w:val="center"/>
          </w:tcPr>
          <w:p>
            <w:pPr>
              <w:pStyle w:val="TableContents"/>
              <w:spacing w:before="0" w:after="283"/>
              <w:rPr/>
            </w:pPr>
            <w:r>
              <w:rPr/>
              <w:t> </w:t>
            </w:r>
          </w:p>
        </w:tc>
        <w:tc>
          <w:tcPr>
            <w:tcW w:w="632" w:type="dxa"/>
            <w:tcBorders/>
            <w:shd w:fill="auto" w:val="clear"/>
          </w:tcPr>
          <w:p>
            <w:pPr>
              <w:pStyle w:val="TableContents"/>
              <w:spacing w:before="0" w:after="283"/>
              <w:rPr/>
            </w:pPr>
            <w:r>
              <w:rPr/>
              <w:t>Title:  </w:t>
            </w:r>
          </w:p>
        </w:tc>
        <w:tc>
          <w:tcPr>
            <w:tcW w:w="3036" w:type="dxa"/>
            <w:tcBorders/>
            <w:shd w:fill="auto" w:val="clear"/>
            <w:vAlign w:val="center"/>
          </w:tcPr>
          <w:p>
            <w:pPr>
              <w:pStyle w:val="TableContents"/>
              <w:spacing w:before="0" w:after="283"/>
              <w:jc w:val="left"/>
              <w:rPr/>
            </w:pPr>
            <w:r>
              <w:rPr/>
              <w:t> </w:t>
            </w:r>
          </w:p>
        </w:tc>
        <w:tc>
          <w:tcPr>
            <w:tcW w:w="154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91"/>
        <w:gridCol w:w="145"/>
        <w:gridCol w:w="929"/>
        <w:gridCol w:w="174"/>
        <w:gridCol w:w="3315"/>
        <w:gridCol w:w="145"/>
        <w:gridCol w:w="1406"/>
      </w:tblGrid>
      <w:tr>
        <w:trPr/>
        <w:tc>
          <w:tcPr>
            <w:tcW w:w="4091"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31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06" w:type="dxa"/>
            <w:tcBorders/>
            <w:shd w:fill="auto" w:val="clear"/>
            <w:vAlign w:val="bottom"/>
          </w:tcPr>
          <w:p>
            <w:pPr>
              <w:pStyle w:val="TableContents"/>
              <w:spacing w:before="0" w:after="283"/>
              <w:rPr/>
            </w:pPr>
            <w:r>
              <w:rPr/>
              <w:t> </w:t>
            </w:r>
          </w:p>
        </w:tc>
      </w:tr>
      <w:tr>
        <w:trPr/>
        <w:tc>
          <w:tcPr>
            <w:tcW w:w="4091" w:type="dxa"/>
            <w:tcBorders/>
            <w:shd w:fill="auto" w:val="clear"/>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4418" w:type="dxa"/>
            <w:gridSpan w:val="3"/>
            <w:tcBorders/>
            <w:shd w:fill="auto" w:val="clear"/>
          </w:tcPr>
          <w:p>
            <w:pPr>
              <w:pStyle w:val="TableContents"/>
              <w:spacing w:before="0" w:after="283"/>
              <w:jc w:val="left"/>
              <w:rPr/>
            </w:pPr>
            <w:r>
              <w:rPr/>
              <w:t>PAA FINANCE CORP.</w:t>
            </w:r>
          </w:p>
        </w:tc>
        <w:tc>
          <w:tcPr>
            <w:tcW w:w="145" w:type="dxa"/>
            <w:tcBorders/>
            <w:shd w:fill="auto" w:val="clear"/>
            <w:vAlign w:val="bottom"/>
          </w:tcPr>
          <w:p>
            <w:pPr>
              <w:pStyle w:val="TableContents"/>
              <w:spacing w:before="0" w:after="283"/>
              <w:rPr/>
            </w:pPr>
            <w:r>
              <w:rPr/>
              <w:t> </w:t>
            </w:r>
          </w:p>
        </w:tc>
        <w:tc>
          <w:tcPr>
            <w:tcW w:w="1406" w:type="dxa"/>
            <w:tcBorders/>
            <w:shd w:fill="auto" w:val="clear"/>
          </w:tcPr>
          <w:p>
            <w:pPr>
              <w:pStyle w:val="TableContents"/>
              <w:spacing w:before="0" w:after="283"/>
              <w:jc w:val="left"/>
              <w:rPr/>
            </w:pPr>
            <w:r>
              <w:rPr/>
              <w:t> </w:t>
            </w:r>
          </w:p>
        </w:tc>
      </w:tr>
      <w:tr>
        <w:trPr/>
        <w:tc>
          <w:tcPr>
            <w:tcW w:w="4091" w:type="dxa"/>
            <w:tcBorders/>
            <w:shd w:fill="auto" w:val="clear"/>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283"/>
              <w:rPr/>
            </w:pPr>
            <w:r>
              <w:rPr/>
              <w:t> </w:t>
            </w:r>
          </w:p>
        </w:tc>
        <w:tc>
          <w:tcPr>
            <w:tcW w:w="929" w:type="dxa"/>
            <w:tcBorders/>
            <w:shd w:fill="auto" w:val="clear"/>
          </w:tcPr>
          <w:p>
            <w:pPr>
              <w:pStyle w:val="TableContents"/>
              <w:spacing w:before="0" w:after="283"/>
              <w:jc w:val="left"/>
              <w:rPr/>
            </w:pPr>
            <w:r>
              <w:rPr/>
              <w:t> </w:t>
            </w:r>
          </w:p>
        </w:tc>
        <w:tc>
          <w:tcPr>
            <w:tcW w:w="174" w:type="dxa"/>
            <w:tcBorders/>
            <w:shd w:fill="auto" w:val="clear"/>
            <w:vAlign w:val="bottom"/>
          </w:tcPr>
          <w:p>
            <w:pPr>
              <w:pStyle w:val="TableContents"/>
              <w:spacing w:before="0" w:after="283"/>
              <w:rPr/>
            </w:pPr>
            <w:r>
              <w:rPr/>
              <w:t> </w:t>
            </w:r>
          </w:p>
        </w:tc>
        <w:tc>
          <w:tcPr>
            <w:tcW w:w="3315" w:type="dxa"/>
            <w:tcBorders/>
            <w:shd w:fill="auto" w:val="clear"/>
          </w:tcPr>
          <w:p>
            <w:pPr>
              <w:pStyle w:val="TableContents"/>
              <w:spacing w:before="0" w:after="283"/>
              <w:jc w:val="left"/>
              <w:rPr/>
            </w:pPr>
            <w:r>
              <w:rPr/>
              <w:t> </w:t>
            </w:r>
          </w:p>
        </w:tc>
        <w:tc>
          <w:tcPr>
            <w:tcW w:w="145" w:type="dxa"/>
            <w:tcBorders/>
            <w:shd w:fill="auto" w:val="clear"/>
            <w:vAlign w:val="bottom"/>
          </w:tcPr>
          <w:p>
            <w:pPr>
              <w:pStyle w:val="TableContents"/>
              <w:spacing w:before="0" w:after="283"/>
              <w:rPr/>
            </w:pPr>
            <w:r>
              <w:rPr/>
              <w:t> </w:t>
            </w:r>
          </w:p>
        </w:tc>
        <w:tc>
          <w:tcPr>
            <w:tcW w:w="1406" w:type="dxa"/>
            <w:tcBorders/>
            <w:shd w:fill="auto" w:val="clear"/>
          </w:tcPr>
          <w:p>
            <w:pPr>
              <w:pStyle w:val="TableContents"/>
              <w:spacing w:before="0" w:after="283"/>
              <w:jc w:val="left"/>
              <w:rPr/>
            </w:pPr>
            <w:r>
              <w:rPr/>
              <w:t> </w:t>
            </w:r>
          </w:p>
        </w:tc>
      </w:tr>
      <w:tr>
        <w:trPr/>
        <w:tc>
          <w:tcPr>
            <w:tcW w:w="4091" w:type="dxa"/>
            <w:tcBorders/>
            <w:shd w:fill="auto" w:val="clear"/>
          </w:tcPr>
          <w:p>
            <w:pPr>
              <w:pStyle w:val="TableContents"/>
              <w:spacing w:before="0" w:after="0"/>
              <w:ind w:left="0" w:right="0" w:hanging="0"/>
              <w:rPr/>
            </w:pPr>
            <w:r>
              <w:rPr/>
              <w:t xml:space="preserve">  </w:t>
            </w:r>
          </w:p>
        </w:tc>
        <w:tc>
          <w:tcPr>
            <w:tcW w:w="145" w:type="dxa"/>
            <w:tcBorders/>
            <w:shd w:fill="auto" w:val="clear"/>
            <w:vAlign w:val="bottom"/>
          </w:tcPr>
          <w:p>
            <w:pPr>
              <w:pStyle w:val="TableContents"/>
              <w:spacing w:before="0" w:after="283"/>
              <w:rPr/>
            </w:pPr>
            <w:r>
              <w:rPr/>
              <w:t> </w:t>
            </w:r>
          </w:p>
        </w:tc>
        <w:tc>
          <w:tcPr>
            <w:tcW w:w="929" w:type="dxa"/>
            <w:tcBorders/>
            <w:shd w:fill="auto" w:val="clear"/>
          </w:tcPr>
          <w:p>
            <w:pPr>
              <w:pStyle w:val="TableContents"/>
              <w:spacing w:before="0" w:after="283"/>
              <w:jc w:val="left"/>
              <w:rPr/>
            </w:pPr>
            <w:r>
              <w:rPr/>
              <w:t>By:</w:t>
            </w:r>
          </w:p>
        </w:tc>
        <w:tc>
          <w:tcPr>
            <w:tcW w:w="174" w:type="dxa"/>
            <w:tcBorders/>
            <w:shd w:fill="auto" w:val="clear"/>
            <w:vAlign w:val="bottom"/>
          </w:tcPr>
          <w:p>
            <w:pPr>
              <w:pStyle w:val="TableContents"/>
              <w:spacing w:before="0" w:after="283"/>
              <w:rPr/>
            </w:pPr>
            <w:r>
              <w:rPr/>
              <w:t> </w:t>
            </w:r>
          </w:p>
        </w:tc>
        <w:tc>
          <w:tcPr>
            <w:tcW w:w="3315" w:type="dxa"/>
            <w:tcBorders/>
            <w:shd w:fill="auto" w:val="clear"/>
          </w:tcPr>
          <w:p>
            <w:pPr>
              <w:pStyle w:val="TableContents"/>
              <w:spacing w:before="0" w:after="283"/>
              <w:jc w:val="left"/>
              <w:rPr/>
            </w:pPr>
            <w:r>
              <w:rPr/>
              <w:t> </w:t>
            </w:r>
          </w:p>
        </w:tc>
        <w:tc>
          <w:tcPr>
            <w:tcW w:w="145" w:type="dxa"/>
            <w:tcBorders/>
            <w:shd w:fill="auto" w:val="clear"/>
            <w:vAlign w:val="bottom"/>
          </w:tcPr>
          <w:p>
            <w:pPr>
              <w:pStyle w:val="TableContents"/>
              <w:spacing w:before="0" w:after="283"/>
              <w:rPr/>
            </w:pPr>
            <w:r>
              <w:rPr/>
              <w:t> </w:t>
            </w:r>
          </w:p>
        </w:tc>
        <w:tc>
          <w:tcPr>
            <w:tcW w:w="1406" w:type="dxa"/>
            <w:tcBorders/>
            <w:shd w:fill="auto" w:val="clear"/>
          </w:tcPr>
          <w:p>
            <w:pPr>
              <w:pStyle w:val="TableContents"/>
              <w:spacing w:before="0" w:after="283"/>
              <w:jc w:val="left"/>
              <w:rPr/>
            </w:pPr>
            <w:r>
              <w:rPr/>
              <w:t> </w:t>
            </w:r>
          </w:p>
        </w:tc>
      </w:tr>
      <w:tr>
        <w:trPr/>
        <w:tc>
          <w:tcPr>
            <w:tcW w:w="4091" w:type="dxa"/>
            <w:tcBorders/>
            <w:shd w:fill="auto" w:val="clear"/>
          </w:tcPr>
          <w:p>
            <w:pPr>
              <w:pStyle w:val="TableContents"/>
              <w:spacing w:before="0" w:after="0"/>
              <w:ind w:left="0" w:right="0" w:hanging="0"/>
              <w:rPr/>
            </w:pPr>
            <w:r>
              <w:rPr/>
              <w:t xml:space="preserve">  </w:t>
            </w:r>
          </w:p>
        </w:tc>
        <w:tc>
          <w:tcPr>
            <w:tcW w:w="145" w:type="dxa"/>
            <w:tcBorders/>
            <w:shd w:fill="auto" w:val="clear"/>
            <w:vAlign w:val="bottom"/>
          </w:tcPr>
          <w:p>
            <w:pPr>
              <w:pStyle w:val="TableContents"/>
              <w:spacing w:before="0" w:after="283"/>
              <w:rPr/>
            </w:pPr>
            <w:r>
              <w:rPr/>
              <w:t> </w:t>
            </w:r>
          </w:p>
        </w:tc>
        <w:tc>
          <w:tcPr>
            <w:tcW w:w="929" w:type="dxa"/>
            <w:tcBorders/>
            <w:shd w:fill="auto" w:val="clear"/>
          </w:tcPr>
          <w:p>
            <w:pPr>
              <w:pStyle w:val="TableContents"/>
              <w:spacing w:before="0" w:after="283"/>
              <w:jc w:val="left"/>
              <w:rPr/>
            </w:pPr>
            <w:r>
              <w:rPr/>
              <w:t xml:space="preserve">Name: </w:t>
            </w:r>
          </w:p>
        </w:tc>
        <w:tc>
          <w:tcPr>
            <w:tcW w:w="174" w:type="dxa"/>
            <w:tcBorders/>
            <w:shd w:fill="auto" w:val="clear"/>
            <w:vAlign w:val="bottom"/>
          </w:tcPr>
          <w:p>
            <w:pPr>
              <w:pStyle w:val="TableContents"/>
              <w:spacing w:before="0" w:after="283"/>
              <w:rPr/>
            </w:pPr>
            <w:r>
              <w:rPr/>
              <w:t> </w:t>
            </w:r>
          </w:p>
        </w:tc>
        <w:tc>
          <w:tcPr>
            <w:tcW w:w="3315" w:type="dxa"/>
            <w:tcBorders/>
            <w:shd w:fill="auto" w:val="clear"/>
          </w:tcPr>
          <w:p>
            <w:pPr>
              <w:pStyle w:val="TableContents"/>
              <w:spacing w:before="0" w:after="0"/>
              <w:jc w:val="left"/>
              <w:rPr>
                <w:bdr w:val="single" w:sz="2" w:space="1" w:color="000000"/>
              </w:rPr>
            </w:pPr>
            <w:r>
              <w:rPr>
                <w:bdr w:val="single" w:sz="2" w:space="1" w:color="000000"/>
              </w:rPr>
              <w:t> </w:t>
            </w:r>
          </w:p>
        </w:tc>
        <w:tc>
          <w:tcPr>
            <w:tcW w:w="145" w:type="dxa"/>
            <w:tcBorders/>
            <w:shd w:fill="auto" w:val="clear"/>
            <w:vAlign w:val="bottom"/>
          </w:tcPr>
          <w:p>
            <w:pPr>
              <w:pStyle w:val="TableContents"/>
              <w:spacing w:before="0" w:after="283"/>
              <w:rPr/>
            </w:pPr>
            <w:r>
              <w:rPr/>
              <w:t> </w:t>
            </w:r>
          </w:p>
        </w:tc>
        <w:tc>
          <w:tcPr>
            <w:tcW w:w="1406" w:type="dxa"/>
            <w:tcBorders/>
            <w:shd w:fill="auto" w:val="clear"/>
          </w:tcPr>
          <w:p>
            <w:pPr>
              <w:pStyle w:val="TableContents"/>
              <w:spacing w:before="0" w:after="283"/>
              <w:jc w:val="left"/>
              <w:rPr/>
            </w:pPr>
            <w:r>
              <w:rPr/>
              <w:t> </w:t>
            </w:r>
          </w:p>
        </w:tc>
      </w:tr>
      <w:tr>
        <w:trPr/>
        <w:tc>
          <w:tcPr>
            <w:tcW w:w="4091" w:type="dxa"/>
            <w:tcBorders/>
            <w:shd w:fill="auto" w:val="clear"/>
          </w:tcPr>
          <w:p>
            <w:pPr>
              <w:pStyle w:val="TableContents"/>
              <w:spacing w:before="0" w:after="0"/>
              <w:ind w:left="0" w:right="0" w:hanging="0"/>
              <w:rPr/>
            </w:pPr>
            <w:r>
              <w:rPr/>
              <w:t xml:space="preserve">  </w:t>
            </w:r>
          </w:p>
        </w:tc>
        <w:tc>
          <w:tcPr>
            <w:tcW w:w="145" w:type="dxa"/>
            <w:tcBorders/>
            <w:shd w:fill="auto" w:val="clear"/>
            <w:vAlign w:val="bottom"/>
          </w:tcPr>
          <w:p>
            <w:pPr>
              <w:pStyle w:val="TableContents"/>
              <w:spacing w:before="0" w:after="283"/>
              <w:rPr/>
            </w:pPr>
            <w:r>
              <w:rPr/>
              <w:t> </w:t>
            </w:r>
          </w:p>
        </w:tc>
        <w:tc>
          <w:tcPr>
            <w:tcW w:w="929" w:type="dxa"/>
            <w:tcBorders/>
            <w:shd w:fill="auto" w:val="clear"/>
          </w:tcPr>
          <w:p>
            <w:pPr>
              <w:pStyle w:val="TableContents"/>
              <w:spacing w:before="0" w:after="283"/>
              <w:jc w:val="left"/>
              <w:rPr/>
            </w:pPr>
            <w:r>
              <w:rPr/>
              <w:t>Title:</w:t>
            </w:r>
          </w:p>
        </w:tc>
        <w:tc>
          <w:tcPr>
            <w:tcW w:w="174" w:type="dxa"/>
            <w:tcBorders/>
            <w:shd w:fill="auto" w:val="clear"/>
            <w:vAlign w:val="bottom"/>
          </w:tcPr>
          <w:p>
            <w:pPr>
              <w:pStyle w:val="TableContents"/>
              <w:spacing w:before="0" w:after="283"/>
              <w:rPr/>
            </w:pPr>
            <w:r>
              <w:rPr/>
              <w:t> </w:t>
            </w:r>
          </w:p>
        </w:tc>
        <w:tc>
          <w:tcPr>
            <w:tcW w:w="3315" w:type="dxa"/>
            <w:tcBorders/>
            <w:shd w:fill="auto" w:val="clear"/>
          </w:tcPr>
          <w:p>
            <w:pPr>
              <w:pStyle w:val="TableContents"/>
              <w:spacing w:before="0" w:after="283"/>
              <w:jc w:val="left"/>
              <w:rPr/>
            </w:pPr>
            <w:r>
              <w:rPr/>
              <w:t> </w:t>
            </w:r>
          </w:p>
        </w:tc>
        <w:tc>
          <w:tcPr>
            <w:tcW w:w="145" w:type="dxa"/>
            <w:tcBorders/>
            <w:shd w:fill="auto" w:val="clear"/>
            <w:vAlign w:val="bottom"/>
          </w:tcPr>
          <w:p>
            <w:pPr>
              <w:pStyle w:val="TableContents"/>
              <w:spacing w:before="0" w:after="283"/>
              <w:rPr/>
            </w:pPr>
            <w:r>
              <w:rPr/>
              <w:t> </w:t>
            </w:r>
          </w:p>
        </w:tc>
        <w:tc>
          <w:tcPr>
            <w:tcW w:w="1406"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661"/>
        <w:gridCol w:w="134"/>
        <w:gridCol w:w="4338"/>
        <w:gridCol w:w="134"/>
        <w:gridCol w:w="4938"/>
      </w:tblGrid>
      <w:tr>
        <w:trPr/>
        <w:tc>
          <w:tcPr>
            <w:tcW w:w="661"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338"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vAlign w:val="bottom"/>
          </w:tcPr>
          <w:p>
            <w:pPr>
              <w:pStyle w:val="TableContents"/>
              <w:spacing w:before="0" w:after="283"/>
              <w:rPr/>
            </w:pPr>
            <w:r>
              <w:rPr/>
              <w:t> </w:t>
            </w:r>
          </w:p>
        </w:tc>
      </w:tr>
      <w:tr>
        <w:trPr/>
        <w:tc>
          <w:tcPr>
            <w:tcW w:w="5133" w:type="dxa"/>
            <w:gridSpan w:val="3"/>
            <w:tcBorders/>
            <w:shd w:fill="auto" w:val="clear"/>
          </w:tcPr>
          <w:p>
            <w:pPr>
              <w:pStyle w:val="TableContents"/>
              <w:spacing w:before="0" w:after="283"/>
              <w:jc w:val="left"/>
              <w:rPr/>
            </w:pPr>
            <w:r>
              <w:rPr/>
              <w:t>TRUSTEES CERTIFICATE OF AUTHENTICATION</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10205" w:type="dxa"/>
            <w:gridSpan w:val="5"/>
            <w:tcBorders/>
            <w:shd w:fill="auto" w:val="clear"/>
          </w:tcPr>
          <w:p>
            <w:pPr>
              <w:pStyle w:val="TableContents"/>
              <w:spacing w:before="0" w:after="283"/>
              <w:jc w:val="left"/>
              <w:rPr/>
            </w:pPr>
            <w:r>
              <w:rPr/>
              <w:t>This is one of the Debt Securities of the series designated therein referred to in the within-mentioned Indenture.</w:t>
            </w:r>
          </w:p>
        </w:tc>
      </w:tr>
      <w:tr>
        <w:trPr/>
        <w:tc>
          <w:tcPr>
            <w:tcW w:w="661" w:type="dxa"/>
            <w:tcBorders/>
            <w:shd w:fill="auto" w:val="clear"/>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5133" w:type="dxa"/>
            <w:gridSpan w:val="3"/>
            <w:tcBorders/>
            <w:shd w:fill="auto" w:val="clear"/>
          </w:tcPr>
          <w:p>
            <w:pPr>
              <w:pStyle w:val="TableContents"/>
              <w:spacing w:before="0" w:after="283"/>
              <w:jc w:val="left"/>
              <w:rPr/>
            </w:pPr>
            <w:r>
              <w:rPr/>
              <w:t>U.S. BANK NATIONAL ASSOCIATION, as Trustee</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By:</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 xml:space="preserve">  </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0"/>
              <w:jc w:val="center"/>
              <w:rPr>
                <w:bdr w:val="single" w:sz="2" w:space="1" w:color="000000"/>
              </w:rPr>
            </w:pPr>
            <w:r>
              <w:rPr>
                <w:bdr w:val="single" w:sz="2" w:space="1" w:color="000000"/>
              </w:rPr>
              <w:t> </w:t>
            </w:r>
          </w:p>
          <w:p>
            <w:pPr>
              <w:pStyle w:val="TableContents"/>
              <w:spacing w:before="0" w:after="0"/>
              <w:jc w:val="center"/>
              <w:rPr/>
            </w:pPr>
            <w:r>
              <w:rPr/>
              <w:t xml:space="preserve">Authorized Signatory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Dated:</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r>
        <w:trPr/>
        <w:tc>
          <w:tcPr>
            <w:tcW w:w="661" w:type="dxa"/>
            <w:tcBorders/>
            <w:shd w:fill="auto" w:val="clear"/>
          </w:tcPr>
          <w:p>
            <w:pPr>
              <w:pStyle w:val="TableContents"/>
              <w:spacing w:before="0" w:after="0"/>
              <w:ind w:left="0" w:right="0" w:hanging="0"/>
              <w:rPr/>
            </w:pPr>
            <w:r>
              <w:rPr/>
              <w:t xml:space="preserve">  </w:t>
            </w:r>
          </w:p>
        </w:tc>
        <w:tc>
          <w:tcPr>
            <w:tcW w:w="134" w:type="dxa"/>
            <w:tcBorders/>
            <w:shd w:fill="auto" w:val="clear"/>
            <w:vAlign w:val="bottom"/>
          </w:tcPr>
          <w:p>
            <w:pPr>
              <w:pStyle w:val="TableContents"/>
              <w:spacing w:before="0" w:after="283"/>
              <w:rPr/>
            </w:pPr>
            <w:r>
              <w:rPr/>
              <w:t> </w:t>
            </w:r>
          </w:p>
        </w:tc>
        <w:tc>
          <w:tcPr>
            <w:tcW w:w="4338" w:type="dxa"/>
            <w:tcBorders/>
            <w:shd w:fill="auto" w:val="clear"/>
          </w:tcPr>
          <w:p>
            <w:pPr>
              <w:pStyle w:val="TableContents"/>
              <w:spacing w:before="0" w:after="0"/>
              <w:jc w:val="left"/>
              <w:rPr>
                <w:bdr w:val="single" w:sz="2" w:space="1" w:color="000000"/>
              </w:rPr>
            </w:pPr>
            <w:r>
              <w:rPr>
                <w:bdr w:val="single" w:sz="2" w:space="1" w:color="000000"/>
              </w:rPr>
              <w:t> </w:t>
            </w:r>
          </w:p>
        </w:tc>
        <w:tc>
          <w:tcPr>
            <w:tcW w:w="134" w:type="dxa"/>
            <w:tcBorders/>
            <w:shd w:fill="auto" w:val="clear"/>
            <w:vAlign w:val="bottom"/>
          </w:tcPr>
          <w:p>
            <w:pPr>
              <w:pStyle w:val="TableContents"/>
              <w:spacing w:before="0" w:after="283"/>
              <w:rPr/>
            </w:pPr>
            <w:r>
              <w:rPr/>
              <w:t> </w:t>
            </w:r>
          </w:p>
        </w:tc>
        <w:tc>
          <w:tcPr>
            <w:tcW w:w="4938" w:type="dxa"/>
            <w:tcBorders/>
            <w:shd w:fill="auto" w:val="clear"/>
          </w:tcPr>
          <w:p>
            <w:pPr>
              <w:pStyle w:val="TableContents"/>
              <w:spacing w:before="0" w:after="283"/>
              <w:jc w:val="lef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040"/>
        <w:gridCol w:w="2334"/>
        <w:gridCol w:w="831"/>
      </w:tblGrid>
      <w:tr>
        <w:trPr/>
        <w:tc>
          <w:tcPr>
            <w:tcW w:w="7040"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tcPr>
          <w:p>
            <w:pPr>
              <w:pStyle w:val="TableContents"/>
              <w:spacing w:before="0" w:after="283"/>
              <w:jc w:val="left"/>
              <w:rPr/>
            </w:pPr>
            <w:r>
              <w:rPr/>
              <w:t>1</w:t>
            </w:r>
          </w:p>
        </w:tc>
        <w:tc>
          <w:tcPr>
            <w:tcW w:w="2334" w:type="dxa"/>
            <w:tcBorders/>
            <w:shd w:fill="auto" w:val="clear"/>
          </w:tcPr>
          <w:p>
            <w:pPr>
              <w:pStyle w:val="TableContents"/>
              <w:spacing w:before="0" w:after="283"/>
              <w:rPr/>
            </w:pPr>
            <w:r>
              <w:rPr/>
              <w:t> </w:t>
            </w:r>
          </w:p>
        </w:tc>
        <w:tc>
          <w:tcPr>
            <w:tcW w:w="831" w:type="dxa"/>
            <w:tcBorders/>
            <w:shd w:fill="auto" w:val="clear"/>
          </w:tcPr>
          <w:p>
            <w:pPr>
              <w:pStyle w:val="TableContents"/>
              <w:spacing w:before="0" w:after="283"/>
              <w:rPr/>
            </w:pPr>
            <w:r>
              <w:rPr/>
              <w:t>To be included only if the Note is issued in global form.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 of Back of Note)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6.650% Series ___Senior Notes due 2037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Times;serif" w:hAnsi="Times New Roman;Times;serif"/>
          <w:sz w:val="17"/>
        </w:rPr>
        <w:t xml:space="preserve">2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[THE ISSUANCE AND SALE OF THIS SECURITY (AND ANY GUARANTEE HEREOF) HAVE NOT BEEN REGISTERED UNDER THE SECURITIES ACT OF 1933, AS AMENDED (THE SECURITIES ACT), OR ANY STATE SECURITIES LAWS. NEITHER THIS SECURITY (NOR ANY GUARANTEE HEREOF) NOR ANY INTEREST OR PARTICIPATION HEREIN OR THEREIN MAY BE OFFERED, SOLD, ASSIGNED, TRANSFERRED, PLEDGED, ENCUMBERED OR OTHERWISE DISPOSED OF IN THE ABSENCE OF SUCH REGISTRATION OR UNLESS SUCH TRANSACTION IS EXEMPT FROM, OR NOT SUBJECT TO, THE REGISTRATION REQUIREMENTS OF THE SECURITIES ACT OR ANY APPLICABLE STATE SECURITIES LAWS. THE HOLDER HEREOF, BY ITS ACCEPTANCE OF THIS SECURITY, AGREES FOR THE BENEFIT OF THE ISSUERS THAT THIS SECURITY MAY NOT BE OFFERED, SOLD, PLEDGED OR OTHERWISE TRANSFERRED PRIOR TO THE EXPIRATION OF THE HOLDING PERIOD APPLICABLE THERETO UNDER RULE 144(k) UNDER THE SECURITIES ACT (OR, IN THE CASE OF A TRANSFER PURSUANT TO REGULATION S, THE DISTRIBUTION COMPLIANCE PERIOD DEFINED THEREIN) WHICH IS APPLICABLE TO THIS SECURITY (THE RESALE RESTRICTION TERMINATION DATE) OTHER THAN (1) TO THE ISSUERS OR THEIR RESPECTIVE SUBSIDIARIES, (2) 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IN EACH CASE TO WHOM NOTICE IS GIVEN THAT THE RESALE, PLEDGE OR OTHER TRANSFER IS BEING MADE IN RELIANCE ON RULE 144A, (3) INSIDE THE UNITED STATES TO AN INSTITUTIONAL ACCREDITED INVESTOR (AS DEFINED IN RULE</w:t>
      </w:r>
      <w:r>
        <w:rPr>
          <w:rFonts w:ascii="Times New Roman;Times;serif" w:hAnsi="Times New Roman;Times;serif"/>
          <w:sz w:val="17"/>
        </w:rPr>
        <w:t xml:space="preserve">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040"/>
        <w:gridCol w:w="2334"/>
        <w:gridCol w:w="831"/>
      </w:tblGrid>
      <w:tr>
        <w:trPr/>
        <w:tc>
          <w:tcPr>
            <w:tcW w:w="7040"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tcPr>
          <w:p>
            <w:pPr>
              <w:pStyle w:val="TableContents"/>
              <w:spacing w:before="0" w:after="283"/>
              <w:jc w:val="left"/>
              <w:rPr/>
            </w:pPr>
            <w:r>
              <w:rPr/>
              <w:t>2</w:t>
            </w:r>
          </w:p>
        </w:tc>
        <w:tc>
          <w:tcPr>
            <w:tcW w:w="2334" w:type="dxa"/>
            <w:tcBorders/>
            <w:shd w:fill="auto" w:val="clear"/>
          </w:tcPr>
          <w:p>
            <w:pPr>
              <w:pStyle w:val="TableContents"/>
              <w:spacing w:before="0" w:after="283"/>
              <w:rPr/>
            </w:pPr>
            <w:r>
              <w:rPr/>
              <w:t> </w:t>
            </w:r>
          </w:p>
        </w:tc>
        <w:tc>
          <w:tcPr>
            <w:tcW w:w="831" w:type="dxa"/>
            <w:tcBorders/>
            <w:shd w:fill="auto" w:val="clear"/>
          </w:tcPr>
          <w:p>
            <w:pPr>
              <w:pStyle w:val="TableContents"/>
              <w:spacing w:before="0" w:after="283"/>
              <w:rPr/>
            </w:pPr>
            <w:r>
              <w:rPr/>
              <w:t>To be included only if the Note is issued in global form.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501(A)(1), (2), (3) OR (7) UNDER THE SECURITIES ACT), (4) TO A NON-U.S. PERSON IN AN OFFSHORE TRANSACTION (AS SUCH TERMS ARE DEFINED IN REGULATION S UNDER THE SECURITIES ACT) IN ACCORDANCE WITH REGULATION S UNDER THE SECURITIES ACT, (5) PURSUANT TO ANY OTHER AVAILABLE EXEMPTION FROM THE REGISTRATION REQUIREMENTS OF THE SECURITIES ACT, INCLUDING THE EXEMPTION PROVIDED BY RULE 144 UNDER THE SECURITIES ACT, IF AVAILABLE, OR (6) PURSUANT TO AN EFFECTIVE REGISTRATION STATEMENT UNDER THE SECURITIES ACT, SUBJECT IN EACH OF THE FOREGOING CASES TO ANY REQUIREMENT OF LAW THAT THE DISPOSITION OF ITS PROPERTY OR THE PROPERTY OF SUCH INVESTOR ACCOUNT OR ACCOUNTS BE AT ALL TIMES WITHIN ITS OR THEIR CONTROL, AND SUBJECT TO THE RIGHT OF THE ISSUERS OR THE TRUSTEE FOR THE SECURITIES PRIOR TO ANY SUCH SALE, PLEDGE OR OTHER TRANSFER TO REQUIRE THE DELIVERY OF AN OPINION OF COUNSEL, CERTIFICATIONS AND/OR OTHER INFORMATION SATISFACTORY TO EACH OF THEM. THIS LEGEND WILL BE REMOVED UPON REQUEST OF THE HOLDER ON OR AFTER THE RESALE RESTRICTION TERMINATION DATE.]</w:t>
      </w:r>
      <w:r>
        <w:rPr>
          <w:rFonts w:ascii="Times New Roman;Times;serif" w:hAnsi="Times New Roman;Times;serif"/>
          <w:sz w:val="17"/>
        </w:rPr>
        <w:t xml:space="preserve">3 </w:t>
      </w:r>
    </w:p>
    <w:p>
      <w:pPr>
        <w:pStyle w:val="TextBody"/>
        <w:spacing w:before="120" w:after="283"/>
        <w:jc w:val="left"/>
        <w:rPr/>
      </w:pPr>
      <w:r>
        <w:rPr/>
        <w:t>          </w:t>
      </w:r>
      <w:r>
        <w:rPr>
          <w:rFonts w:ascii="Times New Roman;Times;serif" w:hAnsi="Times New Roman;Times;serif"/>
          <w:sz w:val="17"/>
        </w:rPr>
        <w:t xml:space="preserve">Capitalized terms used herein shall have the meanings assigned to them in the Indenture referred to below unless otherwise indicated. </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Interest; Additional Interest</w:t>
      </w:r>
      <w:r>
        <w:rPr>
          <w:rFonts w:ascii="Times New Roman;Times;serif" w:hAnsi="Times New Roman;Times;serif"/>
          <w:sz w:val="17"/>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6.650% per annum from ___, ___until maturity. The Issuers shall pay interest semi-annually on January 15 and July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___, ___.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sz w:val="17"/>
          <w:u w:val="single"/>
        </w:rPr>
        <w:t>Method of Payment</w:t>
      </w:r>
      <w:r>
        <w:rPr>
          <w:rFonts w:ascii="Times New Roman;Times;serif" w:hAnsi="Times New Roman;Times;serif"/>
          <w:sz w:val="17"/>
        </w:rPr>
        <w:t xml:space="preserve">. The Issuers shall pay interest on the Notes (except defaulted interest) to the Persons who are registered Holders of Notes at the close of business on the January 1 or July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29"/>
        <w:gridCol w:w="2310"/>
        <w:gridCol w:w="966"/>
      </w:tblGrid>
      <w:tr>
        <w:trPr/>
        <w:tc>
          <w:tcPr>
            <w:tcW w:w="6929" w:type="dxa"/>
            <w:tcBorders/>
            <w:shd w:fill="auto" w:val="clear"/>
            <w:vAlign w:val="center"/>
          </w:tcPr>
          <w:p>
            <w:pPr>
              <w:pStyle w:val="TableContents"/>
              <w:spacing w:before="0" w:after="283"/>
              <w:rPr>
                <w:sz w:val="4"/>
                <w:szCs w:val="4"/>
              </w:rPr>
            </w:pPr>
            <w:r>
              <w:rPr>
                <w:sz w:val="4"/>
                <w:szCs w:val="4"/>
              </w:rPr>
            </w:r>
          </w:p>
        </w:tc>
        <w:tc>
          <w:tcPr>
            <w:tcW w:w="231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6929" w:type="dxa"/>
            <w:tcBorders/>
            <w:shd w:fill="auto" w:val="clear"/>
          </w:tcPr>
          <w:p>
            <w:pPr>
              <w:pStyle w:val="TableContents"/>
              <w:spacing w:before="0" w:after="283"/>
              <w:jc w:val="left"/>
              <w:rPr/>
            </w:pPr>
            <w:r>
              <w:rPr/>
              <w:t>3</w:t>
            </w:r>
          </w:p>
        </w:tc>
        <w:tc>
          <w:tcPr>
            <w:tcW w:w="2310" w:type="dxa"/>
            <w:tcBorders/>
            <w:shd w:fill="auto" w:val="clear"/>
          </w:tcPr>
          <w:p>
            <w:pPr>
              <w:pStyle w:val="TableContents"/>
              <w:spacing w:before="0" w:after="283"/>
              <w:rPr/>
            </w:pPr>
            <w:r>
              <w:rPr/>
              <w:t> </w:t>
            </w:r>
          </w:p>
        </w:tc>
        <w:tc>
          <w:tcPr>
            <w:tcW w:w="966" w:type="dxa"/>
            <w:tcBorders/>
            <w:shd w:fill="auto" w:val="clear"/>
          </w:tcPr>
          <w:p>
            <w:pPr>
              <w:pStyle w:val="TableContents"/>
              <w:spacing w:before="0" w:after="283"/>
              <w:rPr/>
            </w:pPr>
            <w:r>
              <w:rPr/>
              <w:t>To be included on Transfer Restricted Securities only.</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Times;serif" w:hAnsi="Times New Roman;Times;serif"/>
          <w:sz w:val="17"/>
          <w:u w:val="single"/>
        </w:rPr>
        <w:t>provided</w:t>
      </w:r>
      <w:r>
        <w:rPr>
          <w:rFonts w:ascii="Times New Roman;Times;serif" w:hAnsi="Times New Roman;Times;serif"/>
          <w:sz w:val="17"/>
        </w:rPr>
        <w:t xml:space="preserve"> that payment by wire transfer of immediately available funds shall be required with respect to principal of and interest, premium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sz w:val="17"/>
          <w:u w:val="single"/>
        </w:rPr>
        <w:t>Paying Agent and Registrar</w:t>
      </w:r>
      <w:r>
        <w:rPr>
          <w:rFonts w:ascii="Times New Roman;Times;serif" w:hAnsi="Times New Roman;Times;serif"/>
          <w:sz w:val="17"/>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Indenture</w:t>
      </w:r>
      <w:r>
        <w:rPr>
          <w:rFonts w:ascii="Times New Roman;Times;serif" w:hAnsi="Times New Roman;Times;serif"/>
          <w:sz w:val="17"/>
        </w:rPr>
        <w:t xml:space="preserve">. The Issuers issued the Notes under an Indenture dated as of September 25, 2002 (the Original Indenture), as supplemented by the Tenth Supplemental Indenture dated as of October 30, 2006 (the Supplemental Indenture and, together with the Original Indenture, the Indenture) among the Issuers and the Trustee and, with respect to the Supplemental Indenture, the subsidiary guarantors signatory thereto (the Subsidiary Guarantors).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$600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issue price and date of first payment of interest)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Optional Redemption</w:t>
      </w:r>
      <w:r>
        <w:rPr>
          <w:rFonts w:ascii="Times New Roman;Times;serif" w:hAnsi="Times New Roman;Times;serif"/>
          <w:sz w:val="17"/>
        </w:rPr>
        <w:t xml:space="preserve">. (a) At their option at any time prior to maturity, the Issuers may choose to redeem all or any portion of the Notes at once or from time to time. </w:t>
      </w:r>
    </w:p>
    <w:p>
      <w:pPr>
        <w:pStyle w:val="TextBody"/>
        <w:spacing w:before="120" w:after="283"/>
        <w:jc w:val="left"/>
        <w:rPr/>
      </w:pPr>
      <w:r>
        <w:rPr/>
        <w:t>          </w:t>
      </w:r>
      <w:r>
        <w:rPr>
          <w:rFonts w:ascii="Times New Roman;Times;serif" w:hAnsi="Times New Roman;Times;serif"/>
          <w:sz w:val="17"/>
        </w:rPr>
        <w:t>(b) To redeem the Notes, the Issuers must pay a redemption price equal to the greater of (a) 100% of the principal amount of the Notes to be redeemed, and (b) as determined by the Quotation Agent (as defined below), the sum of the present values of the remaining scheduled payments of principal and interest on the Notes to be redeemed (not including any portion of those payments of interest accrued as of the date of redemption) discounted to the date</w:t>
      </w:r>
    </w:p>
    <w:p>
      <w:pPr>
        <w:pStyle w:val="TextBody"/>
        <w:jc w:val="center"/>
        <w:rPr>
          <w:rFonts w:ascii="Times New Roman;Times;serif" w:hAnsi="Times New Roman;Times;serif"/>
          <w:sz w:val="17"/>
        </w:rPr>
      </w:pPr>
      <w:r>
        <w:rPr>
          <w:rFonts w:ascii="Times New Roman;Times;serif" w:hAnsi="Times New Roman;Times;serif"/>
          <w:sz w:val="17"/>
        </w:rPr>
        <w:t xml:space="preserve">A-4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redemption on a semi-annual basis (assuming a 360-day year consisting of twelve 30-day months) at the Adjusted Treasury Rate (as defined below) plus 30 basis points, plus, in either case, accrued and unpaid interest, including Additional Interest, if any, to the date of redemption (subject to the right of Holders on the relevant record date to receive interest due on the relevant interest payment date). </w:t>
      </w:r>
    </w:p>
    <w:p>
      <w:pPr>
        <w:pStyle w:val="TextBody"/>
        <w:spacing w:before="120" w:after="283"/>
        <w:jc w:val="left"/>
        <w:rPr/>
      </w:pPr>
      <w:r>
        <w:rPr/>
        <w:t>          </w:t>
      </w:r>
      <w:r>
        <w:rPr>
          <w:rFonts w:ascii="Times New Roman;Times;serif" w:hAnsi="Times New Roman;Times;serif"/>
          <w:sz w:val="17"/>
        </w:rPr>
        <w:t xml:space="preserve">For purposes of determining any redemption price, the following definitions shall apply: </w:t>
      </w:r>
    </w:p>
    <w:p>
      <w:pPr>
        <w:pStyle w:val="TextBody"/>
        <w:spacing w:before="120" w:after="283"/>
        <w:jc w:val="left"/>
        <w:rPr/>
      </w:pPr>
      <w:r>
        <w:rPr/>
        <w:t>          </w:t>
      </w:r>
      <w:r>
        <w:rPr>
          <w:rFonts w:ascii="Times New Roman;Times;serif" w:hAnsi="Times New Roman;Times;serif"/>
          <w:sz w:val="17"/>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jc w:val="left"/>
        <w:rPr/>
      </w:pPr>
      <w:r>
        <w:rPr/>
        <w:t>          </w:t>
      </w:r>
      <w:r>
        <w:rPr>
          <w:rFonts w:ascii="Times New Roman;Times;serif" w:hAnsi="Times New Roman;Times;serif"/>
          <w:sz w:val="17"/>
        </w:rPr>
        <w:t xml:space="preserve">Comparable Treasury Issue means the United States Treasury security selected by the Quotation Agent as having a maturity comparable to the remaining term of the Notes that would be utilized, at the time of selection and in accordance with customary financial practice, in pricing new issues of corporate debt securities of comparable maturity to the remaining term of the Notes to be redeemed. </w:t>
      </w:r>
    </w:p>
    <w:p>
      <w:pPr>
        <w:pStyle w:val="TextBody"/>
        <w:spacing w:before="120" w:after="283"/>
        <w:jc w:val="left"/>
        <w:rPr/>
      </w:pPr>
      <w:r>
        <w:rPr/>
        <w:t>          </w:t>
      </w:r>
      <w:r>
        <w:rPr>
          <w:rFonts w:ascii="Times New Roman;Times;serif" w:hAnsi="Times New Roman;Times;serif"/>
          <w:sz w:val="17"/>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jc w:val="left"/>
        <w:rPr/>
      </w:pPr>
      <w:r>
        <w:rPr/>
        <w:t>          </w:t>
      </w:r>
      <w:r>
        <w:rPr>
          <w:rFonts w:ascii="Times New Roman;Times;serif" w:hAnsi="Times New Roman;Times;serif"/>
          <w:sz w:val="17"/>
        </w:rPr>
        <w:t xml:space="preserve">Quotation Agent means UBS Securities LLC or another Reference Treasury Dealer appointed by the Issuers. </w:t>
      </w:r>
    </w:p>
    <w:p>
      <w:pPr>
        <w:pStyle w:val="TextBody"/>
        <w:spacing w:before="120" w:after="283"/>
        <w:jc w:val="left"/>
        <w:rPr/>
      </w:pPr>
      <w:r>
        <w:rPr/>
        <w:t>          </w:t>
      </w:r>
      <w:r>
        <w:rPr>
          <w:rFonts w:ascii="Times New Roman;Times;serif" w:hAnsi="Times New Roman;Times;serif"/>
          <w:sz w:val="17"/>
        </w:rPr>
        <w:t xml:space="preserve">Reference Treasury Dealer means (a) UBS Securities LLC and its successors; provided, however, that if the foregoing shall cease to be a primary U.S. Government securities dealer in the United States (a Primary Treasury Dealer), the Issuers shall substitute another Primary Treasury Dealer; and (b) any other Primary Treasury Dealer selected by the Issuers. </w:t>
      </w:r>
    </w:p>
    <w:p>
      <w:pPr>
        <w:pStyle w:val="TextBody"/>
        <w:spacing w:before="120" w:after="283"/>
        <w:jc w:val="left"/>
        <w:rPr/>
      </w:pPr>
      <w:r>
        <w:rPr/>
        <w:t>          </w:t>
      </w:r>
      <w:r>
        <w:rPr>
          <w:rFonts w:ascii="Times New Roman;Times;serif" w:hAnsi="Times New Roman;Times;serif"/>
          <w:sz w:val="17"/>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jc w:val="left"/>
        <w:rPr/>
      </w:pPr>
      <w:r>
        <w:rPr/>
        <w:t>          </w:t>
      </w:r>
      <w:r>
        <w:rPr>
          <w:rFonts w:ascii="Times New Roman;Times;serif" w:hAnsi="Times New Roman;Times;serif"/>
          <w:sz w:val="17"/>
        </w:rPr>
        <w:t xml:space="preserve">6. </w:t>
      </w:r>
      <w:r>
        <w:rPr>
          <w:rFonts w:ascii="Times New Roman;Times;serif" w:hAnsi="Times New Roman;Times;serif"/>
          <w:sz w:val="17"/>
          <w:u w:val="single"/>
        </w:rPr>
        <w:t>Special Mandatory Redemption</w:t>
      </w:r>
      <w:r>
        <w:rPr>
          <w:rFonts w:ascii="Times New Roman;Times;serif" w:hAnsi="Times New Roman;Times;serif"/>
          <w:sz w:val="17"/>
        </w:rPr>
        <w:t xml:space="preserve">. Following the occurrence of a Special Mandatory Redemption Trigger Event, the Issuers shall redeem the Notes as a whole, upon notice as provided in this paragraph 6, at a redemption price equal to 101% of the aggregate principal amount thereof plus accrued and unpaid interest thereon to the mandatory redemption date. Notice of such mandatory redemption shall be given within ten days of the date of the Special Mandatory Redemption Trigger Event by first-class mail, postage prepaid, mailed not less than 15 nor more than 30 days prior to the redemption date, to the Trustee and to each </w:t>
      </w:r>
    </w:p>
    <w:p>
      <w:pPr>
        <w:pStyle w:val="TextBody"/>
        <w:jc w:val="center"/>
        <w:rPr>
          <w:rFonts w:ascii="Times New Roman;Times;serif" w:hAnsi="Times New Roman;Times;serif"/>
          <w:sz w:val="17"/>
        </w:rPr>
      </w:pPr>
      <w:r>
        <w:rPr>
          <w:rFonts w:ascii="Times New Roman;Times;serif" w:hAnsi="Times New Roman;Times;serif"/>
          <w:sz w:val="17"/>
        </w:rPr>
        <w:t xml:space="preserve">A-5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Holder, at such Holders address appearing in the Debt Security Register, and such notice shall state:. </w:t>
      </w:r>
    </w:p>
    <w:p>
      <w:pPr>
        <w:pStyle w:val="TextBody"/>
        <w:spacing w:before="120" w:after="283"/>
        <w:jc w:val="left"/>
        <w:rPr/>
      </w:pPr>
      <w:r>
        <w:rPr/>
        <w:t>     </w:t>
      </w:r>
      <w:r>
        <w:rPr>
          <w:rFonts w:ascii="Times New Roman;Times;serif" w:hAnsi="Times New Roman;Times;serif"/>
          <w:sz w:val="17"/>
        </w:rPr>
        <w:t xml:space="preserve">(a) that the Special Mandatory Redemption Trigger Event has occurred; </w:t>
      </w:r>
    </w:p>
    <w:p>
      <w:pPr>
        <w:pStyle w:val="TextBody"/>
        <w:spacing w:before="120" w:after="283"/>
        <w:jc w:val="left"/>
        <w:rPr/>
      </w:pPr>
      <w:r>
        <w:rPr/>
        <w:t>     </w:t>
      </w:r>
      <w:r>
        <w:rPr>
          <w:rFonts w:ascii="Times New Roman;Times;serif" w:hAnsi="Times New Roman;Times;serif"/>
          <w:sz w:val="17"/>
        </w:rPr>
        <w:t xml:space="preserve">(b) the redemption date, which shall be no earlier than 15 days and no later than 30 days from the date the notice is mailed; and </w:t>
      </w:r>
    </w:p>
    <w:p>
      <w:pPr>
        <w:pStyle w:val="TextBody"/>
        <w:spacing w:before="120" w:after="283"/>
        <w:jc w:val="left"/>
        <w:rPr/>
      </w:pPr>
      <w:r>
        <w:rPr/>
        <w:t>     </w:t>
      </w:r>
      <w:r>
        <w:rPr>
          <w:rFonts w:ascii="Times New Roman;Times;serif" w:hAnsi="Times New Roman;Times;serif"/>
          <w:sz w:val="17"/>
        </w:rPr>
        <w:t xml:space="preserve">(c) the other information required by Section 3.02 of the Original Indenture.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Except to the extent any provision of this paragraph 6 conflicts with the provisions in Sections 3.01 to 3.03 of the Original Indenture, any redemption shall otherwise be made pursuant to the provisions of Sections 3.01 to 3.03 of the Original Indenture. </w:t>
      </w:r>
    </w:p>
    <w:p>
      <w:pPr>
        <w:pStyle w:val="TextBody"/>
        <w:spacing w:before="120" w:after="283"/>
        <w:jc w:val="left"/>
        <w:rPr/>
      </w:pPr>
      <w:r>
        <w:rPr/>
        <w:t>          </w:t>
      </w:r>
      <w:r>
        <w:rPr>
          <w:rFonts w:ascii="Times New Roman;Times;serif" w:hAnsi="Times New Roman;Times;serif"/>
          <w:sz w:val="17"/>
        </w:rPr>
        <w:t xml:space="preserve">7. </w:t>
      </w:r>
      <w:r>
        <w:rPr>
          <w:rFonts w:ascii="Times New Roman;Times;serif" w:hAnsi="Times New Roman;Times;serif"/>
          <w:sz w:val="17"/>
          <w:u w:val="single"/>
        </w:rPr>
        <w:t>Notice of Redemption</w:t>
      </w:r>
      <w:r>
        <w:rPr>
          <w:rFonts w:ascii="Times New Roman;Times;serif" w:hAnsi="Times New Roman;Times;serif"/>
          <w:sz w:val="17"/>
        </w:rPr>
        <w:t xml:space="preserve">. Except as described in paragraph 6 above with respect to Special Mandatory Redemption,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120" w:after="283"/>
        <w:jc w:val="left"/>
        <w:rPr/>
      </w:pPr>
      <w:r>
        <w:rPr/>
        <w:t>          </w:t>
      </w:r>
      <w:r>
        <w:rPr>
          <w:rFonts w:ascii="Times New Roman;Times;serif" w:hAnsi="Times New Roman;Times;serif"/>
          <w:sz w:val="17"/>
        </w:rPr>
        <w:t xml:space="preserve">8. </w:t>
      </w:r>
      <w:r>
        <w:rPr>
          <w:rFonts w:ascii="Times New Roman;Times;serif" w:hAnsi="Times New Roman;Times;serif"/>
          <w:sz w:val="17"/>
          <w:u w:val="single"/>
        </w:rPr>
        <w:t>Denominations, Transfer, Exchange</w:t>
      </w:r>
      <w:r>
        <w:rPr>
          <w:rFonts w:ascii="Times New Roman;Times;serif" w:hAnsi="Times New Roman;Times;serif"/>
          <w:sz w:val="17"/>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120" w:after="283"/>
        <w:jc w:val="left"/>
        <w:rPr/>
      </w:pPr>
      <w:r>
        <w:rPr/>
        <w:t>          </w:t>
      </w:r>
      <w:r>
        <w:rPr>
          <w:rFonts w:ascii="Times New Roman;Times;serif" w:hAnsi="Times New Roman;Times;serif"/>
          <w:sz w:val="17"/>
        </w:rPr>
        <w:t xml:space="preserve">9. </w:t>
      </w:r>
      <w:r>
        <w:rPr>
          <w:rFonts w:ascii="Times New Roman;Times;serif" w:hAnsi="Times New Roman;Times;serif"/>
          <w:sz w:val="17"/>
          <w:u w:val="single"/>
        </w:rPr>
        <w:t>Persons Deemed Owners</w:t>
      </w:r>
      <w:r>
        <w:rPr>
          <w:rFonts w:ascii="Times New Roman;Times;serif" w:hAnsi="Times New Roman;Times;serif"/>
          <w:sz w:val="17"/>
        </w:rPr>
        <w:t xml:space="preserve">. The registered Holder of a Note shall be treated as its owner for all purposes. </w:t>
      </w:r>
    </w:p>
    <w:p>
      <w:pPr>
        <w:pStyle w:val="TextBody"/>
        <w:spacing w:before="120" w:after="283"/>
        <w:jc w:val="left"/>
        <w:rPr/>
      </w:pPr>
      <w:r>
        <w:rPr/>
        <w:t>          </w:t>
      </w:r>
      <w:r>
        <w:rPr>
          <w:rFonts w:ascii="Times New Roman;Times;serif" w:hAnsi="Times New Roman;Times;serif"/>
          <w:sz w:val="17"/>
        </w:rPr>
        <w:t xml:space="preserve">10. </w:t>
      </w:r>
      <w:r>
        <w:rPr>
          <w:rFonts w:ascii="Times New Roman;Times;serif" w:hAnsi="Times New Roman;Times;serif"/>
          <w:sz w:val="17"/>
          <w:u w:val="single"/>
        </w:rPr>
        <w:t>Amendment, Supplement and Waiver</w:t>
      </w:r>
      <w:r>
        <w:rPr>
          <w:rFonts w:ascii="Times New Roman;Times;serif" w:hAnsi="Times New Roman;Times;serif"/>
          <w:sz w:val="17"/>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w:t>
      </w:r>
    </w:p>
    <w:p>
      <w:pPr>
        <w:pStyle w:val="TextBody"/>
        <w:jc w:val="center"/>
        <w:rPr>
          <w:rFonts w:ascii="Times New Roman;Times;serif" w:hAnsi="Times New Roman;Times;serif"/>
          <w:sz w:val="17"/>
        </w:rPr>
      </w:pPr>
      <w:r>
        <w:rPr>
          <w:rFonts w:ascii="Times New Roman;Times;serif" w:hAnsi="Times New Roman;Times;serif"/>
          <w:sz w:val="17"/>
        </w:rPr>
        <w:t xml:space="preserve">A-6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120" w:after="283"/>
        <w:jc w:val="left"/>
        <w:rPr/>
      </w:pPr>
      <w:r>
        <w:rPr/>
        <w:t>          </w:t>
      </w:r>
      <w:r>
        <w:rPr>
          <w:rFonts w:ascii="Times New Roman;Times;serif" w:hAnsi="Times New Roman;Times;serif"/>
          <w:sz w:val="17"/>
        </w:rPr>
        <w:t xml:space="preserve">11. </w:t>
      </w:r>
      <w:r>
        <w:rPr>
          <w:rFonts w:ascii="Times New Roman;Times;serif" w:hAnsi="Times New Roman;Times;serif"/>
          <w:sz w:val="17"/>
          <w:u w:val="single"/>
        </w:rPr>
        <w:t>Defaults and Remedies</w:t>
      </w:r>
      <w:r>
        <w:rPr>
          <w:rFonts w:ascii="Times New Roman;Times;serif" w:hAnsi="Times New Roman;Times;serif"/>
          <w:sz w:val="17"/>
        </w:rPr>
        <w:t>. Events of Default with respect to the Notes include: (i) default for 60 days in the payment when due of interest on, or Additional Interest with respect to, the Notes; (ii) default in payment when due of principal of or premium, if any, on the Notes at maturity, upon redemption or otherwise, (iii) failure by an Issuer or any Subsidiary Guarantor for 30 days after notice to comply with any of the other agreements in the Indenture (</w:t>
      </w:r>
      <w:r>
        <w:rPr>
          <w:rFonts w:ascii="Times New Roman;Times;serif" w:hAnsi="Times New Roman;Times;serif"/>
          <w:sz w:val="17"/>
          <w:u w:val="single"/>
        </w:rPr>
        <w:t>provided</w:t>
      </w:r>
      <w:r>
        <w:rPr>
          <w:rFonts w:ascii="Times New Roman;Times;serif" w:hAnsi="Times New Roman;Times;serif"/>
          <w:sz w:val="17"/>
        </w:rPr>
        <w:t xml:space="preserve"> that notice need not be given, and an Event of Default shall occur, 30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or Event of Default (except a Default or Event of Default relating to the payment of principal, premium, if any, or interest) if it determines that withholding notice is </w:t>
      </w:r>
    </w:p>
    <w:p>
      <w:pPr>
        <w:pStyle w:val="TextBody"/>
        <w:jc w:val="center"/>
        <w:rPr>
          <w:rFonts w:ascii="Times New Roman;Times;serif" w:hAnsi="Times New Roman;Times;serif"/>
          <w:sz w:val="17"/>
        </w:rPr>
      </w:pPr>
      <w:r>
        <w:rPr>
          <w:rFonts w:ascii="Times New Roman;Times;serif" w:hAnsi="Times New Roman;Times;serif"/>
          <w:sz w:val="17"/>
        </w:rPr>
        <w:t xml:space="preserve">A-7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their interests.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the principal of, or premium, if any, on the Notes.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120" w:after="283"/>
        <w:jc w:val="left"/>
        <w:rPr/>
      </w:pPr>
      <w:r>
        <w:rPr/>
        <w:t>          </w:t>
      </w:r>
      <w:r>
        <w:rPr>
          <w:rFonts w:ascii="Times New Roman;Times;serif" w:hAnsi="Times New Roman;Times;serif"/>
          <w:sz w:val="17"/>
        </w:rPr>
        <w:t xml:space="preserve">12. </w:t>
      </w:r>
      <w:r>
        <w:rPr>
          <w:rFonts w:ascii="Times New Roman;Times;serif" w:hAnsi="Times New Roman;Times;serif"/>
          <w:sz w:val="17"/>
          <w:u w:val="single"/>
        </w:rPr>
        <w:t>Trustee Dealings with Issuers</w:t>
      </w:r>
      <w:r>
        <w:rPr>
          <w:rFonts w:ascii="Times New Roman;Times;serif" w:hAnsi="Times New Roman;Times;serif"/>
          <w:sz w:val="17"/>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120" w:after="283"/>
        <w:jc w:val="left"/>
        <w:rPr/>
      </w:pPr>
      <w:r>
        <w:rPr/>
        <w:t>          </w:t>
      </w:r>
      <w:r>
        <w:rPr>
          <w:rFonts w:ascii="Times New Roman;Times;serif" w:hAnsi="Times New Roman;Times;serif"/>
          <w:sz w:val="17"/>
        </w:rPr>
        <w:t xml:space="preserve">13. </w:t>
      </w:r>
      <w:r>
        <w:rPr>
          <w:rFonts w:ascii="Times New Roman;Times;serif" w:hAnsi="Times New Roman;Times;serif"/>
          <w:sz w:val="17"/>
          <w:u w:val="single"/>
        </w:rPr>
        <w:t>No Recourse Against Others</w:t>
      </w:r>
      <w:r>
        <w:rPr>
          <w:rFonts w:ascii="Times New Roman;Times;serif" w:hAnsi="Times New Roman;Times;serif"/>
          <w:sz w:val="17"/>
        </w:rPr>
        <w:t xml:space="preserve">. The General Partner and its directors, officers, employees and partners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120" w:after="283"/>
        <w:jc w:val="left"/>
        <w:rPr/>
      </w:pPr>
      <w:r>
        <w:rPr/>
        <w:t>          </w:t>
      </w:r>
      <w:r>
        <w:rPr>
          <w:rFonts w:ascii="Times New Roman;Times;serif" w:hAnsi="Times New Roman;Times;serif"/>
          <w:sz w:val="17"/>
        </w:rPr>
        <w:t xml:space="preserve">14. </w:t>
      </w:r>
      <w:r>
        <w:rPr>
          <w:rFonts w:ascii="Times New Roman;Times;serif" w:hAnsi="Times New Roman;Times;serif"/>
          <w:sz w:val="17"/>
          <w:u w:val="single"/>
        </w:rPr>
        <w:t>Authentication</w:t>
      </w:r>
      <w:r>
        <w:rPr>
          <w:rFonts w:ascii="Times New Roman;Times;serif" w:hAnsi="Times New Roman;Times;serif"/>
          <w:sz w:val="17"/>
        </w:rPr>
        <w:t xml:space="preserve">. This Note shall not be valid until authenticated by the manual signature of the Trustee or an authenticating agent. </w:t>
      </w:r>
    </w:p>
    <w:p>
      <w:pPr>
        <w:pStyle w:val="TextBody"/>
        <w:spacing w:before="120" w:after="283"/>
        <w:jc w:val="left"/>
        <w:rPr/>
      </w:pPr>
      <w:r>
        <w:rPr/>
        <w:t>          </w:t>
      </w:r>
      <w:r>
        <w:rPr>
          <w:rFonts w:ascii="Times New Roman;Times;serif" w:hAnsi="Times New Roman;Times;serif"/>
          <w:sz w:val="17"/>
        </w:rPr>
        <w:t xml:space="preserve">15. </w:t>
      </w:r>
      <w:r>
        <w:rPr>
          <w:rFonts w:ascii="Times New Roman;Times;serif" w:hAnsi="Times New Roman;Times;serif"/>
          <w:sz w:val="17"/>
          <w:u w:val="single"/>
        </w:rPr>
        <w:t>Abbreviations</w:t>
      </w:r>
      <w:r>
        <w:rPr>
          <w:rFonts w:ascii="Times New Roman;Times;serif" w:hAnsi="Times New Roman;Times;serif"/>
          <w:sz w:val="17"/>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120" w:after="283"/>
        <w:jc w:val="left"/>
        <w:rPr/>
      </w:pPr>
      <w:r>
        <w:rPr/>
        <w:t>          </w:t>
      </w:r>
      <w:r>
        <w:rPr>
          <w:rFonts w:ascii="Times New Roman;Times;serif" w:hAnsi="Times New Roman;Times;serif"/>
          <w:sz w:val="17"/>
        </w:rPr>
        <w:t xml:space="preserve">16. </w:t>
      </w:r>
      <w:r>
        <w:rPr>
          <w:rFonts w:ascii="Times New Roman;Times;serif" w:hAnsi="Times New Roman;Times;serif"/>
          <w:sz w:val="17"/>
          <w:u w:val="single"/>
        </w:rPr>
        <w:t>CUSIP and ISIN Numbers</w:t>
      </w:r>
      <w:r>
        <w:rPr>
          <w:rFonts w:ascii="Times New Roman;Times;serif" w:hAnsi="Times New Roman;Times;serif"/>
          <w:sz w:val="17"/>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120" w:after="283"/>
        <w:jc w:val="left"/>
        <w:rPr/>
      </w:pPr>
      <w:r>
        <w:rPr/>
        <w:t>          </w:t>
      </w:r>
      <w:r>
        <w:rPr>
          <w:rFonts w:ascii="Times New Roman;Times;serif" w:hAnsi="Times New Roman;Times;serif"/>
          <w:sz w:val="17"/>
        </w:rPr>
        <w:t xml:space="preserve">17. </w:t>
      </w:r>
      <w:r>
        <w:rPr>
          <w:rFonts w:ascii="Times New Roman;Times;serif" w:hAnsi="Times New Roman;Times;serif"/>
          <w:sz w:val="17"/>
          <w:u w:val="single"/>
        </w:rPr>
        <w:t>Additional Rights of Holders of Transfer Restricted Securities</w:t>
      </w:r>
      <w:r>
        <w:rPr>
          <w:rFonts w:ascii="Times New Roman;Times;serif" w:hAnsi="Times New Roman;Times;serif"/>
          <w:sz w:val="17"/>
        </w:rPr>
        <w:t xml:space="preserve">. In addition to the rights provided to Holders of Notes under the Indenture, Holders of Transfer Restricted Securities shall have all the rights set forth in the Exchange and Registration Rights Agreement, including the right to receive Additional Interest as set forth therein. </w:t>
      </w:r>
    </w:p>
    <w:p>
      <w:pPr>
        <w:pStyle w:val="TextBody"/>
        <w:jc w:val="center"/>
        <w:rPr>
          <w:rFonts w:ascii="Times New Roman;Times;serif" w:hAnsi="Times New Roman;Times;serif"/>
          <w:sz w:val="17"/>
        </w:rPr>
      </w:pPr>
      <w:r>
        <w:rPr>
          <w:rFonts w:ascii="Times New Roman;Times;serif" w:hAnsi="Times New Roman;Times;serif"/>
          <w:sz w:val="17"/>
        </w:rPr>
        <w:t xml:space="preserve">A-8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Issuers shall furnish to any Holder upon written request and without charge a copy of the Indenture. Requests may be made 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Houston, Texas 77002</w:t>
        <w:br/>
        <w:t xml:space="preserve">Attention: Investor Relations </w:t>
      </w:r>
    </w:p>
    <w:p>
      <w:pPr>
        <w:pStyle w:val="TextBody"/>
        <w:jc w:val="center"/>
        <w:rPr>
          <w:rFonts w:ascii="Times New Roman;Times;serif" w:hAnsi="Times New Roman;Times;serif"/>
          <w:sz w:val="17"/>
        </w:rPr>
      </w:pPr>
      <w:r>
        <w:rPr>
          <w:rFonts w:ascii="Times New Roman;Times;serif" w:hAnsi="Times New Roman;Times;serif"/>
          <w:sz w:val="17"/>
        </w:rPr>
        <w:t xml:space="preserve">A-9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Assignment Form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assign this Note, fill in the form below: (I) or (we) assign and transfer this Note to </w:t>
      </w:r>
    </w:p>
    <w:p>
      <w:pPr>
        <w:pStyle w:val="TextBody"/>
        <w:spacing w:before="3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(Insert assignees soc. sec. or tax I.D. no.)</w:t>
      </w:r>
    </w:p>
    <w:p>
      <w:pPr>
        <w:pStyle w:val="TextBody"/>
        <w:spacing w:before="320" w:after="283"/>
        <w:jc w:val="center"/>
        <w:rPr>
          <w:bdr w:val="single" w:sz="2" w:space="1" w:color="000000"/>
        </w:rPr>
      </w:pPr>
      <w:r>
        <w:rPr>
          <w:bdr w:val="single" w:sz="2" w:space="1" w:color="000000"/>
        </w:rPr>
        <w:t> </w:t>
      </w:r>
    </w:p>
    <w:p>
      <w:pPr>
        <w:pStyle w:val="TextBody"/>
        <w:spacing w:before="320" w:after="283"/>
        <w:jc w:val="center"/>
        <w:rPr>
          <w:bdr w:val="single" w:sz="2" w:space="1" w:color="000000"/>
        </w:rPr>
      </w:pPr>
      <w:r>
        <w:rPr>
          <w:bdr w:val="single" w:sz="2" w:space="1" w:color="000000"/>
        </w:rPr>
        <w:t> </w:t>
      </w:r>
    </w:p>
    <w:p>
      <w:pPr>
        <w:pStyle w:val="TextBody"/>
        <w:spacing w:before="320" w:after="283"/>
        <w:jc w:val="center"/>
        <w:rPr>
          <w:bdr w:val="single" w:sz="2" w:space="1" w:color="000000"/>
        </w:rPr>
      </w:pPr>
      <w:r>
        <w:rPr>
          <w:bdr w:val="single" w:sz="2" w:space="1" w:color="000000"/>
        </w:rPr>
        <w:t> </w:t>
      </w:r>
    </w:p>
    <w:p>
      <w:pPr>
        <w:pStyle w:val="TextBody"/>
        <w:spacing w:before="320" w:after="283"/>
        <w:jc w:val="center"/>
        <w:rPr>
          <w:bdr w:val="single" w:sz="2" w:space="1" w:color="000000"/>
        </w:rPr>
      </w:pPr>
      <w:r>
        <w:rPr>
          <w:bdr w:val="single" w:sz="2" w:space="1" w:color="000000"/>
        </w:rPr>
        <w:t> </w:t>
      </w:r>
    </w:p>
    <w:p>
      <w:pPr>
        <w:pStyle w:val="TextBody"/>
        <w:spacing w:before="0" w:after="0"/>
        <w:jc w:val="left"/>
        <w:rPr>
          <w:rFonts w:ascii="Times New Roman;Times;serif" w:hAnsi="Times New Roman;Times;serif"/>
          <w:sz w:val="17"/>
        </w:rPr>
      </w:pPr>
      <w:r>
        <w:rPr>
          <w:rFonts w:ascii="Times New Roman;Times;serif" w:hAnsi="Times New Roman;Times;serif"/>
          <w:sz w:val="17"/>
        </w:rPr>
        <w:t>(Print or type assignees name, address and zip code)</w:t>
      </w:r>
    </w:p>
    <w:tbl>
      <w:tblPr>
        <w:tblW w:w="5000" w:type="pct"/>
        <w:jc w:val="center"/>
        <w:tblInd w:w="0" w:type="dxa"/>
        <w:tblCellMar>
          <w:top w:w="0" w:type="dxa"/>
          <w:left w:w="0" w:type="dxa"/>
          <w:bottom w:w="0" w:type="dxa"/>
          <w:right w:w="0" w:type="dxa"/>
        </w:tblCellMar>
      </w:tblPr>
      <w:tblGrid>
        <w:gridCol w:w="1121"/>
        <w:gridCol w:w="135"/>
        <w:gridCol w:w="8949"/>
      </w:tblGrid>
      <w:tr>
        <w:trPr/>
        <w:tc>
          <w:tcPr>
            <w:tcW w:w="11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949" w:type="dxa"/>
            <w:tcBorders/>
            <w:shd w:fill="auto" w:val="clear"/>
            <w:vAlign w:val="bottom"/>
          </w:tcPr>
          <w:p>
            <w:pPr>
              <w:pStyle w:val="TableContents"/>
              <w:spacing w:before="0" w:after="283"/>
              <w:rPr/>
            </w:pPr>
            <w:r>
              <w:rPr/>
              <w:t> </w:t>
            </w:r>
          </w:p>
        </w:tc>
      </w:tr>
      <w:tr>
        <w:trPr/>
        <w:tc>
          <w:tcPr>
            <w:tcW w:w="1121" w:type="dxa"/>
            <w:tcBorders/>
            <w:shd w:fill="auto" w:val="clear"/>
          </w:tcPr>
          <w:p>
            <w:pPr>
              <w:pStyle w:val="TableContents"/>
              <w:spacing w:before="0" w:after="0"/>
              <w:ind w:left="0" w:right="0" w:hanging="0"/>
              <w:rPr/>
            </w:pPr>
            <w:r>
              <w:rPr/>
              <w:t>and irrevocably appoint</w:t>
            </w:r>
          </w:p>
        </w:tc>
        <w:tc>
          <w:tcPr>
            <w:tcW w:w="135" w:type="dxa"/>
            <w:tcBorders/>
            <w:shd w:fill="auto" w:val="clear"/>
            <w:vAlign w:val="bottom"/>
          </w:tcPr>
          <w:p>
            <w:pPr>
              <w:pStyle w:val="TableContents"/>
              <w:spacing w:before="0" w:after="283"/>
              <w:rPr/>
            </w:pPr>
            <w:r>
              <w:rPr/>
              <w:t> </w:t>
            </w:r>
          </w:p>
        </w:tc>
        <w:tc>
          <w:tcPr>
            <w:tcW w:w="8949" w:type="dxa"/>
            <w:tcBorders/>
            <w:shd w:fill="auto" w:val="clear"/>
          </w:tcPr>
          <w:p>
            <w:pPr>
              <w:pStyle w:val="TableContents"/>
              <w:spacing w:before="0" w:after="283"/>
              <w:jc w:val="left"/>
              <w:rPr/>
            </w:pPr>
            <w:r>
              <w:rPr/>
              <w:t> </w:t>
            </w:r>
          </w:p>
        </w:tc>
      </w:tr>
      <w:tr>
        <w:trPr/>
        <w:tc>
          <w:tcPr>
            <w:tcW w:w="1121" w:type="dxa"/>
            <w:tcBorders/>
            <w:shd w:fill="auto" w:val="clea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283"/>
              <w:rPr/>
            </w:pPr>
            <w:r>
              <w:rPr/>
              <w:t> </w:t>
            </w:r>
          </w:p>
        </w:tc>
        <w:tc>
          <w:tcPr>
            <w:tcW w:w="89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10205" w:type="dxa"/>
            <w:gridSpan w:val="3"/>
            <w:tcBorders/>
            <w:shd w:fill="auto" w:val="clear"/>
          </w:tcPr>
          <w:p>
            <w:pPr>
              <w:pStyle w:val="TableContents"/>
              <w:spacing w:before="0" w:after="283"/>
              <w:jc w:val="left"/>
              <w:rPr/>
            </w:pPr>
            <w:r>
              <w:rPr/>
              <w:t>agent to transfer this Note on the books of the Issuers. The agent may substitute another to act for him.</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w:t>
      </w:r>
      <w:r>
        <w:rPr>
          <w:rFonts w:ascii="Times New Roman;Times;serif" w:hAnsi="Times New Roman;Times;serif"/>
          <w:sz w:val="17"/>
          <w:u w:val="single"/>
        </w:rPr>
        <w:t>                    </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716"/>
        <w:gridCol w:w="131"/>
        <w:gridCol w:w="920"/>
        <w:gridCol w:w="131"/>
        <w:gridCol w:w="2307"/>
      </w:tblGrid>
      <w:tr>
        <w:trPr/>
        <w:tc>
          <w:tcPr>
            <w:tcW w:w="671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307" w:type="dxa"/>
            <w:tcBorders/>
            <w:shd w:fill="auto" w:val="clear"/>
            <w:vAlign w:val="bottom"/>
          </w:tcPr>
          <w:p>
            <w:pPr>
              <w:pStyle w:val="TableContents"/>
              <w:spacing w:before="0" w:after="283"/>
              <w:rPr/>
            </w:pPr>
            <w:r>
              <w:rPr/>
              <w:t> </w:t>
            </w:r>
          </w:p>
        </w:tc>
      </w:tr>
      <w:tr>
        <w:trPr/>
        <w:tc>
          <w:tcPr>
            <w:tcW w:w="6716"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920" w:type="dxa"/>
            <w:tcBorders/>
            <w:shd w:fill="auto" w:val="clear"/>
          </w:tcPr>
          <w:p>
            <w:pPr>
              <w:pStyle w:val="TableContents"/>
              <w:spacing w:before="0" w:after="283"/>
              <w:jc w:val="left"/>
              <w:rPr/>
            </w:pPr>
            <w:r>
              <w:rPr/>
              <w:t>Your Signature:</w:t>
            </w:r>
          </w:p>
        </w:tc>
        <w:tc>
          <w:tcPr>
            <w:tcW w:w="131" w:type="dxa"/>
            <w:tcBorders/>
            <w:shd w:fill="auto" w:val="clear"/>
            <w:vAlign w:val="bottom"/>
          </w:tcPr>
          <w:p>
            <w:pPr>
              <w:pStyle w:val="TableContents"/>
              <w:spacing w:before="0" w:after="283"/>
              <w:rPr/>
            </w:pPr>
            <w:r>
              <w:rPr/>
              <w:t> </w:t>
            </w:r>
          </w:p>
        </w:tc>
        <w:tc>
          <w:tcPr>
            <w:tcW w:w="2307" w:type="dxa"/>
            <w:tcBorders/>
            <w:shd w:fill="auto" w:val="clear"/>
          </w:tcPr>
          <w:p>
            <w:pPr>
              <w:pStyle w:val="TableContents"/>
              <w:spacing w:before="0" w:after="283"/>
              <w:jc w:val="left"/>
              <w:rPr/>
            </w:pPr>
            <w:r>
              <w:rPr/>
              <w:t> </w:t>
            </w:r>
          </w:p>
        </w:tc>
      </w:tr>
      <w:tr>
        <w:trPr/>
        <w:tc>
          <w:tcPr>
            <w:tcW w:w="6716" w:type="dxa"/>
            <w:tcBorders/>
            <w:shd w:fill="auto" w:val="clear"/>
          </w:tcPr>
          <w:p>
            <w:pPr>
              <w:pStyle w:val="TableContents"/>
              <w:spacing w:before="0" w:after="0"/>
              <w:ind w:left="0" w:right="0" w:hanging="0"/>
              <w:rPr/>
            </w:pPr>
            <w:r>
              <w:rPr/>
              <w:t xml:space="preserve">  </w:t>
            </w:r>
          </w:p>
        </w:tc>
        <w:tc>
          <w:tcPr>
            <w:tcW w:w="131" w:type="dxa"/>
            <w:tcBorders/>
            <w:shd w:fill="auto" w:val="clear"/>
            <w:vAlign w:val="center"/>
          </w:tcPr>
          <w:p>
            <w:pPr>
              <w:pStyle w:val="TableContents"/>
              <w:spacing w:before="0" w:after="283"/>
              <w:rPr/>
            </w:pPr>
            <w:r>
              <w:rPr/>
              <w:t> </w:t>
            </w:r>
          </w:p>
        </w:tc>
        <w:tc>
          <w:tcPr>
            <w:tcW w:w="920" w:type="dxa"/>
            <w:tcBorders/>
            <w:shd w:fill="auto" w:val="cle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2307" w:type="dxa"/>
            <w:tcBorders>
              <w:top w:val="single" w:sz="2" w:space="0" w:color="000000"/>
            </w:tcBorders>
            <w:shd w:fill="auto" w:val="clear"/>
            <w:tcMar>
              <w:top w:w="28" w:type="dxa"/>
            </w:tcMar>
          </w:tcPr>
          <w:p>
            <w:pPr>
              <w:pStyle w:val="TableContents"/>
              <w:spacing w:before="0" w:after="283"/>
              <w:jc w:val="left"/>
              <w:rPr/>
            </w:pPr>
            <w:r>
              <w:rPr/>
              <w:t> </w:t>
            </w:r>
          </w:p>
        </w:tc>
      </w:tr>
      <w:tr>
        <w:trPr/>
        <w:tc>
          <w:tcPr>
            <w:tcW w:w="6716"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92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2307" w:type="dxa"/>
            <w:tcBorders/>
            <w:shd w:fill="auto" w:val="clear"/>
          </w:tcPr>
          <w:p>
            <w:pPr>
              <w:pStyle w:val="TableContents"/>
              <w:spacing w:before="0" w:after="283"/>
              <w:jc w:val="left"/>
              <w:rPr/>
            </w:pPr>
            <w:r>
              <w:rPr/>
              <w:t>(Sign exactly as your name appears on the face of this Note)</w:t>
            </w:r>
          </w:p>
        </w:tc>
      </w:tr>
    </w:tbl>
    <w:tbl>
      <w:tblPr>
        <w:tblW w:w="5000" w:type="pct"/>
        <w:jc w:val="center"/>
        <w:tblInd w:w="0" w:type="dxa"/>
        <w:tblCellMar>
          <w:top w:w="0" w:type="dxa"/>
          <w:left w:w="0" w:type="dxa"/>
          <w:bottom w:w="0" w:type="dxa"/>
          <w:right w:w="0" w:type="dxa"/>
        </w:tblCellMar>
      </w:tblPr>
      <w:tblGrid>
        <w:gridCol w:w="1006"/>
        <w:gridCol w:w="126"/>
        <w:gridCol w:w="9073"/>
      </w:tblGrid>
      <w:tr>
        <w:trPr/>
        <w:tc>
          <w:tcPr>
            <w:tcW w:w="100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073" w:type="dxa"/>
            <w:tcBorders/>
            <w:shd w:fill="auto" w:val="clear"/>
            <w:vAlign w:val="bottom"/>
          </w:tcPr>
          <w:p>
            <w:pPr>
              <w:pStyle w:val="TableContents"/>
              <w:spacing w:before="0" w:after="283"/>
              <w:rPr/>
            </w:pPr>
            <w:r>
              <w:rPr/>
              <w:t> </w:t>
            </w:r>
          </w:p>
        </w:tc>
      </w:tr>
      <w:tr>
        <w:trPr/>
        <w:tc>
          <w:tcPr>
            <w:tcW w:w="1006" w:type="dxa"/>
            <w:tcBorders/>
            <w:shd w:fill="auto" w:val="clear"/>
          </w:tcPr>
          <w:p>
            <w:pPr>
              <w:pStyle w:val="TableContents"/>
              <w:spacing w:before="0" w:after="0"/>
              <w:ind w:left="0" w:right="0" w:hanging="0"/>
              <w:rPr/>
            </w:pPr>
            <w:r>
              <w:rPr/>
              <w:t>Signature Guarantee:</w:t>
            </w:r>
          </w:p>
        </w:tc>
        <w:tc>
          <w:tcPr>
            <w:tcW w:w="126" w:type="dxa"/>
            <w:tcBorders/>
            <w:shd w:fill="auto" w:val="clear"/>
            <w:vAlign w:val="bottom"/>
          </w:tcPr>
          <w:p>
            <w:pPr>
              <w:pStyle w:val="TableContents"/>
              <w:spacing w:before="0" w:after="283"/>
              <w:rPr/>
            </w:pPr>
            <w:r>
              <w:rPr/>
              <w:t> </w:t>
            </w:r>
          </w:p>
        </w:tc>
        <w:tc>
          <w:tcPr>
            <w:tcW w:w="9073" w:type="dxa"/>
            <w:tcBorders/>
            <w:shd w:fill="auto" w:val="clear"/>
          </w:tcPr>
          <w:p>
            <w:pPr>
              <w:pStyle w:val="TableContents"/>
              <w:spacing w:before="0" w:after="283"/>
              <w:jc w:val="left"/>
              <w:rPr/>
            </w:pPr>
            <w:r>
              <w:rPr/>
              <w:t> </w:t>
            </w:r>
          </w:p>
        </w:tc>
      </w:tr>
      <w:tr>
        <w:trPr/>
        <w:tc>
          <w:tcPr>
            <w:tcW w:w="1006"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9073" w:type="dxa"/>
            <w:tcBorders>
              <w:top w:val="single" w:sz="2" w:space="0" w:color="000000"/>
            </w:tcBorders>
            <w:shd w:fill="auto" w:val="clear"/>
            <w:tcMar>
              <w:top w:w="28" w:type="dxa"/>
            </w:tcMar>
          </w:tcPr>
          <w:p>
            <w:pPr>
              <w:pStyle w:val="TableContents"/>
              <w:spacing w:before="0" w:after="283"/>
              <w:jc w:val="left"/>
              <w:rPr/>
            </w:pPr>
            <w:r>
              <w:rPr/>
              <w:t> </w:t>
            </w:r>
          </w:p>
        </w:tc>
      </w:tr>
      <w:tr>
        <w:trPr/>
        <w:tc>
          <w:tcPr>
            <w:tcW w:w="1006"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9073" w:type="dxa"/>
            <w:tcBorders/>
            <w:shd w:fill="auto" w:val="clear"/>
          </w:tcPr>
          <w:p>
            <w:pPr>
              <w:pStyle w:val="TableContents"/>
              <w:spacing w:before="0" w:after="283"/>
              <w:jc w:val="left"/>
              <w:rPr/>
            </w:pPr>
            <w:r>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A-10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OF INCREASES OR DECREASES IN THE GLOBAL NOTE4</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original principal amount of this Global Note is </w:t>
      </w:r>
      <w:r>
        <w:rPr>
          <w:rFonts w:ascii="Times New Roman;Times;serif" w:hAnsi="Times New Roman;Times;serif"/>
          <w:sz w:val="17"/>
          <w:u w:val="single"/>
        </w:rPr>
        <w:t>                                        </w:t>
      </w:r>
      <w:r>
        <w:rPr>
          <w:rFonts w:ascii="Times New Roman;Times;serif" w:hAnsi="Times New Roman;Times;serif"/>
          <w:sz w:val="17"/>
        </w:rPr>
        <w:t xml:space="preserve">. The following increases or decreases in this Global Note have been made: </w:t>
      </w:r>
    </w:p>
    <w:tbl>
      <w:tblPr>
        <w:tblW w:w="5000" w:type="pct"/>
        <w:jc w:val="center"/>
        <w:tblInd w:w="0" w:type="dxa"/>
        <w:tblCellMar>
          <w:top w:w="0" w:type="dxa"/>
          <w:left w:w="0" w:type="dxa"/>
          <w:bottom w:w="0" w:type="dxa"/>
          <w:right w:w="0" w:type="dxa"/>
        </w:tblCellMar>
      </w:tblPr>
      <w:tblGrid>
        <w:gridCol w:w="1589"/>
        <w:gridCol w:w="459"/>
        <w:gridCol w:w="1706"/>
        <w:gridCol w:w="459"/>
        <w:gridCol w:w="1706"/>
        <w:gridCol w:w="459"/>
        <w:gridCol w:w="1687"/>
        <w:gridCol w:w="459"/>
        <w:gridCol w:w="1681"/>
      </w:tblGrid>
      <w:tr>
        <w:trPr/>
        <w:tc>
          <w:tcPr>
            <w:tcW w:w="1589"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rPr/>
            </w:pPr>
            <w:r>
              <w:rPr/>
              <w:t> </w:t>
            </w:r>
          </w:p>
        </w:tc>
      </w:tr>
      <w:tr>
        <w:trPr/>
        <w:tc>
          <w:tcPr>
            <w:tcW w:w="1589"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center"/>
              <w:rPr/>
            </w:pPr>
            <w:r>
              <w:rPr/>
              <w:t>Principal</w:t>
            </w:r>
          </w:p>
        </w:tc>
        <w:tc>
          <w:tcPr>
            <w:tcW w:w="459"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center"/>
              <w:rPr/>
            </w:pPr>
            <w:r>
              <w:rPr/>
              <w:t> </w:t>
            </w:r>
          </w:p>
        </w:tc>
      </w:tr>
      <w:tr>
        <w:trPr/>
        <w:tc>
          <w:tcPr>
            <w:tcW w:w="1589"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Amount of</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Amount of</w:t>
            </w:r>
          </w:p>
        </w:tc>
        <w:tc>
          <w:tcPr>
            <w:tcW w:w="459"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center"/>
              <w:rPr/>
            </w:pPr>
            <w:r>
              <w:rPr/>
              <w:t>Amount of</w:t>
            </w:r>
          </w:p>
        </w:tc>
        <w:tc>
          <w:tcPr>
            <w:tcW w:w="459"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center"/>
              <w:rPr/>
            </w:pPr>
            <w:r>
              <w:rPr/>
              <w:t>Signature of</w:t>
            </w:r>
          </w:p>
        </w:tc>
      </w:tr>
      <w:tr>
        <w:trPr/>
        <w:tc>
          <w:tcPr>
            <w:tcW w:w="1589"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decrease in</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increase in</w:t>
            </w:r>
          </w:p>
        </w:tc>
        <w:tc>
          <w:tcPr>
            <w:tcW w:w="459"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center"/>
              <w:rPr/>
            </w:pPr>
            <w:r>
              <w:rPr/>
              <w:t>this Global Note</w:t>
            </w:r>
          </w:p>
        </w:tc>
        <w:tc>
          <w:tcPr>
            <w:tcW w:w="459"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center"/>
              <w:rPr/>
            </w:pPr>
            <w:r>
              <w:rPr/>
              <w:t>authorized</w:t>
            </w:r>
          </w:p>
        </w:tc>
      </w:tr>
      <w:tr>
        <w:trPr/>
        <w:tc>
          <w:tcPr>
            <w:tcW w:w="1589"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Principal Amount</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Principal Amount</w:t>
            </w:r>
          </w:p>
        </w:tc>
        <w:tc>
          <w:tcPr>
            <w:tcW w:w="459"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center"/>
              <w:rPr/>
            </w:pPr>
            <w:r>
              <w:rPr/>
              <w:t>following such</w:t>
            </w:r>
          </w:p>
        </w:tc>
        <w:tc>
          <w:tcPr>
            <w:tcW w:w="459"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center"/>
              <w:rPr/>
            </w:pPr>
            <w:r>
              <w:rPr/>
              <w:t>signatory of</w:t>
            </w:r>
          </w:p>
        </w:tc>
      </w:tr>
      <w:tr>
        <w:trPr/>
        <w:tc>
          <w:tcPr>
            <w:tcW w:w="1589" w:type="dxa"/>
            <w:tcBorders/>
            <w:shd w:fill="auto" w:val="clear"/>
            <w:vAlign w:val="bottom"/>
          </w:tcPr>
          <w:p>
            <w:pPr>
              <w:pStyle w:val="TableContents"/>
              <w:spacing w:before="0" w:after="283"/>
              <w:jc w:val="center"/>
              <w:rPr/>
            </w:pPr>
            <w:r>
              <w:rPr/>
              <w:t>Date of</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of</w:t>
            </w:r>
          </w:p>
        </w:tc>
        <w:tc>
          <w:tcPr>
            <w:tcW w:w="459"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center"/>
              <w:rPr/>
            </w:pPr>
            <w:r>
              <w:rPr/>
              <w:t>of</w:t>
            </w:r>
          </w:p>
        </w:tc>
        <w:tc>
          <w:tcPr>
            <w:tcW w:w="459"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center"/>
              <w:rPr/>
            </w:pPr>
            <w:r>
              <w:rPr/>
              <w:t>decrease</w:t>
            </w:r>
          </w:p>
        </w:tc>
        <w:tc>
          <w:tcPr>
            <w:tcW w:w="459"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spacing w:before="0" w:after="283"/>
              <w:jc w:val="center"/>
              <w:rPr/>
            </w:pPr>
            <w:r>
              <w:rPr/>
              <w:t>Trustee or Note</w:t>
            </w:r>
          </w:p>
        </w:tc>
      </w:tr>
      <w:tr>
        <w:trPr/>
        <w:tc>
          <w:tcPr>
            <w:tcW w:w="1589" w:type="dxa"/>
            <w:tcBorders>
              <w:bottom w:val="single" w:sz="2" w:space="0" w:color="000000"/>
            </w:tcBorders>
            <w:shd w:fill="auto" w:val="clear"/>
            <w:tcMar>
              <w:bottom w:w="28" w:type="dxa"/>
            </w:tcMar>
            <w:vAlign w:val="bottom"/>
          </w:tcPr>
          <w:p>
            <w:pPr>
              <w:pStyle w:val="TableContents"/>
              <w:spacing w:before="0" w:after="283"/>
              <w:jc w:val="center"/>
              <w:rPr/>
            </w:pPr>
            <w:r>
              <w:rPr/>
              <w:t>Exchange</w:t>
            </w:r>
          </w:p>
        </w:tc>
        <w:tc>
          <w:tcPr>
            <w:tcW w:w="459" w:type="dxa"/>
            <w:tcBorders/>
            <w:shd w:fill="auto" w:val="clear"/>
            <w:vAlign w:val="bottom"/>
          </w:tcPr>
          <w:p>
            <w:pPr>
              <w:pStyle w:val="TableContents"/>
              <w:spacing w:before="0" w:after="283"/>
              <w:rPr/>
            </w:pPr>
            <w:r>
              <w:rPr/>
              <w:t> </w:t>
            </w:r>
          </w:p>
        </w:tc>
        <w:tc>
          <w:tcPr>
            <w:tcW w:w="1706" w:type="dxa"/>
            <w:tcBorders>
              <w:bottom w:val="single" w:sz="2" w:space="0" w:color="000000"/>
            </w:tcBorders>
            <w:shd w:fill="auto" w:val="clear"/>
            <w:tcMar>
              <w:bottom w:w="28" w:type="dxa"/>
            </w:tcMar>
            <w:vAlign w:val="bottom"/>
          </w:tcPr>
          <w:p>
            <w:pPr>
              <w:pStyle w:val="TableContents"/>
              <w:spacing w:before="0" w:after="283"/>
              <w:jc w:val="center"/>
              <w:rPr/>
            </w:pPr>
            <w:r>
              <w:rPr/>
              <w:t>this Global Note</w:t>
            </w:r>
          </w:p>
        </w:tc>
        <w:tc>
          <w:tcPr>
            <w:tcW w:w="459" w:type="dxa"/>
            <w:tcBorders/>
            <w:shd w:fill="auto" w:val="clear"/>
            <w:vAlign w:val="bottom"/>
          </w:tcPr>
          <w:p>
            <w:pPr>
              <w:pStyle w:val="TableContents"/>
              <w:spacing w:before="0" w:after="283"/>
              <w:rPr/>
            </w:pPr>
            <w:r>
              <w:rPr/>
              <w:t> </w:t>
            </w:r>
          </w:p>
        </w:tc>
        <w:tc>
          <w:tcPr>
            <w:tcW w:w="1706" w:type="dxa"/>
            <w:tcBorders>
              <w:bottom w:val="single" w:sz="2" w:space="0" w:color="000000"/>
            </w:tcBorders>
            <w:shd w:fill="auto" w:val="clear"/>
            <w:tcMar>
              <w:bottom w:w="28" w:type="dxa"/>
            </w:tcMar>
            <w:vAlign w:val="bottom"/>
          </w:tcPr>
          <w:p>
            <w:pPr>
              <w:pStyle w:val="TableContents"/>
              <w:spacing w:before="0" w:after="283"/>
              <w:jc w:val="center"/>
              <w:rPr/>
            </w:pPr>
            <w:r>
              <w:rPr/>
              <w:t>this Global Note</w:t>
            </w:r>
          </w:p>
        </w:tc>
        <w:tc>
          <w:tcPr>
            <w:tcW w:w="459" w:type="dxa"/>
            <w:tcBorders/>
            <w:shd w:fill="auto" w:val="clear"/>
            <w:vAlign w:val="bottom"/>
          </w:tcPr>
          <w:p>
            <w:pPr>
              <w:pStyle w:val="TableContents"/>
              <w:spacing w:before="0" w:after="283"/>
              <w:rPr/>
            </w:pPr>
            <w:r>
              <w:rPr/>
              <w:t> </w:t>
            </w:r>
          </w:p>
        </w:tc>
        <w:tc>
          <w:tcPr>
            <w:tcW w:w="1687" w:type="dxa"/>
            <w:tcBorders>
              <w:bottom w:val="single" w:sz="2" w:space="0" w:color="000000"/>
            </w:tcBorders>
            <w:shd w:fill="auto" w:val="clear"/>
            <w:tcMar>
              <w:bottom w:w="28" w:type="dxa"/>
            </w:tcMar>
            <w:vAlign w:val="bottom"/>
          </w:tcPr>
          <w:p>
            <w:pPr>
              <w:pStyle w:val="TableContents"/>
              <w:spacing w:before="0" w:after="283"/>
              <w:jc w:val="center"/>
              <w:rPr/>
            </w:pPr>
            <w:r>
              <w:rPr/>
              <w:t>(or increase)</w:t>
            </w:r>
          </w:p>
        </w:tc>
        <w:tc>
          <w:tcPr>
            <w:tcW w:w="459" w:type="dxa"/>
            <w:tcBorders/>
            <w:shd w:fill="auto" w:val="clear"/>
            <w:vAlign w:val="bottom"/>
          </w:tcPr>
          <w:p>
            <w:pPr>
              <w:pStyle w:val="TableContents"/>
              <w:spacing w:before="0" w:after="283"/>
              <w:rPr/>
            </w:pPr>
            <w:r>
              <w:rPr/>
              <w:t> </w:t>
            </w:r>
          </w:p>
        </w:tc>
        <w:tc>
          <w:tcPr>
            <w:tcW w:w="1681" w:type="dxa"/>
            <w:tcBorders>
              <w:bottom w:val="single" w:sz="2" w:space="0" w:color="000000"/>
            </w:tcBorders>
            <w:shd w:fill="auto" w:val="clear"/>
            <w:tcMar>
              <w:bottom w:w="28" w:type="dxa"/>
            </w:tcMar>
            <w:vAlign w:val="bottom"/>
          </w:tcPr>
          <w:p>
            <w:pPr>
              <w:pStyle w:val="TableContents"/>
              <w:spacing w:before="0" w:after="283"/>
              <w:jc w:val="center"/>
              <w:rPr/>
            </w:pPr>
            <w:r>
              <w:rPr/>
              <w:t>Custodian</w:t>
            </w:r>
          </w:p>
        </w:tc>
      </w:tr>
      <w:tr>
        <w:trPr/>
        <w:tc>
          <w:tcPr>
            <w:tcW w:w="1589" w:type="dxa"/>
            <w:tcBorders/>
            <w:shd w:fill="auto" w:val="clear"/>
          </w:tcPr>
          <w:p>
            <w:pPr>
              <w:pStyle w:val="TableContents"/>
              <w:spacing w:before="0" w:after="283"/>
              <w:jc w:val="center"/>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center"/>
              <w:rPr/>
            </w:pPr>
            <w:r>
              <w:rPr/>
              <w:t> </w:t>
            </w:r>
          </w:p>
        </w:tc>
        <w:tc>
          <w:tcPr>
            <w:tcW w:w="459" w:type="dxa"/>
            <w:tcBorders/>
            <w:shd w:fill="auto" w:val="clear"/>
            <w:vAlign w:val="bottom"/>
          </w:tcPr>
          <w:p>
            <w:pPr>
              <w:pStyle w:val="TableContents"/>
              <w:spacing w:before="0" w:after="283"/>
              <w:rPr/>
            </w:pPr>
            <w:r>
              <w:rPr/>
              <w:t> </w:t>
            </w:r>
          </w:p>
        </w:tc>
        <w:tc>
          <w:tcPr>
            <w:tcW w:w="1706" w:type="dxa"/>
            <w:tcBorders/>
            <w:shd w:fill="auto" w:val="clear"/>
          </w:tcPr>
          <w:p>
            <w:pPr>
              <w:pStyle w:val="TableContents"/>
              <w:spacing w:before="0" w:after="283"/>
              <w:jc w:val="center"/>
              <w:rPr/>
            </w:pPr>
            <w:r>
              <w:rPr/>
              <w:t> </w:t>
            </w:r>
          </w:p>
        </w:tc>
        <w:tc>
          <w:tcPr>
            <w:tcW w:w="459" w:type="dxa"/>
            <w:tcBorders/>
            <w:shd w:fill="auto" w:val="clear"/>
            <w:vAlign w:val="bottom"/>
          </w:tcPr>
          <w:p>
            <w:pPr>
              <w:pStyle w:val="TableContents"/>
              <w:spacing w:before="0" w:after="283"/>
              <w:rPr/>
            </w:pPr>
            <w:r>
              <w:rPr/>
              <w:t> </w:t>
            </w:r>
          </w:p>
        </w:tc>
        <w:tc>
          <w:tcPr>
            <w:tcW w:w="1687" w:type="dxa"/>
            <w:tcBorders/>
            <w:shd w:fill="auto" w:val="clear"/>
          </w:tcPr>
          <w:p>
            <w:pPr>
              <w:pStyle w:val="TableContents"/>
              <w:spacing w:before="0" w:after="283"/>
              <w:jc w:val="center"/>
              <w:rPr/>
            </w:pPr>
            <w:r>
              <w:rPr/>
              <w:t> </w:t>
            </w:r>
          </w:p>
        </w:tc>
        <w:tc>
          <w:tcPr>
            <w:tcW w:w="459" w:type="dxa"/>
            <w:tcBorders/>
            <w:shd w:fill="auto" w:val="clear"/>
            <w:vAlign w:val="bottom"/>
          </w:tcPr>
          <w:p>
            <w:pPr>
              <w:pStyle w:val="TableContents"/>
              <w:spacing w:before="0" w:after="283"/>
              <w:rPr/>
            </w:pPr>
            <w:r>
              <w:rPr/>
              <w:t> </w:t>
            </w:r>
          </w:p>
        </w:tc>
        <w:tc>
          <w:tcPr>
            <w:tcW w:w="1681" w:type="dxa"/>
            <w:tcBorders/>
            <w:shd w:fill="auto" w:val="clear"/>
          </w:tcPr>
          <w:p>
            <w:pPr>
              <w:pStyle w:val="TableContents"/>
              <w:spacing w:before="0" w:after="283"/>
              <w:jc w:val="center"/>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7040"/>
        <w:gridCol w:w="2334"/>
        <w:gridCol w:w="831"/>
      </w:tblGrid>
      <w:tr>
        <w:trPr/>
        <w:tc>
          <w:tcPr>
            <w:tcW w:w="7040"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r>
      <w:tr>
        <w:trPr/>
        <w:tc>
          <w:tcPr>
            <w:tcW w:w="7040" w:type="dxa"/>
            <w:tcBorders/>
            <w:shd w:fill="auto" w:val="clear"/>
          </w:tcPr>
          <w:p>
            <w:pPr>
              <w:pStyle w:val="TableContents"/>
              <w:spacing w:before="0" w:after="283"/>
              <w:jc w:val="left"/>
              <w:rPr/>
            </w:pPr>
            <w:r>
              <w:rPr/>
              <w:t>4</w:t>
            </w:r>
          </w:p>
        </w:tc>
        <w:tc>
          <w:tcPr>
            <w:tcW w:w="2334" w:type="dxa"/>
            <w:tcBorders/>
            <w:shd w:fill="auto" w:val="clear"/>
          </w:tcPr>
          <w:p>
            <w:pPr>
              <w:pStyle w:val="TableContents"/>
              <w:spacing w:before="0" w:after="283"/>
              <w:rPr/>
            </w:pPr>
            <w:r>
              <w:rPr/>
              <w:t> </w:t>
            </w:r>
          </w:p>
        </w:tc>
        <w:tc>
          <w:tcPr>
            <w:tcW w:w="831" w:type="dxa"/>
            <w:tcBorders/>
            <w:shd w:fill="auto" w:val="clear"/>
          </w:tcPr>
          <w:p>
            <w:pPr>
              <w:pStyle w:val="TableContents"/>
              <w:spacing w:before="0" w:after="283"/>
              <w:rPr/>
            </w:pPr>
            <w:r>
              <w:rPr/>
              <w:t>To be included only if the Note is issued in global form.</w:t>
            </w:r>
          </w:p>
        </w:tc>
      </w:tr>
    </w:tbl>
    <w:p>
      <w:pPr>
        <w:pStyle w:val="TextBody"/>
        <w:jc w:val="center"/>
        <w:rPr>
          <w:rFonts w:ascii="Times New Roman;Times;serif" w:hAnsi="Times New Roman;Times;serif"/>
          <w:sz w:val="17"/>
        </w:rPr>
      </w:pPr>
      <w:r>
        <w:rPr>
          <w:rFonts w:ascii="Times New Roman;Times;serif" w:hAnsi="Times New Roman;Times;serif"/>
          <w:sz w:val="17"/>
        </w:rPr>
        <w:t xml:space="preserve">A-11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B</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 OF SUPPLEMENTAL INDENTURE </w:t>
      </w:r>
    </w:p>
    <w:p>
      <w:pPr>
        <w:pStyle w:val="TextBody"/>
        <w:spacing w:before="120" w:after="283"/>
        <w:jc w:val="left"/>
        <w:rPr/>
      </w:pPr>
      <w:r>
        <w:rPr/>
        <w:t>          </w:t>
      </w:r>
      <w:r>
        <w:rPr>
          <w:rFonts w:ascii="Times New Roman;Times;serif" w:hAnsi="Times New Roman;Times;serif"/>
          <w:sz w:val="17"/>
        </w:rPr>
        <w:t xml:space="preserve">SUPPLEMENTAL INDENTURE (this Supplemental Indenture), dated as of </w:t>
      </w:r>
      <w:r>
        <w:rPr>
          <w:rFonts w:ascii="Times New Roman;Times;serif" w:hAnsi="Times New Roman;Times;serif"/>
          <w:sz w:val="17"/>
          <w:u w:val="single"/>
        </w:rPr>
        <w:t>                                        </w:t>
      </w:r>
      <w:r>
        <w:rPr>
          <w:rFonts w:ascii="Times New Roman;Times;serif" w:hAnsi="Times New Roman;Times;serif"/>
          <w:sz w:val="17"/>
        </w:rPr>
        <w:t xml:space="preserve">, among Plains All American Pipeline, L.P., a Delaware limited partnership (the Partnership), PAA Finance Corp., a Delaware corporation (PAA Finance and, together with the Partnership, the Issuers), </w:t>
      </w:r>
      <w:r>
        <w:rPr>
          <w:rFonts w:ascii="Times New Roman;Times;serif" w:hAnsi="Times New Roman;Times;serif"/>
          <w:sz w:val="17"/>
          <w:u w:val="single"/>
        </w:rPr>
        <w:t>                                        </w:t>
      </w:r>
      <w:r>
        <w:rPr>
          <w:rFonts w:ascii="Times New Roman;Times;serif" w:hAnsi="Times New Roman;Times;serif"/>
          <w:sz w:val="17"/>
        </w:rPr>
        <w:t xml:space="preserve">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W I T N E S S E T H </w:t>
      </w:r>
    </w:p>
    <w:p>
      <w:pPr>
        <w:pStyle w:val="TextBody"/>
        <w:spacing w:before="120" w:after="283"/>
        <w:jc w:val="left"/>
        <w:rPr/>
      </w:pPr>
      <w:r>
        <w:rPr/>
        <w:t>          </w:t>
      </w:r>
      <w:r>
        <w:rPr>
          <w:rFonts w:ascii="Times New Roman;Times;serif" w:hAnsi="Times New Roman;Times;serif"/>
          <w:sz w:val="17"/>
        </w:rPr>
        <w:t xml:space="preserve">WHEREAS, the Issuers have heretofore executed and delivered to the Trustee an indenture (the Original Indenture), dated as of September 25, 2002, as supplemented by the Tenth Supplemental Indenture (the Tenth Supplemental Indenture and, together with the Original Indenture, the Indenture) dated as of October 30, 2006, among the Issuers, the Subsidiary Guarantors and the Trustee, providing for the issuance of the Issuers 6.650% Senior Notes due 2037 (the Notes); </w:t>
      </w:r>
    </w:p>
    <w:p>
      <w:pPr>
        <w:pStyle w:val="TextBody"/>
        <w:spacing w:before="120" w:after="283"/>
        <w:jc w:val="left"/>
        <w:rPr/>
      </w:pPr>
      <w:r>
        <w:rPr/>
        <w:t>          </w:t>
      </w:r>
      <w:r>
        <w:rPr>
          <w:rFonts w:ascii="Times New Roman;Times;serif" w:hAnsi="Times New Roman;Times;serif"/>
          <w:sz w:val="17"/>
        </w:rPr>
        <w:t xml:space="preserve">WHEREAS, Section 5.05 of the Tenth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20" w:after="283"/>
        <w:jc w:val="left"/>
        <w:rPr/>
      </w:pPr>
      <w:r>
        <w:rPr/>
        <w:t>          </w:t>
      </w:r>
      <w:r>
        <w:rPr>
          <w:rFonts w:ascii="Times New Roman;Times;serif" w:hAnsi="Times New Roman;Times;serif"/>
          <w:sz w:val="17"/>
        </w:rPr>
        <w:t xml:space="preserve">WHEREAS, pursuant to Section 9.01 of the Original Indenture, the Issuers and the Trustee are authorized to execute and deliver this Supplemental Indenture; </w:t>
      </w:r>
    </w:p>
    <w:p>
      <w:pPr>
        <w:pStyle w:val="TextBody"/>
        <w:spacing w:before="120" w:after="283"/>
        <w:jc w:val="left"/>
        <w:rPr/>
      </w:pPr>
      <w:r>
        <w:rPr/>
        <w:t>          </w:t>
      </w:r>
      <w:r>
        <w:rPr>
          <w:rFonts w:ascii="Times New Roman;Times;serif" w:hAnsi="Times New Roman;Times;serif"/>
          <w:sz w:val="17"/>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Definitions.</w:t>
      </w:r>
      <w:r>
        <w:rPr>
          <w:rFonts w:ascii="Times New Roman;Times;serif" w:hAnsi="Times New Roman;Times;serif"/>
          <w:sz w:val="17"/>
        </w:rPr>
        <w:t xml:space="preserve"> (a) Capitalized terms used herein without definition shall have the meanings assigned to them in the Indenture. </w:t>
      </w:r>
    </w:p>
    <w:p>
      <w:pPr>
        <w:pStyle w:val="TextBody"/>
        <w:spacing w:before="120" w:after="283"/>
        <w:jc w:val="left"/>
        <w:rPr/>
      </w:pPr>
      <w:r>
        <w:rPr/>
        <w:t>          </w:t>
      </w:r>
      <w:r>
        <w:rPr>
          <w:rFonts w:ascii="Times New Roman;Times;serif" w:hAnsi="Times New Roman;Times;serif"/>
          <w:sz w:val="17"/>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jc w:val="center"/>
        <w:rPr>
          <w:rFonts w:ascii="Times New Roman;Times;serif" w:hAnsi="Times New Roman;Times;serif"/>
          <w:sz w:val="17"/>
        </w:rPr>
      </w:pPr>
      <w:r>
        <w:rPr>
          <w:rFonts w:ascii="Times New Roman;Times;serif" w:hAnsi="Times New Roman;Times;serif"/>
          <w:sz w:val="17"/>
        </w:rPr>
        <w:t xml:space="preserve">B-1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sz w:val="17"/>
          <w:u w:val="single"/>
        </w:rPr>
        <w:t>Agreement to Guarantee.</w:t>
      </w:r>
      <w:r>
        <w:rPr>
          <w:rFonts w:ascii="Times New Roman;Times;serif" w:hAnsi="Times New Roman;Times;serif"/>
          <w:sz w:val="17"/>
        </w:rPr>
        <w:t xml:space="preserve"> The Subsidiary Guarantor hereby agrees, jointly and severally with all other Subsidiary Guarantors under the Indenture, to guarantee the Issuers obligations under the Notes on the terms and subject to the conditions set forth in Article IX of the Tenth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b/>
          <w:sz w:val="17"/>
          <w:u w:val="single"/>
        </w:rPr>
        <w:t>GOVERNING LAW.</w:t>
      </w:r>
      <w:r>
        <w:rPr>
          <w:rFonts w:ascii="Times New Roman;Times;serif" w:hAnsi="Times New Roman;Times;serif"/>
          <w:b/>
          <w:sz w:val="17"/>
        </w:rPr>
        <w:t xml:space="preserve"> THIS SUPPLEMENTAL INDENTURE SHALL BE DEEMED TO BE A NEW YORK CONTRACT, AND FOR ALL PURPOSES SHALL BE CONSTRUED IN ACCORDANCE WITH, THE LAWS OF THE STATE OF NEW YORK.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Trustee Makes No Representation.</w:t>
      </w:r>
      <w:r>
        <w:rPr>
          <w:rFonts w:ascii="Times New Roman;Times;serif" w:hAnsi="Times New Roman;Times;serif"/>
          <w:sz w:val="17"/>
        </w:rPr>
        <w:t xml:space="preserve"> The Trustee makes no representation as to the validity or sufficiency of this Supplemental Indenture.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Counterparts.</w:t>
      </w:r>
      <w:r>
        <w:rPr>
          <w:rFonts w:ascii="Times New Roman;Times;serif" w:hAnsi="Times New Roman;Times;serif"/>
          <w:sz w:val="17"/>
        </w:rPr>
        <w:t xml:space="preserve"> The parties may sign any number of copies of this Supplemental Indenture. Each signed copy shall be an original, but all of them together represent the same agreement. </w:t>
      </w:r>
    </w:p>
    <w:p>
      <w:pPr>
        <w:pStyle w:val="TextBody"/>
        <w:spacing w:before="120" w:after="283"/>
        <w:jc w:val="left"/>
        <w:rPr/>
      </w:pPr>
      <w:r>
        <w:rPr/>
        <w:t>          </w:t>
      </w:r>
      <w:r>
        <w:rPr>
          <w:rFonts w:ascii="Times New Roman;Times;serif" w:hAnsi="Times New Roman;Times;serif"/>
          <w:sz w:val="17"/>
        </w:rPr>
        <w:t xml:space="preserve">6. </w:t>
      </w:r>
      <w:r>
        <w:rPr>
          <w:rFonts w:ascii="Times New Roman;Times;serif" w:hAnsi="Times New Roman;Times;serif"/>
          <w:sz w:val="17"/>
          <w:u w:val="single"/>
        </w:rPr>
        <w:t>Effect of Headings.</w:t>
      </w:r>
      <w:r>
        <w:rPr>
          <w:rFonts w:ascii="Times New Roman;Times;serif" w:hAnsi="Times New Roman;Times;serif"/>
          <w:sz w:val="17"/>
        </w:rPr>
        <w:t xml:space="preserve"> The Section headings herein are for convenience only and shall not effect the construction thereof. </w:t>
      </w:r>
    </w:p>
    <w:p>
      <w:pPr>
        <w:pStyle w:val="TextBody"/>
        <w:spacing w:before="120" w:after="283"/>
        <w:jc w:val="left"/>
        <w:rPr/>
      </w:pPr>
      <w:r>
        <w:rPr/>
        <w:t>          </w:t>
      </w:r>
      <w:r>
        <w:rPr>
          <w:rFonts w:ascii="Times New Roman;Times;serif" w:hAnsi="Times New Roman;Times;serif"/>
          <w:sz w:val="17"/>
        </w:rPr>
        <w:t xml:space="preserve">IN WITNESS WHEREOF, the parties hereto have caused this Supplemental Indenture to be duly executed as of the date first above written. </w:t>
      </w:r>
    </w:p>
    <w:tbl>
      <w:tblPr>
        <w:tblW w:w="5000" w:type="pct"/>
        <w:jc w:val="center"/>
        <w:tblInd w:w="0" w:type="dxa"/>
        <w:tblCellMar>
          <w:top w:w="0" w:type="dxa"/>
          <w:left w:w="0" w:type="dxa"/>
          <w:bottom w:w="0" w:type="dxa"/>
          <w:right w:w="0" w:type="dxa"/>
        </w:tblCellMar>
      </w:tblPr>
      <w:tblGrid>
        <w:gridCol w:w="4005"/>
        <w:gridCol w:w="136"/>
        <w:gridCol w:w="332"/>
        <w:gridCol w:w="136"/>
        <w:gridCol w:w="4151"/>
        <w:gridCol w:w="136"/>
        <w:gridCol w:w="1309"/>
      </w:tblGrid>
      <w:tr>
        <w:trPr/>
        <w:tc>
          <w:tcPr>
            <w:tcW w:w="400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1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rPr/>
            </w:pPr>
            <w:r>
              <w:rPr/>
              <w:t> </w:t>
            </w:r>
          </w:p>
        </w:tc>
      </w:tr>
      <w:tr>
        <w:trPr/>
        <w:tc>
          <w:tcPr>
            <w:tcW w:w="4005" w:type="dxa"/>
            <w:tcBorders/>
            <w:shd w:fill="auto" w:val="clea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4619" w:type="dxa"/>
            <w:gridSpan w:val="3"/>
            <w:tcBorders/>
            <w:shd w:fill="auto" w:val="clear"/>
          </w:tcPr>
          <w:p>
            <w:pPr>
              <w:pStyle w:val="TableContents"/>
              <w:spacing w:before="0" w:after="283"/>
              <w:jc w:val="left"/>
              <w:rPr/>
            </w:pPr>
            <w:r>
              <w:rPr/>
              <w:t>PLAINS ALL AMERICAN PIPELINE, L.P.</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r>
        <w:trPr/>
        <w:tc>
          <w:tcPr>
            <w:tcW w:w="4005" w:type="dxa"/>
            <w:tcBorders/>
            <w:shd w:fill="auto" w:val="clear"/>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4151" w:type="dxa"/>
            <w:tcBorders/>
            <w:shd w:fill="auto" w:val="clear"/>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r>
        <w:trPr/>
        <w:tc>
          <w:tcPr>
            <w:tcW w:w="4005" w:type="dxa"/>
            <w:tcBorders/>
            <w:shd w:fill="auto" w:val="clear"/>
          </w:tcPr>
          <w:p>
            <w:pPr>
              <w:pStyle w:val="TableContents"/>
              <w:spacing w:before="0" w:after="0"/>
              <w:ind w:left="0" w:right="0" w:hanging="0"/>
              <w:rPr/>
            </w:pPr>
            <w:r>
              <w:rPr/>
              <w:t xml:space="preserve">  </w:t>
            </w:r>
          </w:p>
        </w:tc>
        <w:tc>
          <w:tcPr>
            <w:tcW w:w="136"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jc w:val="left"/>
              <w:rPr/>
            </w:pPr>
            <w:r>
              <w:rPr/>
              <w:t xml:space="preserve">By: </w:t>
            </w:r>
          </w:p>
        </w:tc>
        <w:tc>
          <w:tcPr>
            <w:tcW w:w="136" w:type="dxa"/>
            <w:tcBorders/>
            <w:shd w:fill="auto" w:val="clear"/>
            <w:vAlign w:val="bottom"/>
          </w:tcPr>
          <w:p>
            <w:pPr>
              <w:pStyle w:val="TableContents"/>
              <w:spacing w:before="0" w:after="283"/>
              <w:rPr/>
            </w:pPr>
            <w:r>
              <w:rPr/>
              <w:t> </w:t>
            </w:r>
          </w:p>
        </w:tc>
        <w:tc>
          <w:tcPr>
            <w:tcW w:w="4151" w:type="dxa"/>
            <w:tcBorders/>
            <w:shd w:fill="auto" w:val="clear"/>
          </w:tcPr>
          <w:p>
            <w:pPr>
              <w:pStyle w:val="TableContents"/>
              <w:spacing w:before="0" w:after="283"/>
              <w:jc w:val="left"/>
              <w:rPr/>
            </w:pPr>
            <w:r>
              <w:rPr/>
              <w:t>Plains AAP, L.P., its General Partner</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r>
        <w:trPr/>
        <w:tc>
          <w:tcPr>
            <w:tcW w:w="4005" w:type="dxa"/>
            <w:tcBorders/>
            <w:shd w:fill="auto" w:val="clear"/>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4151" w:type="dxa"/>
            <w:tcBorders/>
            <w:shd w:fill="auto" w:val="clear"/>
          </w:tcPr>
          <w:p>
            <w:pPr>
              <w:pStyle w:val="TableContents"/>
              <w:spacing w:before="0" w:after="283"/>
              <w:jc w:val="left"/>
              <w:rPr/>
            </w:pPr>
            <w:r>
              <w:rPr/>
              <w:t> </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r>
        <w:trPr/>
        <w:tc>
          <w:tcPr>
            <w:tcW w:w="4005" w:type="dxa"/>
            <w:tcBorders/>
            <w:shd w:fill="auto" w:val="clear"/>
          </w:tcPr>
          <w:p>
            <w:pPr>
              <w:pStyle w:val="TableContents"/>
              <w:spacing w:before="0" w:after="0"/>
              <w:ind w:left="0" w:right="0" w:hanging="0"/>
              <w:rPr/>
            </w:pPr>
            <w:r>
              <w:rPr/>
              <w:t xml:space="preserve">  </w:t>
            </w:r>
          </w:p>
        </w:tc>
        <w:tc>
          <w:tcPr>
            <w:tcW w:w="136"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jc w:val="left"/>
              <w:rPr/>
            </w:pPr>
            <w:r>
              <w:rPr/>
              <w:t xml:space="preserve">By: </w:t>
            </w:r>
          </w:p>
        </w:tc>
        <w:tc>
          <w:tcPr>
            <w:tcW w:w="136" w:type="dxa"/>
            <w:tcBorders/>
            <w:shd w:fill="auto" w:val="clear"/>
            <w:vAlign w:val="bottom"/>
          </w:tcPr>
          <w:p>
            <w:pPr>
              <w:pStyle w:val="TableContents"/>
              <w:spacing w:before="0" w:after="283"/>
              <w:rPr/>
            </w:pPr>
            <w:r>
              <w:rPr/>
              <w:t> </w:t>
            </w:r>
          </w:p>
        </w:tc>
        <w:tc>
          <w:tcPr>
            <w:tcW w:w="4151" w:type="dxa"/>
            <w:tcBorders/>
            <w:shd w:fill="auto" w:val="clear"/>
          </w:tcPr>
          <w:p>
            <w:pPr>
              <w:pStyle w:val="TableContents"/>
              <w:spacing w:before="0" w:after="283"/>
              <w:jc w:val="left"/>
              <w:rPr/>
            </w:pPr>
            <w:r>
              <w:rPr/>
              <w:t>Plains All American GP LLC, its General Partner</w:t>
            </w:r>
          </w:p>
        </w:tc>
        <w:tc>
          <w:tcPr>
            <w:tcW w:w="136" w:type="dxa"/>
            <w:tcBorders/>
            <w:shd w:fill="auto" w:val="clear"/>
            <w:vAlign w:val="bottom"/>
          </w:tcPr>
          <w:p>
            <w:pPr>
              <w:pStyle w:val="TableContents"/>
              <w:spacing w:before="0" w:after="283"/>
              <w:rPr/>
            </w:pPr>
            <w:r>
              <w:rPr/>
              <w:t> </w:t>
            </w:r>
          </w:p>
        </w:tc>
        <w:tc>
          <w:tcPr>
            <w:tcW w:w="130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572"/>
        <w:gridCol w:w="371"/>
        <w:gridCol w:w="631"/>
        <w:gridCol w:w="3098"/>
        <w:gridCol w:w="1533"/>
      </w:tblGrid>
      <w:tr>
        <w:trPr/>
        <w:tc>
          <w:tcPr>
            <w:tcW w:w="4572"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3098" w:type="dxa"/>
            <w:tcBorders/>
            <w:shd w:fill="auto" w:val="clear"/>
            <w:vAlign w:val="center"/>
          </w:tcPr>
          <w:p>
            <w:pPr>
              <w:pStyle w:val="TableContents"/>
              <w:spacing w:before="0" w:after="283"/>
              <w:rPr/>
            </w:pPr>
            <w:r>
              <w:rPr/>
              <w:t> </w:t>
            </w:r>
          </w:p>
        </w:tc>
        <w:tc>
          <w:tcPr>
            <w:tcW w:w="1533" w:type="dxa"/>
            <w:tcBorders/>
            <w:shd w:fill="auto" w:val="clear"/>
            <w:vAlign w:val="center"/>
          </w:tcPr>
          <w:p>
            <w:pPr>
              <w:pStyle w:val="TableContents"/>
              <w:spacing w:before="0" w:after="283"/>
              <w:rPr/>
            </w:pPr>
            <w:r>
              <w:rPr/>
              <w:t> </w:t>
            </w:r>
          </w:p>
        </w:tc>
      </w:tr>
      <w:tr>
        <w:trPr/>
        <w:tc>
          <w:tcPr>
            <w:tcW w:w="4572" w:type="dxa"/>
            <w:tcBorders/>
            <w:shd w:fill="auto" w:val="clear"/>
          </w:tcPr>
          <w:p>
            <w:pPr>
              <w:pStyle w:val="TableContents"/>
              <w:spacing w:before="0" w:after="283"/>
              <w:jc w:val="left"/>
              <w:rPr/>
            </w:pPr>
            <w:r>
              <w:rPr/>
              <w:t> </w:t>
            </w:r>
          </w:p>
        </w:tc>
        <w:tc>
          <w:tcPr>
            <w:tcW w:w="4100" w:type="dxa"/>
            <w:gridSpan w:val="3"/>
            <w:tcBorders/>
            <w:shd w:fill="auto" w:val="clear"/>
            <w:vAlign w:val="center"/>
          </w:tcPr>
          <w:p>
            <w:pPr>
              <w:pStyle w:val="TableContents"/>
              <w:spacing w:before="0" w:after="283"/>
              <w:jc w:val="left"/>
              <w:rPr/>
            </w:pPr>
            <w:r>
              <w:rPr/>
              <w:t> </w:t>
            </w:r>
          </w:p>
        </w:tc>
        <w:tc>
          <w:tcPr>
            <w:tcW w:w="1533" w:type="dxa"/>
            <w:tcBorders/>
            <w:shd w:fill="auto" w:val="clear"/>
            <w:vAlign w:val="center"/>
          </w:tcPr>
          <w:p>
            <w:pPr>
              <w:pStyle w:val="TableContents"/>
              <w:spacing w:before="0" w:after="283"/>
              <w:rPr/>
            </w:pPr>
            <w:r>
              <w:rPr/>
              <w:t> </w:t>
            </w:r>
          </w:p>
        </w:tc>
      </w:tr>
      <w:tr>
        <w:trPr/>
        <w:tc>
          <w:tcPr>
            <w:tcW w:w="4572" w:type="dxa"/>
            <w:tcBorders/>
            <w:shd w:fill="auto" w:val="clear"/>
            <w:vAlign w:val="center"/>
          </w:tcPr>
          <w:p>
            <w:pPr>
              <w:pStyle w:val="TableContents"/>
              <w:spacing w:before="0" w:after="283"/>
              <w:jc w:val="left"/>
              <w:rPr/>
            </w:pPr>
            <w:r>
              <w:rPr/>
              <w:t> </w:t>
            </w:r>
          </w:p>
        </w:tc>
        <w:tc>
          <w:tcPr>
            <w:tcW w:w="371" w:type="dxa"/>
            <w:tcBorders/>
            <w:shd w:fill="auto" w:val="clear"/>
          </w:tcPr>
          <w:p>
            <w:pPr>
              <w:pStyle w:val="TableContents"/>
              <w:spacing w:before="0" w:after="283"/>
              <w:rPr/>
            </w:pPr>
            <w:r>
              <w:rPr/>
              <w:t>By:  </w:t>
            </w:r>
          </w:p>
        </w:tc>
        <w:tc>
          <w:tcPr>
            <w:tcW w:w="3729"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533" w:type="dxa"/>
            <w:tcBorders/>
            <w:shd w:fill="auto" w:val="clear"/>
            <w:vAlign w:val="center"/>
          </w:tcPr>
          <w:p>
            <w:pPr>
              <w:pStyle w:val="TableContents"/>
              <w:spacing w:before="0" w:after="283"/>
              <w:rPr/>
            </w:pPr>
            <w:r>
              <w:rPr/>
              <w:t> </w:t>
            </w:r>
          </w:p>
        </w:tc>
      </w:tr>
      <w:tr>
        <w:trPr/>
        <w:tc>
          <w:tcPr>
            <w:tcW w:w="4572" w:type="dxa"/>
            <w:tcBorders/>
            <w:shd w:fill="auto" w:val="clear"/>
            <w:vAlign w:val="center"/>
          </w:tcPr>
          <w:p>
            <w:pPr>
              <w:pStyle w:val="TableContents"/>
              <w:spacing w:before="0" w:after="283"/>
              <w:jc w:val="left"/>
              <w:rPr/>
            </w:pPr>
            <w:r>
              <w:rPr/>
              <w:t> </w:t>
            </w:r>
          </w:p>
        </w:tc>
        <w:tc>
          <w:tcPr>
            <w:tcW w:w="371" w:type="dxa"/>
            <w:tcBorders/>
            <w:shd w:fill="auto" w:val="clear"/>
            <w:vAlign w:val="center"/>
          </w:tcPr>
          <w:p>
            <w:pPr>
              <w:pStyle w:val="TableContents"/>
              <w:spacing w:before="0" w:after="283"/>
              <w:rPr/>
            </w:pPr>
            <w:r>
              <w:rPr/>
              <w:t> </w:t>
            </w:r>
          </w:p>
        </w:tc>
        <w:tc>
          <w:tcPr>
            <w:tcW w:w="631" w:type="dxa"/>
            <w:tcBorders/>
            <w:shd w:fill="auto" w:val="clear"/>
          </w:tcPr>
          <w:p>
            <w:pPr>
              <w:pStyle w:val="TableContents"/>
              <w:spacing w:before="0" w:after="283"/>
              <w:rPr/>
            </w:pPr>
            <w:r>
              <w:rPr/>
              <w:t>Name:  </w:t>
            </w:r>
          </w:p>
        </w:tc>
        <w:tc>
          <w:tcPr>
            <w:tcW w:w="3098" w:type="dxa"/>
            <w:tcBorders/>
            <w:shd w:fill="auto" w:val="clear"/>
            <w:vAlign w:val="center"/>
          </w:tcPr>
          <w:p>
            <w:pPr>
              <w:pStyle w:val="TableContents"/>
              <w:spacing w:before="0" w:after="283"/>
              <w:jc w:val="left"/>
              <w:rPr/>
            </w:pPr>
            <w:r>
              <w:rPr/>
              <w:t> </w:t>
            </w:r>
          </w:p>
        </w:tc>
        <w:tc>
          <w:tcPr>
            <w:tcW w:w="1533" w:type="dxa"/>
            <w:tcBorders/>
            <w:shd w:fill="auto" w:val="clear"/>
            <w:vAlign w:val="center"/>
          </w:tcPr>
          <w:p>
            <w:pPr>
              <w:pStyle w:val="TableContents"/>
              <w:spacing w:before="0" w:after="283"/>
              <w:rPr/>
            </w:pPr>
            <w:r>
              <w:rPr/>
              <w:t> </w:t>
            </w:r>
          </w:p>
        </w:tc>
      </w:tr>
      <w:tr>
        <w:trPr/>
        <w:tc>
          <w:tcPr>
            <w:tcW w:w="4572" w:type="dxa"/>
            <w:tcBorders/>
            <w:shd w:fill="auto" w:val="clear"/>
            <w:vAlign w:val="center"/>
          </w:tcPr>
          <w:p>
            <w:pPr>
              <w:pStyle w:val="TableContents"/>
              <w:spacing w:before="0" w:after="283"/>
              <w:jc w:val="left"/>
              <w:rPr/>
            </w:pPr>
            <w:r>
              <w:rPr/>
              <w:t> </w:t>
            </w:r>
          </w:p>
        </w:tc>
        <w:tc>
          <w:tcPr>
            <w:tcW w:w="371" w:type="dxa"/>
            <w:tcBorders/>
            <w:shd w:fill="auto" w:val="clear"/>
            <w:vAlign w:val="center"/>
          </w:tcPr>
          <w:p>
            <w:pPr>
              <w:pStyle w:val="TableContents"/>
              <w:spacing w:before="0" w:after="283"/>
              <w:rPr/>
            </w:pPr>
            <w:r>
              <w:rPr/>
              <w:t> </w:t>
            </w:r>
          </w:p>
        </w:tc>
        <w:tc>
          <w:tcPr>
            <w:tcW w:w="631" w:type="dxa"/>
            <w:tcBorders/>
            <w:shd w:fill="auto" w:val="clear"/>
          </w:tcPr>
          <w:p>
            <w:pPr>
              <w:pStyle w:val="TableContents"/>
              <w:spacing w:before="0" w:after="283"/>
              <w:rPr/>
            </w:pPr>
            <w:r>
              <w:rPr/>
              <w:t>Title:  </w:t>
            </w:r>
          </w:p>
        </w:tc>
        <w:tc>
          <w:tcPr>
            <w:tcW w:w="3098" w:type="dxa"/>
            <w:tcBorders/>
            <w:shd w:fill="auto" w:val="clear"/>
            <w:vAlign w:val="center"/>
          </w:tcPr>
          <w:p>
            <w:pPr>
              <w:pStyle w:val="TableContents"/>
              <w:spacing w:before="0" w:after="283"/>
              <w:jc w:val="left"/>
              <w:rPr/>
            </w:pPr>
            <w:r>
              <w:rPr/>
              <w:t> </w:t>
            </w:r>
          </w:p>
        </w:tc>
        <w:tc>
          <w:tcPr>
            <w:tcW w:w="153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74"/>
        <w:gridCol w:w="138"/>
        <w:gridCol w:w="365"/>
        <w:gridCol w:w="145"/>
        <w:gridCol w:w="4010"/>
        <w:gridCol w:w="138"/>
        <w:gridCol w:w="1335"/>
      </w:tblGrid>
      <w:tr>
        <w:trPr/>
        <w:tc>
          <w:tcPr>
            <w:tcW w:w="407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4010"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rPr/>
            </w:pPr>
            <w:r>
              <w:rPr/>
              <w:t> </w:t>
            </w:r>
          </w:p>
        </w:tc>
      </w:tr>
      <w:tr>
        <w:trPr/>
        <w:tc>
          <w:tcPr>
            <w:tcW w:w="4074"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520" w:type="dxa"/>
            <w:gridSpan w:val="3"/>
            <w:tcBorders/>
            <w:shd w:fill="auto" w:val="clear"/>
          </w:tcPr>
          <w:p>
            <w:pPr>
              <w:pStyle w:val="TableContents"/>
              <w:spacing w:before="0" w:after="283"/>
              <w:jc w:val="left"/>
              <w:rPr/>
            </w:pPr>
            <w:r>
              <w:rPr/>
              <w:t>PAA FINANCE CORP.</w:t>
            </w:r>
          </w:p>
        </w:tc>
        <w:tc>
          <w:tcPr>
            <w:tcW w:w="138"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r>
        <w:trPr/>
        <w:tc>
          <w:tcPr>
            <w:tcW w:w="4074" w:type="dxa"/>
            <w:tcBorders/>
            <w:shd w:fill="auto" w:val="clear"/>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45" w:type="dxa"/>
            <w:tcBorders/>
            <w:shd w:fill="auto" w:val="clear"/>
            <w:vAlign w:val="bottom"/>
          </w:tcPr>
          <w:p>
            <w:pPr>
              <w:pStyle w:val="TableContents"/>
              <w:spacing w:before="0" w:after="283"/>
              <w:rPr/>
            </w:pPr>
            <w:r>
              <w:rPr/>
              <w:t> </w:t>
            </w:r>
          </w:p>
        </w:tc>
        <w:tc>
          <w:tcPr>
            <w:tcW w:w="4010" w:type="dxa"/>
            <w:tcBorders/>
            <w:shd w:fill="auto" w:val="clear"/>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r>
        <w:trPr/>
        <w:tc>
          <w:tcPr>
            <w:tcW w:w="4074" w:type="dxa"/>
            <w:tcBorders/>
            <w:shd w:fill="auto" w:val="clear"/>
          </w:tcPr>
          <w:p>
            <w:pPr>
              <w:pStyle w:val="TableContents"/>
              <w:spacing w:before="0" w:after="0"/>
              <w:ind w:left="0" w:right="0" w:hanging="0"/>
              <w:rPr/>
            </w:pPr>
            <w:r>
              <w:rPr/>
              <w:t xml:space="preserve">  </w:t>
            </w:r>
          </w:p>
        </w:tc>
        <w:tc>
          <w:tcPr>
            <w:tcW w:w="138"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By:</w:t>
            </w:r>
          </w:p>
        </w:tc>
        <w:tc>
          <w:tcPr>
            <w:tcW w:w="145" w:type="dxa"/>
            <w:tcBorders/>
            <w:shd w:fill="auto" w:val="clear"/>
            <w:vAlign w:val="bottom"/>
          </w:tcPr>
          <w:p>
            <w:pPr>
              <w:pStyle w:val="TableContents"/>
              <w:spacing w:before="0" w:after="283"/>
              <w:rPr/>
            </w:pPr>
            <w:r>
              <w:rPr/>
              <w:t> </w:t>
            </w:r>
          </w:p>
        </w:tc>
        <w:tc>
          <w:tcPr>
            <w:tcW w:w="4010" w:type="dxa"/>
            <w:tcBorders/>
            <w:shd w:fill="auto" w:val="clear"/>
          </w:tcPr>
          <w:p>
            <w:pPr>
              <w:pStyle w:val="TableContents"/>
              <w:spacing w:before="0" w:after="283"/>
              <w:jc w:val="left"/>
              <w:rPr/>
            </w:pPr>
            <w:r>
              <w:rPr/>
              <w:t> </w:t>
            </w:r>
          </w:p>
        </w:tc>
        <w:tc>
          <w:tcPr>
            <w:tcW w:w="138"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r>
        <w:trPr/>
        <w:tc>
          <w:tcPr>
            <w:tcW w:w="4074" w:type="dxa"/>
            <w:tcBorders/>
            <w:shd w:fill="auto" w:val="clear"/>
          </w:tcPr>
          <w:p>
            <w:pPr>
              <w:pStyle w:val="TableContents"/>
              <w:spacing w:before="0" w:after="0"/>
              <w:ind w:left="0" w:right="0" w:hanging="0"/>
              <w:rPr/>
            </w:pPr>
            <w:r>
              <w:rPr/>
              <w:t xml:space="preserve">  </w:t>
            </w:r>
          </w:p>
        </w:tc>
        <w:tc>
          <w:tcPr>
            <w:tcW w:w="138" w:type="dxa"/>
            <w:tcBorders/>
            <w:shd w:fill="auto" w:val="clear"/>
            <w:vAlign w:val="cente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45" w:type="dxa"/>
            <w:tcBorders/>
            <w:shd w:fill="auto" w:val="clear"/>
            <w:vAlign w:val="center"/>
          </w:tcPr>
          <w:p>
            <w:pPr>
              <w:pStyle w:val="TableContents"/>
              <w:spacing w:before="0" w:after="283"/>
              <w:rPr/>
            </w:pPr>
            <w:r>
              <w:rPr/>
              <w:t> </w:t>
            </w:r>
          </w:p>
        </w:tc>
        <w:tc>
          <w:tcPr>
            <w:tcW w:w="4010" w:type="dxa"/>
            <w:tcBorders>
              <w:top w:val="single" w:sz="2" w:space="0" w:color="000000"/>
            </w:tcBorders>
            <w:shd w:fill="auto" w:val="clear"/>
            <w:tcMar>
              <w:top w:w="28" w:type="dxa"/>
            </w:tcMar>
          </w:tcPr>
          <w:p>
            <w:pPr>
              <w:pStyle w:val="TableContents"/>
              <w:spacing w:before="0" w:after="283"/>
              <w:jc w:val="left"/>
              <w:rPr/>
            </w:pPr>
            <w:r>
              <w:rPr/>
              <w:t> </w:t>
            </w:r>
          </w:p>
        </w:tc>
        <w:tc>
          <w:tcPr>
            <w:tcW w:w="138" w:type="dxa"/>
            <w:tcBorders/>
            <w:shd w:fill="auto" w:val="clear"/>
            <w:vAlign w:val="center"/>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r>
        <w:trPr/>
        <w:tc>
          <w:tcPr>
            <w:tcW w:w="4074" w:type="dxa"/>
            <w:tcBorders/>
            <w:shd w:fill="auto" w:val="clear"/>
          </w:tcPr>
          <w:p>
            <w:pPr>
              <w:pStyle w:val="TableContents"/>
              <w:spacing w:before="0" w:after="0"/>
              <w:ind w:left="0" w:right="0" w:hanging="0"/>
              <w:rPr/>
            </w:pPr>
            <w:r>
              <w:rPr/>
              <w:t xml:space="preserve">  </w:t>
            </w:r>
          </w:p>
        </w:tc>
        <w:tc>
          <w:tcPr>
            <w:tcW w:w="138"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45" w:type="dxa"/>
            <w:tcBorders/>
            <w:shd w:fill="auto" w:val="clear"/>
            <w:vAlign w:val="bottom"/>
          </w:tcPr>
          <w:p>
            <w:pPr>
              <w:pStyle w:val="TableContents"/>
              <w:spacing w:before="0" w:after="283"/>
              <w:rPr/>
            </w:pPr>
            <w:r>
              <w:rPr/>
              <w:t> </w:t>
            </w:r>
          </w:p>
        </w:tc>
        <w:tc>
          <w:tcPr>
            <w:tcW w:w="4010" w:type="dxa"/>
            <w:tcBorders/>
            <w:shd w:fill="auto" w:val="clear"/>
          </w:tcPr>
          <w:p>
            <w:pPr>
              <w:pStyle w:val="TableContents"/>
              <w:spacing w:before="0" w:after="283"/>
              <w:jc w:val="left"/>
              <w:rPr/>
            </w:pPr>
            <w:r>
              <w:rPr/>
              <w:t>Name:</w:t>
            </w:r>
          </w:p>
        </w:tc>
        <w:tc>
          <w:tcPr>
            <w:tcW w:w="138"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r>
        <w:trPr/>
        <w:tc>
          <w:tcPr>
            <w:tcW w:w="4074" w:type="dxa"/>
            <w:tcBorders/>
            <w:shd w:fill="auto" w:val="clear"/>
          </w:tcPr>
          <w:p>
            <w:pPr>
              <w:pStyle w:val="TableContents"/>
              <w:spacing w:before="0" w:after="0"/>
              <w:ind w:left="0" w:right="0" w:hanging="0"/>
              <w:rPr/>
            </w:pPr>
            <w:r>
              <w:rPr/>
              <w:t xml:space="preserve">  </w:t>
            </w:r>
          </w:p>
        </w:tc>
        <w:tc>
          <w:tcPr>
            <w:tcW w:w="138"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45" w:type="dxa"/>
            <w:tcBorders/>
            <w:shd w:fill="auto" w:val="clear"/>
            <w:vAlign w:val="bottom"/>
          </w:tcPr>
          <w:p>
            <w:pPr>
              <w:pStyle w:val="TableContents"/>
              <w:spacing w:before="0" w:after="283"/>
              <w:rPr/>
            </w:pPr>
            <w:r>
              <w:rPr/>
              <w:t> </w:t>
            </w:r>
          </w:p>
        </w:tc>
        <w:tc>
          <w:tcPr>
            <w:tcW w:w="4010" w:type="dxa"/>
            <w:tcBorders/>
            <w:shd w:fill="auto" w:val="clear"/>
          </w:tcPr>
          <w:p>
            <w:pPr>
              <w:pStyle w:val="TableContents"/>
              <w:spacing w:before="0" w:after="283"/>
              <w:jc w:val="left"/>
              <w:rPr/>
            </w:pPr>
            <w:r>
              <w:rPr/>
              <w:t>Title:</w:t>
            </w:r>
          </w:p>
        </w:tc>
        <w:tc>
          <w:tcPr>
            <w:tcW w:w="138"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B-2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793"/>
        <w:gridCol w:w="137"/>
        <w:gridCol w:w="614"/>
        <w:gridCol w:w="165"/>
        <w:gridCol w:w="4112"/>
        <w:gridCol w:w="137"/>
        <w:gridCol w:w="1247"/>
      </w:tblGrid>
      <w:tr>
        <w:trPr/>
        <w:tc>
          <w:tcPr>
            <w:tcW w:w="3793"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411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r>
      <w:tr>
        <w:trPr/>
        <w:tc>
          <w:tcPr>
            <w:tcW w:w="3793"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891" w:type="dxa"/>
            <w:gridSpan w:val="3"/>
            <w:tcBorders/>
            <w:shd w:fill="auto" w:val="clear"/>
          </w:tcPr>
          <w:p>
            <w:pPr>
              <w:pStyle w:val="TableContents"/>
              <w:spacing w:before="0" w:after="283"/>
              <w:jc w:val="left"/>
              <w:rPr/>
            </w:pPr>
            <w:r>
              <w:rPr/>
              <w:t>[SUBSIDIARY GUARANTOR],</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By:</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xml:space="preserve">  </w:t>
            </w:r>
          </w:p>
        </w:tc>
        <w:tc>
          <w:tcPr>
            <w:tcW w:w="137" w:type="dxa"/>
            <w:tcBorders/>
            <w:shd w:fill="auto" w:val="clear"/>
            <w:vAlign w:val="center"/>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center"/>
          </w:tcPr>
          <w:p>
            <w:pPr>
              <w:pStyle w:val="TableContents"/>
              <w:spacing w:before="0" w:after="283"/>
              <w:rPr/>
            </w:pPr>
            <w:r>
              <w:rPr/>
              <w:t> </w:t>
            </w:r>
          </w:p>
        </w:tc>
        <w:tc>
          <w:tcPr>
            <w:tcW w:w="4112" w:type="dxa"/>
            <w:tcBorders>
              <w:top w:val="single" w:sz="2" w:space="0" w:color="000000"/>
            </w:tcBorders>
            <w:shd w:fill="auto" w:val="clear"/>
            <w:tcMar>
              <w:top w:w="28" w:type="dxa"/>
            </w:tcM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Name:</w:t>
              <w:br/>
              <w:t>Title:</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891" w:type="dxa"/>
            <w:gridSpan w:val="3"/>
            <w:tcBorders/>
            <w:shd w:fill="auto" w:val="clear"/>
          </w:tcPr>
          <w:p>
            <w:pPr>
              <w:pStyle w:val="TableContents"/>
              <w:spacing w:before="0" w:after="283"/>
              <w:jc w:val="left"/>
              <w:rPr/>
            </w:pPr>
            <w:r>
              <w:rPr/>
              <w:t>U.S. BANK NATIONAL ASSOCIATION, as Trustee</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By:</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xml:space="preserve">  </w:t>
            </w:r>
          </w:p>
        </w:tc>
        <w:tc>
          <w:tcPr>
            <w:tcW w:w="137" w:type="dxa"/>
            <w:tcBorders/>
            <w:shd w:fill="auto" w:val="clear"/>
            <w:vAlign w:val="center"/>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center"/>
          </w:tcPr>
          <w:p>
            <w:pPr>
              <w:pStyle w:val="TableContents"/>
              <w:spacing w:before="0" w:after="283"/>
              <w:rPr/>
            </w:pPr>
            <w:r>
              <w:rPr/>
              <w:t> </w:t>
            </w:r>
          </w:p>
        </w:tc>
        <w:tc>
          <w:tcPr>
            <w:tcW w:w="4112" w:type="dxa"/>
            <w:tcBorders>
              <w:top w:val="single" w:sz="2" w:space="0" w:color="000000"/>
            </w:tcBorders>
            <w:shd w:fill="auto" w:val="clear"/>
            <w:tcMar>
              <w:top w:w="28" w:type="dxa"/>
            </w:tcM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r>
        <w:trPr/>
        <w:tc>
          <w:tcPr>
            <w:tcW w:w="3793"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614"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4112" w:type="dxa"/>
            <w:tcBorders/>
            <w:shd w:fill="auto" w:val="clear"/>
          </w:tcPr>
          <w:p>
            <w:pPr>
              <w:pStyle w:val="TableContents"/>
              <w:spacing w:before="0" w:after="283"/>
              <w:jc w:val="left"/>
              <w:rPr/>
            </w:pPr>
            <w:r>
              <w:rPr/>
              <w:t>Name:</w:t>
              <w:br/>
              <w:t>Title:</w:t>
            </w:r>
          </w:p>
        </w:tc>
        <w:tc>
          <w:tcPr>
            <w:tcW w:w="137" w:type="dxa"/>
            <w:tcBorders/>
            <w:shd w:fill="auto" w:val="clear"/>
            <w:vAlign w:val="bottom"/>
          </w:tcPr>
          <w:p>
            <w:pPr>
              <w:pStyle w:val="TableContents"/>
              <w:spacing w:before="0" w:after="283"/>
              <w:rPr/>
            </w:pPr>
            <w:r>
              <w:rPr/>
              <w:t> </w:t>
            </w:r>
          </w:p>
        </w:tc>
        <w:tc>
          <w:tcPr>
            <w:tcW w:w="1247"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B-3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C</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CERTIFICATE TO BE DELIVERED UPON EXCHANGE </w:t>
      </w:r>
    </w:p>
    <w:p>
      <w:pPr>
        <w:pStyle w:val="TextBody"/>
        <w:spacing w:before="0" w:after="0"/>
        <w:jc w:val="center"/>
        <w:rPr>
          <w:rFonts w:ascii="Times New Roman;Times;serif" w:hAnsi="Times New Roman;Times;serif"/>
          <w:sz w:val="17"/>
        </w:rPr>
      </w:pPr>
      <w:r>
        <w:rPr>
          <w:rFonts w:ascii="Times New Roman;Times;serif" w:hAnsi="Times New Roman;Times;serif"/>
          <w:sz w:val="17"/>
        </w:rPr>
        <w:t>OR REGISTRATION OF TRANSFER OF SECURITIES</w:t>
      </w:r>
    </w:p>
    <w:p>
      <w:pPr>
        <w:pStyle w:val="TextBody"/>
        <w:spacing w:before="0" w:after="0"/>
        <w:jc w:val="center"/>
        <w:rPr>
          <w:rFonts w:ascii="Times New Roman;Times;serif" w:hAnsi="Times New Roman;Times;serif"/>
          <w:sz w:val="17"/>
        </w:rPr>
      </w:pPr>
      <w:r>
        <w:rPr>
          <w:rFonts w:ascii="Times New Roman;Times;serif" w:hAnsi="Times New Roman;Times;serif"/>
          <w:sz w:val="17"/>
        </w:rPr>
        <w:t>PURSUANT TO RULE 144A OR RULE 501</w:t>
      </w:r>
    </w:p>
    <w:tbl>
      <w:tblPr>
        <w:tblW w:w="5000" w:type="pct"/>
        <w:jc w:val="left"/>
        <w:tblInd w:w="0" w:type="dxa"/>
        <w:tblCellMar>
          <w:top w:w="0" w:type="dxa"/>
          <w:left w:w="0" w:type="dxa"/>
          <w:bottom w:w="0" w:type="dxa"/>
          <w:right w:w="0" w:type="dxa"/>
        </w:tblCellMar>
      </w:tblPr>
      <w:tblGrid>
        <w:gridCol w:w="365"/>
        <w:gridCol w:w="110"/>
        <w:gridCol w:w="9730"/>
      </w:tblGrid>
      <w:tr>
        <w:trPr/>
        <w:tc>
          <w:tcPr>
            <w:tcW w:w="36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730" w:type="dxa"/>
            <w:tcBorders/>
            <w:shd w:fill="auto" w:val="clear"/>
            <w:vAlign w:val="center"/>
          </w:tcPr>
          <w:p>
            <w:pPr>
              <w:pStyle w:val="TableContents"/>
              <w:spacing w:before="0" w:after="283"/>
              <w:rPr>
                <w:sz w:val="4"/>
                <w:szCs w:val="4"/>
              </w:rPr>
            </w:pPr>
            <w:r>
              <w:rPr>
                <w:sz w:val="4"/>
                <w:szCs w:val="4"/>
              </w:rPr>
            </w:r>
          </w:p>
        </w:tc>
      </w:tr>
      <w:tr>
        <w:trPr/>
        <w:tc>
          <w:tcPr>
            <w:tcW w:w="365" w:type="dxa"/>
            <w:tcBorders/>
            <w:shd w:fill="auto" w:val="clear"/>
          </w:tcPr>
          <w:p>
            <w:pPr>
              <w:pStyle w:val="TableContents"/>
              <w:spacing w:before="0" w:after="283"/>
              <w:jc w:val="left"/>
              <w:rPr/>
            </w:pPr>
            <w:r>
              <w:rPr/>
              <w:t>Re:</w:t>
            </w:r>
          </w:p>
        </w:tc>
        <w:tc>
          <w:tcPr>
            <w:tcW w:w="110" w:type="dxa"/>
            <w:tcBorders/>
            <w:shd w:fill="auto" w:val="clear"/>
          </w:tcPr>
          <w:p>
            <w:pPr>
              <w:pStyle w:val="TableContents"/>
              <w:spacing w:before="0" w:after="283"/>
              <w:rPr/>
            </w:pPr>
            <w:r>
              <w:rPr/>
              <w:t> </w:t>
            </w:r>
          </w:p>
        </w:tc>
        <w:tc>
          <w:tcPr>
            <w:tcW w:w="9730" w:type="dxa"/>
            <w:tcBorders/>
            <w:shd w:fill="auto" w:val="clear"/>
          </w:tcPr>
          <w:p>
            <w:pPr>
              <w:pStyle w:val="TableContents"/>
              <w:spacing w:before="0" w:after="283"/>
              <w:rPr/>
            </w:pPr>
            <w:r>
              <w:rPr/>
              <w:t>6.650% Series [A/B] Senior Notes due 2037 of Plains All American Pipeline, L.P. and PAA Finance Corp. (together, the Issuers)</w:t>
            </w:r>
          </w:p>
        </w:tc>
      </w:tr>
    </w:tbl>
    <w:p>
      <w:pPr>
        <w:pStyle w:val="TextBody"/>
        <w:spacing w:before="120" w:after="283"/>
        <w:jc w:val="left"/>
        <w:rPr/>
      </w:pPr>
      <w:r>
        <w:rPr/>
        <w:t>          </w:t>
      </w:r>
      <w:r>
        <w:rPr>
          <w:rFonts w:ascii="Times New Roman;Times;serif" w:hAnsi="Times New Roman;Times;serif"/>
          <w:sz w:val="17"/>
        </w:rPr>
        <w:t>This Certificate relates to $</w:t>
      </w:r>
      <w:r>
        <w:rPr>
          <w:rFonts w:ascii="Times New Roman;Times;serif" w:hAnsi="Times New Roman;Times;serif"/>
          <w:sz w:val="17"/>
          <w:u w:val="single"/>
        </w:rPr>
        <w:t>                    </w:t>
      </w:r>
      <w:r>
        <w:rPr>
          <w:rFonts w:ascii="Times New Roman;Times;serif" w:hAnsi="Times New Roman;Times;serif"/>
          <w:sz w:val="17"/>
        </w:rPr>
        <w:t xml:space="preserve"> principal amount of the above captioned Notes held in definitive form (the Securities) by </w:t>
      </w:r>
      <w:r>
        <w:rPr>
          <w:rFonts w:ascii="Times New Roman;Times;serif" w:hAnsi="Times New Roman;Times;serif"/>
          <w:sz w:val="17"/>
          <w:u w:val="single"/>
        </w:rPr>
        <w:t>                                        </w:t>
      </w:r>
      <w:r>
        <w:rPr>
          <w:rFonts w:ascii="Times New Roman;Times;serif" w:hAnsi="Times New Roman;Times;serif"/>
          <w:sz w:val="17"/>
        </w:rPr>
        <w:t xml:space="preserve"> (the Transferor). </w:t>
      </w:r>
    </w:p>
    <w:p>
      <w:pPr>
        <w:pStyle w:val="TextBody"/>
        <w:spacing w:before="120" w:after="283"/>
        <w:jc w:val="left"/>
        <w:rPr/>
      </w:pPr>
      <w:r>
        <w:rPr/>
        <w:t>          </w:t>
      </w:r>
      <w:r>
        <w:rPr>
          <w:rFonts w:ascii="Times New Roman;Times;serif" w:hAnsi="Times New Roman;Times;serif"/>
          <w:sz w:val="17"/>
        </w:rPr>
        <w:t xml:space="preserve">The Transferor has requested the Trustee by written order to exchange or register the transfer of a Security or Securities. </w:t>
      </w:r>
    </w:p>
    <w:p>
      <w:pPr>
        <w:pStyle w:val="TextBody"/>
        <w:spacing w:before="120" w:after="283"/>
        <w:jc w:val="left"/>
        <w:rPr/>
      </w:pPr>
      <w:r>
        <w:rPr/>
        <w:t>          </w:t>
      </w:r>
      <w:r>
        <w:rPr>
          <w:rFonts w:ascii="Times New Roman;Times;serif" w:hAnsi="Times New Roman;Times;serif"/>
          <w:sz w:val="17"/>
        </w:rPr>
        <w:t xml:space="preserve">In connection with such request and in respect of each such Security, the Transferor does hereby certify that the Transferor is familiar with the Indenture and the Supplemental Indenture relative to the Securities and that the transfer of this Security does not require registration under the Securities Act (as defined below) because:*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Such Security is being acquired for the Transferors own account without transfer.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Such Security is being transferred to a qualified institutional buyer (as defined in Rule 144A under the Securities Act of 1933, as amended (the Securities Act)), in reliance on Rule 144A under the Securities Act and in accordance with any applicable securities laws of any state of the United States or any other jurisdiction, that is purchasing for its own account or for the account of another qualified institutional buyer, in each case to whom notice is given that the transfer is being made in reliance on Rule 144A.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Such Security is being transferred (i) in accordance with Rule 144 under the Securities Act (and based on an opinion of counsel if the Issuers or the Trustee so requests) or (ii) pursuant to an effective registration statement under the Securities Act.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Such Security is being transferred to an institutional accredited investor within the meaning of Rule 501(a)(1), (2), (3) or (7) under the Securities Act pursuant to a private placement exemption from the registration requirements of the Securities Act (and based on an opinion of counsel if the Issuers or the Trustee so requests) and in accordance with any applicable securities laws of any state of the United States or any other jurisdiction, that is purchasing for its own account or for the account of another institutional accredited investor, together with a certification in substantially the form of Exhibit D to the Supplemental Indenture and, to the knowledge of the Transferor, such institutional accredited investor to whom such Security is to be transferred is not an affiliate (as defined in Rule 144 under the Securities Act) of an Issuer. </w:t>
      </w:r>
    </w:p>
    <w:p>
      <w:pPr>
        <w:pStyle w:val="TextBody"/>
        <w:jc w:val="center"/>
        <w:rPr>
          <w:rFonts w:ascii="Times New Roman;Times;serif" w:hAnsi="Times New Roman;Times;serif"/>
          <w:sz w:val="17"/>
        </w:rPr>
      </w:pPr>
      <w:r>
        <w:rPr>
          <w:rFonts w:ascii="Times New Roman;Times;serif" w:hAnsi="Times New Roman;Times;serif"/>
          <w:sz w:val="17"/>
        </w:rPr>
        <w:t xml:space="preserve">C-1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Such Security is being transferred in reliance on and in compliance with another exemption from the registration requirements of the Securities Act (and based on an opinion of counsel if the Issuers so request). </w:t>
      </w:r>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39"/>
        <w:gridCol w:w="2280"/>
        <w:gridCol w:w="1086"/>
      </w:tblGrid>
      <w:tr>
        <w:trPr/>
        <w:tc>
          <w:tcPr>
            <w:tcW w:w="6839"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r>
      <w:tr>
        <w:trPr/>
        <w:tc>
          <w:tcPr>
            <w:tcW w:w="6839" w:type="dxa"/>
            <w:tcBorders/>
            <w:shd w:fill="auto" w:val="clear"/>
          </w:tcPr>
          <w:p>
            <w:pPr>
              <w:pStyle w:val="TableContents"/>
              <w:spacing w:before="0" w:after="283"/>
              <w:jc w:val="left"/>
              <w:rPr/>
            </w:pPr>
            <w:r>
              <w:rPr/>
              <w:t>*</w:t>
            </w:r>
          </w:p>
        </w:tc>
        <w:tc>
          <w:tcPr>
            <w:tcW w:w="2280" w:type="dxa"/>
            <w:tcBorders/>
            <w:shd w:fill="auto" w:val="clear"/>
          </w:tcPr>
          <w:p>
            <w:pPr>
              <w:pStyle w:val="TableContents"/>
              <w:spacing w:before="0" w:after="283"/>
              <w:rPr/>
            </w:pPr>
            <w:r>
              <w:rPr/>
              <w:t> </w:t>
            </w:r>
          </w:p>
        </w:tc>
        <w:tc>
          <w:tcPr>
            <w:tcW w:w="1086" w:type="dxa"/>
            <w:tcBorders/>
            <w:shd w:fill="auto" w:val="clear"/>
          </w:tcPr>
          <w:p>
            <w:pPr>
              <w:pStyle w:val="TableContents"/>
              <w:spacing w:before="0" w:after="283"/>
              <w:rPr/>
            </w:pPr>
            <w:r>
              <w:rPr/>
              <w:t>Check appropriate response.</w:t>
            </w:r>
          </w:p>
        </w:tc>
      </w:tr>
    </w:tbl>
    <w:tbl>
      <w:tblPr>
        <w:tblW w:w="5000" w:type="pct"/>
        <w:jc w:val="center"/>
        <w:tblInd w:w="0" w:type="dxa"/>
        <w:tblCellMar>
          <w:top w:w="0" w:type="dxa"/>
          <w:left w:w="0" w:type="dxa"/>
          <w:bottom w:w="0" w:type="dxa"/>
          <w:right w:w="0" w:type="dxa"/>
        </w:tblCellMar>
      </w:tblPr>
      <w:tblGrid>
        <w:gridCol w:w="3870"/>
        <w:gridCol w:w="135"/>
        <w:gridCol w:w="432"/>
        <w:gridCol w:w="154"/>
        <w:gridCol w:w="4210"/>
        <w:gridCol w:w="135"/>
        <w:gridCol w:w="1269"/>
      </w:tblGrid>
      <w:tr>
        <w:trPr/>
        <w:tc>
          <w:tcPr>
            <w:tcW w:w="387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21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rPr/>
            </w:pPr>
            <w:r>
              <w:rPr/>
              <w:t> </w:t>
            </w:r>
          </w:p>
        </w:tc>
      </w:tr>
      <w:tr>
        <w:trPr/>
        <w:tc>
          <w:tcPr>
            <w:tcW w:w="3870" w:type="dxa"/>
            <w:tcBorders/>
            <w:shd w:fill="auto" w:val="clear"/>
          </w:tcPr>
          <w:p>
            <w:pPr>
              <w:pStyle w:val="TableContents"/>
              <w:spacing w:before="0" w:after="283"/>
              <w:rPr/>
            </w:pPr>
            <w:r>
              <w:rPr/>
              <w:t> </w:t>
            </w:r>
          </w:p>
        </w:tc>
        <w:tc>
          <w:tcPr>
            <w:tcW w:w="135" w:type="dxa"/>
            <w:tcBorders/>
            <w:shd w:fill="auto" w:val="clear"/>
            <w:vAlign w:val="center"/>
          </w:tcPr>
          <w:p>
            <w:pPr>
              <w:pStyle w:val="TableContents"/>
              <w:spacing w:before="0" w:after="283"/>
              <w:rPr/>
            </w:pPr>
            <w:r>
              <w:rPr/>
              <w:t> </w:t>
            </w:r>
          </w:p>
        </w:tc>
        <w:tc>
          <w:tcPr>
            <w:tcW w:w="4796" w:type="dxa"/>
            <w:gridSpan w:val="3"/>
            <w:tcBorders>
              <w:top w:val="single" w:sz="2" w:space="0" w:color="000000"/>
            </w:tcBorders>
            <w:shd w:fill="auto" w:val="clear"/>
            <w:tcMar>
              <w:top w:w="28" w:type="dxa"/>
            </w:tcMar>
          </w:tcPr>
          <w:p>
            <w:pPr>
              <w:pStyle w:val="TableContents"/>
              <w:spacing w:before="0" w:after="283"/>
              <w:jc w:val="left"/>
              <w:rPr/>
            </w:pPr>
            <w:r>
              <w:rPr/>
              <w:t> </w:t>
            </w:r>
          </w:p>
        </w:tc>
        <w:tc>
          <w:tcPr>
            <w:tcW w:w="135" w:type="dxa"/>
            <w:tcBorders/>
            <w:shd w:fill="auto" w:val="clear"/>
            <w:vAlign w:val="center"/>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r>
        <w:trPr/>
        <w:tc>
          <w:tcPr>
            <w:tcW w:w="3870"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96" w:type="dxa"/>
            <w:gridSpan w:val="3"/>
            <w:tcBorders/>
            <w:shd w:fill="auto" w:val="clear"/>
          </w:tcPr>
          <w:p>
            <w:pPr>
              <w:pStyle w:val="TableContents"/>
              <w:spacing w:before="0" w:after="283"/>
              <w:jc w:val="left"/>
              <w:rPr/>
            </w:pPr>
            <w:r>
              <w:rPr/>
              <w:t>[INSERT NAME OF TRANSFEROR]</w:t>
            </w:r>
          </w:p>
        </w:tc>
        <w:tc>
          <w:tcPr>
            <w:tcW w:w="135" w:type="dxa"/>
            <w:tcBorders/>
            <w:shd w:fill="auto" w:val="clear"/>
            <w:vAlign w:val="bottom"/>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r>
        <w:trPr/>
        <w:tc>
          <w:tcPr>
            <w:tcW w:w="3870"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r>
        <w:trPr/>
        <w:tc>
          <w:tcPr>
            <w:tcW w:w="3870"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jc w:val="left"/>
              <w:rPr/>
            </w:pPr>
            <w:r>
              <w:rPr/>
              <w:t>By:</w:t>
            </w:r>
          </w:p>
        </w:tc>
        <w:tc>
          <w:tcPr>
            <w:tcW w:w="154"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r>
        <w:trPr/>
        <w:tc>
          <w:tcPr>
            <w:tcW w:w="3870"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w:t>
            </w:r>
          </w:p>
        </w:tc>
        <w:tc>
          <w:tcPr>
            <w:tcW w:w="135" w:type="dxa"/>
            <w:tcBorders/>
            <w:shd w:fill="auto" w:val="clear"/>
            <w:vAlign w:val="bottom"/>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r>
        <w:trPr/>
        <w:tc>
          <w:tcPr>
            <w:tcW w:w="3870"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t>Title:</w:t>
            </w:r>
          </w:p>
        </w:tc>
        <w:tc>
          <w:tcPr>
            <w:tcW w:w="135" w:type="dxa"/>
            <w:tcBorders/>
            <w:shd w:fill="auto" w:val="clear"/>
            <w:vAlign w:val="bottom"/>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r>
        <w:trPr/>
        <w:tc>
          <w:tcPr>
            <w:tcW w:w="3870"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4210" w:type="dxa"/>
            <w:tcBorders/>
            <w:shd w:fill="auto" w:val="clear"/>
          </w:tcPr>
          <w:p>
            <w:pPr>
              <w:pStyle w:val="TableContents"/>
              <w:spacing w:before="0" w:after="283"/>
              <w:jc w:val="left"/>
              <w:rPr/>
            </w:pPr>
            <w:r>
              <w:rPr/>
              <w:t>Address:</w:t>
            </w:r>
          </w:p>
        </w:tc>
        <w:tc>
          <w:tcPr>
            <w:tcW w:w="135" w:type="dxa"/>
            <w:tcBorders/>
            <w:shd w:fill="auto" w:val="clear"/>
            <w:vAlign w:val="bottom"/>
          </w:tcPr>
          <w:p>
            <w:pPr>
              <w:pStyle w:val="TableContents"/>
              <w:spacing w:before="0" w:after="283"/>
              <w:rPr/>
            </w:pPr>
            <w:r>
              <w:rPr/>
              <w:t> </w:t>
            </w:r>
          </w:p>
        </w:tc>
        <w:tc>
          <w:tcPr>
            <w:tcW w:w="1269" w:type="dxa"/>
            <w:tcBorders/>
            <w:shd w:fill="auto" w:val="clear"/>
          </w:tcPr>
          <w:p>
            <w:pPr>
              <w:pStyle w:val="TableContents"/>
              <w:spacing w:before="0" w:after="283"/>
              <w:jc w:val="left"/>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 </w:t>
      </w:r>
      <w:r>
        <w:rPr>
          <w:rFonts w:ascii="Times New Roman;Times;serif" w:hAnsi="Times New Roman;Times;serif"/>
          <w:sz w:val="17"/>
          <w:u w:val="single"/>
        </w:rPr>
        <w:t>                                        </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C-2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D</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TRANSFEREE LETTER OF REPRESENTATIONS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PAA Finance Corp.</w:t>
        <w:br/>
        <w:t>c/o U.S. Bank National Association, Trustee</w:t>
        <w:br/>
        <w:t>5847 San Felipe, Suite 1050</w:t>
        <w:br/>
        <w:t>Houston, Texas 77057</w:t>
        <w:br/>
        <w:t xml:space="preserve">Attn: Corporate Trust Group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In connection with our proposed purchase of $</w:t>
      </w:r>
      <w:r>
        <w:rPr>
          <w:rFonts w:ascii="Times New Roman;Times;serif" w:hAnsi="Times New Roman;Times;serif"/>
          <w:sz w:val="17"/>
          <w:u w:val="single"/>
        </w:rPr>
        <w:t>                    </w:t>
      </w:r>
      <w:r>
        <w:rPr>
          <w:rFonts w:ascii="Times New Roman;Times;serif" w:hAnsi="Times New Roman;Times;serif"/>
          <w:sz w:val="17"/>
        </w:rPr>
        <w:t xml:space="preserve"> aggregate principal amount of 6.650% Senior Notes due 2037 (the Securities) of Plains All American Pipeline, L.P. and PAA Finance Corp. (together, the Issuers): </w:t>
      </w:r>
    </w:p>
    <w:p>
      <w:pPr>
        <w:pStyle w:val="TextBody"/>
        <w:spacing w:before="120" w:after="283"/>
        <w:jc w:val="left"/>
        <w:rPr/>
      </w:pPr>
      <w:r>
        <w:rPr/>
        <w:t>          </w:t>
      </w:r>
      <w:r>
        <w:rPr>
          <w:rFonts w:ascii="Times New Roman;Times;serif" w:hAnsi="Times New Roman;Times;serif"/>
          <w:sz w:val="17"/>
        </w:rPr>
        <w:t xml:space="preserve">1. We understand that the Securities have not been registered under the Securities Act of 1933, as amended (the Securities Act), or under any other applicable securities laws, and may not be sold except as permitted in the following sentence. We agree on our own behalf and on behalf of any investor account for which we are purchasing the Securities to offer, sell or otherwise transfer such Securities prior to the date which is two years after the later of the date of original issue and the last date on which the Issuers or any affiliate of an Issuer was the owner of such Securities, or any predecessor, thereto (the Resale Restriction Termination Date) only (a) to the Issuers, (b) pursuant to a registration statement that has been declared effective by the Securities and Exchange Commission (the Commission), (c) for so long as the Securities are eligible for resale pursuant to Rule 144A under the Securities Act, to a person we reasonably believe is a qualified institutional buyer under Rule 144A (a QIB) that purchases for its own account or for the account of a QIB to whom notice is given that the transfer is being made in reliance on Rule 144A, (d) to an institutional accredited investor within the meaning of subparagraph (a)(1), (2), (3) or (7) of Rule 501 under the Securities Act (an Institutional Accredited Investor) that is acquiring the Securities for its own account or for the account of another Institutional Accredited Investor for investment purposes and not with a view to, or for offer or sale in connection with, any distribution thereof in violation of the regulations of the Securities Act and any other applicable securities laws or (e) pursuant to any other available exemption from the registration requirements of the Securities Act, subject in each of the foregoing cases to any requirement of law that the disposition of our property and the property of such investor account or accounts be at all times within our or their control. The foregoing restrictions on resale will not apply subsequent to the Resale Restriction Termination Date. If any resale or other transfer of the Securities is proposed to be made pursuant to clause (d) above prior to the Resale Restriction Termination Date, the transferor shall deliver a letter from the transferee substantially in the form of this letter to the Trustee, which shall provide, among other things, that the transferee is an Institutional Accredited Investor and that it is acquiring such Securities for investment purposes and not for distribution in violation of the Securities Act. We acknowledge that the Issuers and the Trustee reserve the right prior to any offer, sale or other transfer pursuant to clause (d) or (e) prior to the Resale Restriction </w:t>
      </w:r>
    </w:p>
    <w:p>
      <w:pPr>
        <w:pStyle w:val="TextBody"/>
        <w:jc w:val="center"/>
        <w:rPr>
          <w:rFonts w:ascii="Times New Roman;Times;serif" w:hAnsi="Times New Roman;Times;serif"/>
          <w:sz w:val="17"/>
        </w:rPr>
      </w:pPr>
      <w:r>
        <w:rPr>
          <w:rFonts w:ascii="Times New Roman;Times;serif" w:hAnsi="Times New Roman;Times;serif"/>
          <w:sz w:val="17"/>
        </w:rPr>
        <w:t xml:space="preserve">D-1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Termination Date of the Securities to require the delivery of an opinion of counsel, certifications and/or other information satisfactory to the Issuers and the Trustee. </w:t>
      </w:r>
    </w:p>
    <w:p>
      <w:pPr>
        <w:pStyle w:val="TextBody"/>
        <w:spacing w:before="120" w:after="283"/>
        <w:jc w:val="left"/>
        <w:rPr/>
      </w:pPr>
      <w:r>
        <w:rPr/>
        <w:t>          </w:t>
      </w:r>
      <w:r>
        <w:rPr>
          <w:rFonts w:ascii="Times New Roman;Times;serif" w:hAnsi="Times New Roman;Times;serif"/>
          <w:sz w:val="17"/>
        </w:rPr>
        <w:t xml:space="preserve">2. We are an Institutional Accredited Investor purchasing for our own account or for the account of another Institutional Accredited Investor. </w:t>
      </w:r>
    </w:p>
    <w:p>
      <w:pPr>
        <w:pStyle w:val="TextBody"/>
        <w:spacing w:before="120" w:after="283"/>
        <w:jc w:val="left"/>
        <w:rPr/>
      </w:pPr>
      <w:r>
        <w:rPr/>
        <w:t>          </w:t>
      </w:r>
      <w:r>
        <w:rPr>
          <w:rFonts w:ascii="Times New Roman;Times;serif" w:hAnsi="Times New Roman;Times;serif"/>
          <w:sz w:val="17"/>
        </w:rPr>
        <w:t xml:space="preserve">3. We are acquiring the Securities purchased by us for our own account, or for one or more accounts as to each of which we exercise sole investment discretion, for investment purposes and not with a view to, or for offer or sale in connection with any distribution in violation of, the Securities Act. We have such knowledge and experience in financial and business matters as to be capable of evaluating the merits and risks of investment in the Securities, we invest in securities similar to the Securities in the normal course of our business and we, and all accounts for which we are acting, are able to bear the economic risks of investment in the Securities. </w:t>
      </w:r>
    </w:p>
    <w:p>
      <w:pPr>
        <w:pStyle w:val="TextBody"/>
        <w:spacing w:before="120" w:after="283"/>
        <w:jc w:val="left"/>
        <w:rPr/>
      </w:pPr>
      <w:r>
        <w:rPr/>
        <w:t>          </w:t>
      </w:r>
      <w:r>
        <w:rPr>
          <w:rFonts w:ascii="Times New Roman;Times;serif" w:hAnsi="Times New Roman;Times;serif"/>
          <w:sz w:val="17"/>
        </w:rPr>
        <w:t xml:space="preserve">4. You are entitled to rely upon this letter and you are irrevocably authorized to produce this letter or a copy thereof to any interested party in any administrative or legal proceeding or official inquiry with respect to the matters covered hereby. </w:t>
      </w:r>
    </w:p>
    <w:tbl>
      <w:tblPr>
        <w:tblW w:w="5000" w:type="pct"/>
        <w:jc w:val="center"/>
        <w:tblInd w:w="0" w:type="dxa"/>
        <w:tblCellMar>
          <w:top w:w="0" w:type="dxa"/>
          <w:left w:w="0" w:type="dxa"/>
          <w:bottom w:w="0" w:type="dxa"/>
          <w:right w:w="0" w:type="dxa"/>
        </w:tblCellMar>
      </w:tblPr>
      <w:tblGrid>
        <w:gridCol w:w="3890"/>
        <w:gridCol w:w="135"/>
        <w:gridCol w:w="382"/>
        <w:gridCol w:w="135"/>
        <w:gridCol w:w="4252"/>
        <w:gridCol w:w="135"/>
        <w:gridCol w:w="1276"/>
      </w:tblGrid>
      <w:tr>
        <w:trPr/>
        <w:tc>
          <w:tcPr>
            <w:tcW w:w="389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25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rPr/>
            </w:pPr>
            <w:r>
              <w:rPr/>
              <w:t> </w:t>
            </w:r>
          </w:p>
        </w:tc>
      </w:tr>
      <w:tr>
        <w:trPr/>
        <w:tc>
          <w:tcPr>
            <w:tcW w:w="3890"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69" w:type="dxa"/>
            <w:gridSpan w:val="3"/>
            <w:tcBorders/>
            <w:shd w:fill="auto" w:val="clear"/>
          </w:tcPr>
          <w:p>
            <w:pPr>
              <w:pStyle w:val="TableContents"/>
              <w:spacing w:before="0" w:after="283"/>
              <w:jc w:val="left"/>
              <w:rPr/>
            </w:pPr>
            <w:r>
              <w:rPr/>
              <w:t>Very truly yours,</w:t>
            </w:r>
          </w:p>
        </w:tc>
        <w:tc>
          <w:tcPr>
            <w:tcW w:w="135"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left"/>
              <w:rPr/>
            </w:pPr>
            <w:r>
              <w:rPr/>
              <w:t> </w:t>
            </w:r>
          </w:p>
        </w:tc>
      </w:tr>
      <w:tr>
        <w:trPr/>
        <w:tc>
          <w:tcPr>
            <w:tcW w:w="3890"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8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5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left"/>
              <w:rPr/>
            </w:pPr>
            <w:r>
              <w:rPr/>
              <w:t> </w:t>
            </w:r>
          </w:p>
        </w:tc>
      </w:tr>
      <w:tr>
        <w:trPr/>
        <w:tc>
          <w:tcPr>
            <w:tcW w:w="3890"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69" w:type="dxa"/>
            <w:gridSpan w:val="3"/>
            <w:tcBorders/>
            <w:shd w:fill="auto" w:val="clear"/>
          </w:tcPr>
          <w:p>
            <w:pPr>
              <w:pStyle w:val="TableContents"/>
              <w:spacing w:before="0" w:after="283"/>
              <w:jc w:val="left"/>
              <w:rPr/>
            </w:pPr>
            <w:r>
              <w:rPr/>
              <w:t>[NAME OF TRANSFEREE]</w:t>
            </w:r>
          </w:p>
        </w:tc>
        <w:tc>
          <w:tcPr>
            <w:tcW w:w="135"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left"/>
              <w:rPr/>
            </w:pPr>
            <w:r>
              <w:rPr/>
              <w:t> </w:t>
            </w:r>
          </w:p>
        </w:tc>
      </w:tr>
      <w:tr>
        <w:trPr/>
        <w:tc>
          <w:tcPr>
            <w:tcW w:w="3890"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38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5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left"/>
              <w:rPr/>
            </w:pPr>
            <w:r>
              <w:rPr/>
              <w:t> </w:t>
            </w:r>
          </w:p>
        </w:tc>
      </w:tr>
      <w:tr>
        <w:trPr/>
        <w:tc>
          <w:tcPr>
            <w:tcW w:w="3890"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82" w:type="dxa"/>
            <w:tcBorders/>
            <w:shd w:fill="auto" w:val="clear"/>
          </w:tcPr>
          <w:p>
            <w:pPr>
              <w:pStyle w:val="TableContents"/>
              <w:spacing w:before="0" w:after="283"/>
              <w:jc w:val="left"/>
              <w:rPr/>
            </w:pPr>
            <w:r>
              <w:rPr/>
              <w:t>By:</w:t>
            </w:r>
          </w:p>
        </w:tc>
        <w:tc>
          <w:tcPr>
            <w:tcW w:w="135" w:type="dxa"/>
            <w:tcBorders/>
            <w:shd w:fill="auto" w:val="clear"/>
            <w:vAlign w:val="bottom"/>
          </w:tcPr>
          <w:p>
            <w:pPr>
              <w:pStyle w:val="TableContents"/>
              <w:spacing w:before="0" w:after="283"/>
              <w:rPr/>
            </w:pPr>
            <w:r>
              <w:rPr/>
              <w:t> </w:t>
            </w:r>
          </w:p>
        </w:tc>
        <w:tc>
          <w:tcPr>
            <w:tcW w:w="425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left"/>
              <w:rPr/>
            </w:pPr>
            <w:r>
              <w:rPr/>
              <w:t> </w:t>
            </w:r>
          </w:p>
        </w:tc>
      </w:tr>
      <w:tr>
        <w:trPr/>
        <w:tc>
          <w:tcPr>
            <w:tcW w:w="3890"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8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52"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Authorized Signatory </w:t>
            </w:r>
          </w:p>
        </w:tc>
        <w:tc>
          <w:tcPr>
            <w:tcW w:w="135" w:type="dxa"/>
            <w:tcBorders/>
            <w:shd w:fill="auto" w:val="clear"/>
            <w:vAlign w:val="bottom"/>
          </w:tcPr>
          <w:p>
            <w:pPr>
              <w:pStyle w:val="TableContents"/>
              <w:spacing w:before="0" w:after="283"/>
              <w:rPr/>
            </w:pPr>
            <w:r>
              <w:rPr/>
              <w:t> </w:t>
            </w:r>
          </w:p>
        </w:tc>
        <w:tc>
          <w:tcPr>
            <w:tcW w:w="1276" w:type="dxa"/>
            <w:tcBorders/>
            <w:shd w:fill="auto" w:val="clea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sz w:val="17"/>
        </w:rPr>
        <w:t xml:space="preserve">Upon transfer, the Securities should be registered in the name of the new beneficial owner as follows: </w:t>
      </w:r>
    </w:p>
    <w:tbl>
      <w:tblPr>
        <w:tblW w:w="5000" w:type="pct"/>
        <w:jc w:val="center"/>
        <w:tblInd w:w="0" w:type="dxa"/>
        <w:tblCellMar>
          <w:top w:w="0" w:type="dxa"/>
          <w:left w:w="0" w:type="dxa"/>
          <w:bottom w:w="0" w:type="dxa"/>
          <w:right w:w="0" w:type="dxa"/>
        </w:tblCellMar>
      </w:tblPr>
      <w:tblGrid>
        <w:gridCol w:w="941"/>
        <w:gridCol w:w="126"/>
        <w:gridCol w:w="3205"/>
        <w:gridCol w:w="126"/>
        <w:gridCol w:w="5807"/>
      </w:tblGrid>
      <w:tr>
        <w:trPr/>
        <w:tc>
          <w:tcPr>
            <w:tcW w:w="94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20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807" w:type="dxa"/>
            <w:tcBorders/>
            <w:shd w:fill="auto" w:val="clear"/>
            <w:vAlign w:val="bottom"/>
          </w:tcPr>
          <w:p>
            <w:pPr>
              <w:pStyle w:val="TableContents"/>
              <w:spacing w:before="0" w:after="283"/>
              <w:rPr/>
            </w:pPr>
            <w:r>
              <w:rPr/>
              <w:t> </w:t>
            </w:r>
          </w:p>
        </w:tc>
      </w:tr>
      <w:tr>
        <w:trPr/>
        <w:tc>
          <w:tcPr>
            <w:tcW w:w="941" w:type="dxa"/>
            <w:tcBorders/>
            <w:shd w:fill="auto" w:val="clear"/>
          </w:tcPr>
          <w:p>
            <w:pPr>
              <w:pStyle w:val="TableContents"/>
              <w:spacing w:before="0" w:after="0"/>
              <w:ind w:left="0" w:right="0" w:hanging="0"/>
              <w:rPr/>
            </w:pPr>
            <w:r>
              <w:rPr/>
              <w:t>Name:</w:t>
            </w:r>
          </w:p>
        </w:tc>
        <w:tc>
          <w:tcPr>
            <w:tcW w:w="126" w:type="dxa"/>
            <w:tcBorders/>
            <w:shd w:fill="auto" w:val="clear"/>
            <w:vAlign w:val="bottom"/>
          </w:tcPr>
          <w:p>
            <w:pPr>
              <w:pStyle w:val="TableContents"/>
              <w:spacing w:before="0" w:after="283"/>
              <w:rPr/>
            </w:pPr>
            <w:r>
              <w:rPr/>
              <w:t> </w:t>
            </w:r>
          </w:p>
        </w:tc>
        <w:tc>
          <w:tcPr>
            <w:tcW w:w="3205" w:type="dxa"/>
            <w:tcBorders/>
            <w:shd w:fill="auto" w:val="clear"/>
            <w:vAlign w:val="bottom"/>
          </w:tcPr>
          <w:p>
            <w:pPr>
              <w:pStyle w:val="TableContents"/>
              <w:spacing w:before="0" w:after="0"/>
              <w:jc w:val="left"/>
              <w:rPr>
                <w:bdr w:val="single" w:sz="2" w:space="1" w:color="000000"/>
              </w:rPr>
            </w:pPr>
            <w:r>
              <w:rPr>
                <w:bdr w:val="single" w:sz="2" w:space="1" w:color="000000"/>
              </w:rPr>
              <w:t> </w:t>
            </w:r>
          </w:p>
        </w:tc>
        <w:tc>
          <w:tcPr>
            <w:tcW w:w="126" w:type="dxa"/>
            <w:tcBorders/>
            <w:shd w:fill="auto" w:val="clear"/>
            <w:vAlign w:val="bottom"/>
          </w:tcPr>
          <w:p>
            <w:pPr>
              <w:pStyle w:val="TableContents"/>
              <w:spacing w:before="0" w:after="283"/>
              <w:rPr/>
            </w:pPr>
            <w:r>
              <w:rPr/>
              <w:t> </w:t>
            </w:r>
          </w:p>
        </w:tc>
        <w:tc>
          <w:tcPr>
            <w:tcW w:w="5807" w:type="dxa"/>
            <w:tcBorders/>
            <w:shd w:fill="auto" w:val="clear"/>
          </w:tcPr>
          <w:p>
            <w:pPr>
              <w:pStyle w:val="TableContents"/>
              <w:spacing w:before="0" w:after="283"/>
              <w:jc w:val="left"/>
              <w:rPr/>
            </w:pPr>
            <w:r>
              <w:rPr/>
              <w:t> </w:t>
            </w:r>
          </w:p>
        </w:tc>
      </w:tr>
      <w:tr>
        <w:trPr/>
        <w:tc>
          <w:tcPr>
            <w:tcW w:w="941" w:type="dxa"/>
            <w:tcBorders/>
            <w:shd w:fill="auto" w:val="clear"/>
            <w:vAlign w:val="bottom"/>
          </w:tcPr>
          <w:p>
            <w:pPr>
              <w:pStyle w:val="TableContents"/>
              <w:spacing w:before="0" w:after="0"/>
              <w:ind w:left="0" w:right="0" w:hanging="0"/>
              <w:rPr/>
            </w:pPr>
            <w:r>
              <w:rPr/>
              <w:t>Address:</w:t>
            </w:r>
          </w:p>
        </w:tc>
        <w:tc>
          <w:tcPr>
            <w:tcW w:w="126" w:type="dxa"/>
            <w:tcBorders/>
            <w:shd w:fill="auto" w:val="clear"/>
            <w:vAlign w:val="bottom"/>
          </w:tcPr>
          <w:p>
            <w:pPr>
              <w:pStyle w:val="TableContents"/>
              <w:spacing w:before="0" w:after="283"/>
              <w:rPr/>
            </w:pPr>
            <w:r>
              <w:rPr/>
              <w:t> </w:t>
            </w:r>
          </w:p>
        </w:tc>
        <w:tc>
          <w:tcPr>
            <w:tcW w:w="3205" w:type="dxa"/>
            <w:tcBorders/>
            <w:shd w:fill="auto" w:val="clear"/>
            <w:vAlign w:val="bottom"/>
          </w:tcPr>
          <w:p>
            <w:pPr>
              <w:pStyle w:val="TableContents"/>
              <w:spacing w:before="0" w:after="0"/>
              <w:jc w:val="left"/>
              <w:rPr>
                <w:bdr w:val="single" w:sz="2" w:space="1" w:color="000000"/>
              </w:rPr>
            </w:pPr>
            <w:r>
              <w:rPr>
                <w:bdr w:val="single" w:sz="2" w:space="1" w:color="000000"/>
              </w:rPr>
              <w:t> </w:t>
            </w:r>
          </w:p>
        </w:tc>
        <w:tc>
          <w:tcPr>
            <w:tcW w:w="126" w:type="dxa"/>
            <w:tcBorders/>
            <w:shd w:fill="auto" w:val="clear"/>
            <w:vAlign w:val="bottom"/>
          </w:tcPr>
          <w:p>
            <w:pPr>
              <w:pStyle w:val="TableContents"/>
              <w:spacing w:before="0" w:after="283"/>
              <w:rPr/>
            </w:pPr>
            <w:r>
              <w:rPr/>
              <w:t> </w:t>
            </w:r>
          </w:p>
        </w:tc>
        <w:tc>
          <w:tcPr>
            <w:tcW w:w="5807" w:type="dxa"/>
            <w:tcBorders/>
            <w:shd w:fill="auto" w:val="clear"/>
          </w:tcPr>
          <w:p>
            <w:pPr>
              <w:pStyle w:val="TableContents"/>
              <w:spacing w:before="0" w:after="283"/>
              <w:jc w:val="left"/>
              <w:rPr/>
            </w:pPr>
            <w:r>
              <w:rPr/>
              <w:t> </w:t>
            </w:r>
          </w:p>
        </w:tc>
      </w:tr>
      <w:tr>
        <w:trPr/>
        <w:tc>
          <w:tcPr>
            <w:tcW w:w="94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205" w:type="dxa"/>
            <w:tcBorders/>
            <w:shd w:fill="auto" w:val="clear"/>
            <w:vAlign w:val="bottom"/>
          </w:tcPr>
          <w:p>
            <w:pPr>
              <w:pStyle w:val="TableContents"/>
              <w:spacing w:before="0" w:after="0"/>
              <w:jc w:val="left"/>
              <w:rPr>
                <w:bdr w:val="single" w:sz="2" w:space="1" w:color="000000"/>
              </w:rPr>
            </w:pPr>
            <w:r>
              <w:rPr>
                <w:bdr w:val="single" w:sz="2" w:space="1" w:color="000000"/>
              </w:rPr>
              <w:t> </w:t>
            </w:r>
          </w:p>
        </w:tc>
        <w:tc>
          <w:tcPr>
            <w:tcW w:w="126" w:type="dxa"/>
            <w:tcBorders/>
            <w:shd w:fill="auto" w:val="clear"/>
            <w:vAlign w:val="bottom"/>
          </w:tcPr>
          <w:p>
            <w:pPr>
              <w:pStyle w:val="TableContents"/>
              <w:spacing w:before="0" w:after="283"/>
              <w:rPr/>
            </w:pPr>
            <w:r>
              <w:rPr/>
              <w:t> </w:t>
            </w:r>
          </w:p>
        </w:tc>
        <w:tc>
          <w:tcPr>
            <w:tcW w:w="5807" w:type="dxa"/>
            <w:tcBorders/>
            <w:shd w:fill="auto" w:val="clear"/>
          </w:tcPr>
          <w:p>
            <w:pPr>
              <w:pStyle w:val="TableContents"/>
              <w:spacing w:before="0" w:after="283"/>
              <w:jc w:val="left"/>
              <w:rPr/>
            </w:pPr>
            <w:r>
              <w:rPr/>
              <w:t> </w:t>
            </w:r>
          </w:p>
        </w:tc>
      </w:tr>
      <w:tr>
        <w:trPr/>
        <w:tc>
          <w:tcPr>
            <w:tcW w:w="94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205" w:type="dxa"/>
            <w:tcBorders/>
            <w:shd w:fill="auto" w:val="clear"/>
            <w:vAlign w:val="bottom"/>
          </w:tcPr>
          <w:p>
            <w:pPr>
              <w:pStyle w:val="TableContents"/>
              <w:spacing w:before="0" w:after="0"/>
              <w:jc w:val="left"/>
              <w:rPr>
                <w:bdr w:val="single" w:sz="2" w:space="1" w:color="000000"/>
              </w:rPr>
            </w:pPr>
            <w:r>
              <w:rPr>
                <w:bdr w:val="single" w:sz="2" w:space="1" w:color="000000"/>
              </w:rPr>
              <w:t> </w:t>
            </w:r>
          </w:p>
        </w:tc>
        <w:tc>
          <w:tcPr>
            <w:tcW w:w="126" w:type="dxa"/>
            <w:tcBorders/>
            <w:shd w:fill="auto" w:val="clear"/>
            <w:vAlign w:val="bottom"/>
          </w:tcPr>
          <w:p>
            <w:pPr>
              <w:pStyle w:val="TableContents"/>
              <w:spacing w:before="0" w:after="283"/>
              <w:rPr/>
            </w:pPr>
            <w:r>
              <w:rPr/>
              <w:t> </w:t>
            </w:r>
          </w:p>
        </w:tc>
        <w:tc>
          <w:tcPr>
            <w:tcW w:w="5807" w:type="dxa"/>
            <w:tcBorders/>
            <w:shd w:fill="auto" w:val="clear"/>
          </w:tcPr>
          <w:p>
            <w:pPr>
              <w:pStyle w:val="TableContents"/>
              <w:spacing w:before="0" w:after="283"/>
              <w:jc w:val="left"/>
              <w:rPr/>
            </w:pPr>
            <w:r>
              <w:rPr/>
              <w:t> </w:t>
            </w:r>
          </w:p>
        </w:tc>
      </w:tr>
      <w:tr>
        <w:trPr/>
        <w:tc>
          <w:tcPr>
            <w:tcW w:w="941" w:type="dxa"/>
            <w:tcBorders/>
            <w:shd w:fill="auto" w:val="clear"/>
          </w:tcPr>
          <w:p>
            <w:pPr>
              <w:pStyle w:val="TableContents"/>
              <w:spacing w:before="0" w:after="0"/>
              <w:ind w:left="0" w:right="0" w:hanging="0"/>
              <w:rPr/>
            </w:pPr>
            <w:r>
              <w:rPr/>
              <w:t>Taxpayer ID No:</w:t>
            </w:r>
          </w:p>
        </w:tc>
        <w:tc>
          <w:tcPr>
            <w:tcW w:w="126" w:type="dxa"/>
            <w:tcBorders/>
            <w:shd w:fill="auto" w:val="clear"/>
            <w:vAlign w:val="bottom"/>
          </w:tcPr>
          <w:p>
            <w:pPr>
              <w:pStyle w:val="TableContents"/>
              <w:spacing w:before="0" w:after="283"/>
              <w:rPr/>
            </w:pPr>
            <w:r>
              <w:rPr/>
              <w:t> </w:t>
            </w:r>
          </w:p>
        </w:tc>
        <w:tc>
          <w:tcPr>
            <w:tcW w:w="3205" w:type="dxa"/>
            <w:tcBorders/>
            <w:shd w:fill="auto" w:val="clear"/>
            <w:vAlign w:val="bottom"/>
          </w:tcPr>
          <w:p>
            <w:pPr>
              <w:pStyle w:val="TableContents"/>
              <w:spacing w:before="0" w:after="0"/>
              <w:jc w:val="left"/>
              <w:rPr>
                <w:bdr w:val="single" w:sz="2" w:space="1" w:color="000000"/>
              </w:rPr>
            </w:pPr>
            <w:r>
              <w:rPr>
                <w:bdr w:val="single" w:sz="2" w:space="1" w:color="000000"/>
              </w:rPr>
              <w:t> </w:t>
            </w:r>
          </w:p>
        </w:tc>
        <w:tc>
          <w:tcPr>
            <w:tcW w:w="126" w:type="dxa"/>
            <w:tcBorders/>
            <w:shd w:fill="auto" w:val="clear"/>
            <w:vAlign w:val="bottom"/>
          </w:tcPr>
          <w:p>
            <w:pPr>
              <w:pStyle w:val="TableContents"/>
              <w:spacing w:before="0" w:after="283"/>
              <w:rPr/>
            </w:pPr>
            <w:r>
              <w:rPr/>
              <w:t> </w:t>
            </w:r>
          </w:p>
        </w:tc>
        <w:tc>
          <w:tcPr>
            <w:tcW w:w="5807"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D-2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u w:val="single"/>
        </w:rPr>
        <w:t>EXHIBIT 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CERTIFICATE TO BE DELIVERED </w:t>
      </w:r>
    </w:p>
    <w:p>
      <w:pPr>
        <w:pStyle w:val="TextBody"/>
        <w:spacing w:before="0" w:after="0"/>
        <w:jc w:val="center"/>
        <w:rPr>
          <w:rFonts w:ascii="Times New Roman;Times;serif" w:hAnsi="Times New Roman;Times;serif"/>
          <w:sz w:val="17"/>
        </w:rPr>
      </w:pPr>
      <w:r>
        <w:rPr>
          <w:rFonts w:ascii="Times New Roman;Times;serif" w:hAnsi="Times New Roman;Times;serif"/>
          <w:sz w:val="17"/>
        </w:rPr>
        <w:t>IN CONNECTION WITH TRANSFERS PURSUANT TO REGULATION S</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PAA Finance Corp.</w:t>
        <w:br/>
        <w:t>c/o U.S. Bank National Association, Trustee</w:t>
        <w:br/>
        <w:t>5847 San Felipe, Suite 1050</w:t>
        <w:br/>
        <w:t>Houston, Texas 77057</w:t>
        <w:br/>
        <w:t xml:space="preserve">Attn: Corporate Trust Group </w: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6220460" cy="914400"/>
                <wp:effectExtent l="0" t="0" r="0" b="0"/>
                <wp:wrapTopAndBottom/>
                <wp:docPr id="1" name="Frame1"/>
                <a:graphic xmlns:a="http://schemas.openxmlformats.org/drawingml/2006/main">
                  <a:graphicData uri="http://schemas.microsoft.com/office/word/2010/wordprocessingShape">
                    <wps:wsp>
                      <wps:cNvSpPr txBox="1"/>
                      <wps:spPr>
                        <a:xfrm>
                          <a:off x="0" y="0"/>
                          <a:ext cx="6220460" cy="914400"/>
                        </a:xfrm>
                        <a:prstGeom prst="rect"/>
                      </wps:spPr>
                      <wps:txbx>
                        <w:txbxContent>
                          <w:tbl>
                            <w:tblPr>
                              <w:tblW w:w="5000" w:type="pct"/>
                              <w:jc w:val="left"/>
                              <w:tblInd w:w="0" w:type="dxa"/>
                              <w:tblCellMar>
                                <w:top w:w="0" w:type="dxa"/>
                                <w:left w:w="0" w:type="dxa"/>
                                <w:bottom w:w="0" w:type="dxa"/>
                                <w:right w:w="0" w:type="dxa"/>
                              </w:tblCellMar>
                            </w:tblPr>
                            <w:tblGrid>
                              <w:gridCol w:w="335"/>
                              <w:gridCol w:w="104"/>
                              <w:gridCol w:w="9357"/>
                            </w:tblGrid>
                            <w:tr>
                              <w:trPr/>
                              <w:tc>
                                <w:tcPr>
                                  <w:tcW w:w="33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9357" w:type="dxa"/>
                                  <w:tcBorders/>
                                  <w:shd w:fill="auto" w:val="clear"/>
                                  <w:vAlign w:val="center"/>
                                </w:tcPr>
                                <w:p>
                                  <w:pPr>
                                    <w:pStyle w:val="TableContents"/>
                                    <w:spacing w:before="0" w:after="283"/>
                                    <w:rPr>
                                      <w:sz w:val="4"/>
                                      <w:szCs w:val="4"/>
                                    </w:rPr>
                                  </w:pPr>
                                  <w:r>
                                    <w:rPr>
                                      <w:sz w:val="4"/>
                                      <w:szCs w:val="4"/>
                                    </w:rPr>
                                  </w:r>
                                </w:p>
                              </w:tc>
                            </w:tr>
                            <w:tr>
                              <w:trPr/>
                              <w:tc>
                                <w:tcPr>
                                  <w:tcW w:w="335" w:type="dxa"/>
                                  <w:tcBorders/>
                                  <w:shd w:fill="auto" w:val="clear"/>
                                </w:tcPr>
                                <w:p>
                                  <w:pPr>
                                    <w:pStyle w:val="TableContents"/>
                                    <w:spacing w:before="0" w:after="283"/>
                                    <w:jc w:val="left"/>
                                    <w:rPr/>
                                  </w:pPr>
                                  <w:r>
                                    <w:rPr/>
                                    <w:t>Re:</w:t>
                                  </w:r>
                                </w:p>
                              </w:tc>
                              <w:tc>
                                <w:tcPr>
                                  <w:tcW w:w="104" w:type="dxa"/>
                                  <w:tcBorders/>
                                  <w:shd w:fill="auto" w:val="clear"/>
                                </w:tcPr>
                                <w:p>
                                  <w:pPr>
                                    <w:pStyle w:val="TableContents"/>
                                    <w:spacing w:before="0" w:after="283"/>
                                    <w:rPr/>
                                  </w:pPr>
                                  <w:r>
                                    <w:rPr/>
                                    <w:t> </w:t>
                                  </w:r>
                                </w:p>
                              </w:tc>
                              <w:tc>
                                <w:tcPr>
                                  <w:tcW w:w="9357" w:type="dxa"/>
                                  <w:tcBorders/>
                                  <w:shd w:fill="auto" w:val="clear"/>
                                </w:tcPr>
                                <w:p>
                                  <w:pPr>
                                    <w:pStyle w:val="TableContents"/>
                                    <w:spacing w:before="0" w:after="283"/>
                                    <w:rPr/>
                                  </w:pPr>
                                  <w:r>
                                    <w:rPr/>
                                    <w:t>Plains All American Pipeline, L.P. and PAA Finance Corp. (the Issuers) 6.650% Series [A/B] Senior Notes due 2037 (the Securities)</w:t>
                                  </w:r>
                                </w:p>
                              </w:tc>
                            </w:tr>
                          </w:tbl>
                          <w:p>
                            <w:pPr>
                              <w:pStyle w:val="TextBody"/>
                              <w:spacing w:before="0" w:after="283"/>
                              <w:rPr/>
                            </w:pPr>
                            <w:r>
                              <w:rPr/>
                            </w:r>
                          </w:p>
                        </w:txbxContent>
                      </wps:txbx>
                      <wps:bodyPr anchor="t" lIns="0" tIns="0" rIns="0" bIns="0">
                        <a:noAutofit/>
                      </wps:bodyPr>
                    </wps:wsp>
                  </a:graphicData>
                </a:graphic>
                <wp14:sizeRelH relativeFrom="margin">
                  <wp14:pctWidth>96000</wp14:pctWidth>
                </wp14:sizeRelH>
              </wp:anchor>
            </w:drawing>
          </mc:Choice>
          <mc:Fallback>
            <w:pict>
              <v:rect style="position:absolute;rotation:0;width:489.8pt;height:72pt;mso-wrap-distance-left:0pt;mso-wrap-distance-right:0pt;mso-wrap-distance-top:0pt;mso-wrap-distance-bottom:0pt;margin-top:0pt;mso-position-vertical:top;mso-position-vertical-relative:text;margin-left:20.45pt;mso-position-horizontal:right;mso-position-horizontal-relative:text">
                <v:textbox>
                  <w:txbxContent>
                    <w:tbl>
                      <w:tblPr>
                        <w:tblW w:w="5000" w:type="pct"/>
                        <w:jc w:val="left"/>
                        <w:tblInd w:w="0" w:type="dxa"/>
                        <w:tblCellMar>
                          <w:top w:w="0" w:type="dxa"/>
                          <w:left w:w="0" w:type="dxa"/>
                          <w:bottom w:w="0" w:type="dxa"/>
                          <w:right w:w="0" w:type="dxa"/>
                        </w:tblCellMar>
                      </w:tblPr>
                      <w:tblGrid>
                        <w:gridCol w:w="335"/>
                        <w:gridCol w:w="104"/>
                        <w:gridCol w:w="9357"/>
                      </w:tblGrid>
                      <w:tr>
                        <w:trPr/>
                        <w:tc>
                          <w:tcPr>
                            <w:tcW w:w="33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9357" w:type="dxa"/>
                            <w:tcBorders/>
                            <w:shd w:fill="auto" w:val="clear"/>
                            <w:vAlign w:val="center"/>
                          </w:tcPr>
                          <w:p>
                            <w:pPr>
                              <w:pStyle w:val="TableContents"/>
                              <w:spacing w:before="0" w:after="283"/>
                              <w:rPr>
                                <w:sz w:val="4"/>
                                <w:szCs w:val="4"/>
                              </w:rPr>
                            </w:pPr>
                            <w:r>
                              <w:rPr>
                                <w:sz w:val="4"/>
                                <w:szCs w:val="4"/>
                              </w:rPr>
                            </w:r>
                          </w:p>
                        </w:tc>
                      </w:tr>
                      <w:tr>
                        <w:trPr/>
                        <w:tc>
                          <w:tcPr>
                            <w:tcW w:w="335" w:type="dxa"/>
                            <w:tcBorders/>
                            <w:shd w:fill="auto" w:val="clear"/>
                          </w:tcPr>
                          <w:p>
                            <w:pPr>
                              <w:pStyle w:val="TableContents"/>
                              <w:spacing w:before="0" w:after="283"/>
                              <w:jc w:val="left"/>
                              <w:rPr/>
                            </w:pPr>
                            <w:r>
                              <w:rPr/>
                              <w:t>Re:</w:t>
                            </w:r>
                          </w:p>
                        </w:tc>
                        <w:tc>
                          <w:tcPr>
                            <w:tcW w:w="104" w:type="dxa"/>
                            <w:tcBorders/>
                            <w:shd w:fill="auto" w:val="clear"/>
                          </w:tcPr>
                          <w:p>
                            <w:pPr>
                              <w:pStyle w:val="TableContents"/>
                              <w:spacing w:before="0" w:after="283"/>
                              <w:rPr/>
                            </w:pPr>
                            <w:r>
                              <w:rPr/>
                              <w:t> </w:t>
                            </w:r>
                          </w:p>
                        </w:tc>
                        <w:tc>
                          <w:tcPr>
                            <w:tcW w:w="9357" w:type="dxa"/>
                            <w:tcBorders/>
                            <w:shd w:fill="auto" w:val="clear"/>
                          </w:tcPr>
                          <w:p>
                            <w:pPr>
                              <w:pStyle w:val="TableContents"/>
                              <w:spacing w:before="0" w:after="283"/>
                              <w:rPr/>
                            </w:pPr>
                            <w:r>
                              <w:rPr/>
                              <w:t>Plains All American Pipeline, L.P. and PAA Finance Corp. (the Issuers) 6.650% Series [A/B] Senior Notes due 2037 (the Securities)</w:t>
                            </w:r>
                          </w:p>
                        </w:tc>
                      </w:tr>
                    </w:tbl>
                    <w:p>
                      <w:pPr>
                        <w:pStyle w:val="TextBody"/>
                        <w:spacing w:before="0" w:after="283"/>
                        <w:rPr/>
                      </w:pPr>
                      <w:r>
                        <w:rPr/>
                      </w:r>
                    </w:p>
                  </w:txbxContent>
                </v:textbox>
                <w10:wrap type="topAndBottom"/>
              </v:rect>
            </w:pict>
          </mc:Fallback>
        </mc:AlternateConten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In connection with our proposed sale of $</w:t>
      </w:r>
      <w:r>
        <w:rPr>
          <w:rFonts w:ascii="Times New Roman;Times;serif" w:hAnsi="Times New Roman;Times;serif"/>
          <w:sz w:val="17"/>
          <w:u w:val="single"/>
        </w:rPr>
        <w:t>                    </w:t>
      </w:r>
      <w:r>
        <w:rPr>
          <w:rFonts w:ascii="Times New Roman;Times;serif" w:hAnsi="Times New Roman;Times;serif"/>
          <w:sz w:val="17"/>
        </w:rPr>
        <w:t xml:space="preserve"> aggregate principal amount of the Securities, we confirm that such sale has been effected pursuant to and in accordance with Regulation S under the United States Securities Act of 1933, as amended (the Securities Act), and, accordingly, we represent that: </w:t>
      </w:r>
    </w:p>
    <w:p>
      <w:pPr>
        <w:pStyle w:val="TextBody"/>
        <w:spacing w:before="120" w:after="283"/>
        <w:jc w:val="left"/>
        <w:rPr/>
      </w:pPr>
      <w:r>
        <w:rPr/>
        <w:t>     </w:t>
      </w:r>
      <w:r>
        <w:rPr>
          <w:rFonts w:ascii="Times New Roman;Times;serif" w:hAnsi="Times New Roman;Times;serif"/>
          <w:sz w:val="17"/>
        </w:rPr>
        <w:t xml:space="preserve">(a) the offer of the Securities was not made to a person in the United States; </w:t>
      </w:r>
    </w:p>
    <w:p>
      <w:pPr>
        <w:pStyle w:val="TextBody"/>
        <w:spacing w:before="120" w:after="283"/>
        <w:jc w:val="left"/>
        <w:rPr/>
      </w:pPr>
      <w:r>
        <w:rPr/>
        <w:t>     </w:t>
      </w:r>
      <w:r>
        <w:rPr>
          <w:rFonts w:ascii="Times New Roman;Times;serif" w:hAnsi="Times New Roman;Times;serif"/>
          <w:sz w:val="17"/>
        </w:rPr>
        <w:t xml:space="preserve">(b) 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 </w:t>
      </w:r>
    </w:p>
    <w:p>
      <w:pPr>
        <w:pStyle w:val="TextBody"/>
        <w:spacing w:before="120" w:after="283"/>
        <w:jc w:val="left"/>
        <w:rPr/>
      </w:pPr>
      <w:r>
        <w:rPr/>
        <w:t>     </w:t>
      </w:r>
      <w:r>
        <w:rPr>
          <w:rFonts w:ascii="Times New Roman;Times;serif" w:hAnsi="Times New Roman;Times;serif"/>
          <w:sz w:val="17"/>
        </w:rPr>
        <w:t xml:space="preserve">(c) no directed selling efforts have been made in the United States in contravention of the requirements of Rule 904(a) of Regulation S, as applicable; and </w:t>
      </w:r>
    </w:p>
    <w:p>
      <w:pPr>
        <w:pStyle w:val="TextBody"/>
        <w:spacing w:before="120" w:after="283"/>
        <w:jc w:val="left"/>
        <w:rPr/>
      </w:pPr>
      <w:r>
        <w:rPr/>
        <w:t>     </w:t>
      </w:r>
      <w:r>
        <w:rPr>
          <w:rFonts w:ascii="Times New Roman;Times;serif" w:hAnsi="Times New Roman;Times;serif"/>
          <w:sz w:val="17"/>
        </w:rPr>
        <w:t xml:space="preserve">(d) the transaction is not part of a plan or scheme to evade the registration requirements of the Securities Act. </w:t>
      </w:r>
    </w:p>
    <w:p>
      <w:pPr>
        <w:pStyle w:val="TextBody"/>
        <w:spacing w:before="120" w:after="283"/>
        <w:jc w:val="left"/>
        <w:rPr/>
      </w:pPr>
      <w:r>
        <w:rPr/>
        <w:t>          </w:t>
      </w:r>
      <w:r>
        <w:rPr>
          <w:rFonts w:ascii="Times New Roman;Times;serif" w:hAnsi="Times New Roman;Times;serif"/>
          <w:sz w:val="17"/>
        </w:rPr>
        <w:t xml:space="preserve">In addition, if the sale is made during a restricted period and the provisions of Rule 904(b)(1) of Regulation S are applicable thereto, we confirm that such sale has been made in accordance with the applicable provisions of Rule 904(b)(1). </w:t>
      </w:r>
    </w:p>
    <w:p>
      <w:pPr>
        <w:pStyle w:val="TextBody"/>
        <w:spacing w:before="120" w:after="283"/>
        <w:jc w:val="left"/>
        <w:rPr/>
      </w:pPr>
      <w:r>
        <w:rPr/>
        <w:t>          </w:t>
      </w:r>
      <w:r>
        <w:rPr>
          <w:rFonts w:ascii="Times New Roman;Times;serif" w:hAnsi="Times New Roman;Times;serif"/>
          <w:sz w:val="17"/>
        </w:rPr>
        <w:t xml:space="preserve">You and the Issuers are entitled to rely upon this letter and are irrevocably authorized to produce this letter or a copy hereof to any interested party in any administrative or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E-1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legal proceedings or official inquiry with respect to the matters covered hereby. Terms used in this certificate have the meanings set forth in Regulation S. </w:t>
      </w:r>
    </w:p>
    <w:tbl>
      <w:tblPr>
        <w:tblW w:w="5000" w:type="pct"/>
        <w:jc w:val="left"/>
        <w:tblInd w:w="0" w:type="dxa"/>
        <w:tblCellMar>
          <w:top w:w="0" w:type="dxa"/>
          <w:left w:w="0" w:type="dxa"/>
          <w:bottom w:w="0" w:type="dxa"/>
          <w:right w:w="0" w:type="dxa"/>
        </w:tblCellMar>
      </w:tblPr>
      <w:tblGrid>
        <w:gridCol w:w="3755"/>
        <w:gridCol w:w="1408"/>
        <w:gridCol w:w="599"/>
        <w:gridCol w:w="3226"/>
        <w:gridCol w:w="1217"/>
      </w:tblGrid>
      <w:tr>
        <w:trPr/>
        <w:tc>
          <w:tcPr>
            <w:tcW w:w="3755" w:type="dxa"/>
            <w:tcBorders/>
            <w:shd w:fill="auto" w:val="clear"/>
            <w:vAlign w:val="center"/>
          </w:tcPr>
          <w:p>
            <w:pPr>
              <w:pStyle w:val="TableContents"/>
              <w:spacing w:before="0" w:after="283"/>
              <w:rPr/>
            </w:pPr>
            <w:r>
              <w:rPr/>
              <w:t> </w:t>
            </w:r>
          </w:p>
        </w:tc>
        <w:tc>
          <w:tcPr>
            <w:tcW w:w="1408"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226" w:type="dxa"/>
            <w:tcBorders/>
            <w:shd w:fill="auto" w:val="clear"/>
            <w:vAlign w:val="center"/>
          </w:tcPr>
          <w:p>
            <w:pPr>
              <w:pStyle w:val="TableContents"/>
              <w:spacing w:before="0" w:after="283"/>
              <w:rPr/>
            </w:pPr>
            <w:r>
              <w:rPr/>
              <w:t> </w:t>
            </w:r>
          </w:p>
        </w:tc>
        <w:tc>
          <w:tcPr>
            <w:tcW w:w="1217" w:type="dxa"/>
            <w:tcBorders/>
            <w:shd w:fill="auto" w:val="clear"/>
            <w:vAlign w:val="center"/>
          </w:tcPr>
          <w:p>
            <w:pPr>
              <w:pStyle w:val="TableContents"/>
              <w:spacing w:before="0" w:after="283"/>
              <w:rPr/>
            </w:pPr>
            <w:r>
              <w:rPr/>
              <w:t> </w:t>
            </w:r>
          </w:p>
        </w:tc>
      </w:tr>
      <w:tr>
        <w:trPr/>
        <w:tc>
          <w:tcPr>
            <w:tcW w:w="3755" w:type="dxa"/>
            <w:tcBorders/>
            <w:shd w:fill="auto" w:val="clear"/>
          </w:tcPr>
          <w:p>
            <w:pPr>
              <w:pStyle w:val="TableContents"/>
              <w:spacing w:before="0" w:after="283"/>
              <w:jc w:val="left"/>
              <w:rPr/>
            </w:pPr>
            <w:r>
              <w:rPr/>
              <w:t> </w:t>
            </w:r>
          </w:p>
        </w:tc>
        <w:tc>
          <w:tcPr>
            <w:tcW w:w="5233" w:type="dxa"/>
            <w:gridSpan w:val="3"/>
            <w:tcBorders/>
            <w:shd w:fill="auto" w:val="clear"/>
            <w:vAlign w:val="center"/>
          </w:tcPr>
          <w:p>
            <w:pPr>
              <w:pStyle w:val="TableContents"/>
              <w:spacing w:before="0" w:after="283"/>
              <w:jc w:val="left"/>
              <w:rPr/>
            </w:pPr>
            <w:r>
              <w:rPr/>
              <w:t>Very truly yours,</w:t>
            </w:r>
          </w:p>
        </w:tc>
        <w:tc>
          <w:tcPr>
            <w:tcW w:w="1217"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6450" w:type="dxa"/>
            <w:gridSpan w:val="4"/>
            <w:tcBorders/>
            <w:shd w:fill="auto" w:val="clear"/>
          </w:tcPr>
          <w:p>
            <w:pPr>
              <w:pStyle w:val="TableContents"/>
              <w:spacing w:before="0" w:after="283"/>
              <w:rPr>
                <w:sz w:val="4"/>
                <w:szCs w:val="4"/>
              </w:rPr>
            </w:pPr>
            <w:r>
              <w:rPr>
                <w:sz w:val="4"/>
                <w:szCs w:val="4"/>
              </w:rPr>
            </w:r>
          </w:p>
        </w:tc>
      </w:tr>
      <w:tr>
        <w:trPr/>
        <w:tc>
          <w:tcPr>
            <w:tcW w:w="3755" w:type="dxa"/>
            <w:tcBorders/>
            <w:shd w:fill="auto" w:val="clear"/>
          </w:tcPr>
          <w:p>
            <w:pPr>
              <w:pStyle w:val="TableContents"/>
              <w:spacing w:before="0" w:after="283"/>
              <w:jc w:val="left"/>
              <w:rPr/>
            </w:pPr>
            <w:r>
              <w:rPr/>
              <w:t> </w:t>
            </w:r>
          </w:p>
        </w:tc>
        <w:tc>
          <w:tcPr>
            <w:tcW w:w="5233" w:type="dxa"/>
            <w:gridSpan w:val="3"/>
            <w:tcBorders/>
            <w:shd w:fill="auto" w:val="clear"/>
            <w:vAlign w:val="center"/>
          </w:tcPr>
          <w:p>
            <w:pPr>
              <w:pStyle w:val="TableContents"/>
              <w:spacing w:before="0" w:after="283"/>
              <w:jc w:val="left"/>
              <w:rPr/>
            </w:pPr>
            <w:r>
              <w:rPr/>
              <w:t>[ NAME OF TRANSFEROR ]</w:t>
            </w:r>
          </w:p>
        </w:tc>
        <w:tc>
          <w:tcPr>
            <w:tcW w:w="1217"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6450" w:type="dxa"/>
            <w:gridSpan w:val="4"/>
            <w:tcBorders/>
            <w:shd w:fill="auto" w:val="clear"/>
          </w:tcPr>
          <w:p>
            <w:pPr>
              <w:pStyle w:val="TableContents"/>
              <w:spacing w:before="0" w:after="283"/>
              <w:rPr>
                <w:sz w:val="4"/>
                <w:szCs w:val="4"/>
              </w:rPr>
            </w:pPr>
            <w:r>
              <w:rPr>
                <w:sz w:val="4"/>
                <w:szCs w:val="4"/>
              </w:rPr>
            </w:r>
          </w:p>
        </w:tc>
      </w:tr>
      <w:tr>
        <w:trPr/>
        <w:tc>
          <w:tcPr>
            <w:tcW w:w="3755" w:type="dxa"/>
            <w:tcBorders/>
            <w:shd w:fill="auto" w:val="clear"/>
            <w:vAlign w:val="center"/>
          </w:tcPr>
          <w:p>
            <w:pPr>
              <w:pStyle w:val="TableContents"/>
              <w:spacing w:before="0" w:after="283"/>
              <w:rPr/>
            </w:pPr>
            <w:r>
              <w:rPr/>
              <w:t> </w:t>
            </w:r>
          </w:p>
        </w:tc>
        <w:tc>
          <w:tcPr>
            <w:tcW w:w="1408" w:type="dxa"/>
            <w:tcBorders/>
            <w:shd w:fill="auto" w:val="clear"/>
            <w:vAlign w:val="center"/>
          </w:tcPr>
          <w:p>
            <w:pPr>
              <w:pStyle w:val="TableContents"/>
              <w:spacing w:before="0" w:after="283"/>
              <w:jc w:val="left"/>
              <w:rPr/>
            </w:pPr>
            <w:r>
              <w:rPr/>
              <w:t>By: </w:t>
            </w:r>
          </w:p>
        </w:tc>
        <w:tc>
          <w:tcPr>
            <w:tcW w:w="382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217"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jc w:val="left"/>
              <w:rPr/>
            </w:pPr>
            <w:r>
              <w:rPr/>
              <w:t> </w:t>
            </w:r>
          </w:p>
        </w:tc>
        <w:tc>
          <w:tcPr>
            <w:tcW w:w="1408" w:type="dxa"/>
            <w:tcBorders/>
            <w:shd w:fill="auto" w:val="clear"/>
            <w:vAlign w:val="center"/>
          </w:tcPr>
          <w:p>
            <w:pPr>
              <w:pStyle w:val="TableContents"/>
              <w:spacing w:before="0" w:after="283"/>
              <w:rPr/>
            </w:pPr>
            <w:r>
              <w:rPr/>
              <w:t> </w:t>
            </w:r>
          </w:p>
        </w:tc>
        <w:tc>
          <w:tcPr>
            <w:tcW w:w="3825" w:type="dxa"/>
            <w:gridSpan w:val="2"/>
            <w:tcBorders/>
            <w:shd w:fill="auto" w:val="clear"/>
            <w:vAlign w:val="center"/>
          </w:tcPr>
          <w:p>
            <w:pPr>
              <w:pStyle w:val="TableContents"/>
              <w:spacing w:before="0" w:after="283"/>
              <w:jc w:val="left"/>
              <w:rPr/>
            </w:pPr>
            <w:r>
              <w:rPr/>
              <w:t>Authorized Signatory</w:t>
            </w:r>
          </w:p>
        </w:tc>
        <w:tc>
          <w:tcPr>
            <w:tcW w:w="1217"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E-2 </w:t>
      </w:r>
      <w:r>
        <w:br w:type="page"/>
      </w:r>
    </w:p>
    <w:p>
      <w:pPr>
        <w:pStyle w:val="Heading5"/>
        <w:jc w:val="left"/>
        <w:rPr/>
      </w:pPr>
      <w:bookmarkStart w:id="12" w:name="h40667exv4w3.htm"/>
      <w:bookmarkStart w:id="13" w:name="ksh40667exv4w3"/>
      <w:bookmarkEnd w:id="12"/>
      <w:bookmarkEnd w:id="1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Execution Version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EXCHANGE AND REGISTRATION RIGHTS AGREEMENT</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AMONG</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PAA FINANCE CORP.,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THE GUARANTORS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AND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THE INITIAL PURCHASERS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Dated as of October 30, 2006</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PAA FINANCE CORP.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6.125% Senior Notes due 2017</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EXCHANGE AND REGISTRATION RIGHTS AGREEMENT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October 30,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    388 Greenwich St., 34th Floor</w:t>
        <w:br/>
        <w:t xml:space="preserve">    New York, New York 10013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Plains All American Pipeline, L.P., a Delaware limited partnership (the Partnership), PAA Finance Corp., a Delaware corporation (PAA Finance, and together with the Partnership, the Issuers) and the Guarantors listed on Schedule 1 hereto (the Guarantors), propose to issue and sell to the initial purchasers listed on Schedule 2 hereto (the Initial Purchasers), upon the terms set forth in a purchase agreement dated October 23, 2006 (the Purchase Agreement), $400,000,000 principal amount of 6.125% Senior Notes due 2017 (the Securities) and $600,000,000 principal amount of 6.650% Senior Notes due 2037 (the 2037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Notes) relating to the initial placement of the Securities and the 2037 Notes (the Initial Placement). To induce the Initial Purchasers to enter into the Purchase Agreement and to satisfy a condition of your obligations thereunder, the Issuers and the Guarantors agree with you for your benefit and the benefit of the other holders from time to time of the Securities (including the Initial Purchasers) (each a Holder and, together, the Holders), as follows: </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Definitions</w:t>
      </w:r>
      <w:r>
        <w:rPr>
          <w:rFonts w:ascii="Times New Roman;Times;serif" w:hAnsi="Times New Roman;Times;serif"/>
          <w:sz w:val="17"/>
        </w:rPr>
        <w:t xml:space="preserve">. Capitalized terms used herein without definition shall have their respective meanings set forth in the Purchase Agreement. As used in this Agreement, the following capitalized defined terms shall have the following meanings: </w:t>
      </w:r>
    </w:p>
    <w:p>
      <w:pPr>
        <w:pStyle w:val="TextBody"/>
        <w:spacing w:before="120" w:after="283"/>
        <w:jc w:val="left"/>
        <w:rPr/>
      </w:pPr>
      <w:r>
        <w:rPr/>
        <w:t>          </w:t>
      </w:r>
      <w:r>
        <w:rPr>
          <w:rFonts w:ascii="Times New Roman;Times;serif" w:hAnsi="Times New Roman;Times;serif"/>
          <w:sz w:val="17"/>
        </w:rPr>
        <w:t xml:space="preserve">2037 Notes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Act shall mean the Securities Act of 1933, as amended, and the rules and regulations of the Commission promulgated thereunder. </w:t>
      </w:r>
    </w:p>
    <w:p>
      <w:pPr>
        <w:pStyle w:val="TextBody"/>
        <w:spacing w:before="120" w:after="283"/>
        <w:jc w:val="left"/>
        <w:rPr/>
      </w:pPr>
      <w:r>
        <w:rPr/>
        <w:t>          </w:t>
      </w:r>
      <w:r>
        <w:rPr>
          <w:rFonts w:ascii="Times New Roman;Times;serif" w:hAnsi="Times New Roman;Times;serif"/>
          <w:sz w:val="17"/>
        </w:rPr>
        <w:t xml:space="preserve">Affiliate of any specified Person shall mean any other Person that, directly or indirectly, is in control of, is controlled by, or is under common control with, such specified Person. For purposes of this definition, control of a Person shall mean the power, direct or indirect, to direct or cause the direction of the management and policies of such Person whether by contract or otherwise; and the terms controlling and controlled shall have meanings correlative to the foregoing. </w:t>
      </w:r>
    </w:p>
    <w:p>
      <w:pPr>
        <w:pStyle w:val="TextBody"/>
        <w:spacing w:before="120" w:after="283"/>
        <w:jc w:val="left"/>
        <w:rPr/>
      </w:pPr>
      <w:r>
        <w:rPr/>
        <w:t>          </w:t>
      </w:r>
      <w:r>
        <w:rPr>
          <w:rFonts w:ascii="Times New Roman;Times;serif" w:hAnsi="Times New Roman;Times;serif"/>
          <w:sz w:val="17"/>
        </w:rPr>
        <w:t xml:space="preserve">Broker-Dealer shall mean any broker or dealer registered as such under the Exchange Act. </w:t>
      </w:r>
    </w:p>
    <w:p>
      <w:pPr>
        <w:pStyle w:val="TextBody"/>
        <w:spacing w:before="120" w:after="283"/>
        <w:jc w:val="left"/>
        <w:rPr/>
      </w:pPr>
      <w:r>
        <w:rPr/>
        <w:t>          </w:t>
      </w:r>
      <w:r>
        <w:rPr>
          <w:rFonts w:ascii="Times New Roman;Times;serif" w:hAnsi="Times New Roman;Times;serif"/>
          <w:sz w:val="17"/>
        </w:rPr>
        <w:t xml:space="preserve">Business Day shall mean any day other than a Saturday, a Sunday or a legal holiday or a day on which banking institutions or trust companies are authorized or obligated by law to close in New York City. </w:t>
      </w:r>
    </w:p>
    <w:p>
      <w:pPr>
        <w:pStyle w:val="TextBody"/>
        <w:spacing w:before="120" w:after="283"/>
        <w:jc w:val="left"/>
        <w:rPr/>
      </w:pPr>
      <w:r>
        <w:rPr/>
        <w:t>          </w:t>
      </w:r>
      <w:r>
        <w:rPr>
          <w:rFonts w:ascii="Times New Roman;Times;serif" w:hAnsi="Times New Roman;Times;serif"/>
          <w:sz w:val="17"/>
        </w:rPr>
        <w:t xml:space="preserve">Commission shall mean the Securities and Exchange Commission. </w:t>
      </w:r>
    </w:p>
    <w:p>
      <w:pPr>
        <w:pStyle w:val="TextBody"/>
        <w:spacing w:before="120" w:after="283"/>
        <w:jc w:val="left"/>
        <w:rPr/>
      </w:pPr>
      <w:r>
        <w:rPr/>
        <w:t>          </w:t>
      </w:r>
      <w:r>
        <w:rPr>
          <w:rFonts w:ascii="Times New Roman;Times;serif" w:hAnsi="Times New Roman;Times;serif"/>
          <w:sz w:val="17"/>
        </w:rPr>
        <w:t xml:space="preserve">Exchange Act shall mean the Securities Exchange Act of 1934, as amended, and the rules and regulations of the Commission promulgated thereunder. </w:t>
      </w:r>
    </w:p>
    <w:p>
      <w:pPr>
        <w:pStyle w:val="TextBody"/>
        <w:spacing w:before="120" w:after="283"/>
        <w:jc w:val="left"/>
        <w:rPr/>
      </w:pPr>
      <w:r>
        <w:rPr/>
        <w:t>          </w:t>
      </w:r>
      <w:r>
        <w:rPr>
          <w:rFonts w:ascii="Times New Roman;Times;serif" w:hAnsi="Times New Roman;Times;serif"/>
          <w:sz w:val="17"/>
        </w:rPr>
        <w:t xml:space="preserve">Exchange Offer Registration Period shall mean the one-year period following the consummation of the Registered Exchange Offer, exclusive of any period during which any stop order shall be in effect suspending the effectiveness of the Exchange Offer Registration Statement. </w:t>
      </w:r>
    </w:p>
    <w:p>
      <w:pPr>
        <w:pStyle w:val="TextBody"/>
        <w:spacing w:before="120" w:after="283"/>
        <w:jc w:val="left"/>
        <w:rPr/>
      </w:pPr>
      <w:r>
        <w:rPr/>
        <w:t>          </w:t>
      </w:r>
      <w:r>
        <w:rPr>
          <w:rFonts w:ascii="Times New Roman;Times;serif" w:hAnsi="Times New Roman;Times;serif"/>
          <w:sz w:val="17"/>
        </w:rPr>
        <w:t xml:space="preserve">Exchange Offer Registration Statement shall mean a registration statement of the Issuers and the Guarantors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Exchanging Dealer shall mean any Holder (which may include any Initial Purchaser) that is a Broker-Dealer and elects to exchange for New Securities any Securities that it acquired for its own account as a result of market-making activities or other trading activities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(but not directly from the Issuers and the Guarantors or any Affiliate of the Issuers and the Guarantors) for New Securities. </w:t>
      </w:r>
    </w:p>
    <w:p>
      <w:pPr>
        <w:pStyle w:val="TextBody"/>
        <w:spacing w:before="120" w:after="283"/>
        <w:jc w:val="left"/>
        <w:rPr/>
      </w:pPr>
      <w:r>
        <w:rPr/>
        <w:t>          </w:t>
      </w:r>
      <w:r>
        <w:rPr>
          <w:rFonts w:ascii="Times New Roman;Times;serif" w:hAnsi="Times New Roman;Times;serif"/>
          <w:sz w:val="17"/>
        </w:rPr>
        <w:t xml:space="preserve">Final Offering Memorandum shall have the meaning set forth in the Purchase Agreement. </w:t>
      </w:r>
    </w:p>
    <w:p>
      <w:pPr>
        <w:pStyle w:val="TextBody"/>
        <w:spacing w:before="120" w:after="283"/>
        <w:jc w:val="left"/>
        <w:rPr/>
      </w:pPr>
      <w:r>
        <w:rPr/>
        <w:t>          </w:t>
      </w:r>
      <w:r>
        <w:rPr>
          <w:rFonts w:ascii="Times New Roman;Times;serif" w:hAnsi="Times New Roman;Times;serif"/>
          <w:sz w:val="17"/>
        </w:rPr>
        <w:t xml:space="preserve">Guarantors shall have the meaning set forth in the preamble hereto and shall also include any Guarantors successor. </w:t>
      </w:r>
    </w:p>
    <w:p>
      <w:pPr>
        <w:pStyle w:val="TextBody"/>
        <w:spacing w:before="120" w:after="283"/>
        <w:jc w:val="left"/>
        <w:rPr/>
      </w:pPr>
      <w:r>
        <w:rPr/>
        <w:t>          </w:t>
      </w:r>
      <w:r>
        <w:rPr>
          <w:rFonts w:ascii="Times New Roman;Times;serif" w:hAnsi="Times New Roman;Times;serif"/>
          <w:sz w:val="17"/>
        </w:rPr>
        <w:t xml:space="preserve">Holder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Indenture shall mean the Indenture relating to the Securities and the New Securities, dated as of September 25, 2002, among the Issuers and U.S. Bank National Association, as successor trustee, as amended by the Ninth Supplemental Indenture, dated as of October 30, 2006, among the Issuers, the Guarantors and the Trustee, as the same may be amended from time to time in accordance with the terms thereof. </w:t>
      </w:r>
    </w:p>
    <w:p>
      <w:pPr>
        <w:pStyle w:val="TextBody"/>
        <w:spacing w:before="120" w:after="283"/>
        <w:jc w:val="left"/>
        <w:rPr/>
      </w:pPr>
      <w:r>
        <w:rPr/>
        <w:t>          </w:t>
      </w:r>
      <w:r>
        <w:rPr>
          <w:rFonts w:ascii="Times New Roman;Times;serif" w:hAnsi="Times New Roman;Times;serif"/>
          <w:sz w:val="17"/>
        </w:rPr>
        <w:t xml:space="preserve">Initial Placement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Initial Purchasers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Losses shall have the meaning set forth in Section 7(d) hereof. </w:t>
      </w:r>
    </w:p>
    <w:p>
      <w:pPr>
        <w:pStyle w:val="TextBody"/>
        <w:spacing w:before="120" w:after="283"/>
        <w:jc w:val="left"/>
        <w:rPr/>
      </w:pPr>
      <w:r>
        <w:rPr/>
        <w:t>          </w:t>
      </w:r>
      <w:r>
        <w:rPr>
          <w:rFonts w:ascii="Times New Roman;Times;serif" w:hAnsi="Times New Roman;Times;serif"/>
          <w:sz w:val="17"/>
        </w:rPr>
        <w:t xml:space="preserve">Majority Holders shall mean the Holders of a majority of the aggregate principal amount of Securities registered under a Registration Statement. </w:t>
      </w:r>
    </w:p>
    <w:p>
      <w:pPr>
        <w:pStyle w:val="TextBody"/>
        <w:spacing w:before="120" w:after="283"/>
        <w:jc w:val="left"/>
        <w:rPr/>
      </w:pPr>
      <w:r>
        <w:rPr/>
        <w:t>          </w:t>
      </w:r>
      <w:r>
        <w:rPr>
          <w:rFonts w:ascii="Times New Roman;Times;serif" w:hAnsi="Times New Roman;Times;serif"/>
          <w:sz w:val="17"/>
        </w:rPr>
        <w:t xml:space="preserve">Managing Underwriters shall mean the investment banker or investment bankers and manager or managers that shall administer an underwritten offering. </w:t>
      </w:r>
    </w:p>
    <w:p>
      <w:pPr>
        <w:pStyle w:val="TextBody"/>
        <w:spacing w:before="120" w:after="283"/>
        <w:jc w:val="left"/>
        <w:rPr/>
      </w:pPr>
      <w:r>
        <w:rPr/>
        <w:t>          </w:t>
      </w:r>
      <w:r>
        <w:rPr>
          <w:rFonts w:ascii="Times New Roman;Times;serif" w:hAnsi="Times New Roman;Times;serif"/>
          <w:sz w:val="17"/>
        </w:rPr>
        <w:t xml:space="preserve">New Securities shall mean debt securities of the Issuers identical in all material respects to the Securities (except that the interest rate step-up provisions and the transfer restrictions shall be eliminated) and to be issued under the Indenture. </w:t>
      </w:r>
    </w:p>
    <w:p>
      <w:pPr>
        <w:pStyle w:val="TextBody"/>
        <w:spacing w:before="120" w:after="283"/>
        <w:jc w:val="left"/>
        <w:rPr/>
      </w:pPr>
      <w:r>
        <w:rPr/>
        <w:t>          </w:t>
      </w:r>
      <w:r>
        <w:rPr>
          <w:rFonts w:ascii="Times New Roman;Times;serif" w:hAnsi="Times New Roman;Times;serif"/>
          <w:sz w:val="17"/>
        </w:rPr>
        <w:t xml:space="preserve">Prospectus shall mean the prospectus included in any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New Securities covered by such Registration Statement, and all amendments and supplements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Purchase Agreement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Registered Exchange Offer shall mean the proposed offer of the Issuers and the Guarantors to issue and deliver to the Holders of the Securities that are not prohibited by any law or policy of the Commission from participating in such offer, in exchange for the Securities, a like aggregate principal amount of the New Securities.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Registration Default shall have the meaning set forth in Section 4(a) hereof. </w:t>
      </w:r>
    </w:p>
    <w:p>
      <w:pPr>
        <w:pStyle w:val="TextBody"/>
        <w:spacing w:before="120" w:after="283"/>
        <w:jc w:val="left"/>
        <w:rPr/>
      </w:pPr>
      <w:r>
        <w:rPr/>
        <w:t>          </w:t>
      </w:r>
      <w:r>
        <w:rPr>
          <w:rFonts w:ascii="Times New Roman;Times;serif" w:hAnsi="Times New Roman;Times;serif"/>
          <w:sz w:val="17"/>
        </w:rPr>
        <w:t xml:space="preserve">Registration Statement shall mean any Exchange Offer Registration Statement or Shelf Registration Statement that covers any of the Securities or the New Securities pursuant to the provisions of this Agreement, any amendments and supplements to such registration statement, including post-effective amendments (in each case including the Prospectus contained therein), all exhibits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Securities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Shelf Registration shall mean a registration effected pursuant to Section 3 hereof. </w:t>
      </w:r>
    </w:p>
    <w:p>
      <w:pPr>
        <w:pStyle w:val="TextBody"/>
        <w:spacing w:before="120" w:after="283"/>
        <w:jc w:val="left"/>
        <w:rPr/>
      </w:pPr>
      <w:r>
        <w:rPr/>
        <w:t>          </w:t>
      </w:r>
      <w:r>
        <w:rPr>
          <w:rFonts w:ascii="Times New Roman;Times;serif" w:hAnsi="Times New Roman;Times;serif"/>
          <w:sz w:val="17"/>
        </w:rPr>
        <w:t xml:space="preserve">Shelf Registration Period has the meaning set forth in Section 3(b) hereof. </w:t>
      </w:r>
    </w:p>
    <w:p>
      <w:pPr>
        <w:pStyle w:val="TextBody"/>
        <w:spacing w:before="120" w:after="283"/>
        <w:jc w:val="left"/>
        <w:rPr/>
      </w:pPr>
      <w:r>
        <w:rPr/>
        <w:t>          </w:t>
      </w:r>
      <w:r>
        <w:rPr>
          <w:rFonts w:ascii="Times New Roman;Times;serif" w:hAnsi="Times New Roman;Times;serif"/>
          <w:sz w:val="17"/>
        </w:rPr>
        <w:t xml:space="preserve">Shelf Registration Statement shall mean a shelf registration statement of the Issuers and the Guarantors pursuant to the provisions of Section 3 hereof which covers some or all of the Securities or New Securities,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Trustee shall mean the trustee with respect to the Securities and the New Securities under the Indenture. </w:t>
      </w:r>
    </w:p>
    <w:p>
      <w:pPr>
        <w:pStyle w:val="TextBody"/>
        <w:spacing w:before="120" w:after="283"/>
        <w:jc w:val="left"/>
        <w:rPr/>
      </w:pPr>
      <w:r>
        <w:rPr/>
        <w:t>          </w:t>
      </w:r>
      <w:r>
        <w:rPr>
          <w:rFonts w:ascii="Times New Roman;Times;serif" w:hAnsi="Times New Roman;Times;serif"/>
          <w:sz w:val="17"/>
        </w:rPr>
        <w:t xml:space="preserve">Trust Indenture Act shall mean the Trust Indenture Act of 1939, as amended from time to time. </w:t>
      </w:r>
    </w:p>
    <w:p>
      <w:pPr>
        <w:pStyle w:val="TextBody"/>
        <w:spacing w:before="120" w:after="283"/>
        <w:jc w:val="left"/>
        <w:rPr/>
      </w:pPr>
      <w:r>
        <w:rPr/>
        <w:t>          </w:t>
      </w:r>
      <w:r>
        <w:rPr>
          <w:rFonts w:ascii="Times New Roman;Times;serif" w:hAnsi="Times New Roman;Times;serif"/>
          <w:sz w:val="17"/>
        </w:rPr>
        <w:t xml:space="preserve">underwriter shall mean any underwriter of Securities in connection with an offering thereof under a Shelf Registration Statement. </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sz w:val="17"/>
          <w:u w:val="single"/>
        </w:rPr>
        <w:t>Registered Exchange Offer</w:t>
      </w:r>
      <w:r>
        <w:rPr>
          <w:rFonts w:ascii="Times New Roman;Times;serif" w:hAnsi="Times New Roman;Times;serif"/>
          <w:sz w:val="17"/>
        </w:rPr>
        <w:t xml:space="preserve">. (a) Except as set forth in Section 3, the Issuers and the Guarantors shall prepare and shall use their reasonable best efforts to file with the Commission the Exchange Offer Registration Statement with respect to the Registered Exchange Offer, not later than 180 days following the date of the original issuance of the Securities (or if such 180th day is not a Business Day, the next succeeding Business Day). The Issuers and the Guarantors shall use their reasonable best efforts to cause the Exchange Offer Registration Statement to become effective under the Act within 270 days of the date of the original issuance of the Securities and to consummate the Registered Exchange Offer within 300 days of the date of the original issuance of the Securities (if such 270th or 300th day is not a Business Day, the next succeeding Business Day, as applicable). </w:t>
      </w:r>
    </w:p>
    <w:p>
      <w:pPr>
        <w:pStyle w:val="TextBody"/>
        <w:spacing w:before="120" w:after="283"/>
        <w:jc w:val="left"/>
        <w:rPr/>
      </w:pPr>
      <w:r>
        <w:rPr/>
        <w:t>          </w:t>
      </w:r>
      <w:r>
        <w:rPr>
          <w:rFonts w:ascii="Times New Roman;Times;serif" w:hAnsi="Times New Roman;Times;serif"/>
          <w:sz w:val="17"/>
        </w:rPr>
        <w:t xml:space="preserve">(a) Upon the effectiveness of the Exchange Offer Registration Statement, the Issuers and the Guarantors shall promptly commence the Registered Exchange Offer, it being the objective of such Registered Exchange Offer to enable each Holder electing to exchange Securities for New Securities (assuming that such Holder is not an Affiliate of the Issuers or the Guarantors, acquires the New Securities in the ordinary course of such Holders business, has no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arrangements with any Person to participate in the distribution of the New Securities and is not prohibited by any law or policy of the Commission from participating in the Registered Exchange Offer) to trade such New Securities from and after their receipt without any limitations or restrictions under the Act and without material restrictions under the securities laws of a substantial proportion of the several states of the United States. </w:t>
      </w:r>
    </w:p>
    <w:p>
      <w:pPr>
        <w:pStyle w:val="TextBody"/>
        <w:spacing w:before="120" w:after="283"/>
        <w:jc w:val="left"/>
        <w:rPr/>
      </w:pPr>
      <w:r>
        <w:rPr/>
        <w:t>          </w:t>
      </w:r>
      <w:r>
        <w:rPr>
          <w:rFonts w:ascii="Times New Roman;Times;serif" w:hAnsi="Times New Roman;Times;serif"/>
          <w:sz w:val="17"/>
        </w:rPr>
        <w:t xml:space="preserve">(b) In connection with the Registered Exchange Offer, the Issuers and the Guarantors shall: </w:t>
      </w:r>
    </w:p>
    <w:p>
      <w:pPr>
        <w:pStyle w:val="TextBody"/>
        <w:spacing w:before="120" w:after="283"/>
        <w:jc w:val="left"/>
        <w:rPr/>
      </w:pPr>
      <w:r>
        <w:rPr/>
        <w:t>          </w:t>
      </w:r>
      <w:r>
        <w:rPr>
          <w:rFonts w:ascii="Times New Roman;Times;serif" w:hAnsi="Times New Roman;Times;serif"/>
          <w:sz w:val="17"/>
        </w:rPr>
        <w:t xml:space="preserve">(i) mail to each Holder a copy of the Prospectus forming part of the Exchange Offer Registration Statement, together with an appropriate letter of transmittal and related documents; </w:t>
      </w:r>
    </w:p>
    <w:p>
      <w:pPr>
        <w:pStyle w:val="TextBody"/>
        <w:spacing w:before="120" w:after="283"/>
        <w:jc w:val="left"/>
        <w:rPr/>
      </w:pPr>
      <w:r>
        <w:rPr/>
        <w:t>          </w:t>
      </w:r>
      <w:r>
        <w:rPr>
          <w:rFonts w:ascii="Times New Roman;Times;serif" w:hAnsi="Times New Roman;Times;serif"/>
          <w:sz w:val="17"/>
        </w:rPr>
        <w:t xml:space="preserve">(ii) keep the Registered Exchange Offer open for not less than 20 Business Days after the date the notice thereof is mailed to the Holders (or, in each case, longer if required by applicable law); </w:t>
      </w:r>
    </w:p>
    <w:p>
      <w:pPr>
        <w:pStyle w:val="TextBody"/>
        <w:spacing w:before="120" w:after="283"/>
        <w:jc w:val="left"/>
        <w:rPr/>
      </w:pPr>
      <w:r>
        <w:rPr/>
        <w:t>          </w:t>
      </w:r>
      <w:r>
        <w:rPr>
          <w:rFonts w:ascii="Times New Roman;Times;serif" w:hAnsi="Times New Roman;Times;serif"/>
          <w:sz w:val="17"/>
        </w:rPr>
        <w:t xml:space="preserve">(iii) use their reasonable best efforts to keep the Exchange Offer Registration Statement continuously effective under the Act, supplemented and amended as required under the Act to ensure that it is available for sales of New Securities by Exchanging Dealers during the Exchange Offer Registration Period; </w:t>
      </w:r>
    </w:p>
    <w:p>
      <w:pPr>
        <w:pStyle w:val="TextBody"/>
        <w:spacing w:before="120" w:after="283"/>
        <w:jc w:val="left"/>
        <w:rPr/>
      </w:pPr>
      <w:r>
        <w:rPr/>
        <w:t>          </w:t>
      </w:r>
      <w:r>
        <w:rPr>
          <w:rFonts w:ascii="Times New Roman;Times;serif" w:hAnsi="Times New Roman;Times;serif"/>
          <w:sz w:val="17"/>
        </w:rPr>
        <w:t xml:space="preserve">(iv) utilize the services of a bank depositary for the Registered Exchange Offer with an address in the Borough of Manhattan in New York City, which may be the Trustee or an Affiliate of the Trustee; </w:t>
      </w:r>
    </w:p>
    <w:p>
      <w:pPr>
        <w:pStyle w:val="TextBody"/>
        <w:spacing w:before="120" w:after="283"/>
        <w:jc w:val="left"/>
        <w:rPr/>
      </w:pPr>
      <w:r>
        <w:rPr/>
        <w:t>          </w:t>
      </w:r>
      <w:r>
        <w:rPr>
          <w:rFonts w:ascii="Times New Roman;Times;serif" w:hAnsi="Times New Roman;Times;serif"/>
          <w:sz w:val="17"/>
        </w:rPr>
        <w:t xml:space="preserve">(v) permit Holders to withdraw tendered Securities at any time prior to the close of business, New York time, on the last Business Day on which the Registered Exchange Offer is open; </w:t>
      </w:r>
    </w:p>
    <w:p>
      <w:pPr>
        <w:pStyle w:val="TextBody"/>
        <w:spacing w:before="120" w:after="283"/>
        <w:jc w:val="left"/>
        <w:rPr/>
      </w:pPr>
      <w:r>
        <w:rPr/>
        <w:t>          </w:t>
      </w:r>
      <w:r>
        <w:rPr>
          <w:rFonts w:ascii="Times New Roman;Times;serif" w:hAnsi="Times New Roman;Times;serif"/>
          <w:sz w:val="17"/>
        </w:rPr>
        <w:t xml:space="preserve">(vi) prior to effectiveness of the Exchange Offer Registration Statement, provide a supplemental letter to the Commission (A) stating that the Issuers and the Guarantors are conducting the Registered Exchange Offer in reliance on the position of the Commission in </w:t>
      </w:r>
      <w:r>
        <w:rPr>
          <w:rFonts w:ascii="Times New Roman;Times;serif" w:hAnsi="Times New Roman;Times;serif"/>
          <w:sz w:val="17"/>
          <w:u w:val="single"/>
        </w:rPr>
        <w:t>Exxon Capital Holdings Corporation</w:t>
      </w:r>
      <w:r>
        <w:rPr>
          <w:rFonts w:ascii="Times New Roman;Times;serif" w:hAnsi="Times New Roman;Times;serif"/>
          <w:sz w:val="17"/>
        </w:rPr>
        <w:t xml:space="preserve"> (pub. avail. May 13, 1988) and </w:t>
      </w:r>
      <w:r>
        <w:rPr>
          <w:rFonts w:ascii="Times New Roman;Times;serif" w:hAnsi="Times New Roman;Times;serif"/>
          <w:sz w:val="17"/>
          <w:u w:val="single"/>
        </w:rPr>
        <w:t>Morgan Stanley and Co., Inc</w:t>
      </w:r>
      <w:r>
        <w:rPr>
          <w:rFonts w:ascii="Times New Roman;Times;serif" w:hAnsi="Times New Roman;Times;serif"/>
          <w:sz w:val="17"/>
        </w:rPr>
        <w:t xml:space="preserve">. (pub. avail. June 5, 1991) and (B) including a representation that the Issuers and the Guarantors have not entered into any arrangement or understanding with any Person to distribute the New Securities to be received in the Registered Exchange Offer and that, to the best of the Issuers and the Guarantors information and belief, each Holder participating in the Registered Exchange Offer is acquiring the New Securities in the ordinary course of business and has no arrangement or understanding with any Person to participate in the distribution of the New Securities; and </w:t>
      </w:r>
    </w:p>
    <w:p>
      <w:pPr>
        <w:pStyle w:val="TextBody"/>
        <w:spacing w:before="120" w:after="283"/>
        <w:jc w:val="left"/>
        <w:rPr/>
      </w:pPr>
      <w:r>
        <w:rPr/>
        <w:t>          </w:t>
      </w:r>
      <w:r>
        <w:rPr>
          <w:rFonts w:ascii="Times New Roman;Times;serif" w:hAnsi="Times New Roman;Times;serif"/>
          <w:sz w:val="17"/>
        </w:rPr>
        <w:t xml:space="preserve">(vii) comply in all material respects with all applicable laws. </w:t>
      </w:r>
    </w:p>
    <w:p>
      <w:pPr>
        <w:pStyle w:val="TextBody"/>
        <w:spacing w:before="120" w:after="283"/>
        <w:jc w:val="left"/>
        <w:rPr/>
      </w:pPr>
      <w:r>
        <w:rPr/>
        <w:t>          </w:t>
      </w:r>
      <w:r>
        <w:rPr>
          <w:rFonts w:ascii="Times New Roman;Times;serif" w:hAnsi="Times New Roman;Times;serif"/>
          <w:sz w:val="17"/>
        </w:rPr>
        <w:t xml:space="preserve">(c) As soon as practicable after the close of the Registered Exchange Offer, the Issuers and the Guarantors shall: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 accept for exchange all Securities tendered and not validly withdrawn pursuant to the Registered Exchange Offer; and </w:t>
      </w:r>
    </w:p>
    <w:p>
      <w:pPr>
        <w:pStyle w:val="TextBody"/>
        <w:spacing w:before="120" w:after="283"/>
        <w:jc w:val="left"/>
        <w:rPr/>
      </w:pPr>
      <w:r>
        <w:rPr/>
        <w:t>          </w:t>
      </w:r>
      <w:r>
        <w:rPr>
          <w:rFonts w:ascii="Times New Roman;Times;serif" w:hAnsi="Times New Roman;Times;serif"/>
          <w:sz w:val="17"/>
        </w:rPr>
        <w:t xml:space="preserve">(ii) issue and cause the Trustee promptly to authenticate a global certificate representing New Securities exchanged for Securities and to deliver to each Holder of Securities a principal amount of New Securities equal to the principal amount of the Securities of such Holder so accepted for exchange. </w:t>
      </w:r>
    </w:p>
    <w:p>
      <w:pPr>
        <w:pStyle w:val="TextBody"/>
        <w:spacing w:before="120" w:after="283"/>
        <w:jc w:val="left"/>
        <w:rPr/>
      </w:pPr>
      <w:r>
        <w:rPr/>
        <w:t>          </w:t>
      </w:r>
      <w:r>
        <w:rPr>
          <w:rFonts w:ascii="Times New Roman;Times;serif" w:hAnsi="Times New Roman;Times;serif"/>
          <w:sz w:val="17"/>
        </w:rPr>
        <w:t xml:space="preserve">(d) Each Holder hereby acknowledges and agrees that any Broker-Dealer and any such Holder using the Registered Exchange Offer to participate in a distribution of the New Securities (x) could not under Commission policy as in effect on the date of this Agreement rely on the position of the Commission in </w:t>
      </w:r>
      <w:r>
        <w:rPr>
          <w:rFonts w:ascii="Times New Roman;Times;serif" w:hAnsi="Times New Roman;Times;serif"/>
          <w:sz w:val="17"/>
          <w:u w:val="single"/>
        </w:rPr>
        <w:t>Morgan Stanley and Co., Inc.</w:t>
      </w:r>
      <w:r>
        <w:rPr>
          <w:rFonts w:ascii="Times New Roman;Times;serif" w:hAnsi="Times New Roman;Times;serif"/>
          <w:sz w:val="17"/>
        </w:rPr>
        <w:t xml:space="preserve"> (pub. avail. June 5, 1991) and </w:t>
      </w:r>
      <w:r>
        <w:rPr>
          <w:rFonts w:ascii="Times New Roman;Times;serif" w:hAnsi="Times New Roman;Times;serif"/>
          <w:sz w:val="17"/>
          <w:u w:val="single"/>
        </w:rPr>
        <w:t>Exxon Capital Holdings Corporation</w:t>
      </w:r>
      <w:r>
        <w:rPr>
          <w:rFonts w:ascii="Times New Roman;Times;serif" w:hAnsi="Times New Roman;Times;serif"/>
          <w:sz w:val="17"/>
        </w:rPr>
        <w:t xml:space="preserve"> (pub. avail. May 13, 1988), as interpreted in the Commissions letter to Shearman &amp; Sterling dated July 2, 1993 and similar no-action letters; and (y) must comply with the registration and prospectus delivery requirements of the Act in connection with any secondary resale transaction and must be covered by an effective registration statement containing the selling security holder information required by Item 507 or 508, as applicable, of Regulation S-K under the Act if the resales are of New Securities obtained by such Holder in exchange for Securities acquired by such Holder directly from the Issuers or the Guarantors or one of their Affiliates. Accordingly, each Holder participating in the Registered Exchange Offer shall be required to represent to the Issuers and the Guarantors that, at the time of the consummation of the Registered Exchange Offer: </w:t>
      </w:r>
    </w:p>
    <w:p>
      <w:pPr>
        <w:pStyle w:val="TextBody"/>
        <w:spacing w:before="120" w:after="283"/>
        <w:jc w:val="left"/>
        <w:rPr/>
      </w:pPr>
      <w:r>
        <w:rPr/>
        <w:t>          </w:t>
      </w:r>
      <w:r>
        <w:rPr>
          <w:rFonts w:ascii="Times New Roman;Times;serif" w:hAnsi="Times New Roman;Times;serif"/>
          <w:sz w:val="17"/>
        </w:rPr>
        <w:t xml:space="preserve">(i) any New Securities received by such Holder will be acquired in the ordinary course of business; </w:t>
      </w:r>
    </w:p>
    <w:p>
      <w:pPr>
        <w:pStyle w:val="TextBody"/>
        <w:spacing w:before="120" w:after="283"/>
        <w:jc w:val="left"/>
        <w:rPr/>
      </w:pPr>
      <w:r>
        <w:rPr/>
        <w:t>          </w:t>
      </w:r>
      <w:r>
        <w:rPr>
          <w:rFonts w:ascii="Times New Roman;Times;serif" w:hAnsi="Times New Roman;Times;serif"/>
          <w:sz w:val="17"/>
        </w:rPr>
        <w:t xml:space="preserve">(ii) such Holder will have no arrangement or understanding with any Person to participate in the distribution of the Securities or the New Securities within the meaning of the Act; and </w:t>
      </w:r>
    </w:p>
    <w:p>
      <w:pPr>
        <w:pStyle w:val="TextBody"/>
        <w:spacing w:before="120" w:after="283"/>
        <w:jc w:val="left"/>
        <w:rPr/>
      </w:pPr>
      <w:r>
        <w:rPr/>
        <w:t>          </w:t>
      </w:r>
      <w:r>
        <w:rPr>
          <w:rFonts w:ascii="Times New Roman;Times;serif" w:hAnsi="Times New Roman;Times;serif"/>
          <w:sz w:val="17"/>
        </w:rPr>
        <w:t xml:space="preserve">(iii) such Holder is not an Affiliate of the Issuers or the Guarantors. </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sz w:val="17"/>
          <w:u w:val="single"/>
        </w:rPr>
        <w:t>Shelf Registration</w:t>
      </w:r>
      <w:r>
        <w:rPr>
          <w:rFonts w:ascii="Times New Roman;Times;serif" w:hAnsi="Times New Roman;Times;serif"/>
          <w:sz w:val="17"/>
        </w:rPr>
        <w:t xml:space="preserve">. (a) If (i) due to any change in law or applicable interpretations thereof by the Commissions staff, the Issuers and the Guarantors determine upon advice of their outside counsel that they are not permitted to effect the Registered Exchange Offer as contemplated by Section 2 hereof; (ii) for any other reason the Registered Exchange Offer is not consummated within 300 days of the date hereof; (iii) any Initial Purchaser so requests with respect to Securities that are not eligible to be exchanged for New Securities in the Registered Exchange Offer and that are held by it following consummation of the Registered Exchange Offer, or (iv) any Holder (other than an Initial Purchaser) is not eligible to participate in the Registered Exchange Offer, the Issuers and the Guarantors shall effect a Shelf Registration Statement in accordance with subsection (b) below. </w:t>
      </w:r>
    </w:p>
    <w:p>
      <w:pPr>
        <w:pStyle w:val="TextBody"/>
        <w:spacing w:before="120" w:after="283"/>
        <w:jc w:val="left"/>
        <w:rPr/>
      </w:pPr>
      <w:r>
        <w:rPr/>
        <w:t>          </w:t>
      </w:r>
      <w:r>
        <w:rPr>
          <w:rFonts w:ascii="Times New Roman;Times;serif" w:hAnsi="Times New Roman;Times;serif"/>
          <w:sz w:val="17"/>
        </w:rPr>
        <w:t xml:space="preserve">(b) (i) The Issuers and the Guarantors shall as promptly as practicable (but in no event more than 180 days after so required or requested pursuant to this Section 3), file with the Commission and thereafter shall use their reasonable best efforts to cause to be declared effective under the Act, within 270 days after so required or requested pursuant to this Section 3,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Shelf Registration Statement relating to the offer and sale of the Securities or the New Securities, as applicable, by the Holders thereof from time to time in accordance with the methods of distribution elected by such Holders and set forth in such Shelf Registration Statement;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no Holder (other than an Initial Purchaser) shall be entitled to have the Securities held by it covered by such Shelf Registration Statement unless such Holder agrees in writing to be bound by all of the provisions of this Agreement applicable to such Holder; and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further</w:t>
      </w:r>
      <w:r>
        <w:rPr>
          <w:rFonts w:ascii="Times New Roman;Times;serif" w:hAnsi="Times New Roman;Times;serif"/>
          <w:sz w:val="17"/>
        </w:rPr>
        <w:t xml:space="preserve">, that with respect to New Securities received by an Initial Purchaser in exchange for Securities constituting any portion of an unsold allotment, the Issuers and the Guarantors may, if permitted by current interpretations by the Commissions staff, file a post-effective amendment to the Exchange Offer Registration Statement containing the 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 </w:t>
      </w:r>
    </w:p>
    <w:p>
      <w:pPr>
        <w:pStyle w:val="TextBody"/>
        <w:spacing w:before="120" w:after="283"/>
        <w:jc w:val="left"/>
        <w:rPr/>
      </w:pPr>
      <w:r>
        <w:rPr/>
        <w:t>          </w:t>
      </w:r>
      <w:r>
        <w:rPr>
          <w:rFonts w:ascii="Times New Roman;Times;serif" w:hAnsi="Times New Roman;Times;serif"/>
          <w:sz w:val="17"/>
        </w:rPr>
        <w:t xml:space="preserve">(ii) The Issuers and the Guarantors shall use their reasonable best efforts to keep the Shelf Registration Statement continuously effective, supplemented and amended as required by the Act, in order to permit the Prospectus forming part thereof to be usable by Holders for a period of two years from the date the Shelf Registration Statement is declared effective by the Commission or such shorter period that will terminate when all the Securities or New Securities, as applicable, covered by the Shelf Registration Statement have been sold pursuant to the Shelf Registration Statement under the Act (in any such case, such period being called the Shelf Registration Period). The Issuers and the Guarantors shall be deemed not to have used their reasonable best efforts to keep the Shelf Registration Statement effective during the requisite period if either Issuer or any Guarantor voluntarily takes any action that would result in Holders of Securities covered thereby not being able to offer and sell such Securities during that period, unless (A) such action is required by applicable law; or (B) such action is taken by such Issuer or such Guarantor in good faith and for valid business reasons (not including avoidance of the Issuers or the Guarantors obligations hereunder), including the acquisition or divestiture of assets, so long as the Issuers and the Guarantors promptly thereafter comply with the requirements of Section 5(k) hereof, if applicable. </w:t>
      </w:r>
    </w:p>
    <w:p>
      <w:pPr>
        <w:pStyle w:val="TextBody"/>
        <w:spacing w:before="120" w:after="283"/>
        <w:jc w:val="left"/>
        <w:rPr/>
      </w:pPr>
      <w:r>
        <w:rPr/>
        <w:t>          </w:t>
      </w:r>
      <w:r>
        <w:rPr>
          <w:rFonts w:ascii="Times New Roman;Times;serif" w:hAnsi="Times New Roman;Times;serif"/>
          <w:sz w:val="17"/>
        </w:rPr>
        <w:t xml:space="preserve">(iii) The Issuers and the Guarantors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the rules and regulations of the Commission; and (B) not to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 xml:space="preserve">Additional Interest. </w:t>
      </w:r>
    </w:p>
    <w:p>
      <w:pPr>
        <w:pStyle w:val="TextBody"/>
        <w:spacing w:before="120" w:after="283"/>
        <w:jc w:val="left"/>
        <w:rPr/>
      </w:pPr>
      <w:r>
        <w:rPr/>
        <w:t>          </w:t>
      </w:r>
      <w:r>
        <w:rPr>
          <w:rFonts w:ascii="Times New Roman;Times;serif" w:hAnsi="Times New Roman;Times;serif"/>
          <w:sz w:val="17"/>
        </w:rPr>
        <w:t xml:space="preserve">(a) In the event that (i) the Issuers and the Guarantors have not filed the Exchange Offer Registration Statement or the Shelf Registration Statement with the Commission on or before the date on which such Registration Statement is required to be so filed pursuant to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2(a) and 3(b), respectively, or (ii) such Exchange Offer Registration Statement or Shelf Registration Statement has not been declared effective by the Commission under the Act on or before the date on which such Registration Statement is required to be declared effective under the Act pursuant to Section 2(a) or 3(b), respectively, or (iii) the Exchange Offer has not been consummated within 300 days after the date of issuance of the Securities, or (iv) the Exchange Offer Registration Statement or Shelf Registration Statement required by Section 2(a) or 3(b) hereof is filed and declared effective by the Commission under the Act but shall thereafter cease to be effective (except as specifically permitted herein) without being succeeded immediately by an additional Registration Statement filed and declared effective by the Commission under the Act (each such event referred to in clauses (i) through (iv) is referred to herein as a Registration Default), then the interest rate on the Securities will be increased, for the period from the occurrence of the Registration Default until such time as all Registration Defaults are cured (at which time the interest rate will be reduced to its initial rate) by 0.25% per annum during the first 90-day period following the occurrence and during the continuation of the Registration Default, and by 0.25% per annum for each subsequent 90-day period during which such Registration Default continues. The interest rate will not at any time be increased by greater than 0.50% per annum. </w:t>
      </w:r>
    </w:p>
    <w:p>
      <w:pPr>
        <w:pStyle w:val="TextBody"/>
        <w:spacing w:before="120" w:after="283"/>
        <w:jc w:val="left"/>
        <w:rPr/>
      </w:pPr>
      <w:r>
        <w:rPr/>
        <w:t>          </w:t>
      </w:r>
      <w:r>
        <w:rPr>
          <w:rFonts w:ascii="Times New Roman;Times;serif" w:hAnsi="Times New Roman;Times;serif"/>
          <w:sz w:val="17"/>
        </w:rPr>
        <w:t xml:space="preserve">(b) Without limiting the remedies available to the Initial Purchasers and the Holders, the Issuers and the Guarantors acknowledge that any failure by the Issuers or the Guarantors to comply with their obligations under Section 2(a) or 3(b)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 2(a) or Section 3(b) hereof.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Additional Registration Procedures</w:t>
      </w:r>
      <w:r>
        <w:rPr>
          <w:rFonts w:ascii="Times New Roman;Times;serif" w:hAnsi="Times New Roman;Times;serif"/>
          <w:sz w:val="17"/>
        </w:rPr>
        <w:t xml:space="preserve">. In connection with any Shelf Registration Statement and, to the extent applicable, any Exchange Offer Registration Statement, the following provisions shall apply. </w:t>
      </w:r>
    </w:p>
    <w:p>
      <w:pPr>
        <w:pStyle w:val="TextBody"/>
        <w:spacing w:before="120" w:after="283"/>
        <w:jc w:val="left"/>
        <w:rPr/>
      </w:pPr>
      <w:r>
        <w:rPr/>
        <w:t>          </w:t>
      </w:r>
      <w:r>
        <w:rPr>
          <w:rFonts w:ascii="Times New Roman;Times;serif" w:hAnsi="Times New Roman;Times;serif"/>
          <w:sz w:val="17"/>
        </w:rPr>
        <w:t xml:space="preserve">(a) The Issuers and the Guarantors shall: </w:t>
      </w:r>
    </w:p>
    <w:p>
      <w:pPr>
        <w:pStyle w:val="TextBody"/>
        <w:spacing w:before="120" w:after="283"/>
        <w:jc w:val="left"/>
        <w:rPr/>
      </w:pPr>
      <w:r>
        <w:rPr/>
        <w:t>          </w:t>
      </w:r>
      <w:r>
        <w:rPr>
          <w:rFonts w:ascii="Times New Roman;Times;serif" w:hAnsi="Times New Roman;Times;serif"/>
          <w:sz w:val="17"/>
        </w:rPr>
        <w:t xml:space="preserve">(i) furnish to you, not less than five Business Days prior to the filing thereof with the Commission, a copy of any Exchange Offer Registration Statement and any Shelf Registration Statement, and each amendment thereof and each amendment or supplement, if any, to the Prospectus included therein (including all documents incorporated by reference therein after the initial filing) and shall use their reasonable best efforts to reflect in each such document, when so filed with the Commission, such comments as you reasonably propose; </w:t>
      </w:r>
    </w:p>
    <w:p>
      <w:pPr>
        <w:pStyle w:val="TextBody"/>
        <w:spacing w:before="120" w:after="283"/>
        <w:jc w:val="left"/>
        <w:rPr/>
      </w:pPr>
      <w:r>
        <w:rPr/>
        <w:t>          </w:t>
      </w:r>
      <w:r>
        <w:rPr>
          <w:rFonts w:ascii="Times New Roman;Times;serif" w:hAnsi="Times New Roman;Times;serif"/>
          <w:sz w:val="17"/>
        </w:rPr>
        <w:t xml:space="preserve">(ii) include the information set forth in Annex A hereto on the facing page of the Exchange Offer Registration Statement, in Annex B hereto in the forepart of the Exchange Offer Registration Statement in a section setting forth details of the Exchange Offer, in Annex C hereto in the underwriting or plan of distribution section of the Prospectus contained in the Exchange Offer Registration Statement, and in Annex D hereto in the letter of transmittal delivered pursuant to the Registered Exchange Offer;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(iii) if requested by an Initial Purchaser, include the information required by Item 507 or 508 of Regulation S-K, as applicable, in the Prospectus contained in the Shelf Registration Statement; and </w:t>
      </w:r>
    </w:p>
    <w:p>
      <w:pPr>
        <w:pStyle w:val="TextBody"/>
        <w:spacing w:before="120" w:after="283"/>
        <w:jc w:val="left"/>
        <w:rPr/>
      </w:pPr>
      <w:r>
        <w:rPr/>
        <w:t>          </w:t>
      </w:r>
      <w:r>
        <w:rPr>
          <w:rFonts w:ascii="Times New Roman;Times;serif" w:hAnsi="Times New Roman;Times;serif"/>
          <w:sz w:val="17"/>
        </w:rPr>
        <w:t xml:space="preserve">(iv) in the case of a Shelf Registration Statement, include the names of the Holders that propose to sell Securities pursuant to the Shelf Registration Statement as selling security holders. </w:t>
      </w:r>
    </w:p>
    <w:p>
      <w:pPr>
        <w:pStyle w:val="TextBody"/>
        <w:spacing w:before="120" w:after="283"/>
        <w:jc w:val="left"/>
        <w:rPr/>
      </w:pPr>
      <w:r>
        <w:rPr/>
        <w:t>          </w:t>
      </w:r>
      <w:r>
        <w:rPr>
          <w:rFonts w:ascii="Times New Roman;Times;serif" w:hAnsi="Times New Roman;Times;serif"/>
          <w:sz w:val="17"/>
        </w:rPr>
        <w:t xml:space="preserve">(b) The Issuers and the Guarantors shall ensure that: </w:t>
      </w:r>
    </w:p>
    <w:p>
      <w:pPr>
        <w:pStyle w:val="TextBody"/>
        <w:spacing w:before="120" w:after="283"/>
        <w:jc w:val="left"/>
        <w:rPr/>
      </w:pPr>
      <w:r>
        <w:rPr/>
        <w:t>          </w:t>
      </w:r>
      <w:r>
        <w:rPr>
          <w:rFonts w:ascii="Times New Roman;Times;serif" w:hAnsi="Times New Roman;Times;serif"/>
          <w:sz w:val="17"/>
        </w:rPr>
        <w:t xml:space="preserve">(i) any Registration Statement and any amendment thereto and any Prospectus forming part thereof and any amendment or supplement thereto comply in all material respects with the Act and the rules and regulations thereunder; and </w:t>
      </w:r>
    </w:p>
    <w:p>
      <w:pPr>
        <w:pStyle w:val="TextBody"/>
        <w:spacing w:before="120" w:after="283"/>
        <w:jc w:val="left"/>
        <w:rPr/>
      </w:pPr>
      <w:r>
        <w:rPr/>
        <w:t>          </w:t>
      </w:r>
      <w:r>
        <w:rPr>
          <w:rFonts w:ascii="Times New Roman;Times;serif" w:hAnsi="Times New Roman;Times;serif"/>
          <w:sz w:val="17"/>
        </w:rPr>
        <w:t xml:space="preserve">(ii) any Registration Statement and any amendment thereto do not, when they become effective, contain an untrue statement of a material fact or omit to state a material fact required to be stated therein or necessary to make the statements therein not misleading. </w:t>
      </w:r>
    </w:p>
    <w:p>
      <w:pPr>
        <w:pStyle w:val="TextBody"/>
        <w:spacing w:before="120" w:after="283"/>
        <w:jc w:val="left"/>
        <w:rPr/>
      </w:pPr>
      <w:r>
        <w:rPr/>
        <w:t>          </w:t>
      </w:r>
      <w:r>
        <w:rPr>
          <w:rFonts w:ascii="Times New Roman;Times;serif" w:hAnsi="Times New Roman;Times;serif"/>
          <w:sz w:val="17"/>
        </w:rPr>
        <w:t xml:space="preserve">(c) The Issuers and the Guarantors shall advise you, the Holders of Securities covered by any Shelf Registration Statement and any Exchanging Dealer under any Exchange Offer Registration Statement that has provided in writing to the Issuers and the Guarantors a telephone or facsimile number and address for notices, and, if requested in writing by you or any such Holder or Exchanging Dealer, shall confirm such advice in writing (which notice pursuant to clauses (ii)-(v) hereof shall be accompanied by an instruction to suspend the use of the Prospectus until the Issuers and the Guarantors shall have remedied the basis for such suspension): </w:t>
      </w:r>
    </w:p>
    <w:p>
      <w:pPr>
        <w:pStyle w:val="TextBody"/>
        <w:spacing w:before="120" w:after="283"/>
        <w:jc w:val="left"/>
        <w:rPr/>
      </w:pPr>
      <w:r>
        <w:rPr/>
        <w:t>          </w:t>
      </w:r>
      <w:r>
        <w:rPr>
          <w:rFonts w:ascii="Times New Roman;Times;serif" w:hAnsi="Times New Roman;Times;serif"/>
          <w:sz w:val="17"/>
        </w:rPr>
        <w:t xml:space="preserve">(i) when a Registration Statement and any amendment thereto have been filed with the Commission and when the Registration Statement or any post-effective amendment thereto has become effective; </w:t>
      </w:r>
    </w:p>
    <w:p>
      <w:pPr>
        <w:pStyle w:val="TextBody"/>
        <w:spacing w:before="120" w:after="283"/>
        <w:jc w:val="left"/>
        <w:rPr/>
      </w:pPr>
      <w:r>
        <w:rPr/>
        <w:t>          </w:t>
      </w:r>
      <w:r>
        <w:rPr>
          <w:rFonts w:ascii="Times New Roman;Times;serif" w:hAnsi="Times New Roman;Times;serif"/>
          <w:sz w:val="17"/>
        </w:rPr>
        <w:t xml:space="preserve">(ii) of any request by the Commission for any amendment or supplement to the Registration Statement or the Prospectus or for additional information; </w:t>
      </w:r>
    </w:p>
    <w:p>
      <w:pPr>
        <w:pStyle w:val="TextBody"/>
        <w:spacing w:before="120" w:after="283"/>
        <w:jc w:val="left"/>
        <w:rPr/>
      </w:pPr>
      <w:r>
        <w:rPr/>
        <w:t>          </w:t>
      </w:r>
      <w:r>
        <w:rPr>
          <w:rFonts w:ascii="Times New Roman;Times;serif" w:hAnsi="Times New Roman;Times;serif"/>
          <w:sz w:val="17"/>
        </w:rPr>
        <w:t xml:space="preserve">(iii) of the issuance by the Commission of any stop order suspending the effectiveness of the Registration Statement or the initiation of any proceedings for that purpose; </w:t>
      </w:r>
    </w:p>
    <w:p>
      <w:pPr>
        <w:pStyle w:val="TextBody"/>
        <w:spacing w:before="120" w:after="283"/>
        <w:jc w:val="left"/>
        <w:rPr/>
      </w:pPr>
      <w:r>
        <w:rPr/>
        <w:t>          </w:t>
      </w:r>
      <w:r>
        <w:rPr>
          <w:rFonts w:ascii="Times New Roman;Times;serif" w:hAnsi="Times New Roman;Times;serif"/>
          <w:sz w:val="17"/>
        </w:rPr>
        <w:t xml:space="preserve">(iv) of the receipt by the Issuers and the Guarantors of any notification with respect to the suspension of the qualification of the Securities included therein for sale in any jurisdiction or the initiation of any proceeding for such purpose; and </w:t>
      </w:r>
    </w:p>
    <w:p>
      <w:pPr>
        <w:pStyle w:val="TextBody"/>
        <w:spacing w:before="120" w:after="283"/>
        <w:jc w:val="left"/>
        <w:rPr/>
      </w:pPr>
      <w:r>
        <w:rPr/>
        <w:t>          </w:t>
      </w:r>
      <w:r>
        <w:rPr>
          <w:rFonts w:ascii="Times New Roman;Times;serif" w:hAnsi="Times New Roman;Times;serif"/>
          <w:sz w:val="17"/>
        </w:rPr>
        <w:t xml:space="preserve">(v) of the happening of any event that requires any change in the Registration Statement or the Prospectus so that, as of such date, the statements therein are not misleading and do not omit to state a material fact required to be stated therein or necessary to make the statements therein (in the case of the Prospectus, in the light of the circumstances under which they were made) not misleading.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 The Issuers and the Guarantors shall use their reasonable best efforts to obtain the withdrawal of any order suspending the effectiveness of any Registration Statement or the qualification of the Securities therein for sale in any jurisdiction at the earliest possible time. </w:t>
      </w:r>
    </w:p>
    <w:p>
      <w:pPr>
        <w:pStyle w:val="TextBody"/>
        <w:spacing w:before="120" w:after="283"/>
        <w:jc w:val="left"/>
        <w:rPr/>
      </w:pPr>
      <w:r>
        <w:rPr/>
        <w:t>          </w:t>
      </w:r>
      <w:r>
        <w:rPr>
          <w:rFonts w:ascii="Times New Roman;Times;serif" w:hAnsi="Times New Roman;Times;serif"/>
          <w:sz w:val="17"/>
        </w:rPr>
        <w:t xml:space="preserve">(e) The Issuers and the Guarantors shall furnish to each Holder of Securities covered by any Shelf Registration Statement,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 </w:t>
      </w:r>
    </w:p>
    <w:p>
      <w:pPr>
        <w:pStyle w:val="TextBody"/>
        <w:spacing w:before="120" w:after="283"/>
        <w:jc w:val="left"/>
        <w:rPr/>
      </w:pPr>
      <w:r>
        <w:rPr/>
        <w:t>          </w:t>
      </w:r>
      <w:r>
        <w:rPr>
          <w:rFonts w:ascii="Times New Roman;Times;serif" w:hAnsi="Times New Roman;Times;serif"/>
          <w:sz w:val="17"/>
        </w:rPr>
        <w:t xml:space="preserve">(f) The Issuers and the Guarantors shall, during the Shelf Registration Period, deliver to each Holder of Securities covered by any Shelf Registration Statement, without charge, as many copies of the Prospectus (including each preliminary Prospectus) included in such Shelf Registration Statement and any amendment or supplement thereto as such Holder may reasonably request. The Issuers and the Guarantors consent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 </w:t>
      </w:r>
    </w:p>
    <w:p>
      <w:pPr>
        <w:pStyle w:val="TextBody"/>
        <w:spacing w:before="120" w:after="283"/>
        <w:jc w:val="left"/>
        <w:rPr/>
      </w:pPr>
      <w:r>
        <w:rPr/>
        <w:t>          </w:t>
      </w:r>
      <w:r>
        <w:rPr>
          <w:rFonts w:ascii="Times New Roman;Times;serif" w:hAnsi="Times New Roman;Times;serif"/>
          <w:sz w:val="17"/>
        </w:rPr>
        <w:t xml:space="preserve">(g) The Issuers and the Guarantors shall furnish to each Exchanging Dealer which so requests, without charge, at least one copy of the Exchange Offer Registration Statement and any post-effective amendment thereto, including all material incorporated by reference therein, and, if the Exchanging Dealer so requests in writing, all exhibits thereto (including exhibits incorporated by reference therein). </w:t>
      </w:r>
    </w:p>
    <w:p>
      <w:pPr>
        <w:pStyle w:val="TextBody"/>
        <w:spacing w:before="120" w:after="283"/>
        <w:jc w:val="left"/>
        <w:rPr/>
      </w:pPr>
      <w:r>
        <w:rPr/>
        <w:t>          </w:t>
      </w:r>
      <w:r>
        <w:rPr>
          <w:rFonts w:ascii="Times New Roman;Times;serif" w:hAnsi="Times New Roman;Times;serif"/>
          <w:sz w:val="17"/>
        </w:rPr>
        <w:t xml:space="preserve">(h) The Issuers and the Guarantors shall promptly deliver to each Initial Purchaser, each Exchanging Dealer and each other Person required to deliver a Prospectus during the effectiveness of the Exchange Offer Registration Statement, without charge, as many copies of the Prospectus included in such Exchange Offer Registration Statement and any amendment or supplement thereto as any such Person may reasonably request. The Issuers and the Guarantors consent to the use of the Prospectus or any amendment or supplement thereto by any Initial Purchaser, any Exchanging Dealer and any such other Person that may be required to deliver a Prospectus following the Registered Exchange Offer in connection with the offering and sale of the New Securities covered by the Prospectus, or any amendment or supplement thereto, included in the Exchange Offer Registration Statement. </w:t>
      </w:r>
    </w:p>
    <w:p>
      <w:pPr>
        <w:pStyle w:val="TextBody"/>
        <w:spacing w:before="120" w:after="283"/>
        <w:jc w:val="left"/>
        <w:rPr/>
      </w:pPr>
      <w:r>
        <w:rPr/>
        <w:t>          </w:t>
      </w:r>
      <w:r>
        <w:rPr>
          <w:rFonts w:ascii="Times New Roman;Times;serif" w:hAnsi="Times New Roman;Times;serif"/>
          <w:sz w:val="17"/>
        </w:rPr>
        <w:t xml:space="preserve">(i) Prior to the Registered Exchange Offer or any other offering of Securities pursuant to any Registration Statement, the Issuers and the Guarantors shall arrange, if necessary, for the qualification of the Securities or the New Securities for sale under the laws of such jurisdiction as any Holder shall reasonably request and will maintain such qualification in effect so long as required; </w:t>
      </w:r>
      <w:r>
        <w:rPr>
          <w:rFonts w:ascii="Times New Roman;Times;serif" w:hAnsi="Times New Roman;Times;serif"/>
          <w:sz w:val="17"/>
          <w:u w:val="single"/>
        </w:rPr>
        <w:t>provided</w:t>
      </w:r>
      <w:r>
        <w:rPr>
          <w:rFonts w:ascii="Times New Roman;Times;serif" w:hAnsi="Times New Roman;Times;serif"/>
          <w:sz w:val="17"/>
        </w:rPr>
        <w:t xml:space="preserve"> that in no event shall either Issuer or any Guarantor be obligated to qualify to do business in any jurisdiction where it is not then so qualified or to take any action that would subject it to service of process in suits, other than those arising out of the Initial Placement, the Registered Exchange Offer or any offering pursuant to a Shelf Registration Statement, in any such jurisdiction where it is not then so subject.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(j) If any of the Securities or the New Securities are not issued in global form, then the Issuers and the Guarantors shall cooperate with the Holders of Securities to facilitate the timely preparation and delivery of certificates representing New Securities or Securities to be issued or sold pursuant to any Registration Statement free of any restrictive legends and in such denominations and registered in such names as Holders may request. </w:t>
      </w:r>
    </w:p>
    <w:p>
      <w:pPr>
        <w:pStyle w:val="TextBody"/>
        <w:spacing w:before="120" w:after="283"/>
        <w:jc w:val="left"/>
        <w:rPr/>
      </w:pPr>
      <w:r>
        <w:rPr/>
        <w:t>          </w:t>
      </w:r>
      <w:r>
        <w:rPr>
          <w:rFonts w:ascii="Times New Roman;Times;serif" w:hAnsi="Times New Roman;Times;serif"/>
          <w:sz w:val="17"/>
        </w:rPr>
        <w:t xml:space="preserve">(k) Upon the occurrence of any event contemplated by subsections (c)(ii) or (v) above, the Issuers and the Guarantors shall promptly prepare a post-effective amendment to the applicable Registration Statement or an amendment or supplement to the related Prospectus or file any other required document so that, as thereafter delivered to Initial Purchasers of the securities included 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and the Shelf Registration Statement provided for in Section 3(b) shall each be extended by the number of days from and including the date of the giving of a notice of suspension pursuant to Section 5(c) to and including the date when the Initial Purchasers, the Holders of the Securities and any known Exchanging Dealer shall have received such amended or supplemented Prospectus pursuant to this Section. </w:t>
      </w:r>
    </w:p>
    <w:p>
      <w:pPr>
        <w:pStyle w:val="TextBody"/>
        <w:spacing w:before="120" w:after="283"/>
        <w:jc w:val="left"/>
        <w:rPr/>
      </w:pPr>
      <w:r>
        <w:rPr/>
        <w:t>          </w:t>
      </w:r>
      <w:r>
        <w:rPr>
          <w:rFonts w:ascii="Times New Roman;Times;serif" w:hAnsi="Times New Roman;Times;serif"/>
          <w:sz w:val="17"/>
        </w:rPr>
        <w:t xml:space="preserve">(l) Not later than the effective date of any Registration Statement, the Issuers and the Guarantors shall provide a CUSIP number for the Securities or the New Securities, as the case may be, registered under such Registration Statement and provide the Trustee with certificates for such Securities or New Securities, in a form eligible for deposit with The Depository Trust Company. </w:t>
      </w:r>
    </w:p>
    <w:p>
      <w:pPr>
        <w:pStyle w:val="TextBody"/>
        <w:spacing w:before="120" w:after="283"/>
        <w:jc w:val="left"/>
        <w:rPr/>
      </w:pPr>
      <w:r>
        <w:rPr/>
        <w:t>          </w:t>
      </w:r>
      <w:r>
        <w:rPr>
          <w:rFonts w:ascii="Times New Roman;Times;serif" w:hAnsi="Times New Roman;Times;serif"/>
          <w:sz w:val="17"/>
        </w:rPr>
        <w:t xml:space="preserve">(m) The Issuers and the Guarantors shall comply with all applicable rules and regulations of the Commission and shall make generally available to the Issuers security holders as soon as practicable after the effective date of the applicable Registration Statement an earnings statement satisfying the provisions of Section 11(a) of the Act. </w:t>
      </w:r>
    </w:p>
    <w:p>
      <w:pPr>
        <w:pStyle w:val="TextBody"/>
        <w:spacing w:before="120" w:after="283"/>
        <w:jc w:val="left"/>
        <w:rPr/>
      </w:pPr>
      <w:r>
        <w:rPr/>
        <w:t>          </w:t>
      </w:r>
      <w:r>
        <w:rPr>
          <w:rFonts w:ascii="Times New Roman;Times;serif" w:hAnsi="Times New Roman;Times;serif"/>
          <w:sz w:val="17"/>
        </w:rPr>
        <w:t xml:space="preserve">(n) The Issuers and the Guarantors shall cause the Indenture to be qualified under the Trust Indenture Act in a timely manner. </w:t>
      </w:r>
    </w:p>
    <w:p>
      <w:pPr>
        <w:pStyle w:val="TextBody"/>
        <w:spacing w:before="120" w:after="283"/>
        <w:jc w:val="left"/>
        <w:rPr/>
      </w:pPr>
      <w:r>
        <w:rPr/>
        <w:t>          </w:t>
      </w:r>
      <w:r>
        <w:rPr>
          <w:rFonts w:ascii="Times New Roman;Times;serif" w:hAnsi="Times New Roman;Times;serif"/>
          <w:sz w:val="17"/>
        </w:rPr>
        <w:t xml:space="preserve">(o) The Issuers and the Guarantors may require each Holder of Securities to be sold pursuant to any Shelf Registration Statement to furnish to the Issuers and the Guarantors such information regarding the Holder and the distribution of such Securities as the Issuers and the Guarantors may from time to time reasonably require for inclusion in such Registration Statement. The Issuers and the Guarantors may exclude from such Shelf Registration Statement the Securities of any Holder that unreasonably fails to furnish such information within a reasonable time after receiving such request. </w:t>
      </w:r>
    </w:p>
    <w:p>
      <w:pPr>
        <w:pStyle w:val="TextBody"/>
        <w:spacing w:before="120" w:after="283"/>
        <w:jc w:val="left"/>
        <w:rPr/>
      </w:pPr>
      <w:r>
        <w:rPr/>
        <w:t>          </w:t>
      </w:r>
      <w:r>
        <w:rPr>
          <w:rFonts w:ascii="Times New Roman;Times;serif" w:hAnsi="Times New Roman;Times;serif"/>
          <w:sz w:val="17"/>
        </w:rPr>
        <w:t xml:space="preserve">(p) In the case of any Shelf Registration Statement, the Issuers and the Guarantors shall enter into such agreements and take all other appropriate actions (including, if requested, an underwriting agreement in customary form) in order to expedite or facilitate the registration or the disposition of the Securities, and in connection therewith, if an underwriting agreement is entered into, cause the same to contain indemnification provisions and procedures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less favorable than those set forth in Section 7 (or such other provisions and procedures acceptable to the Majority Holders and the Managing Underwriters, if any, with respect to all parties to be indemnified pursuant to Section 7). </w:t>
      </w:r>
    </w:p>
    <w:p>
      <w:pPr>
        <w:pStyle w:val="TextBody"/>
        <w:spacing w:before="120" w:after="283"/>
        <w:jc w:val="left"/>
        <w:rPr/>
      </w:pPr>
      <w:r>
        <w:rPr/>
        <w:t>          </w:t>
      </w:r>
      <w:r>
        <w:rPr>
          <w:rFonts w:ascii="Times New Roman;Times;serif" w:hAnsi="Times New Roman;Times;serif"/>
          <w:sz w:val="17"/>
        </w:rPr>
        <w:t xml:space="preserve">(q) In the case of any Shelf Registration Statement, the Issuers and the Guarantors shall: </w:t>
      </w:r>
    </w:p>
    <w:p>
      <w:pPr>
        <w:pStyle w:val="TextBody"/>
        <w:spacing w:before="120" w:after="283"/>
        <w:jc w:val="left"/>
        <w:rPr/>
      </w:pPr>
      <w:r>
        <w:rPr/>
        <w:t>          </w:t>
      </w:r>
      <w:r>
        <w:rPr>
          <w:rFonts w:ascii="Times New Roman;Times;serif" w:hAnsi="Times New Roman;Times;serif"/>
          <w:sz w:val="17"/>
        </w:rPr>
        <w:t xml:space="preserve">(i) make reasonably available for inspection by the Holders of Securities to be registered thereunder, any underwriter participating in any disposition pursuant to such Registration Statement, and any attorney, accountant or other agent retained by the Holders or any such underwriter all relevant financial and other records, pertinent partnership, corporate or limited liability company documents and properties of the Issuers and the Guarantors and their respective subsidiaries; </w:t>
      </w:r>
    </w:p>
    <w:p>
      <w:pPr>
        <w:pStyle w:val="TextBody"/>
        <w:spacing w:before="120" w:after="283"/>
        <w:jc w:val="left"/>
        <w:rPr/>
      </w:pPr>
      <w:r>
        <w:rPr/>
        <w:t>          </w:t>
      </w:r>
      <w:r>
        <w:rPr>
          <w:rFonts w:ascii="Times New Roman;Times;serif" w:hAnsi="Times New Roman;Times;serif"/>
          <w:sz w:val="17"/>
        </w:rPr>
        <w:t xml:space="preserve">(ii) cause the Issuers and the Guarantors respective officers, directors and employees to supply all relevant information reasonably requested by the Holders or any such underwriter, attorney, accountant or agent in connection with any such Registration Statement as is customary for similar due diligence examinations;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any information that is designated in writing by the Issuers or the Guarantors, in good faith, as confidential at the time of delivery of such information shall be kept confidential by the Holders or any such underwriter, attorney, accountant or agent, unless such disclosure is made in connection with a court proceeding or required by law, or such information becomes available to the public generally or through a third party without an accompanying obligation of confidentiality; </w:t>
      </w:r>
    </w:p>
    <w:p>
      <w:pPr>
        <w:pStyle w:val="TextBody"/>
        <w:spacing w:before="120" w:after="283"/>
        <w:jc w:val="left"/>
        <w:rPr/>
      </w:pPr>
      <w:r>
        <w:rPr/>
        <w:t>          </w:t>
      </w:r>
      <w:r>
        <w:rPr>
          <w:rFonts w:ascii="Times New Roman;Times;serif" w:hAnsi="Times New Roman;Times;serif"/>
          <w:sz w:val="17"/>
        </w:rPr>
        <w:t xml:space="preserve">(iii) 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Purchase Agreement; </w:t>
      </w:r>
    </w:p>
    <w:p>
      <w:pPr>
        <w:pStyle w:val="TextBody"/>
        <w:spacing w:before="120" w:after="283"/>
        <w:jc w:val="left"/>
        <w:rPr/>
      </w:pPr>
      <w:r>
        <w:rPr/>
        <w:t>          </w:t>
      </w:r>
      <w:r>
        <w:rPr>
          <w:rFonts w:ascii="Times New Roman;Times;serif" w:hAnsi="Times New Roman;Times;serif"/>
          <w:sz w:val="17"/>
        </w:rPr>
        <w:t xml:space="preserve">(iv) obtain opinions of counsel to the Issuers and the Guarantors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 </w:t>
      </w:r>
    </w:p>
    <w:p>
      <w:pPr>
        <w:pStyle w:val="TextBody"/>
        <w:spacing w:before="120" w:after="283"/>
        <w:jc w:val="left"/>
        <w:rPr/>
      </w:pPr>
      <w:r>
        <w:rPr/>
        <w:t>          </w:t>
      </w:r>
      <w:r>
        <w:rPr>
          <w:rFonts w:ascii="Times New Roman;Times;serif" w:hAnsi="Times New Roman;Times;serif"/>
          <w:sz w:val="17"/>
        </w:rPr>
        <w:t xml:space="preserve">(v) obtain cold comfort letters and updates thereof from the independent certified public accountants of the Issuers and the Guarantors (and, if necessary, any other independent certified public accountants of any subsidiary of the Issuers and the Guarantors or of any business acquired by the Issuers and the Guarantors for which financial statements and financial data are, or are required to be, included in the Registration Statement), addressed to each selling Holder of Securities registered thereunder and the underwriters, if any, in customary form and covering matters of the type customarily covered in cold comfort letters in connection with primary underwritten offerings; and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(vi) deliver such documents and certificates as may be reasonably requested by the Majority Holders and the Managing Underwriters, if any, including those to evidence compliance with Section 5(k) and with any customary conditions contained in the underwriting agreement or other agreement entered into by the Issuers or the Guarantors.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actions set forth in clauses (iii), (iv), (v) and (vi) of this Section shall be performed at (A) the effectiveness of such Registration Statement and each post-effective amendment thereto; and (B) each closing under any underwriting or similar agreement as and to the extent required thereunder. </w:t>
      </w:r>
    </w:p>
    <w:p>
      <w:pPr>
        <w:pStyle w:val="TextBody"/>
        <w:spacing w:before="120" w:after="283"/>
        <w:jc w:val="left"/>
        <w:rPr/>
      </w:pPr>
      <w:r>
        <w:rPr/>
        <w:t>          </w:t>
      </w:r>
      <w:r>
        <w:rPr>
          <w:rFonts w:ascii="Times New Roman;Times;serif" w:hAnsi="Times New Roman;Times;serif"/>
          <w:sz w:val="17"/>
        </w:rPr>
        <w:t xml:space="preserve">(r) [omitted] </w:t>
      </w:r>
    </w:p>
    <w:p>
      <w:pPr>
        <w:pStyle w:val="TextBody"/>
        <w:spacing w:before="120" w:after="283"/>
        <w:jc w:val="left"/>
        <w:rPr/>
      </w:pPr>
      <w:r>
        <w:rPr/>
        <w:t>          </w:t>
      </w:r>
      <w:r>
        <w:rPr>
          <w:rFonts w:ascii="Times New Roman;Times;serif" w:hAnsi="Times New Roman;Times;serif"/>
          <w:sz w:val="17"/>
        </w:rPr>
        <w:t xml:space="preserve">(s) [omitted] </w:t>
      </w:r>
    </w:p>
    <w:p>
      <w:pPr>
        <w:pStyle w:val="TextBody"/>
        <w:spacing w:before="120" w:after="283"/>
        <w:jc w:val="left"/>
        <w:rPr/>
      </w:pPr>
      <w:r>
        <w:rPr/>
        <w:t>          </w:t>
      </w:r>
      <w:r>
        <w:rPr>
          <w:rFonts w:ascii="Times New Roman;Times;serif" w:hAnsi="Times New Roman;Times;serif"/>
          <w:sz w:val="17"/>
        </w:rPr>
        <w:t xml:space="preserve">(t) [omitted] </w:t>
      </w:r>
    </w:p>
    <w:p>
      <w:pPr>
        <w:pStyle w:val="TextBody"/>
        <w:spacing w:before="120" w:after="283"/>
        <w:jc w:val="left"/>
        <w:rPr/>
      </w:pPr>
      <w:r>
        <w:rPr/>
        <w:t>          </w:t>
      </w:r>
      <w:r>
        <w:rPr>
          <w:rFonts w:ascii="Times New Roman;Times;serif" w:hAnsi="Times New Roman;Times;serif"/>
          <w:sz w:val="17"/>
        </w:rPr>
        <w:t xml:space="preserve">(u) In the event that any Broker-Dealer shall underwrite any Securities or participate as a member of an underwriting syndicate or selling group or assist in the distribution (within the meaning of the Conduct Rules and the By-Laws of the National Association of Securities Dealers, Inc.) thereof, whether as a Holder of such Securities or as an underwriter, a placement or sales agent or a broker or dealer in respect thereof, or otherwise, assist such Broker-Dealer in complying with the requirements of such Rules and By-Laws, including, without limitation, by: </w:t>
      </w:r>
    </w:p>
    <w:p>
      <w:pPr>
        <w:pStyle w:val="TextBody"/>
        <w:spacing w:before="120" w:after="283"/>
        <w:jc w:val="left"/>
        <w:rPr/>
      </w:pPr>
      <w:r>
        <w:rPr/>
        <w:t>          </w:t>
      </w:r>
      <w:r>
        <w:rPr>
          <w:rFonts w:ascii="Times New Roman;Times;serif" w:hAnsi="Times New Roman;Times;serif"/>
          <w:sz w:val="17"/>
        </w:rPr>
        <w:t xml:space="preserve">(i) if such Rules or By-Laws shall so require, engaging a qualified independent underwriter (as defined in such Rules) to participate in the preparation of the Registration Statement, to exercise usual standards of due diligence with respect thereto and, if any portion of the offering contemplated by such Registration Statement is an underwritten offering or is made through a placement or sales agent, to recommend the yield of such Securities; </w:t>
      </w:r>
    </w:p>
    <w:p>
      <w:pPr>
        <w:pStyle w:val="TextBody"/>
        <w:spacing w:before="120" w:after="283"/>
        <w:jc w:val="left"/>
        <w:rPr/>
      </w:pPr>
      <w:r>
        <w:rPr/>
        <w:t>          </w:t>
      </w:r>
      <w:r>
        <w:rPr>
          <w:rFonts w:ascii="Times New Roman;Times;serif" w:hAnsi="Times New Roman;Times;serif"/>
          <w:sz w:val="17"/>
        </w:rPr>
        <w:t xml:space="preserve">(ii) indemnifying any such qualified independent underwriter to the extent of the indemnification of underwriters provided in Section 7 hereof; and </w:t>
      </w:r>
    </w:p>
    <w:p>
      <w:pPr>
        <w:pStyle w:val="TextBody"/>
        <w:spacing w:before="120" w:after="283"/>
        <w:jc w:val="left"/>
        <w:rPr/>
      </w:pPr>
      <w:r>
        <w:rPr/>
        <w:t>          </w:t>
      </w:r>
      <w:r>
        <w:rPr>
          <w:rFonts w:ascii="Times New Roman;Times;serif" w:hAnsi="Times New Roman;Times;serif"/>
          <w:sz w:val="17"/>
        </w:rPr>
        <w:t xml:space="preserve">(iii) providing such information to such Broker-Dealer as may be required in order for such Broker-Dealer to comply with the requirements of such Rules. </w:t>
      </w:r>
    </w:p>
    <w:p>
      <w:pPr>
        <w:pStyle w:val="TextBody"/>
        <w:spacing w:before="120" w:after="283"/>
        <w:jc w:val="left"/>
        <w:rPr/>
      </w:pPr>
      <w:r>
        <w:rPr/>
        <w:t>          </w:t>
      </w:r>
      <w:r>
        <w:rPr>
          <w:rFonts w:ascii="Times New Roman;Times;serif" w:hAnsi="Times New Roman;Times;serif"/>
          <w:sz w:val="17"/>
        </w:rPr>
        <w:t xml:space="preserve">(iv) The Issuers and the Guarantors shall use their reasonable best efforts to take all other steps necessary to effect the registration of the Securities or the New Securities, as the case may be, covered by a Registration Statement. </w:t>
      </w:r>
    </w:p>
    <w:p>
      <w:pPr>
        <w:pStyle w:val="TextBody"/>
        <w:spacing w:before="120" w:after="283"/>
        <w:jc w:val="left"/>
        <w:rPr/>
      </w:pPr>
      <w:r>
        <w:rPr/>
        <w:t>          </w:t>
      </w:r>
      <w:r>
        <w:rPr>
          <w:rFonts w:ascii="Times New Roman;Times;serif" w:hAnsi="Times New Roman;Times;serif"/>
          <w:sz w:val="17"/>
        </w:rPr>
        <w:t xml:space="preserve">6. </w:t>
      </w:r>
      <w:r>
        <w:rPr>
          <w:rFonts w:ascii="Times New Roman;Times;serif" w:hAnsi="Times New Roman;Times;serif"/>
          <w:sz w:val="17"/>
          <w:u w:val="single"/>
        </w:rPr>
        <w:t>Registration Expenses</w:t>
      </w:r>
      <w:r>
        <w:rPr>
          <w:rFonts w:ascii="Times New Roman;Times;serif" w:hAnsi="Times New Roman;Times;serif"/>
          <w:sz w:val="17"/>
        </w:rPr>
        <w:t xml:space="preserve">. The Issuers and the Guarantors bear all expenses incurred in connection with the performance of their obligations under Sections 2, 3 and 5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Registration Statement, will reimburse the Initial Purchasers for the reasonable fees and disbursements of counsel acting in connection therewith. </w:t>
      </w:r>
    </w:p>
    <w:p>
      <w:pPr>
        <w:pStyle w:val="TextBody"/>
        <w:spacing w:before="120" w:after="283"/>
        <w:jc w:val="left"/>
        <w:rPr/>
      </w:pPr>
      <w:r>
        <w:rPr/>
        <w:t>          </w:t>
      </w:r>
      <w:r>
        <w:rPr>
          <w:rFonts w:ascii="Times New Roman;Times;serif" w:hAnsi="Times New Roman;Times;serif"/>
          <w:sz w:val="17"/>
        </w:rPr>
        <w:t xml:space="preserve">7. </w:t>
      </w:r>
      <w:r>
        <w:rPr>
          <w:rFonts w:ascii="Times New Roman;Times;serif" w:hAnsi="Times New Roman;Times;serif"/>
          <w:sz w:val="17"/>
          <w:u w:val="single"/>
        </w:rPr>
        <w:t>Indemnification and Contribution</w:t>
      </w:r>
      <w:r>
        <w:rPr>
          <w:rFonts w:ascii="Times New Roman;Times;serif" w:hAnsi="Times New Roman;Times;serif"/>
          <w:sz w:val="17"/>
        </w:rPr>
        <w:t xml:space="preserve">. (a) The Issuers and each Guarantor agree to indemnify and hold harmless each Holder of Securities or New Securities, as the case may be, covered by any Registration Statement (including each Initial Purchaser and, with respect to any Prospectus delivery as contemplated in Section 5(h) hereof, each Exchanging Dealer), the directors, officers, employees and agents of each such Holder and each Person who controls any such Holder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not misleading, and agree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 the Issuers and the Guarantors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or the Guarantors by or on behalf of any such Holder specifically for inclusion therein. This indemnity agreement will be in addition to any liability which the Issuers or the Guarantors may otherwise have. </w:t>
      </w:r>
    </w:p>
    <w:p>
      <w:pPr>
        <w:pStyle w:val="TextBody"/>
        <w:spacing w:before="120" w:after="283"/>
        <w:jc w:val="left"/>
        <w:rPr/>
      </w:pPr>
      <w:r>
        <w:rPr/>
        <w:t>          </w:t>
      </w:r>
      <w:r>
        <w:rPr>
          <w:rFonts w:ascii="Times New Roman;Times;serif" w:hAnsi="Times New Roman;Times;serif"/>
          <w:sz w:val="17"/>
        </w:rPr>
        <w:t xml:space="preserve">The Issuers and each Guarantor also agree to indemnify or contribute as provided in Section 7(d) to Losses of any underwriter of Securities or New Securities, as the case may be, registered under a Shelf Registration Statement, their directors, officers, employees or agents and each Person who controls such underwriter on substantially the same basis as that of the indemnification of the Initial Purchasers and the selling Holders provided in this Section 7(a). The Issuers and each Guarantor shall, if requested by any Holder, enter into an underwriting agreement reflecting such agreement, as provided in Section 5(p) hereof. </w:t>
      </w:r>
    </w:p>
    <w:p>
      <w:pPr>
        <w:pStyle w:val="TextBody"/>
        <w:spacing w:before="120" w:after="283"/>
        <w:jc w:val="left"/>
        <w:rPr/>
      </w:pPr>
      <w:r>
        <w:rPr/>
        <w:t>          </w:t>
      </w:r>
      <w:r>
        <w:rPr>
          <w:rFonts w:ascii="Times New Roman;Times;serif" w:hAnsi="Times New Roman;Times;serif"/>
          <w:sz w:val="17"/>
        </w:rPr>
        <w:t xml:space="preserve">(b) Each Holder of securities covered by a Registration Statement (including each Initial Purchaser and, with respect to any Prospectus delivery as contemplated in Section 5(h) hereof, each Exchanging Dealer) severally and not jointly agrees to indemnify and hold harmless the Issuers, the Guarantors, the directors of the Issuers and the Guarantors, the officers of the Issuers and the Guarantors who sign such Registration Statement and each Person who controls the Issuers or the Guarantors within the meaning of either the Act or the Exchange Act, to the same extent as the foregoing indemnity from the Issuers and the Guarantors to each such Holder, but only with reference to written information relating to such Holder furnished to the Issuers and the Guarantors by or on behalf of such Holder specifically for inclusion in the documents referred to in the foregoing indemnity. This indemnity agreement will be in addition to any liability which any such Holder may otherwise have.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 Promptly after receipt by an indemnified party under this Section 7 or notice of the commencement of any action, such indemnified party will, if a claim in respect thereof is to be made against the indemnifying party under this Section,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w:t>
      </w:r>
    </w:p>
    <w:p>
      <w:pPr>
        <w:pStyle w:val="TextBody"/>
        <w:spacing w:before="120" w:after="283"/>
        <w:jc w:val="left"/>
        <w:rPr/>
      </w:pPr>
      <w:r>
        <w:rPr/>
        <w:t>     </w:t>
      </w:r>
      <w:r>
        <w:rPr>
          <w:rFonts w:ascii="Times New Roman;Times;serif" w:hAnsi="Times New Roman;Times;serif"/>
          <w:sz w:val="17"/>
        </w:rPr>
        <w:t xml:space="preserve">(d) In the event that the indemnity provided in paragraph (a) or (b) of this Section 7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same) (collectively Losses)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in no case shall any Initial Purchaser or any subsequent Holder of any Security or New Security be responsible, in the aggregate, for any amount in excess of the purchase discount or commission applicable to such Security, or in the case of a New Security, applicable to the Security that was exchangeable into such New Security, as set forth on the cover page of the Final Offering Memorandum, nor shall any underwriter be responsible for any amount in excess of the underwriting discount or commission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 or the Guarantors shall be deemed to be equal to the sum of (x) the total net proceeds from the Initial Placement (before deducting expenses) as set forth on the cover page of the Final Offering Memorandum and (y) the total amount of additional interest which the Issuers and the Guarantors were not required to pay as a result of registering the securities covered by the Registration Statement which resulted in such Losses. Benefits received by the Initial Purchasers shall be deemed to be equal to the total purchase discounts and commissions as set forth on the cover page of the Final Offering Memorandum, and benefits received by any other Holders shall be deemed to be equal to the value of receiving Securities or New Securities,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 be determined by reference to, among other things, whether any alleged untrue statement or omission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Holder within the meaning of either the Act or the Exchange Act and each director, officer, employee and agent of such Holder shall have the same rights to contribution as such Holder, and each Person who controls the Issuers and the Guarantors within the meaning of either the Act or the Exchange Act, each officer of the Issuers and the Guarantors who shall have signed the Registration Statement and each director of the Issuers and the Guarantors shall have the same rights to contribution as the Issuers and the Guarantors, subject in each case to the applicable terms and conditions of this paragraph (d). </w:t>
      </w:r>
    </w:p>
    <w:p>
      <w:pPr>
        <w:pStyle w:val="TextBody"/>
        <w:spacing w:before="120" w:after="283"/>
        <w:jc w:val="left"/>
        <w:rPr/>
      </w:pPr>
      <w:r>
        <w:rPr/>
        <w:t>     </w:t>
      </w:r>
      <w:r>
        <w:rPr>
          <w:rFonts w:ascii="Times New Roman;Times;serif" w:hAnsi="Times New Roman;Times;serif"/>
          <w:sz w:val="17"/>
        </w:rPr>
        <w:t xml:space="preserve">(e) The provisions of this Section 7 will remain in full force and effect, regardless of any investigation made by or on behalf of any Holder or the Issuers and the Guarantors or any of the officers, directors or controlling Persons referred to in this Section hereof, and will survive the sale by a Holder of securities covered by a Registration Statement.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8. </w:t>
      </w:r>
      <w:r>
        <w:rPr>
          <w:rFonts w:ascii="Times New Roman;Times;serif" w:hAnsi="Times New Roman;Times;serif"/>
          <w:sz w:val="17"/>
          <w:u w:val="single"/>
        </w:rPr>
        <w:t>Underwritten Registrations</w:t>
      </w:r>
      <w:r>
        <w:rPr>
          <w:rFonts w:ascii="Times New Roman;Times;serif" w:hAnsi="Times New Roman;Times;serif"/>
          <w:sz w:val="17"/>
        </w:rPr>
        <w:t xml:space="preserve">. (a) If any of the Securities or New Securities, as the case may be, covered by any Shelf Registration Statement are to be sold in an underwritten offering, the Managing Underwriters shall be selected by the Majority Holders and shall be reasonably satisfactory to the Partnership. </w:t>
      </w:r>
    </w:p>
    <w:p>
      <w:pPr>
        <w:pStyle w:val="TextBody"/>
        <w:spacing w:before="120" w:after="283"/>
        <w:jc w:val="left"/>
        <w:rPr/>
      </w:pPr>
      <w:r>
        <w:rPr/>
        <w:t>          </w:t>
      </w:r>
      <w:r>
        <w:rPr>
          <w:rFonts w:ascii="Times New Roman;Times;serif" w:hAnsi="Times New Roman;Times;serif"/>
          <w:sz w:val="17"/>
        </w:rPr>
        <w:t xml:space="preserve">(b) No Person may participate in any underwritten offering pursuant to any Shelf Registration Statement, unless such Person (i) agrees to sell such Persons Securities or New Securities,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w:t>
      </w:r>
    </w:p>
    <w:p>
      <w:pPr>
        <w:pStyle w:val="TextBody"/>
        <w:spacing w:before="120" w:after="283"/>
        <w:jc w:val="left"/>
        <w:rPr/>
      </w:pPr>
      <w:r>
        <w:rPr/>
        <w:t>          </w:t>
      </w:r>
      <w:r>
        <w:rPr>
          <w:rFonts w:ascii="Times New Roman;Times;serif" w:hAnsi="Times New Roman;Times;serif"/>
          <w:sz w:val="17"/>
        </w:rPr>
        <w:t xml:space="preserve">9. </w:t>
      </w:r>
      <w:r>
        <w:rPr>
          <w:rFonts w:ascii="Times New Roman;Times;serif" w:hAnsi="Times New Roman;Times;serif"/>
          <w:sz w:val="17"/>
          <w:u w:val="single"/>
        </w:rPr>
        <w:t>No Inconsistent Agreements</w:t>
      </w:r>
      <w:r>
        <w:rPr>
          <w:rFonts w:ascii="Times New Roman;Times;serif" w:hAnsi="Times New Roman;Times;serif"/>
          <w:sz w:val="17"/>
        </w:rPr>
        <w:t xml:space="preserve">. The Issuers and the Guarantors have not, as of the date hereof, entered into, nor shall they, on or after the date hereof, enter into, any agreement with respect to their securities that is inconsistent with the rights granted to the Holders herein or otherwise conflicts with the provisions hereof. </w:t>
      </w:r>
    </w:p>
    <w:p>
      <w:pPr>
        <w:pStyle w:val="TextBody"/>
        <w:spacing w:before="120" w:after="283"/>
        <w:jc w:val="left"/>
        <w:rPr/>
      </w:pPr>
      <w:r>
        <w:rPr/>
        <w:t>          </w:t>
      </w:r>
      <w:r>
        <w:rPr>
          <w:rFonts w:ascii="Times New Roman;Times;serif" w:hAnsi="Times New Roman;Times;serif"/>
          <w:sz w:val="17"/>
        </w:rPr>
        <w:t xml:space="preserve">10. </w:t>
      </w:r>
      <w:r>
        <w:rPr>
          <w:rFonts w:ascii="Times New Roman;Times;serif" w:hAnsi="Times New Roman;Times;serif"/>
          <w:sz w:val="17"/>
          <w:u w:val="single"/>
        </w:rPr>
        <w:t>Amendments and Waivers</w:t>
      </w:r>
      <w:r>
        <w:rPr>
          <w:rFonts w:ascii="Times New Roman;Times;serif" w:hAnsi="Times New Roman;Times;serif"/>
          <w:sz w:val="17"/>
        </w:rPr>
        <w:t xml:space="preserve">. The provisions of this Agreement, including the provisions of this sentence, may not be amended, qualified, modified or supplemented, and waivers or consents to departures from the provisions hereof may not be given, unless the Issuers and the Guarantors have obtained the written consent of the Majority Holders (or, after the consummation of any Registered Exchange Offer in accordance with Section 2 hereof, of New Securities); </w:t>
      </w:r>
      <w:r>
        <w:rPr>
          <w:rFonts w:ascii="Times New Roman;Times;serif" w:hAnsi="Times New Roman;Times;serif"/>
          <w:sz w:val="17"/>
          <w:u w:val="single"/>
        </w:rPr>
        <w:t>provided</w:t>
      </w:r>
      <w:r>
        <w:rPr>
          <w:rFonts w:ascii="Times New Roman;Times;serif" w:hAnsi="Times New Roman;Times;serif"/>
          <w:sz w:val="17"/>
        </w:rPr>
        <w:t xml:space="preserve"> that, with respect to any matter that directly or indirectly affects the rights of any Initial Purchaser hereunder, the Issuers and the Guarantors shall obtain the written consent of each such Initial Purchaser against which such amendment, qualification, supplement, waiver or consent is to be effective. Notwithstanding the foregoing (except the foregoing proviso), a waiver or consent to departure from the provisions hereof with respect to a matter that relates exclusively to the rights of Holders whose Securities or New Securities, as the case may be, are being sold pursuant to a Registration Statement and that does not directly or indirectly affect the rights of other Holders may be given by the Majority Holders, determined on the basis of Securities or New Securities, as the case may be, being sold rather than registered under such Registration Statement. </w:t>
      </w:r>
    </w:p>
    <w:p>
      <w:pPr>
        <w:pStyle w:val="TextBody"/>
        <w:spacing w:before="120" w:after="283"/>
        <w:jc w:val="left"/>
        <w:rPr/>
      </w:pPr>
      <w:r>
        <w:rPr/>
        <w:t>          </w:t>
      </w:r>
      <w:r>
        <w:rPr>
          <w:rFonts w:ascii="Times New Roman;Times;serif" w:hAnsi="Times New Roman;Times;serif"/>
          <w:sz w:val="17"/>
        </w:rPr>
        <w:t xml:space="preserve">11. </w:t>
      </w:r>
      <w:r>
        <w:rPr>
          <w:rFonts w:ascii="Times New Roman;Times;serif" w:hAnsi="Times New Roman;Times;serif"/>
          <w:sz w:val="17"/>
          <w:u w:val="single"/>
        </w:rPr>
        <w:t>Notices</w:t>
      </w:r>
      <w:r>
        <w:rPr>
          <w:rFonts w:ascii="Times New Roman;Times;serif" w:hAnsi="Times New Roman;Times;serif"/>
          <w:sz w:val="17"/>
        </w:rPr>
        <w:t xml:space="preserve">. All notices and other communications provided for or permitted hereunder shall be made in writing by hand-delivery, first-class mail, telex, telecopier or air courier guaranteeing overnight delivery: </w:t>
      </w:r>
    </w:p>
    <w:p>
      <w:pPr>
        <w:pStyle w:val="TextBody"/>
        <w:spacing w:before="120" w:after="283"/>
        <w:jc w:val="left"/>
        <w:rPr/>
      </w:pPr>
      <w:r>
        <w:rPr/>
        <w:t>          </w:t>
      </w:r>
      <w:r>
        <w:rPr>
          <w:rFonts w:ascii="Times New Roman;Times;serif" w:hAnsi="Times New Roman;Times;serif"/>
          <w:sz w:val="17"/>
        </w:rPr>
        <w:t xml:space="preserve">(a) if to a Holder, at the most current address given by such Holder to the Issuers in accordance with the provisions of this Section, which address initially is, with respect to each Holder, the address of such Holder maintained by the Registrar under the Indenture, with a copy in like manner to Citigroup Global Markets Inc.; </w:t>
      </w:r>
    </w:p>
    <w:p>
      <w:pPr>
        <w:pStyle w:val="TextBody"/>
        <w:spacing w:before="120" w:after="283"/>
        <w:jc w:val="left"/>
        <w:rPr/>
      </w:pPr>
      <w:r>
        <w:rPr/>
        <w:t>          </w:t>
      </w:r>
      <w:r>
        <w:rPr>
          <w:rFonts w:ascii="Times New Roman;Times;serif" w:hAnsi="Times New Roman;Times;serif"/>
          <w:sz w:val="17"/>
        </w:rPr>
        <w:t xml:space="preserve">(b) if to you, initially at the respective addresses set forth in the Purchase Agreement;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 if to the Issuers, initially at the address set forth in the Purchase Agreement; and </w:t>
      </w:r>
    </w:p>
    <w:p>
      <w:pPr>
        <w:pStyle w:val="TextBody"/>
        <w:spacing w:before="120" w:after="283"/>
        <w:jc w:val="left"/>
        <w:rPr/>
      </w:pPr>
      <w:r>
        <w:rPr/>
        <w:t>          </w:t>
      </w:r>
      <w:r>
        <w:rPr>
          <w:rFonts w:ascii="Times New Roman;Times;serif" w:hAnsi="Times New Roman;Times;serif"/>
          <w:sz w:val="17"/>
        </w:rPr>
        <w:t xml:space="preserve">(d) if to the Guarantors, initially at 333 Clay Street, Suite 1600, Houston, Texas 77002. </w:t>
      </w:r>
    </w:p>
    <w:p>
      <w:pPr>
        <w:pStyle w:val="TextBody"/>
        <w:spacing w:before="120" w:after="283"/>
        <w:jc w:val="left"/>
        <w:rPr/>
      </w:pPr>
      <w:r>
        <w:rPr/>
        <w:t>          </w:t>
      </w:r>
      <w:r>
        <w:rPr>
          <w:rFonts w:ascii="Times New Roman;Times;serif" w:hAnsi="Times New Roman;Times;serif"/>
          <w:sz w:val="17"/>
        </w:rPr>
        <w:t xml:space="preserve">All such notices and communications shall be deemed to have been duly given when received. </w:t>
      </w:r>
    </w:p>
    <w:p>
      <w:pPr>
        <w:pStyle w:val="TextBody"/>
        <w:spacing w:before="120" w:after="283"/>
        <w:jc w:val="left"/>
        <w:rPr/>
      </w:pPr>
      <w:r>
        <w:rPr/>
        <w:t>          </w:t>
      </w:r>
      <w:r>
        <w:rPr>
          <w:rFonts w:ascii="Times New Roman;Times;serif" w:hAnsi="Times New Roman;Times;serif"/>
          <w:sz w:val="17"/>
        </w:rPr>
        <w:t xml:space="preserve">The Initial Purchasers, the Issuers or the Guarantors by notice to the other parties may designate additional or different addresses for subsequent notices or communications. </w:t>
      </w:r>
    </w:p>
    <w:p>
      <w:pPr>
        <w:pStyle w:val="TextBody"/>
        <w:spacing w:before="120" w:after="283"/>
        <w:jc w:val="left"/>
        <w:rPr/>
      </w:pPr>
      <w:r>
        <w:rPr/>
        <w:t>          </w:t>
      </w:r>
      <w:r>
        <w:rPr>
          <w:rFonts w:ascii="Times New Roman;Times;serif" w:hAnsi="Times New Roman;Times;serif"/>
          <w:sz w:val="17"/>
        </w:rPr>
        <w:t xml:space="preserve">12. </w:t>
      </w:r>
      <w:r>
        <w:rPr>
          <w:rFonts w:ascii="Times New Roman;Times;serif" w:hAnsi="Times New Roman;Times;serif"/>
          <w:sz w:val="17"/>
          <w:u w:val="single"/>
        </w:rPr>
        <w:t>Successors and Assigns</w:t>
      </w:r>
      <w:r>
        <w:rPr>
          <w:rFonts w:ascii="Times New Roman;Times;serif" w:hAnsi="Times New Roman;Times;serif"/>
          <w:sz w:val="17"/>
        </w:rPr>
        <w:t xml:space="preserve">. This Agreement shall inure to the benefit of and be binding upon the successors and assigns of each of the parties, including, without the need for an express assignment or any consent by the Issuers or the Guarantors thereto, subsequent Holders of Securities and the New Securities. The Issuers and the Guarantors hereby agree to extend the benefits of this Agreement to any Holder of Securities and the New Securities, and any such Holder may specifically enforce the provisions of this Agreement as if an original party hereto. </w:t>
      </w:r>
    </w:p>
    <w:p>
      <w:pPr>
        <w:pStyle w:val="TextBody"/>
        <w:spacing w:before="120" w:after="283"/>
        <w:jc w:val="left"/>
        <w:rPr/>
      </w:pPr>
      <w:r>
        <w:rPr/>
        <w:t>          </w:t>
      </w:r>
      <w:r>
        <w:rPr>
          <w:rFonts w:ascii="Times New Roman;Times;serif" w:hAnsi="Times New Roman;Times;serif"/>
          <w:sz w:val="17"/>
        </w:rPr>
        <w:t xml:space="preserve">13. </w:t>
      </w:r>
      <w:r>
        <w:rPr>
          <w:rFonts w:ascii="Times New Roman;Times;serif" w:hAnsi="Times New Roman;Times;serif"/>
          <w:sz w:val="17"/>
          <w:u w:val="single"/>
        </w:rPr>
        <w:t>Counterparts</w:t>
      </w:r>
      <w:r>
        <w:rPr>
          <w:rFonts w:ascii="Times New Roman;Times;serif" w:hAnsi="Times New Roman;Times;serif"/>
          <w:sz w:val="17"/>
        </w:rPr>
        <w:t xml:space="preserve">. This agreement may be in signed counterparts, each of which shall constitute an original and all of which together shall constitute one and the same agreement. </w:t>
      </w:r>
    </w:p>
    <w:p>
      <w:pPr>
        <w:pStyle w:val="TextBody"/>
        <w:spacing w:before="120" w:after="283"/>
        <w:jc w:val="left"/>
        <w:rPr/>
      </w:pPr>
      <w:r>
        <w:rPr/>
        <w:t>          </w:t>
      </w:r>
      <w:r>
        <w:rPr>
          <w:rFonts w:ascii="Times New Roman;Times;serif" w:hAnsi="Times New Roman;Times;serif"/>
          <w:sz w:val="17"/>
        </w:rPr>
        <w:t xml:space="preserve">14. </w:t>
      </w:r>
      <w:r>
        <w:rPr>
          <w:rFonts w:ascii="Times New Roman;Times;serif" w:hAnsi="Times New Roman;Times;serif"/>
          <w:sz w:val="17"/>
          <w:u w:val="single"/>
        </w:rPr>
        <w:t>Purchases and Sales of Securities</w:t>
      </w:r>
      <w:r>
        <w:rPr>
          <w:rFonts w:ascii="Times New Roman;Times;serif" w:hAnsi="Times New Roman;Times;serif"/>
          <w:sz w:val="17"/>
        </w:rPr>
        <w:t xml:space="preserve">. The Issuers and the Guarantors shall not, and shall use their best efforts to cause their affiliates (as defined in Rule 405 under the Act) not to, purchase and then resell or otherwise transfer any Securities for two (2) years, or if a Shelf Registration Statement shall become effective during such two (2) year period, for the period of such effectiveness. </w:t>
      </w:r>
    </w:p>
    <w:p>
      <w:pPr>
        <w:pStyle w:val="TextBody"/>
        <w:spacing w:before="120" w:after="283"/>
        <w:jc w:val="left"/>
        <w:rPr/>
      </w:pPr>
      <w:r>
        <w:rPr/>
        <w:t>          </w:t>
      </w:r>
      <w:r>
        <w:rPr>
          <w:rFonts w:ascii="Times New Roman;Times;serif" w:hAnsi="Times New Roman;Times;serif"/>
          <w:sz w:val="17"/>
        </w:rPr>
        <w:t xml:space="preserve">15. </w:t>
      </w:r>
      <w:r>
        <w:rPr>
          <w:rFonts w:ascii="Times New Roman;Times;serif" w:hAnsi="Times New Roman;Times;serif"/>
          <w:sz w:val="17"/>
          <w:u w:val="single"/>
        </w:rPr>
        <w:t>Third Party Beneficiaries</w:t>
      </w:r>
      <w:r>
        <w:rPr>
          <w:rFonts w:ascii="Times New Roman;Times;serif" w:hAnsi="Times New Roman;Times;serif"/>
          <w:sz w:val="17"/>
        </w:rPr>
        <w:t xml:space="preserve">. Each Holder shall be a third party beneficiary to the agreements made hereunder between the Issuers and the Guarantors, on the one hand, and the Initial Purchasers, on the other hand, and shall have the right to enforce such agreements directly to the extent it deems such enforcement necessary or advisable to protect its rights or the rights of other Holders hereunder. </w:t>
      </w:r>
    </w:p>
    <w:p>
      <w:pPr>
        <w:pStyle w:val="TextBody"/>
        <w:spacing w:before="120" w:after="283"/>
        <w:jc w:val="left"/>
        <w:rPr/>
      </w:pPr>
      <w:r>
        <w:rPr/>
        <w:t>          </w:t>
      </w:r>
      <w:r>
        <w:rPr>
          <w:rFonts w:ascii="Times New Roman;Times;serif" w:hAnsi="Times New Roman;Times;serif"/>
          <w:sz w:val="17"/>
        </w:rPr>
        <w:t xml:space="preserve">16. </w:t>
      </w:r>
      <w:r>
        <w:rPr>
          <w:rFonts w:ascii="Times New Roman;Times;serif" w:hAnsi="Times New Roman;Times;serif"/>
          <w:sz w:val="17"/>
          <w:u w:val="single"/>
        </w:rPr>
        <w:t>Headings</w:t>
      </w:r>
      <w:r>
        <w:rPr>
          <w:rFonts w:ascii="Times New Roman;Times;serif" w:hAnsi="Times New Roman;Times;serif"/>
          <w:sz w:val="17"/>
        </w:rPr>
        <w:t xml:space="preserve">. The headings used herein are for convenience only and shall not affect the construction hereof. </w:t>
      </w:r>
    </w:p>
    <w:p>
      <w:pPr>
        <w:pStyle w:val="TextBody"/>
        <w:spacing w:before="120" w:after="283"/>
        <w:jc w:val="left"/>
        <w:rPr/>
      </w:pPr>
      <w:r>
        <w:rPr/>
        <w:t>          </w:t>
      </w:r>
      <w:r>
        <w:rPr>
          <w:rFonts w:ascii="Times New Roman;Times;serif" w:hAnsi="Times New Roman;Times;serif"/>
          <w:sz w:val="17"/>
        </w:rPr>
        <w:t xml:space="preserve">17. </w:t>
      </w:r>
      <w:r>
        <w:rPr>
          <w:rFonts w:ascii="Times New Roman;Times;serif" w:hAnsi="Times New Roman;Times;serif"/>
          <w:sz w:val="17"/>
          <w:u w:val="single"/>
        </w:rPr>
        <w:t>Applicable Law</w:t>
      </w:r>
      <w:r>
        <w:rPr>
          <w:rFonts w:ascii="Times New Roman;Times;serif" w:hAnsi="Times New Roman;Times;serif"/>
          <w:sz w:val="17"/>
        </w:rPr>
        <w:t xml:space="preserve">. This Agreement shall be governed by and construed in accordance with the laws of the State of New York applicable to contracts made and to be performed in the State of New York. </w:t>
      </w:r>
    </w:p>
    <w:p>
      <w:pPr>
        <w:pStyle w:val="TextBody"/>
        <w:spacing w:before="120" w:after="283"/>
        <w:jc w:val="left"/>
        <w:rPr/>
      </w:pPr>
      <w:r>
        <w:rPr/>
        <w:t>          </w:t>
      </w:r>
      <w:r>
        <w:rPr>
          <w:rFonts w:ascii="Times New Roman;Times;serif" w:hAnsi="Times New Roman;Times;serif"/>
          <w:sz w:val="17"/>
        </w:rPr>
        <w:t xml:space="preserve">18. </w:t>
      </w:r>
      <w:r>
        <w:rPr>
          <w:rFonts w:ascii="Times New Roman;Times;serif" w:hAnsi="Times New Roman;Times;serif"/>
          <w:sz w:val="17"/>
          <w:u w:val="single"/>
        </w:rPr>
        <w:t>Severability</w:t>
      </w:r>
      <w:r>
        <w:rPr>
          <w:rFonts w:ascii="Times New Roman;Times;serif" w:hAnsi="Times New Roman;Times;serif"/>
          <w:sz w:val="17"/>
        </w:rPr>
        <w:t xml:space="preserve">.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thereby, it being intended that all of the rights and privileges of the parties shall be enforceable to the fullest extent permitted by law. </w:t>
      </w:r>
    </w:p>
    <w:p>
      <w:pPr>
        <w:pStyle w:val="TextBody"/>
        <w:spacing w:before="120" w:after="283"/>
        <w:jc w:val="left"/>
        <w:rPr/>
      </w:pPr>
      <w:r>
        <w:rPr/>
        <w:t>          </w:t>
      </w:r>
      <w:r>
        <w:rPr>
          <w:rFonts w:ascii="Times New Roman;Times;serif" w:hAnsi="Times New Roman;Times;serif"/>
          <w:sz w:val="17"/>
        </w:rPr>
        <w:t xml:space="preserve">19. </w:t>
      </w:r>
      <w:r>
        <w:rPr>
          <w:rFonts w:ascii="Times New Roman;Times;serif" w:hAnsi="Times New Roman;Times;serif"/>
          <w:sz w:val="17"/>
          <w:u w:val="single"/>
        </w:rPr>
        <w:t>Securities Held by the Issuers, the Guarantors, etc.</w:t>
      </w:r>
      <w:r>
        <w:rPr>
          <w:rFonts w:ascii="Times New Roman;Times;serif" w:hAnsi="Times New Roman;Times;serif"/>
          <w:sz w:val="17"/>
        </w:rPr>
        <w:t xml:space="preserve"> Whenever the consent or approval of Holders of a specified percentage of principal amount of Securities or New Securities is required hereunder, Securities or New Securities, as applicable, held by the Issuers, the Guarantors or their Affiliates (other than subsequent Holders of Securities or New Securities if such subsequent Holders are deemed to be Affiliates solely by reason of their holdings of such Securities or New Securities) shall not be counted in determining whether such consent or approval was given by the Holders of such required percentage.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If the foregoing is in accordance with your understanding of our agreement, please sign and return to us the enclosed duplicate hereof, whereupon this letter and your acceptance shall represent a building agreement among the Issuers, the Guarantors and the several Initial Purchasers. </w:t>
      </w:r>
    </w:p>
    <w:tbl>
      <w:tblPr>
        <w:tblW w:w="5000" w:type="pct"/>
        <w:jc w:val="center"/>
        <w:tblInd w:w="0" w:type="dxa"/>
        <w:tblCellMar>
          <w:top w:w="0" w:type="dxa"/>
          <w:left w:w="0" w:type="dxa"/>
          <w:bottom w:w="0" w:type="dxa"/>
          <w:right w:w="0" w:type="dxa"/>
        </w:tblCellMar>
      </w:tblPr>
      <w:tblGrid>
        <w:gridCol w:w="3916"/>
        <w:gridCol w:w="131"/>
        <w:gridCol w:w="309"/>
        <w:gridCol w:w="131"/>
        <w:gridCol w:w="4307"/>
        <w:gridCol w:w="131"/>
        <w:gridCol w:w="1280"/>
      </w:tblGrid>
      <w:tr>
        <w:trPr/>
        <w:tc>
          <w:tcPr>
            <w:tcW w:w="391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307"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rPr/>
            </w:pPr>
            <w:r>
              <w:rPr/>
              <w:t> </w:t>
            </w:r>
          </w:p>
        </w:tc>
      </w:tr>
      <w:tr>
        <w:trPr/>
        <w:tc>
          <w:tcPr>
            <w:tcW w:w="3916"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747" w:type="dxa"/>
            <w:gridSpan w:val="3"/>
            <w:tcBorders/>
            <w:shd w:fill="auto" w:val="clear"/>
          </w:tcPr>
          <w:p>
            <w:pPr>
              <w:pStyle w:val="TableContents"/>
              <w:spacing w:before="0" w:after="283"/>
              <w:jc w:val="left"/>
              <w:rPr/>
            </w:pPr>
            <w:r>
              <w:rPr/>
              <w:t>Very truly yours,</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747" w:type="dxa"/>
            <w:gridSpan w:val="3"/>
            <w:tcBorders/>
            <w:shd w:fill="auto" w:val="clear"/>
          </w:tcPr>
          <w:p>
            <w:pPr>
              <w:pStyle w:val="TableContents"/>
              <w:spacing w:before="0" w:after="283"/>
              <w:jc w:val="left"/>
              <w:rPr/>
            </w:pPr>
            <w:r>
              <w:rPr/>
              <w:t>PLAINS ALL AMERICAN PIPELINE, L.P.</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PLAINS AAP, L.P.</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its General Partner</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PLAINS ALL AMERICAN GP LLC</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r>
        <w:trPr/>
        <w:tc>
          <w:tcPr>
            <w:tcW w:w="3916"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307"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80"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74"/>
        <w:gridCol w:w="138"/>
        <w:gridCol w:w="377"/>
        <w:gridCol w:w="377"/>
        <w:gridCol w:w="3766"/>
        <w:gridCol w:w="138"/>
        <w:gridCol w:w="1335"/>
      </w:tblGrid>
      <w:tr>
        <w:trPr/>
        <w:tc>
          <w:tcPr>
            <w:tcW w:w="407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76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rPr/>
            </w:pPr>
            <w:r>
              <w:rPr/>
              <w:t> </w:t>
            </w:r>
          </w:p>
        </w:tc>
      </w:tr>
      <w:tr>
        <w:trPr/>
        <w:tc>
          <w:tcPr>
            <w:tcW w:w="4074"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520" w:type="dxa"/>
            <w:gridSpan w:val="3"/>
            <w:tcBorders/>
            <w:shd w:fill="auto" w:val="clear"/>
          </w:tcPr>
          <w:p>
            <w:pPr>
              <w:pStyle w:val="TableContents"/>
              <w:spacing w:before="0" w:after="283"/>
              <w:jc w:val="left"/>
              <w:rPr/>
            </w:pPr>
            <w:r>
              <w:rPr/>
              <w:t>PAA FINANCE CORP.</w:t>
            </w:r>
          </w:p>
        </w:tc>
        <w:tc>
          <w:tcPr>
            <w:tcW w:w="138"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40"/>
        <w:gridCol w:w="131"/>
        <w:gridCol w:w="315"/>
        <w:gridCol w:w="131"/>
        <w:gridCol w:w="4400"/>
        <w:gridCol w:w="131"/>
        <w:gridCol w:w="1257"/>
      </w:tblGrid>
      <w:tr>
        <w:trPr/>
        <w:tc>
          <w:tcPr>
            <w:tcW w:w="384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r>
      <w:tr>
        <w:trPr/>
        <w:tc>
          <w:tcPr>
            <w:tcW w:w="384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46" w:type="dxa"/>
            <w:gridSpan w:val="3"/>
            <w:tcBorders/>
            <w:shd w:fill="auto" w:val="clear"/>
          </w:tcPr>
          <w:p>
            <w:pPr>
              <w:pStyle w:val="TableContents"/>
              <w:spacing w:before="0" w:after="283"/>
              <w:jc w:val="left"/>
              <w:rPr/>
            </w:pPr>
            <w:r>
              <w:rPr/>
              <w:t>PLAINS MARKETING,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MARKETING GP INC.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40"/>
        <w:gridCol w:w="131"/>
        <w:gridCol w:w="315"/>
        <w:gridCol w:w="131"/>
        <w:gridCol w:w="4400"/>
        <w:gridCol w:w="131"/>
        <w:gridCol w:w="1257"/>
      </w:tblGrid>
      <w:tr>
        <w:trPr/>
        <w:tc>
          <w:tcPr>
            <w:tcW w:w="384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r>
      <w:tr>
        <w:trPr/>
        <w:tc>
          <w:tcPr>
            <w:tcW w:w="384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46" w:type="dxa"/>
            <w:gridSpan w:val="3"/>
            <w:tcBorders/>
            <w:shd w:fill="auto" w:val="clear"/>
          </w:tcPr>
          <w:p>
            <w:pPr>
              <w:pStyle w:val="TableContents"/>
              <w:spacing w:before="0" w:after="283"/>
              <w:jc w:val="left"/>
              <w:rPr/>
            </w:pPr>
            <w:r>
              <w:rPr/>
              <w:t>PLAINS PIPELINE,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MARKETING GP INC.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94"/>
        <w:gridCol w:w="138"/>
        <w:gridCol w:w="508"/>
        <w:gridCol w:w="508"/>
        <w:gridCol w:w="3742"/>
        <w:gridCol w:w="138"/>
        <w:gridCol w:w="1277"/>
      </w:tblGrid>
      <w:tr>
        <w:trPr/>
        <w:tc>
          <w:tcPr>
            <w:tcW w:w="389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374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277" w:type="dxa"/>
            <w:tcBorders/>
            <w:shd w:fill="auto" w:val="clear"/>
            <w:vAlign w:val="bottom"/>
          </w:tcPr>
          <w:p>
            <w:pPr>
              <w:pStyle w:val="TableContents"/>
              <w:spacing w:before="0" w:after="283"/>
              <w:rPr/>
            </w:pPr>
            <w:r>
              <w:rPr/>
              <w:t> </w:t>
            </w:r>
          </w:p>
        </w:tc>
      </w:tr>
      <w:tr>
        <w:trPr/>
        <w:tc>
          <w:tcPr>
            <w:tcW w:w="3894"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758" w:type="dxa"/>
            <w:gridSpan w:val="3"/>
            <w:tcBorders/>
            <w:shd w:fill="auto" w:val="clear"/>
          </w:tcPr>
          <w:p>
            <w:pPr>
              <w:pStyle w:val="TableContents"/>
              <w:spacing w:before="0" w:after="283"/>
              <w:jc w:val="left"/>
              <w:rPr/>
            </w:pPr>
            <w:r>
              <w:rPr/>
              <w:t>PLAINS MARKETING GP INC.</w:t>
            </w:r>
          </w:p>
        </w:tc>
        <w:tc>
          <w:tcPr>
            <w:tcW w:w="138" w:type="dxa"/>
            <w:tcBorders/>
            <w:shd w:fill="auto" w:val="clear"/>
            <w:vAlign w:val="bottom"/>
          </w:tcPr>
          <w:p>
            <w:pPr>
              <w:pStyle w:val="TableContents"/>
              <w:spacing w:before="0" w:after="283"/>
              <w:rPr/>
            </w:pPr>
            <w:r>
              <w:rPr/>
              <w:t> </w:t>
            </w:r>
          </w:p>
        </w:tc>
        <w:tc>
          <w:tcPr>
            <w:tcW w:w="127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51"/>
        <w:gridCol w:w="129"/>
        <w:gridCol w:w="305"/>
        <w:gridCol w:w="129"/>
        <w:gridCol w:w="4403"/>
        <w:gridCol w:w="129"/>
        <w:gridCol w:w="1259"/>
      </w:tblGrid>
      <w:tr>
        <w:trPr/>
        <w:tc>
          <w:tcPr>
            <w:tcW w:w="385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rPr/>
            </w:pPr>
            <w:r>
              <w:rPr/>
              <w:t> </w:t>
            </w:r>
          </w:p>
        </w:tc>
      </w:tr>
      <w:tr>
        <w:trPr/>
        <w:tc>
          <w:tcPr>
            <w:tcW w:w="3851" w:type="dxa"/>
            <w:tcBorders/>
            <w:shd w:fill="auto" w:val="clea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MARKETING CANADA LLC</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PLAINS MARKETING, L.P.</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its Sole Member</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PLAINS MARKETING GP INC.</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its General Partner</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121"/>
        <w:gridCol w:w="138"/>
        <w:gridCol w:w="344"/>
        <w:gridCol w:w="344"/>
        <w:gridCol w:w="3773"/>
        <w:gridCol w:w="138"/>
        <w:gridCol w:w="1347"/>
      </w:tblGrid>
      <w:tr>
        <w:trPr/>
        <w:tc>
          <w:tcPr>
            <w:tcW w:w="412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77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rPr/>
            </w:pPr>
            <w:r>
              <w:rPr/>
              <w:t> </w:t>
            </w:r>
          </w:p>
        </w:tc>
      </w:tr>
      <w:tr>
        <w:trPr/>
        <w:tc>
          <w:tcPr>
            <w:tcW w:w="4121" w:type="dxa"/>
            <w:tcBorders/>
            <w:shd w:fill="auto" w:val="clear"/>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4461" w:type="dxa"/>
            <w:gridSpan w:val="3"/>
            <w:tcBorders/>
            <w:shd w:fill="auto" w:val="clear"/>
          </w:tcPr>
          <w:p>
            <w:pPr>
              <w:pStyle w:val="TableContents"/>
              <w:spacing w:before="0" w:after="283"/>
              <w:jc w:val="left"/>
              <w:rPr/>
            </w:pPr>
            <w:r>
              <w:rPr/>
              <w:t>PMC (NOVA SCOTIA) COMPANY</w:t>
            </w:r>
          </w:p>
        </w:tc>
        <w:tc>
          <w:tcPr>
            <w:tcW w:w="138" w:type="dxa"/>
            <w:tcBorders/>
            <w:shd w:fill="auto" w:val="clear"/>
            <w:vAlign w:val="bottom"/>
          </w:tcPr>
          <w:p>
            <w:pPr>
              <w:pStyle w:val="TableContents"/>
              <w:spacing w:before="0" w:after="283"/>
              <w:rPr/>
            </w:pPr>
            <w:r>
              <w:rPr/>
              <w:t> </w:t>
            </w:r>
          </w:p>
        </w:tc>
        <w:tc>
          <w:tcPr>
            <w:tcW w:w="134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w:t>
            </w:r>
          </w:p>
        </w:tc>
        <w:tc>
          <w:tcPr>
            <w:tcW w:w="115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5102"/>
        <w:gridCol w:w="102"/>
        <w:gridCol w:w="102"/>
        <w:gridCol w:w="3572"/>
        <w:gridCol w:w="1327"/>
      </w:tblGrid>
      <w:tr>
        <w:trPr/>
        <w:tc>
          <w:tcPr>
            <w:tcW w:w="5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32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931"/>
        <w:gridCol w:w="135"/>
        <w:gridCol w:w="426"/>
        <w:gridCol w:w="135"/>
        <w:gridCol w:w="4154"/>
        <w:gridCol w:w="135"/>
        <w:gridCol w:w="1289"/>
      </w:tblGrid>
      <w:tr>
        <w:trPr/>
        <w:tc>
          <w:tcPr>
            <w:tcW w:w="393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154"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rPr/>
            </w:pPr>
            <w:r>
              <w:rPr/>
              <w:t> </w:t>
            </w:r>
          </w:p>
        </w:tc>
      </w:tr>
      <w:tr>
        <w:trPr/>
        <w:tc>
          <w:tcPr>
            <w:tcW w:w="3931"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15" w:type="dxa"/>
            <w:gridSpan w:val="3"/>
            <w:tcBorders/>
            <w:shd w:fill="auto" w:val="clear"/>
          </w:tcPr>
          <w:p>
            <w:pPr>
              <w:pStyle w:val="TableContents"/>
              <w:spacing w:before="0" w:after="283"/>
              <w:jc w:val="left"/>
              <w:rPr/>
            </w:pPr>
            <w:r>
              <w:rPr/>
              <w:t>PLAINS MARKETING CANADA, L.P.</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154"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xml:space="preserve">By: </w:t>
            </w:r>
          </w:p>
        </w:tc>
        <w:tc>
          <w:tcPr>
            <w:tcW w:w="135" w:type="dxa"/>
            <w:tcBorders/>
            <w:shd w:fill="auto" w:val="clear"/>
            <w:vAlign w:val="bottom"/>
          </w:tcPr>
          <w:p>
            <w:pPr>
              <w:pStyle w:val="TableContents"/>
              <w:spacing w:before="0" w:after="283"/>
              <w:rPr/>
            </w:pPr>
            <w:r>
              <w:rPr/>
              <w:t> </w:t>
            </w:r>
          </w:p>
        </w:tc>
        <w:tc>
          <w:tcPr>
            <w:tcW w:w="4154" w:type="dxa"/>
            <w:tcBorders/>
            <w:shd w:fill="auto" w:val="clear"/>
          </w:tcPr>
          <w:p>
            <w:pPr>
              <w:pStyle w:val="TableContents"/>
              <w:spacing w:before="0" w:after="283"/>
              <w:jc w:val="left"/>
              <w:rPr/>
            </w:pPr>
            <w:r>
              <w:rPr/>
              <w:t>PMC (NOVA SCOTIA) COMPANY</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r>
        <w:trPr/>
        <w:tc>
          <w:tcPr>
            <w:tcW w:w="3931"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154" w:type="dxa"/>
            <w:tcBorders/>
            <w:shd w:fill="auto" w:val="clear"/>
          </w:tcPr>
          <w:p>
            <w:pPr>
              <w:pStyle w:val="TableContents"/>
              <w:spacing w:before="0" w:after="283"/>
              <w:jc w:val="left"/>
              <w:rPr/>
            </w:pPr>
            <w:r>
              <w:rPr/>
              <w:t xml:space="preserve">its General Partner </w:t>
            </w:r>
          </w:p>
        </w:tc>
        <w:tc>
          <w:tcPr>
            <w:tcW w:w="135" w:type="dxa"/>
            <w:tcBorders/>
            <w:shd w:fill="auto" w:val="clear"/>
            <w:vAlign w:val="bottom"/>
          </w:tcPr>
          <w:p>
            <w:pPr>
              <w:pStyle w:val="TableContents"/>
              <w:spacing w:before="0" w:after="283"/>
              <w:rPr/>
            </w:pPr>
            <w:r>
              <w:rPr/>
              <w:t> </w:t>
            </w:r>
          </w:p>
        </w:tc>
        <w:tc>
          <w:tcPr>
            <w:tcW w:w="128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40"/>
        <w:gridCol w:w="131"/>
        <w:gridCol w:w="315"/>
        <w:gridCol w:w="131"/>
        <w:gridCol w:w="4400"/>
        <w:gridCol w:w="131"/>
        <w:gridCol w:w="1257"/>
      </w:tblGrid>
      <w:tr>
        <w:trPr/>
        <w:tc>
          <w:tcPr>
            <w:tcW w:w="384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r>
      <w:tr>
        <w:trPr/>
        <w:tc>
          <w:tcPr>
            <w:tcW w:w="384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46" w:type="dxa"/>
            <w:gridSpan w:val="3"/>
            <w:tcBorders/>
            <w:shd w:fill="auto" w:val="clear"/>
          </w:tcPr>
          <w:p>
            <w:pPr>
              <w:pStyle w:val="TableContents"/>
              <w:spacing w:before="0" w:after="283"/>
              <w:jc w:val="left"/>
              <w:rPr/>
            </w:pPr>
            <w:r>
              <w:rPr/>
              <w:t>BASIN HOLDINGS GP LLC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PIPELINE,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its Sole Member</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MARKETING GP INC.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40"/>
        <w:gridCol w:w="131"/>
        <w:gridCol w:w="315"/>
        <w:gridCol w:w="131"/>
        <w:gridCol w:w="4400"/>
        <w:gridCol w:w="131"/>
        <w:gridCol w:w="1257"/>
      </w:tblGrid>
      <w:tr>
        <w:trPr/>
        <w:tc>
          <w:tcPr>
            <w:tcW w:w="384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r>
      <w:tr>
        <w:trPr/>
        <w:tc>
          <w:tcPr>
            <w:tcW w:w="384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46" w:type="dxa"/>
            <w:gridSpan w:val="3"/>
            <w:tcBorders/>
            <w:shd w:fill="auto" w:val="clear"/>
          </w:tcPr>
          <w:p>
            <w:pPr>
              <w:pStyle w:val="TableContents"/>
              <w:spacing w:before="0" w:after="283"/>
              <w:jc w:val="left"/>
              <w:rPr/>
            </w:pPr>
            <w:r>
              <w:rPr/>
              <w:t>BASIN PIPELINE HOLDINGS,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BASIN HOLDINGS GP LLC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its General Partner</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PIPELINE,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its Sole Member</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MARKETING GP INC.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840"/>
        <w:gridCol w:w="131"/>
        <w:gridCol w:w="315"/>
        <w:gridCol w:w="131"/>
        <w:gridCol w:w="4400"/>
        <w:gridCol w:w="131"/>
        <w:gridCol w:w="1257"/>
      </w:tblGrid>
      <w:tr>
        <w:trPr/>
        <w:tc>
          <w:tcPr>
            <w:tcW w:w="384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r>
      <w:tr>
        <w:trPr/>
        <w:tc>
          <w:tcPr>
            <w:tcW w:w="384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46" w:type="dxa"/>
            <w:gridSpan w:val="3"/>
            <w:tcBorders/>
            <w:shd w:fill="auto" w:val="clear"/>
          </w:tcPr>
          <w:p>
            <w:pPr>
              <w:pStyle w:val="TableContents"/>
              <w:spacing w:before="0" w:after="283"/>
              <w:jc w:val="left"/>
              <w:rPr/>
            </w:pPr>
            <w:r>
              <w:rPr/>
              <w:t>RANCHO HOLDINGS GP LLC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PIPELINE,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its Sole Member</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MARKETING GP INC.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40"/>
        <w:gridCol w:w="131"/>
        <w:gridCol w:w="315"/>
        <w:gridCol w:w="131"/>
        <w:gridCol w:w="4400"/>
        <w:gridCol w:w="131"/>
        <w:gridCol w:w="1257"/>
      </w:tblGrid>
      <w:tr>
        <w:trPr/>
        <w:tc>
          <w:tcPr>
            <w:tcW w:w="384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rPr/>
            </w:pPr>
            <w:r>
              <w:rPr/>
              <w:t> </w:t>
            </w:r>
          </w:p>
        </w:tc>
      </w:tr>
      <w:tr>
        <w:trPr/>
        <w:tc>
          <w:tcPr>
            <w:tcW w:w="384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46" w:type="dxa"/>
            <w:gridSpan w:val="3"/>
            <w:tcBorders/>
            <w:shd w:fill="auto" w:val="clear"/>
          </w:tcPr>
          <w:p>
            <w:pPr>
              <w:pStyle w:val="TableContents"/>
              <w:spacing w:before="0" w:after="283"/>
              <w:jc w:val="left"/>
              <w:rPr/>
            </w:pPr>
            <w:r>
              <w:rPr/>
              <w:t>RANCHO PIPELINE HOLDINGS,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RANCHO HOLDINGS GP LLC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its General Partner</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PIPELINE, L.P.</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its Sole Member</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PLAINS MARKETING GP INC.</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r>
        <w:trPr/>
        <w:tc>
          <w:tcPr>
            <w:tcW w:w="384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400" w:type="dxa"/>
            <w:tcBorders/>
            <w:shd w:fill="auto" w:val="clear"/>
          </w:tcPr>
          <w:p>
            <w:pPr>
              <w:pStyle w:val="TableContents"/>
              <w:spacing w:before="0" w:after="283"/>
              <w:jc w:val="left"/>
              <w:rPr/>
            </w:pPr>
            <w:r>
              <w:rPr/>
              <w:t xml:space="preserve">its General Partner </w:t>
            </w:r>
          </w:p>
        </w:tc>
        <w:tc>
          <w:tcPr>
            <w:tcW w:w="131" w:type="dxa"/>
            <w:tcBorders/>
            <w:shd w:fill="auto" w:val="clear"/>
            <w:vAlign w:val="bottom"/>
          </w:tcPr>
          <w:p>
            <w:pPr>
              <w:pStyle w:val="TableContents"/>
              <w:spacing w:before="0" w:after="283"/>
              <w:rPr/>
            </w:pPr>
            <w:r>
              <w:rPr/>
              <w:t> </w:t>
            </w:r>
          </w:p>
        </w:tc>
        <w:tc>
          <w:tcPr>
            <w:tcW w:w="125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00"/>
        <w:gridCol w:w="133"/>
        <w:gridCol w:w="312"/>
        <w:gridCol w:w="133"/>
        <w:gridCol w:w="4187"/>
        <w:gridCol w:w="133"/>
        <w:gridCol w:w="1307"/>
      </w:tblGrid>
      <w:tr>
        <w:trPr/>
        <w:tc>
          <w:tcPr>
            <w:tcW w:w="400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r>
      <w:tr>
        <w:trPr/>
        <w:tc>
          <w:tcPr>
            <w:tcW w:w="400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632" w:type="dxa"/>
            <w:gridSpan w:val="3"/>
            <w:tcBorders/>
            <w:shd w:fill="auto" w:val="clear"/>
          </w:tcPr>
          <w:p>
            <w:pPr>
              <w:pStyle w:val="TableContents"/>
              <w:spacing w:before="0" w:after="283"/>
              <w:jc w:val="left"/>
              <w:rPr/>
            </w:pPr>
            <w:r>
              <w:rPr/>
              <w:t>PLAINS LPG SERVICES GP LLC</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vAlign w:val="center"/>
          </w:tcPr>
          <w:p>
            <w:pPr>
              <w:pStyle w:val="TableContents"/>
              <w:spacing w:before="0" w:after="283"/>
              <w:rPr/>
            </w:pPr>
            <w:r>
              <w:rPr/>
              <w:t> </w:t>
            </w:r>
          </w:p>
        </w:tc>
        <w:tc>
          <w:tcPr>
            <w:tcW w:w="6205" w:type="dxa"/>
            <w:gridSpan w:val="6"/>
            <w:tcBorders/>
            <w:shd w:fill="auto" w:val="clear"/>
          </w:tcPr>
          <w:p>
            <w:pPr>
              <w:pStyle w:val="TableContents"/>
              <w:spacing w:before="0" w:after="283"/>
              <w:rPr>
                <w:sz w:val="4"/>
                <w:szCs w:val="4"/>
              </w:rPr>
            </w:pPr>
            <w:r>
              <w:rPr>
                <w:sz w:val="4"/>
                <w:szCs w:val="4"/>
              </w:rPr>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xml:space="preserve">Plains Marketing GP Inc., its General Partner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548"/>
        <w:gridCol w:w="355"/>
        <w:gridCol w:w="607"/>
        <w:gridCol w:w="3470"/>
        <w:gridCol w:w="1225"/>
      </w:tblGrid>
      <w:tr>
        <w:trPr/>
        <w:tc>
          <w:tcPr>
            <w:tcW w:w="454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w:t>
              <w:br/>
              <w:t>Financial Officer </w:t>
            </w:r>
          </w:p>
        </w:tc>
        <w:tc>
          <w:tcPr>
            <w:tcW w:w="122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5102"/>
        <w:gridCol w:w="102"/>
        <w:gridCol w:w="102"/>
        <w:gridCol w:w="3572"/>
        <w:gridCol w:w="1327"/>
      </w:tblGrid>
      <w:tr>
        <w:trPr/>
        <w:tc>
          <w:tcPr>
            <w:tcW w:w="5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32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00"/>
        <w:gridCol w:w="133"/>
        <w:gridCol w:w="312"/>
        <w:gridCol w:w="133"/>
        <w:gridCol w:w="4187"/>
        <w:gridCol w:w="133"/>
        <w:gridCol w:w="1307"/>
      </w:tblGrid>
      <w:tr>
        <w:trPr/>
        <w:tc>
          <w:tcPr>
            <w:tcW w:w="400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r>
      <w:tr>
        <w:trPr/>
        <w:tc>
          <w:tcPr>
            <w:tcW w:w="400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632" w:type="dxa"/>
            <w:gridSpan w:val="3"/>
            <w:tcBorders/>
            <w:shd w:fill="auto" w:val="clear"/>
          </w:tcPr>
          <w:p>
            <w:pPr>
              <w:pStyle w:val="TableContents"/>
              <w:spacing w:before="0" w:after="283"/>
              <w:jc w:val="left"/>
              <w:rPr/>
            </w:pPr>
            <w:r>
              <w:rPr/>
              <w:t>PLAINS LPG SERVICES, L.P.</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LPG Services GP LLC, its General Partner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xml:space="preserve">Plains Marketing GP Inc., its General Partner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548"/>
        <w:gridCol w:w="355"/>
        <w:gridCol w:w="607"/>
        <w:gridCol w:w="3470"/>
        <w:gridCol w:w="1225"/>
      </w:tblGrid>
      <w:tr>
        <w:trPr/>
        <w:tc>
          <w:tcPr>
            <w:tcW w:w="454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 Chief</w:t>
              <w:br/>
              <w:t>Financial Officer </w:t>
            </w:r>
          </w:p>
        </w:tc>
        <w:tc>
          <w:tcPr>
            <w:tcW w:w="12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000"/>
        <w:gridCol w:w="133"/>
        <w:gridCol w:w="312"/>
        <w:gridCol w:w="133"/>
        <w:gridCol w:w="4187"/>
        <w:gridCol w:w="133"/>
        <w:gridCol w:w="1307"/>
      </w:tblGrid>
      <w:tr>
        <w:trPr/>
        <w:tc>
          <w:tcPr>
            <w:tcW w:w="400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r>
      <w:tr>
        <w:trPr/>
        <w:tc>
          <w:tcPr>
            <w:tcW w:w="400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632" w:type="dxa"/>
            <w:gridSpan w:val="3"/>
            <w:tcBorders/>
            <w:shd w:fill="auto" w:val="clear"/>
          </w:tcPr>
          <w:p>
            <w:pPr>
              <w:pStyle w:val="TableContents"/>
              <w:spacing w:before="0" w:after="283"/>
              <w:jc w:val="left"/>
              <w:rPr/>
            </w:pPr>
            <w:r>
              <w:rPr/>
              <w:t>LONE STAR TRUCKING, LLC</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LPG Services,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LPG Services GP LLC, its General Partner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Plains Marketing, L.P., its Sole Member</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r>
        <w:trPr/>
        <w:tc>
          <w:tcPr>
            <w:tcW w:w="400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2"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87" w:type="dxa"/>
            <w:tcBorders/>
            <w:shd w:fill="auto" w:val="clear"/>
          </w:tcPr>
          <w:p>
            <w:pPr>
              <w:pStyle w:val="TableContents"/>
              <w:spacing w:before="0" w:after="283"/>
              <w:jc w:val="left"/>
              <w:rPr/>
            </w:pPr>
            <w:r>
              <w:rPr/>
              <w:t xml:space="preserve">Plains Marketing GP Inc., its General Partner </w:t>
            </w:r>
          </w:p>
        </w:tc>
        <w:tc>
          <w:tcPr>
            <w:tcW w:w="133" w:type="dxa"/>
            <w:tcBorders/>
            <w:shd w:fill="auto" w:val="clear"/>
            <w:vAlign w:val="bottom"/>
          </w:tcPr>
          <w:p>
            <w:pPr>
              <w:pStyle w:val="TableContents"/>
              <w:spacing w:before="0" w:after="283"/>
              <w:rPr/>
            </w:pPr>
            <w:r>
              <w:rPr/>
              <w:t> </w:t>
            </w:r>
          </w:p>
        </w:tc>
        <w:tc>
          <w:tcPr>
            <w:tcW w:w="1307"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548"/>
        <w:gridCol w:w="355"/>
        <w:gridCol w:w="607"/>
        <w:gridCol w:w="3470"/>
        <w:gridCol w:w="1225"/>
      </w:tblGrid>
      <w:tr>
        <w:trPr/>
        <w:tc>
          <w:tcPr>
            <w:tcW w:w="454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7"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77"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Phil Kramer </w:t>
            </w:r>
          </w:p>
        </w:tc>
        <w:tc>
          <w:tcPr>
            <w:tcW w:w="1225" w:type="dxa"/>
            <w:tcBorders/>
            <w:shd w:fill="auto" w:val="clear"/>
            <w:vAlign w:val="center"/>
          </w:tcPr>
          <w:p>
            <w:pPr>
              <w:pStyle w:val="TableContents"/>
              <w:spacing w:before="0" w:after="283"/>
              <w:rPr/>
            </w:pPr>
            <w:r>
              <w:rPr/>
              <w:t> </w:t>
            </w:r>
          </w:p>
        </w:tc>
      </w:tr>
      <w:tr>
        <w:trPr/>
        <w:tc>
          <w:tcPr>
            <w:tcW w:w="4548"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77" w:type="dxa"/>
            <w:gridSpan w:val="2"/>
            <w:tcBorders/>
            <w:shd w:fill="auto" w:val="clear"/>
            <w:vAlign w:val="center"/>
          </w:tcPr>
          <w:p>
            <w:pPr>
              <w:pStyle w:val="TableContents"/>
              <w:spacing w:before="0" w:after="283"/>
              <w:jc w:val="left"/>
              <w:rPr/>
            </w:pPr>
            <w:r>
              <w:rPr/>
              <w:t>Executive Vice President and</w:t>
              <w:br/>
              <w:t>Chief Financial Officer </w:t>
            </w:r>
          </w:p>
        </w:tc>
        <w:tc>
          <w:tcPr>
            <w:tcW w:w="12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729"/>
        <w:gridCol w:w="132"/>
        <w:gridCol w:w="413"/>
        <w:gridCol w:w="132"/>
        <w:gridCol w:w="4442"/>
        <w:gridCol w:w="132"/>
        <w:gridCol w:w="1225"/>
      </w:tblGrid>
      <w:tr>
        <w:trPr/>
        <w:tc>
          <w:tcPr>
            <w:tcW w:w="372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r>
      <w:tr>
        <w:trPr/>
        <w:tc>
          <w:tcPr>
            <w:tcW w:w="3729"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987" w:type="dxa"/>
            <w:gridSpan w:val="3"/>
            <w:tcBorders/>
            <w:shd w:fill="auto" w:val="clear"/>
          </w:tcPr>
          <w:p>
            <w:pPr>
              <w:pStyle w:val="TableContents"/>
              <w:spacing w:before="0" w:after="283"/>
              <w:jc w:val="left"/>
              <w:rPr/>
            </w:pPr>
            <w:r>
              <w:rPr/>
              <w:t>PLAINS MARKETING INTERNATIONAL GP LLC</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PLAINS MARKETING, L.P.</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its Sole Member</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PLAINS MARKETING GP INC.</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372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442" w:type="dxa"/>
            <w:tcBorders/>
            <w:shd w:fill="auto" w:val="clear"/>
          </w:tcPr>
          <w:p>
            <w:pPr>
              <w:pStyle w:val="TableContents"/>
              <w:spacing w:before="0" w:after="283"/>
              <w:jc w:val="left"/>
              <w:rPr/>
            </w:pPr>
            <w:r>
              <w:rPr/>
              <w:t xml:space="preserve">its General Partner </w:t>
            </w:r>
          </w:p>
        </w:tc>
        <w:tc>
          <w:tcPr>
            <w:tcW w:w="13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352"/>
        <w:gridCol w:w="102"/>
        <w:gridCol w:w="306"/>
        <w:gridCol w:w="102"/>
        <w:gridCol w:w="6455"/>
        <w:gridCol w:w="102"/>
        <w:gridCol w:w="786"/>
      </w:tblGrid>
      <w:tr>
        <w:trPr/>
        <w:tc>
          <w:tcPr>
            <w:tcW w:w="2352"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r>
      <w:tr>
        <w:trPr/>
        <w:tc>
          <w:tcPr>
            <w:tcW w:w="2352" w:type="dxa"/>
            <w:tcBorders/>
            <w:shd w:fill="auto" w:val="clea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863" w:type="dxa"/>
            <w:gridSpan w:val="3"/>
            <w:tcBorders/>
            <w:shd w:fill="auto" w:val="clear"/>
          </w:tcPr>
          <w:p>
            <w:pPr>
              <w:pStyle w:val="TableContents"/>
              <w:spacing w:before="0" w:after="283"/>
              <w:jc w:val="left"/>
              <w:rPr/>
            </w:pPr>
            <w:r>
              <w:rPr/>
              <w:t>PLAINS MARKETING INTERNATIONAL, L.P.</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PLAINS MARKETING INTERNATIONAL GP LLC</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its General Partner</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PLAINS MARKETING, L.P.</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its Sole Member</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PLAINS MARKETING GP INC.</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r>
        <w:trPr/>
        <w:tc>
          <w:tcPr>
            <w:tcW w:w="2352" w:type="dxa"/>
            <w:tcBorders/>
            <w:shd w:fill="auto" w:val="clear"/>
          </w:tcPr>
          <w:p>
            <w:pPr>
              <w:pStyle w:val="TableContents"/>
              <w:spacing w:before="0" w:after="0"/>
              <w:ind w:left="0" w:right="0" w:hanging="0"/>
              <w:rPr/>
            </w:pPr>
            <w:r>
              <w:rPr/>
              <w:t xml:space="preserve">  </w:t>
            </w:r>
          </w:p>
        </w:tc>
        <w:tc>
          <w:tcPr>
            <w:tcW w:w="102"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6455" w:type="dxa"/>
            <w:tcBorders/>
            <w:shd w:fill="auto" w:val="clear"/>
          </w:tcPr>
          <w:p>
            <w:pPr>
              <w:pStyle w:val="TableContents"/>
              <w:spacing w:before="0" w:after="283"/>
              <w:jc w:val="left"/>
              <w:rPr/>
            </w:pPr>
            <w:r>
              <w:rPr/>
              <w:t xml:space="preserve">its General Partner </w:t>
            </w:r>
          </w:p>
        </w:tc>
        <w:tc>
          <w:tcPr>
            <w:tcW w:w="102" w:type="dxa"/>
            <w:tcBorders/>
            <w:shd w:fill="auto" w:val="clear"/>
            <w:vAlign w:val="bottom"/>
          </w:tcPr>
          <w:p>
            <w:pPr>
              <w:pStyle w:val="TableContents"/>
              <w:spacing w:before="0" w:after="283"/>
              <w:rPr/>
            </w:pPr>
            <w:r>
              <w:rPr/>
              <w:t> </w:t>
            </w:r>
          </w:p>
        </w:tc>
        <w:tc>
          <w:tcPr>
            <w:tcW w:w="786"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5102"/>
        <w:gridCol w:w="102"/>
        <w:gridCol w:w="102"/>
        <w:gridCol w:w="3572"/>
        <w:gridCol w:w="1327"/>
      </w:tblGrid>
      <w:tr>
        <w:trPr/>
        <w:tc>
          <w:tcPr>
            <w:tcW w:w="5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32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51"/>
        <w:gridCol w:w="129"/>
        <w:gridCol w:w="305"/>
        <w:gridCol w:w="129"/>
        <w:gridCol w:w="4403"/>
        <w:gridCol w:w="129"/>
        <w:gridCol w:w="1259"/>
      </w:tblGrid>
      <w:tr>
        <w:trPr/>
        <w:tc>
          <w:tcPr>
            <w:tcW w:w="385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rPr/>
            </w:pPr>
            <w:r>
              <w:rPr/>
              <w:t> </w:t>
            </w:r>
          </w:p>
        </w:tc>
      </w:tr>
      <w:tr>
        <w:trPr/>
        <w:tc>
          <w:tcPr>
            <w:tcW w:w="3851" w:type="dxa"/>
            <w:tcBorders/>
            <w:shd w:fill="auto" w:val="clea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837" w:type="dxa"/>
            <w:gridSpan w:val="3"/>
            <w:tcBorders/>
            <w:shd w:fill="auto" w:val="clear"/>
          </w:tcPr>
          <w:p>
            <w:pPr>
              <w:pStyle w:val="TableContents"/>
              <w:spacing w:before="0" w:after="283"/>
              <w:jc w:val="left"/>
              <w:rPr/>
            </w:pPr>
            <w:r>
              <w:rPr/>
              <w:t>PLAINS LPG MARKETING, L.P.</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PLAINS LPG SERVICES GP LLC</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its General Partner</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PLAINS MARKETING, L.P.</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its Sole Member</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PLAINS MARKETING GP INC.</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r>
        <w:trPr/>
        <w:tc>
          <w:tcPr>
            <w:tcW w:w="3851"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4403" w:type="dxa"/>
            <w:tcBorders/>
            <w:shd w:fill="auto" w:val="clear"/>
          </w:tcPr>
          <w:p>
            <w:pPr>
              <w:pStyle w:val="TableContents"/>
              <w:spacing w:before="0" w:after="283"/>
              <w:jc w:val="left"/>
              <w:rPr/>
            </w:pPr>
            <w:r>
              <w:rPr/>
              <w:t xml:space="preserve">its General Partner </w:t>
            </w:r>
          </w:p>
        </w:tc>
        <w:tc>
          <w:tcPr>
            <w:tcW w:w="129" w:type="dxa"/>
            <w:tcBorders/>
            <w:shd w:fill="auto" w:val="clear"/>
            <w:vAlign w:val="bottom"/>
          </w:tcPr>
          <w:p>
            <w:pPr>
              <w:pStyle w:val="TableContents"/>
              <w:spacing w:before="0" w:after="283"/>
              <w:rPr/>
            </w:pPr>
            <w:r>
              <w:rPr/>
              <w:t> </w:t>
            </w:r>
          </w:p>
        </w:tc>
        <w:tc>
          <w:tcPr>
            <w:tcW w:w="1259" w:type="dxa"/>
            <w:tcBorders/>
            <w:shd w:fill="auto" w:val="clear"/>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4290"/>
        <w:gridCol w:w="350"/>
        <w:gridCol w:w="598"/>
        <w:gridCol w:w="3808"/>
        <w:gridCol w:w="1159"/>
      </w:tblGrid>
      <w:tr>
        <w:trPr/>
        <w:tc>
          <w:tcPr>
            <w:tcW w:w="4290"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808" w:type="dxa"/>
            <w:tcBorders/>
            <w:shd w:fill="auto" w:val="clear"/>
            <w:vAlign w:val="center"/>
          </w:tcPr>
          <w:p>
            <w:pPr>
              <w:pStyle w:val="TableContents"/>
              <w:spacing w:before="0" w:after="283"/>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tcPr>
          <w:p>
            <w:pPr>
              <w:pStyle w:val="TableContents"/>
              <w:spacing w:before="0" w:after="283"/>
              <w:jc w:val="left"/>
              <w:rPr/>
            </w:pPr>
            <w:r>
              <w:rPr/>
              <w:t> </w:t>
            </w:r>
          </w:p>
        </w:tc>
        <w:tc>
          <w:tcPr>
            <w:tcW w:w="4756" w:type="dxa"/>
            <w:gridSpan w:val="3"/>
            <w:tcBorders/>
            <w:shd w:fill="auto" w:val="clear"/>
            <w:vAlign w:val="center"/>
          </w:tcPr>
          <w:p>
            <w:pPr>
              <w:pStyle w:val="TableContents"/>
              <w:spacing w:before="0" w:after="283"/>
              <w:jc w:val="left"/>
              <w:rPr/>
            </w:pPr>
            <w:r>
              <w:rPr/>
              <w:t>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Phil Kramer</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808" w:type="dxa"/>
            <w:tcBorders/>
            <w:shd w:fill="auto" w:val="clear"/>
            <w:vAlign w:val="center"/>
          </w:tcPr>
          <w:p>
            <w:pPr>
              <w:pStyle w:val="TableContents"/>
              <w:spacing w:before="0" w:after="283"/>
              <w:jc w:val="left"/>
              <w:rPr/>
            </w:pPr>
            <w:r>
              <w:rPr/>
              <w:t>Phil Kramer </w:t>
            </w:r>
          </w:p>
        </w:tc>
        <w:tc>
          <w:tcPr>
            <w:tcW w:w="1159" w:type="dxa"/>
            <w:tcBorders/>
            <w:shd w:fill="auto" w:val="clear"/>
            <w:vAlign w:val="center"/>
          </w:tcPr>
          <w:p>
            <w:pPr>
              <w:pStyle w:val="TableContents"/>
              <w:spacing w:before="0" w:after="283"/>
              <w:rPr/>
            </w:pPr>
            <w:r>
              <w:rPr/>
              <w:t> </w:t>
            </w:r>
          </w:p>
        </w:tc>
      </w:tr>
      <w:tr>
        <w:trPr/>
        <w:tc>
          <w:tcPr>
            <w:tcW w:w="4290"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808" w:type="dxa"/>
            <w:tcBorders/>
            <w:shd w:fill="auto" w:val="clear"/>
            <w:vAlign w:val="center"/>
          </w:tcPr>
          <w:p>
            <w:pPr>
              <w:pStyle w:val="TableContents"/>
              <w:spacing w:before="0" w:after="283"/>
              <w:jc w:val="left"/>
              <w:rPr/>
            </w:pPr>
            <w:r>
              <w:rPr/>
              <w:t>Executive Vice President and Chief</w:t>
              <w:br/>
              <w:t>Financial Officer </w:t>
            </w:r>
          </w:p>
        </w:tc>
        <w:tc>
          <w:tcPr>
            <w:tcW w:w="115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foregoing Agreement is hereby</w:t>
        <w:br/>
        <w:t>confirmed and accepted as of the</w:t>
        <w:br/>
        <w:t xml:space="preserve">date first above written.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tbl>
      <w:tblPr>
        <w:tblW w:w="5000" w:type="pct"/>
        <w:jc w:val="center"/>
        <w:tblInd w:w="0" w:type="dxa"/>
        <w:tblCellMar>
          <w:top w:w="0" w:type="dxa"/>
          <w:left w:w="0" w:type="dxa"/>
          <w:bottom w:w="0" w:type="dxa"/>
          <w:right w:w="0" w:type="dxa"/>
        </w:tblCellMar>
      </w:tblPr>
      <w:tblGrid>
        <w:gridCol w:w="317"/>
        <w:gridCol w:w="119"/>
        <w:gridCol w:w="3867"/>
        <w:gridCol w:w="119"/>
        <w:gridCol w:w="5783"/>
      </w:tblGrid>
      <w:tr>
        <w:trPr/>
        <w:tc>
          <w:tcPr>
            <w:tcW w:w="31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86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783" w:type="dxa"/>
            <w:tcBorders/>
            <w:shd w:fill="auto" w:val="clear"/>
            <w:vAlign w:val="bottom"/>
          </w:tcPr>
          <w:p>
            <w:pPr>
              <w:pStyle w:val="TableContents"/>
              <w:spacing w:before="0" w:after="283"/>
              <w:rPr/>
            </w:pPr>
            <w:r>
              <w:rPr/>
              <w:t> </w:t>
            </w:r>
          </w:p>
        </w:tc>
      </w:tr>
      <w:tr>
        <w:trPr/>
        <w:tc>
          <w:tcPr>
            <w:tcW w:w="317" w:type="dxa"/>
            <w:tcBorders/>
            <w:shd w:fill="auto" w:val="clear"/>
          </w:tcPr>
          <w:p>
            <w:pPr>
              <w:pStyle w:val="TableContents"/>
              <w:spacing w:before="0" w:after="0"/>
              <w:ind w:left="0" w:right="0" w:hanging="0"/>
              <w:rPr/>
            </w:pPr>
            <w:r>
              <w:rPr/>
              <w:t xml:space="preserve">By: </w:t>
            </w:r>
          </w:p>
        </w:tc>
        <w:tc>
          <w:tcPr>
            <w:tcW w:w="119" w:type="dxa"/>
            <w:tcBorders/>
            <w:shd w:fill="auto" w:val="clear"/>
            <w:vAlign w:val="bottom"/>
          </w:tcPr>
          <w:p>
            <w:pPr>
              <w:pStyle w:val="TableContents"/>
              <w:spacing w:before="0" w:after="283"/>
              <w:rPr/>
            </w:pPr>
            <w:r>
              <w:rPr/>
              <w:t> </w:t>
            </w:r>
          </w:p>
        </w:tc>
        <w:tc>
          <w:tcPr>
            <w:tcW w:w="3867" w:type="dxa"/>
            <w:tcBorders/>
            <w:shd w:fill="auto" w:val="clear"/>
          </w:tcPr>
          <w:p>
            <w:pPr>
              <w:pStyle w:val="TableContents"/>
              <w:spacing w:before="0" w:after="283"/>
              <w:jc w:val="left"/>
              <w:rPr/>
            </w:pPr>
            <w:r>
              <w:rPr/>
              <w:t>CITIGROUP GLOBAL MARKETS INC.</w:t>
            </w:r>
          </w:p>
        </w:tc>
        <w:tc>
          <w:tcPr>
            <w:tcW w:w="119" w:type="dxa"/>
            <w:tcBorders/>
            <w:shd w:fill="auto" w:val="clear"/>
            <w:vAlign w:val="bottom"/>
          </w:tcPr>
          <w:p>
            <w:pPr>
              <w:pStyle w:val="TableContents"/>
              <w:spacing w:before="0" w:after="283"/>
              <w:rPr/>
            </w:pPr>
            <w:r>
              <w:rPr/>
              <w:t> </w:t>
            </w:r>
          </w:p>
        </w:tc>
        <w:tc>
          <w:tcPr>
            <w:tcW w:w="5783"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867"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5783"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By:</w:t>
            </w:r>
          </w:p>
        </w:tc>
        <w:tc>
          <w:tcPr>
            <w:tcW w:w="119" w:type="dxa"/>
            <w:tcBorders/>
            <w:shd w:fill="auto" w:val="clear"/>
            <w:vAlign w:val="bottom"/>
          </w:tcPr>
          <w:p>
            <w:pPr>
              <w:pStyle w:val="TableContents"/>
              <w:spacing w:before="0" w:after="283"/>
              <w:rPr/>
            </w:pPr>
            <w:r>
              <w:rPr/>
              <w:t> </w:t>
            </w:r>
          </w:p>
        </w:tc>
        <w:tc>
          <w:tcPr>
            <w:tcW w:w="3867" w:type="dxa"/>
            <w:tcBorders/>
            <w:shd w:fill="auto" w:val="clear"/>
          </w:tcPr>
          <w:p>
            <w:pPr>
              <w:pStyle w:val="TableContents"/>
              <w:spacing w:before="0" w:after="283"/>
              <w:jc w:val="left"/>
              <w:rPr/>
            </w:pPr>
            <w:r>
              <w:rPr/>
              <w:t>/s/ Brian D. Bednarski </w:t>
            </w:r>
          </w:p>
        </w:tc>
        <w:tc>
          <w:tcPr>
            <w:tcW w:w="119" w:type="dxa"/>
            <w:tcBorders/>
            <w:shd w:fill="auto" w:val="clear"/>
            <w:vAlign w:val="bottom"/>
          </w:tcPr>
          <w:p>
            <w:pPr>
              <w:pStyle w:val="TableContents"/>
              <w:spacing w:before="0" w:after="283"/>
              <w:rPr/>
            </w:pPr>
            <w:r>
              <w:rPr/>
              <w:t> </w:t>
            </w:r>
          </w:p>
        </w:tc>
        <w:tc>
          <w:tcPr>
            <w:tcW w:w="5783"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119" w:type="dxa"/>
            <w:tcBorders/>
            <w:shd w:fill="auto" w:val="clear"/>
            <w:vAlign w:val="center"/>
          </w:tcPr>
          <w:p>
            <w:pPr>
              <w:pStyle w:val="TableContents"/>
              <w:spacing w:before="0" w:after="283"/>
              <w:rPr/>
            </w:pPr>
            <w:r>
              <w:rPr/>
              <w:t> </w:t>
            </w:r>
          </w:p>
        </w:tc>
        <w:tc>
          <w:tcPr>
            <w:tcW w:w="3867" w:type="dxa"/>
            <w:tcBorders>
              <w:top w:val="single" w:sz="2" w:space="0" w:color="000000"/>
            </w:tcBorders>
            <w:shd w:fill="auto" w:val="clear"/>
            <w:tcMar>
              <w:top w:w="28" w:type="dxa"/>
            </w:tcM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5783" w:type="dxa"/>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867" w:type="dxa"/>
            <w:tcBorders/>
            <w:shd w:fill="auto" w:val="clear"/>
          </w:tcPr>
          <w:p>
            <w:pPr>
              <w:pStyle w:val="TableContents"/>
              <w:spacing w:before="0" w:after="283"/>
              <w:jc w:val="left"/>
              <w:rPr/>
            </w:pPr>
            <w:r>
              <w:rPr/>
              <w:t>Name: Brian D. Bednarski</w:t>
            </w:r>
          </w:p>
        </w:tc>
        <w:tc>
          <w:tcPr>
            <w:tcW w:w="5902" w:type="dxa"/>
            <w:gridSpan w:val="2"/>
            <w:tcBorders/>
            <w:shd w:fill="auto" w:val="clear"/>
          </w:tcPr>
          <w:p>
            <w:pPr>
              <w:pStyle w:val="TableContents"/>
              <w:spacing w:before="0" w:after="283"/>
              <w:jc w:val="left"/>
              <w:rPr/>
            </w:pPr>
            <w:r>
              <w:rPr/>
              <w:t> </w:t>
            </w:r>
          </w:p>
        </w:tc>
      </w:tr>
      <w:tr>
        <w:trPr/>
        <w:tc>
          <w:tcPr>
            <w:tcW w:w="317"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867" w:type="dxa"/>
            <w:tcBorders/>
            <w:shd w:fill="auto" w:val="clear"/>
          </w:tcPr>
          <w:p>
            <w:pPr>
              <w:pStyle w:val="TableContents"/>
              <w:spacing w:before="0" w:after="283"/>
              <w:jc w:val="left"/>
              <w:rPr/>
            </w:pPr>
            <w:r>
              <w:rPr/>
              <w:t xml:space="preserve">Title: Director </w:t>
            </w:r>
          </w:p>
        </w:tc>
        <w:tc>
          <w:tcPr>
            <w:tcW w:w="119" w:type="dxa"/>
            <w:tcBorders/>
            <w:shd w:fill="auto" w:val="clear"/>
            <w:vAlign w:val="bottom"/>
          </w:tcPr>
          <w:p>
            <w:pPr>
              <w:pStyle w:val="TableContents"/>
              <w:spacing w:before="0" w:after="283"/>
              <w:rPr/>
            </w:pPr>
            <w:r>
              <w:rPr/>
              <w:t> </w:t>
            </w:r>
          </w:p>
        </w:tc>
        <w:tc>
          <w:tcPr>
            <w:tcW w:w="5783"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Pipeline,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GP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Canada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PMC (Nova Scotia)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Canada,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Basin Holdings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Basin Pipeline Holdings,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Rancho Holdings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Rancho Pipeline Holdings,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Services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Services,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Lone Star Trucking,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International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International,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Marketing, L.P.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A</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Broker-Dealer that receives New Securities for its own account pursuant to the Exchange Offer must acknowledge that it will deliver a prospectus in connection with any resale of such New Securities.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New Securities received in exchange for Securities where such Securities were acquired by such Broker-Dealer as a result of market-making activities or other trading activities. The Issuers and the Guarantors have agreed that, starting on the Expiration Date (as defined herein) and ending on the close of business one year after the Expiration Date, they will make this Prospectus available to any Broker-Dealer for use in connection with any such resale. See Plan of Distribution.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B</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PLAN OF DISTRIBUTION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Broker-Dealer that receives New Securities for its own account pursuant to the Exchange Offer must acknowledge that it will deliver a prospectus in connection with any resale of such New Securities. This Prospectus, as it may be amended or supplemented from time to time, may be used by a Broker-Dealer in connection with resales of New Securities received in exchange for Securities where such Securities were acquired as a result of market-making activities or other trading activities. The Issuers and the Guarantors have agreed that, starting on the Expiration Date and ending on the close of business one year after the Expiration Date, they will make this Prospectus, as amended or supplemented, available to any Broker-Dealer for use in connection with any such resale. In addition, until </w:t>
      </w:r>
      <w:r>
        <w:rPr>
          <w:rFonts w:ascii="Times New Roman;Times;serif" w:hAnsi="Times New Roman;Times;serif"/>
          <w:sz w:val="17"/>
          <w:u w:val="single"/>
        </w:rPr>
        <w:t>                    </w:t>
      </w:r>
      <w:r>
        <w:rPr>
          <w:rFonts w:ascii="Times New Roman;Times;serif" w:hAnsi="Times New Roman;Times;serif"/>
          <w:sz w:val="17"/>
        </w:rPr>
        <w:t xml:space="preserve">, 200___[90 days] after commencement of the offering, all dealers effecting transactions in the New Securities may be required to deliver a prospectus. </w:t>
      </w:r>
    </w:p>
    <w:p>
      <w:pPr>
        <w:pStyle w:val="TextBody"/>
        <w:spacing w:before="120" w:after="283"/>
        <w:jc w:val="left"/>
        <w:rPr/>
      </w:pPr>
      <w:r>
        <w:rPr/>
        <w:t>          </w:t>
      </w:r>
      <w:r>
        <w:rPr>
          <w:rFonts w:ascii="Times New Roman;Times;serif" w:hAnsi="Times New Roman;Times;serif"/>
          <w:sz w:val="17"/>
        </w:rPr>
        <w:t xml:space="preserve">The Issuers and the Guarantors will not receive any proceeds from any sale of New Securities by Brokers-Dealers. New Securities received by Broker-Dealers for their own account pursuant to the Exchange Offer may be sold from time to time in one or more transactions in the over-the-counter market, in negotiated transactions, through the writing of options on the New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Securities. Any Broker-Dealer that resells New Securities that were received by it for its own account pursuant to the Exchange Offer and any broker or dealer that participates in a distribution of such New Securities may be deemed to be an underwriter within the meaning of the Act and any profit of any such resale of New Securities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 </w:t>
      </w:r>
    </w:p>
    <w:p>
      <w:pPr>
        <w:pStyle w:val="TextBody"/>
        <w:spacing w:before="120" w:after="283"/>
        <w:jc w:val="left"/>
        <w:rPr/>
      </w:pPr>
      <w:r>
        <w:rPr/>
        <w:t>          </w:t>
      </w:r>
      <w:r>
        <w:rPr>
          <w:rFonts w:ascii="Times New Roman;Times;serif" w:hAnsi="Times New Roman;Times;serif"/>
          <w:sz w:val="17"/>
        </w:rPr>
        <w:t xml:space="preserve">For a period of one year after the Expiration Date, the Issuers and the Guarantors will promptly send additional copies of this Prospectus and any amendment or supplement to this Prospectus to any Broker-Dealer that requests such documents in the Letter of Transmittal. The Issuers and the Guarantors have agreed to pay all expenses incident to the Exchange Offer (including the reasonable expenses of one counsel for the holders of the Securities) other than commissions or concessions of any brokers or dealers and will indemnify the holders of the Securities (including any Broker-Dealers) against certain liabilities, including liabilities under the Act. </w:t>
      </w:r>
    </w:p>
    <w:p>
      <w:pPr>
        <w:pStyle w:val="TextBody"/>
        <w:spacing w:before="120" w:after="283"/>
        <w:jc w:val="left"/>
        <w:rPr/>
      </w:pPr>
      <w:r>
        <w:rPr/>
        <w:t>          </w:t>
      </w:r>
      <w:r>
        <w:rPr>
          <w:rFonts w:ascii="Times New Roman;Times;serif" w:hAnsi="Times New Roman;Times;serif"/>
          <w:sz w:val="17"/>
        </w:rPr>
        <w:t xml:space="preserve">If applicable, add information required by Regulation S-K Items 507 and/or 508.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Rider 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7"/>
        <w:gridCol w:w="126"/>
        <w:gridCol w:w="1636"/>
        <w:gridCol w:w="163"/>
        <w:gridCol w:w="3157"/>
        <w:gridCol w:w="163"/>
        <w:gridCol w:w="4043"/>
      </w:tblGrid>
      <w:tr>
        <w:trPr/>
        <w:tc>
          <w:tcPr>
            <w:tcW w:w="91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3157"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4043" w:type="dxa"/>
            <w:tcBorders/>
            <w:shd w:fill="auto" w:val="clear"/>
            <w:vAlign w:val="bottom"/>
          </w:tcPr>
          <w:p>
            <w:pPr>
              <w:pStyle w:val="TableContents"/>
              <w:spacing w:before="0" w:after="283"/>
              <w:rPr/>
            </w:pPr>
            <w:r>
              <w:rPr/>
              <w:t> </w:t>
            </w:r>
          </w:p>
        </w:tc>
      </w:tr>
      <w:tr>
        <w:trPr/>
        <w:tc>
          <w:tcPr>
            <w:tcW w:w="917"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162" w:type="dxa"/>
            <w:gridSpan w:val="5"/>
            <w:tcBorders/>
            <w:shd w:fill="auto" w:val="clear"/>
          </w:tcPr>
          <w:p>
            <w:pPr>
              <w:pStyle w:val="TableContents"/>
              <w:spacing w:before="0" w:after="283"/>
              <w:jc w:val="left"/>
              <w:rPr/>
            </w:pPr>
            <w:r>
              <w:rPr/>
              <w:t>CHECK HERE IF YOU ARE A BROKER-DEALER AND WISH TO RECEIVE 10 ADDITIONAL COPIES OF THE PROSPECTUS AND 10 COPIES OF ANY AMENDMENTS OR SUPPLEMENTS THERETO.</w:t>
            </w:r>
          </w:p>
        </w:tc>
      </w:tr>
      <w:tr>
        <w:trPr/>
        <w:tc>
          <w:tcPr>
            <w:tcW w:w="917"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1636"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157"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r>
        <w:trPr/>
        <w:tc>
          <w:tcPr>
            <w:tcW w:w="917"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1636" w:type="dxa"/>
            <w:tcBorders/>
            <w:shd w:fill="auto" w:val="clear"/>
          </w:tcPr>
          <w:p>
            <w:pPr>
              <w:pStyle w:val="TableContents"/>
              <w:spacing w:before="0" w:after="283"/>
              <w:jc w:val="left"/>
              <w:rPr/>
            </w:pPr>
            <w:r>
              <w:rPr/>
              <w:t>Name:</w:t>
            </w:r>
          </w:p>
        </w:tc>
        <w:tc>
          <w:tcPr>
            <w:tcW w:w="163" w:type="dxa"/>
            <w:tcBorders/>
            <w:shd w:fill="auto" w:val="clear"/>
            <w:vAlign w:val="bottom"/>
          </w:tcPr>
          <w:p>
            <w:pPr>
              <w:pStyle w:val="TableContents"/>
              <w:spacing w:before="0" w:after="283"/>
              <w:rPr/>
            </w:pPr>
            <w:r>
              <w:rPr/>
              <w:t> </w:t>
            </w:r>
          </w:p>
        </w:tc>
        <w:tc>
          <w:tcPr>
            <w:tcW w:w="3157"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r>
        <w:trPr/>
        <w:tc>
          <w:tcPr>
            <w:tcW w:w="917"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1636" w:type="dxa"/>
            <w:tcBorders/>
            <w:shd w:fill="auto" w:val="clear"/>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3157" w:type="dxa"/>
            <w:tcBorders>
              <w:top w:val="single" w:sz="2" w:space="0" w:color="000000"/>
            </w:tcBorders>
            <w:shd w:fill="auto" w:val="clear"/>
            <w:tcMar>
              <w:top w:w="28" w:type="dxa"/>
            </w:tcMar>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r>
        <w:trPr/>
        <w:tc>
          <w:tcPr>
            <w:tcW w:w="917"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1636" w:type="dxa"/>
            <w:tcBorders/>
            <w:shd w:fill="auto" w:val="clear"/>
          </w:tcPr>
          <w:p>
            <w:pPr>
              <w:pStyle w:val="TableContents"/>
              <w:spacing w:before="0" w:after="283"/>
              <w:jc w:val="left"/>
              <w:rPr/>
            </w:pPr>
            <w:r>
              <w:rPr/>
              <w:t>Address:</w:t>
            </w:r>
          </w:p>
        </w:tc>
        <w:tc>
          <w:tcPr>
            <w:tcW w:w="163" w:type="dxa"/>
            <w:tcBorders/>
            <w:shd w:fill="auto" w:val="clear"/>
            <w:vAlign w:val="bottom"/>
          </w:tcPr>
          <w:p>
            <w:pPr>
              <w:pStyle w:val="TableContents"/>
              <w:spacing w:before="0" w:after="283"/>
              <w:rPr/>
            </w:pPr>
            <w:r>
              <w:rPr/>
              <w:t> </w:t>
            </w:r>
          </w:p>
        </w:tc>
        <w:tc>
          <w:tcPr>
            <w:tcW w:w="3157"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r>
        <w:trPr/>
        <w:tc>
          <w:tcPr>
            <w:tcW w:w="917"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1636" w:type="dxa"/>
            <w:tcBorders/>
            <w:shd w:fill="auto" w:val="clear"/>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3157" w:type="dxa"/>
            <w:tcBorders>
              <w:top w:val="single" w:sz="2" w:space="0" w:color="000000"/>
            </w:tcBorders>
            <w:shd w:fill="auto" w:val="clear"/>
            <w:tcMar>
              <w:top w:w="28" w:type="dxa"/>
            </w:tcMar>
          </w:tcPr>
          <w:p>
            <w:pPr>
              <w:pStyle w:val="TableContents"/>
              <w:spacing w:before="0" w:after="283"/>
              <w:jc w:val="left"/>
              <w:rPr/>
            </w:pPr>
            <w:r>
              <w:rPr/>
              <w:t> </w:t>
            </w:r>
          </w:p>
        </w:tc>
        <w:tc>
          <w:tcPr>
            <w:tcW w:w="163" w:type="dxa"/>
            <w:tcBorders/>
            <w:shd w:fill="auto" w:val="clear"/>
            <w:vAlign w:val="center"/>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r>
        <w:trPr/>
        <w:tc>
          <w:tcPr>
            <w:tcW w:w="917"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1636"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157"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r>
        <w:trPr/>
        <w:tc>
          <w:tcPr>
            <w:tcW w:w="917"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1636" w:type="dxa"/>
            <w:tcBorders/>
            <w:shd w:fill="auto" w:val="clear"/>
          </w:tcPr>
          <w:p>
            <w:pPr>
              <w:pStyle w:val="TableContents"/>
              <w:spacing w:before="0" w:after="283"/>
              <w:jc w:val="left"/>
              <w:rPr/>
            </w:pPr>
            <w:r>
              <w:rPr/>
              <w:t> </w:t>
            </w:r>
          </w:p>
        </w:tc>
        <w:tc>
          <w:tcPr>
            <w:tcW w:w="163" w:type="dxa"/>
            <w:tcBorders/>
            <w:shd w:fill="auto" w:val="clear"/>
            <w:vAlign w:val="bottom"/>
          </w:tcPr>
          <w:p>
            <w:pPr>
              <w:pStyle w:val="TableContents"/>
              <w:spacing w:before="0" w:after="283"/>
              <w:rPr/>
            </w:pPr>
            <w:r>
              <w:rPr/>
              <w:t> </w:t>
            </w:r>
          </w:p>
        </w:tc>
        <w:tc>
          <w:tcPr>
            <w:tcW w:w="3157" w:type="dxa"/>
            <w:tcBorders/>
            <w:shd w:fill="auto" w:val="clear"/>
          </w:tcPr>
          <w:p>
            <w:pPr>
              <w:pStyle w:val="TableContents"/>
              <w:spacing w:before="0" w:after="0"/>
              <w:jc w:val="left"/>
              <w:rPr>
                <w:bdr w:val="single" w:sz="2" w:space="1" w:color="000000"/>
              </w:rPr>
            </w:pPr>
            <w:r>
              <w:rPr>
                <w:bdr w:val="single" w:sz="2" w:space="1" w:color="000000"/>
              </w:rPr>
              <w:t> </w:t>
            </w:r>
          </w:p>
        </w:tc>
        <w:tc>
          <w:tcPr>
            <w:tcW w:w="163" w:type="dxa"/>
            <w:tcBorders/>
            <w:shd w:fill="auto" w:val="clear"/>
            <w:vAlign w:val="bottom"/>
          </w:tcPr>
          <w:p>
            <w:pPr>
              <w:pStyle w:val="TableContents"/>
              <w:spacing w:before="0" w:after="283"/>
              <w:rPr/>
            </w:pPr>
            <w:r>
              <w:rPr/>
              <w:t> </w:t>
            </w:r>
          </w:p>
        </w:tc>
        <w:tc>
          <w:tcPr>
            <w:tcW w:w="4043" w:type="dxa"/>
            <w:tcBorders/>
            <w:shd w:fill="auto" w:val="clear"/>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Rider B</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undersigned is not a Broker-Dealer, the undersigned represents that it acquired the New Securities in the ordinary course of its business, it is not engaged in, and does not intend to engage in, a distribution of New Securities and it has no arrangements or understandings with any Person to participate in a distribution of the New Securities. If the undersigned is a Broker-Dealer that will receive New Securities for its own account in exchange for Securities, it represents that the Securities to be exchange for New Securities were acquired by it as a result of market-making activities or other trading activities and acknowledges that it will deliver a prospectus in connection with any resale of such New Securities; however, by so acknowledging and by delivering a prospectus, the undersigned will not be deemed to admit that it is an underwriter within the meaning of the Act. </w:t>
      </w:r>
    </w:p>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14" w:name="h40667exv4w4.htm"/>
      <w:bookmarkStart w:id="15" w:name="ksh40667exv4w4"/>
      <w:bookmarkEnd w:id="14"/>
      <w:bookmarkEnd w:id="1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Execution Version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EXCHANGE AND REGISTRATION RIGHTS AGREEMENT</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AMONG</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PAA FINANCE CORP.,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THE GUARANTORS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AND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THE INITIAL PURCHASERS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Dated as of October 30, 2006</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PAA FINANCE CORP.</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6.650% Senior Notes due 2037</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EXCHANGE AND REGISTRATION RIGHTS AGREEMENT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October 30,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     388 Greenwich St., 34th Floor</w:t>
        <w:br/>
        <w:t xml:space="preserve">     New York, New York 10013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Plains All American Pipeline, L.P., a Delaware limited partnership (the Partnership), PAA Finance Corp., a Delaware corporation (PAA Finance, and together with the Partnership, the Issuers) and the Guarantors listed on Schedule 1 hereto (the Guarantors), propose to issue and sell to the initial purchasers listed on Schedule 2 hereto (the Initial Purchasers), upon the terms set forth in a purchase agreement dated October 23, 2006 (the Purchase Agreement), $600,000,000 principal amount of 6.650% Senior Notes due 2037 (the Securities) and $400,000,000 principal amount of 6.125% Senior Notes due 2017 (the 2017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Notes) relating to the initial placement of the Securities and the 2017 Notes (the Initial Placement). To induce the Initial Purchasers to enter into the Purchase Agreement and to satisfy a condition of your obligations thereunder, the Issuers and the Guarantors agree with you for your benefit and the benefit of the other holders from time to time of the Securities (including the Initial Purchasers) (each a Holder and, together, the Holders), as follows: </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Definitions</w:t>
      </w:r>
      <w:r>
        <w:rPr>
          <w:rFonts w:ascii="Times New Roman;Times;serif" w:hAnsi="Times New Roman;Times;serif"/>
          <w:sz w:val="17"/>
        </w:rPr>
        <w:t xml:space="preserve">. Capitalized terms used herein without definition shall have their respective meanings set forth in the Purchase Agreement. As used in this Agreement, the following capitalized defined terms shall have the following meanings: </w:t>
      </w:r>
    </w:p>
    <w:p>
      <w:pPr>
        <w:pStyle w:val="TextBody"/>
        <w:spacing w:before="120" w:after="283"/>
        <w:jc w:val="left"/>
        <w:rPr/>
      </w:pPr>
      <w:r>
        <w:rPr/>
        <w:t>          </w:t>
      </w:r>
      <w:r>
        <w:rPr>
          <w:rFonts w:ascii="Times New Roman;Times;serif" w:hAnsi="Times New Roman;Times;serif"/>
          <w:sz w:val="17"/>
        </w:rPr>
        <w:t xml:space="preserve">2017 Notes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Act shall mean the Securities Act of 1933, as amended, and the rules and regulations of the Commission promulgated thereunder. </w:t>
      </w:r>
    </w:p>
    <w:p>
      <w:pPr>
        <w:pStyle w:val="TextBody"/>
        <w:spacing w:before="120" w:after="283"/>
        <w:jc w:val="left"/>
        <w:rPr/>
      </w:pPr>
      <w:r>
        <w:rPr/>
        <w:t>          </w:t>
      </w:r>
      <w:r>
        <w:rPr>
          <w:rFonts w:ascii="Times New Roman;Times;serif" w:hAnsi="Times New Roman;Times;serif"/>
          <w:sz w:val="17"/>
        </w:rPr>
        <w:t xml:space="preserve">Affiliate of any specified Person shall mean any other Person that, directly or indirectly, is in control of, is controlled by, or is under common control with, such specified Person. For purposes of this definition, control of a Person shall mean the power, direct or indirect, to direct or cause the direction of the management and policies of such Person whether by contract or otherwise; and the terms controlling and controlled shall have meanings correlative to the foregoing. </w:t>
      </w:r>
    </w:p>
    <w:p>
      <w:pPr>
        <w:pStyle w:val="TextBody"/>
        <w:spacing w:before="120" w:after="283"/>
        <w:jc w:val="left"/>
        <w:rPr/>
      </w:pPr>
      <w:r>
        <w:rPr/>
        <w:t>          </w:t>
      </w:r>
      <w:r>
        <w:rPr>
          <w:rFonts w:ascii="Times New Roman;Times;serif" w:hAnsi="Times New Roman;Times;serif"/>
          <w:sz w:val="17"/>
        </w:rPr>
        <w:t xml:space="preserve">Broker-Dealer shall mean any broker or dealer registered as such under the Exchange Act. </w:t>
      </w:r>
    </w:p>
    <w:p>
      <w:pPr>
        <w:pStyle w:val="TextBody"/>
        <w:spacing w:before="120" w:after="283"/>
        <w:jc w:val="left"/>
        <w:rPr/>
      </w:pPr>
      <w:r>
        <w:rPr/>
        <w:t>          </w:t>
      </w:r>
      <w:r>
        <w:rPr>
          <w:rFonts w:ascii="Times New Roman;Times;serif" w:hAnsi="Times New Roman;Times;serif"/>
          <w:sz w:val="17"/>
        </w:rPr>
        <w:t xml:space="preserve">Business Day shall mean any day other than a Saturday, a Sunday or a legal holiday or a day on which banking institutions or trust companies are authorized or obligated by law to close in New York City. </w:t>
      </w:r>
    </w:p>
    <w:p>
      <w:pPr>
        <w:pStyle w:val="TextBody"/>
        <w:spacing w:before="120" w:after="283"/>
        <w:jc w:val="left"/>
        <w:rPr/>
      </w:pPr>
      <w:r>
        <w:rPr/>
        <w:t>          </w:t>
      </w:r>
      <w:r>
        <w:rPr>
          <w:rFonts w:ascii="Times New Roman;Times;serif" w:hAnsi="Times New Roman;Times;serif"/>
          <w:sz w:val="17"/>
        </w:rPr>
        <w:t xml:space="preserve">Commission shall mean the Securities and Exchange Commission. </w:t>
      </w:r>
    </w:p>
    <w:p>
      <w:pPr>
        <w:pStyle w:val="TextBody"/>
        <w:spacing w:before="120" w:after="283"/>
        <w:jc w:val="left"/>
        <w:rPr/>
      </w:pPr>
      <w:r>
        <w:rPr/>
        <w:t>          </w:t>
      </w:r>
      <w:r>
        <w:rPr>
          <w:rFonts w:ascii="Times New Roman;Times;serif" w:hAnsi="Times New Roman;Times;serif"/>
          <w:sz w:val="17"/>
        </w:rPr>
        <w:t xml:space="preserve">Exchange Act shall mean the Securities Exchange Act of 1934, as amended, and the rules and regulations of the Commission promulgated thereunder. </w:t>
      </w:r>
    </w:p>
    <w:p>
      <w:pPr>
        <w:pStyle w:val="TextBody"/>
        <w:spacing w:before="120" w:after="283"/>
        <w:jc w:val="left"/>
        <w:rPr/>
      </w:pPr>
      <w:r>
        <w:rPr/>
        <w:t>          </w:t>
      </w:r>
      <w:r>
        <w:rPr>
          <w:rFonts w:ascii="Times New Roman;Times;serif" w:hAnsi="Times New Roman;Times;serif"/>
          <w:sz w:val="17"/>
        </w:rPr>
        <w:t xml:space="preserve">Exchange Offer Registration Period shall mean the one-year period following the consummation of the Registered Exchange Offer, exclusive of any period during which any stop order shall be in effect suspending the effectiveness of the Exchange Offer Registration Statement. </w:t>
      </w:r>
    </w:p>
    <w:p>
      <w:pPr>
        <w:pStyle w:val="TextBody"/>
        <w:spacing w:before="120" w:after="283"/>
        <w:jc w:val="left"/>
        <w:rPr/>
      </w:pPr>
      <w:r>
        <w:rPr/>
        <w:t>          </w:t>
      </w:r>
      <w:r>
        <w:rPr>
          <w:rFonts w:ascii="Times New Roman;Times;serif" w:hAnsi="Times New Roman;Times;serif"/>
          <w:sz w:val="17"/>
        </w:rPr>
        <w:t xml:space="preserve">Exchange Offer Registration Statement shall mean a registration statement of the Issuers and the Guarantors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Exchanging Dealer shall mean any Holder (which may include any Initial Purchaser) that is a Broker-Dealer and elects to exchange for New Securities any Securities that it acquired for its own account as a result of market-making activities or other trading activities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(but not directly from the Issuers and the Guarantors or any Affiliate of the Issuers and the Guarantors) for New Securities. </w:t>
      </w:r>
    </w:p>
    <w:p>
      <w:pPr>
        <w:pStyle w:val="TextBody"/>
        <w:spacing w:before="120" w:after="283"/>
        <w:jc w:val="left"/>
        <w:rPr/>
      </w:pPr>
      <w:r>
        <w:rPr/>
        <w:t>          </w:t>
      </w:r>
      <w:r>
        <w:rPr>
          <w:rFonts w:ascii="Times New Roman;Times;serif" w:hAnsi="Times New Roman;Times;serif"/>
          <w:sz w:val="17"/>
        </w:rPr>
        <w:t xml:space="preserve">Final Offering Memorandum shall have the meaning set forth in the Purchase Agreement. </w:t>
      </w:r>
    </w:p>
    <w:p>
      <w:pPr>
        <w:pStyle w:val="TextBody"/>
        <w:spacing w:before="120" w:after="283"/>
        <w:jc w:val="left"/>
        <w:rPr/>
      </w:pPr>
      <w:r>
        <w:rPr/>
        <w:t>          </w:t>
      </w:r>
      <w:r>
        <w:rPr>
          <w:rFonts w:ascii="Times New Roman;Times;serif" w:hAnsi="Times New Roman;Times;serif"/>
          <w:sz w:val="17"/>
        </w:rPr>
        <w:t xml:space="preserve">Guarantors shall have the meaning set forth in the preamble hereto and shall also include any Guarantors successor. </w:t>
      </w:r>
    </w:p>
    <w:p>
      <w:pPr>
        <w:pStyle w:val="TextBody"/>
        <w:spacing w:before="120" w:after="283"/>
        <w:jc w:val="left"/>
        <w:rPr/>
      </w:pPr>
      <w:r>
        <w:rPr/>
        <w:t>          </w:t>
      </w:r>
      <w:r>
        <w:rPr>
          <w:rFonts w:ascii="Times New Roman;Times;serif" w:hAnsi="Times New Roman;Times;serif"/>
          <w:sz w:val="17"/>
        </w:rPr>
        <w:t xml:space="preserve">Holder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Indenture shall mean the Indenture relating to the Securities and the New Securities, dated as of September 25, 2002, among the Issuers and U.S. Bank National Association, as successor trustee, as amended by the Tenth Supplemental Indenture, dated as of October 30, 2006, among the Issuers, the Guarantors and the Trustee, as the same may be amended from time to time in accordance with the terms thereof. </w:t>
      </w:r>
    </w:p>
    <w:p>
      <w:pPr>
        <w:pStyle w:val="TextBody"/>
        <w:spacing w:before="120" w:after="283"/>
        <w:jc w:val="left"/>
        <w:rPr/>
      </w:pPr>
      <w:r>
        <w:rPr/>
        <w:t>          </w:t>
      </w:r>
      <w:r>
        <w:rPr>
          <w:rFonts w:ascii="Times New Roman;Times;serif" w:hAnsi="Times New Roman;Times;serif"/>
          <w:sz w:val="17"/>
        </w:rPr>
        <w:t xml:space="preserve">Initial Placement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Initial Purchasers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Losses shall have the meaning set forth in Section 7(d) hereof. </w:t>
      </w:r>
    </w:p>
    <w:p>
      <w:pPr>
        <w:pStyle w:val="TextBody"/>
        <w:spacing w:before="120" w:after="283"/>
        <w:jc w:val="left"/>
        <w:rPr/>
      </w:pPr>
      <w:r>
        <w:rPr/>
        <w:t>          </w:t>
      </w:r>
      <w:r>
        <w:rPr>
          <w:rFonts w:ascii="Times New Roman;Times;serif" w:hAnsi="Times New Roman;Times;serif"/>
          <w:sz w:val="17"/>
        </w:rPr>
        <w:t xml:space="preserve">Majority Holders shall mean the Holders of a majority of the aggregate principal amount of Securities registered under a Registration Statement. </w:t>
      </w:r>
    </w:p>
    <w:p>
      <w:pPr>
        <w:pStyle w:val="TextBody"/>
        <w:spacing w:before="120" w:after="283"/>
        <w:jc w:val="left"/>
        <w:rPr/>
      </w:pPr>
      <w:r>
        <w:rPr/>
        <w:t>          </w:t>
      </w:r>
      <w:r>
        <w:rPr>
          <w:rFonts w:ascii="Times New Roman;Times;serif" w:hAnsi="Times New Roman;Times;serif"/>
          <w:sz w:val="17"/>
        </w:rPr>
        <w:t xml:space="preserve">Managing Underwriters shall mean the investment banker or investment bankers and manager or managers that shall administer an underwritten offering. </w:t>
      </w:r>
    </w:p>
    <w:p>
      <w:pPr>
        <w:pStyle w:val="TextBody"/>
        <w:spacing w:before="120" w:after="283"/>
        <w:jc w:val="left"/>
        <w:rPr/>
      </w:pPr>
      <w:r>
        <w:rPr/>
        <w:t>          </w:t>
      </w:r>
      <w:r>
        <w:rPr>
          <w:rFonts w:ascii="Times New Roman;Times;serif" w:hAnsi="Times New Roman;Times;serif"/>
          <w:sz w:val="17"/>
        </w:rPr>
        <w:t xml:space="preserve">New Securities shall mean debt securities of the Issuers identical in all material respects to the Securities (except that the interest rate step-up provisions and the transfer restrictions shall be eliminated) and to be issued under the Indenture. </w:t>
      </w:r>
    </w:p>
    <w:p>
      <w:pPr>
        <w:pStyle w:val="TextBody"/>
        <w:spacing w:before="120" w:after="283"/>
        <w:jc w:val="left"/>
        <w:rPr/>
      </w:pPr>
      <w:r>
        <w:rPr/>
        <w:t>          </w:t>
      </w:r>
      <w:r>
        <w:rPr>
          <w:rFonts w:ascii="Times New Roman;Times;serif" w:hAnsi="Times New Roman;Times;serif"/>
          <w:sz w:val="17"/>
        </w:rPr>
        <w:t xml:space="preserve">Prospectus shall mean the prospectus included in any Registration Statement (including, without limitation, a prospectus that discloses information previously omitted from a prospectus filed as part of an effective registration statement in reliance upon Rule 430A under the Act), as amended or supplemented by any prospectus supplement, with respect to the terms of the offering of any portion of the Securities or the New Securities covered by such Registration Statement, and all amendments and supplements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Purchase Agreement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Registered Exchange Offer shall mean the proposed offer of the Issuers and the Guarantors to issue and deliver to the Holders of the Securities that are not prohibited by any law or policy of the Commission from participating in such offer, in exchange for the Securities, a like aggregate principal amount of the New Securities.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Registration Default shall have the meaning set forth in Section 4(a) hereof. </w:t>
      </w:r>
    </w:p>
    <w:p>
      <w:pPr>
        <w:pStyle w:val="TextBody"/>
        <w:spacing w:before="120" w:after="283"/>
        <w:jc w:val="left"/>
        <w:rPr/>
      </w:pPr>
      <w:r>
        <w:rPr/>
        <w:t>          </w:t>
      </w:r>
      <w:r>
        <w:rPr>
          <w:rFonts w:ascii="Times New Roman;Times;serif" w:hAnsi="Times New Roman;Times;serif"/>
          <w:sz w:val="17"/>
        </w:rPr>
        <w:t xml:space="preserve">Registration Statement shall mean any Exchange Offer Registration Statement or Shelf Registration Statement that covers any of the Securities or the New Securities pursuant to the provisions of this Agreement, any amendments and supplements to such registration statement, including post-effective amendments (in each case including the Prospectus contained therein), all exhibits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Securities shall have the meaning set forth in the preamble hereto. </w:t>
      </w:r>
    </w:p>
    <w:p>
      <w:pPr>
        <w:pStyle w:val="TextBody"/>
        <w:spacing w:before="120" w:after="283"/>
        <w:jc w:val="left"/>
        <w:rPr/>
      </w:pPr>
      <w:r>
        <w:rPr/>
        <w:t>          </w:t>
      </w:r>
      <w:r>
        <w:rPr>
          <w:rFonts w:ascii="Times New Roman;Times;serif" w:hAnsi="Times New Roman;Times;serif"/>
          <w:sz w:val="17"/>
        </w:rPr>
        <w:t xml:space="preserve">Shelf Registration shall mean a registration effected pursuant to Section 3 hereof. </w:t>
      </w:r>
    </w:p>
    <w:p>
      <w:pPr>
        <w:pStyle w:val="TextBody"/>
        <w:spacing w:before="120" w:after="283"/>
        <w:jc w:val="left"/>
        <w:rPr/>
      </w:pPr>
      <w:r>
        <w:rPr/>
        <w:t>          </w:t>
      </w:r>
      <w:r>
        <w:rPr>
          <w:rFonts w:ascii="Times New Roman;Times;serif" w:hAnsi="Times New Roman;Times;serif"/>
          <w:sz w:val="17"/>
        </w:rPr>
        <w:t xml:space="preserve">Shelf Registration Period has the meaning set forth in Section 3(b) hereof. </w:t>
      </w:r>
    </w:p>
    <w:p>
      <w:pPr>
        <w:pStyle w:val="TextBody"/>
        <w:spacing w:before="120" w:after="283"/>
        <w:jc w:val="left"/>
        <w:rPr/>
      </w:pPr>
      <w:r>
        <w:rPr/>
        <w:t>          </w:t>
      </w:r>
      <w:r>
        <w:rPr>
          <w:rFonts w:ascii="Times New Roman;Times;serif" w:hAnsi="Times New Roman;Times;serif"/>
          <w:sz w:val="17"/>
        </w:rPr>
        <w:t xml:space="preserve">Shelf Registration Statement shall mean a shelf registration statement of the Issuers and the Guarantors pursuant to the provisions of Section 3 hereof which covers some or all of the Securities or New Securities,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 </w:t>
      </w:r>
    </w:p>
    <w:p>
      <w:pPr>
        <w:pStyle w:val="TextBody"/>
        <w:spacing w:before="120" w:after="283"/>
        <w:jc w:val="left"/>
        <w:rPr/>
      </w:pPr>
      <w:r>
        <w:rPr/>
        <w:t>          </w:t>
      </w:r>
      <w:r>
        <w:rPr>
          <w:rFonts w:ascii="Times New Roman;Times;serif" w:hAnsi="Times New Roman;Times;serif"/>
          <w:sz w:val="17"/>
        </w:rPr>
        <w:t xml:space="preserve">Trustee shall mean the trustee with respect to the Securities and the New Securities under the Indenture. </w:t>
      </w:r>
    </w:p>
    <w:p>
      <w:pPr>
        <w:pStyle w:val="TextBody"/>
        <w:spacing w:before="120" w:after="283"/>
        <w:jc w:val="left"/>
        <w:rPr/>
      </w:pPr>
      <w:r>
        <w:rPr/>
        <w:t>          </w:t>
      </w:r>
      <w:r>
        <w:rPr>
          <w:rFonts w:ascii="Times New Roman;Times;serif" w:hAnsi="Times New Roman;Times;serif"/>
          <w:sz w:val="17"/>
        </w:rPr>
        <w:t xml:space="preserve">Trust Indenture Act shall mean the Trust Indenture Act of 1939, as amended from time to time. </w:t>
      </w:r>
    </w:p>
    <w:p>
      <w:pPr>
        <w:pStyle w:val="TextBody"/>
        <w:spacing w:before="120" w:after="283"/>
        <w:jc w:val="left"/>
        <w:rPr/>
      </w:pPr>
      <w:r>
        <w:rPr/>
        <w:t>          </w:t>
      </w:r>
      <w:r>
        <w:rPr>
          <w:rFonts w:ascii="Times New Roman;Times;serif" w:hAnsi="Times New Roman;Times;serif"/>
          <w:sz w:val="17"/>
        </w:rPr>
        <w:t xml:space="preserve">underwriter shall mean any underwriter of Securities in connection with an offering thereof under a Shelf Registration Statement. </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sz w:val="17"/>
          <w:u w:val="single"/>
        </w:rPr>
        <w:t>Registered Exchange Offer</w:t>
      </w:r>
      <w:r>
        <w:rPr>
          <w:rFonts w:ascii="Times New Roman;Times;serif" w:hAnsi="Times New Roman;Times;serif"/>
          <w:sz w:val="17"/>
        </w:rPr>
        <w:t xml:space="preserve">. (a) Except as set forth in Section 3, the Issuers and the Guarantors shall prepare and shall use their reasonable best efforts to file with the Commission the Exchange Offer Registration Statement with respect to the Registered Exchange Offer, not later than 180 days following the date of the original issuance of the Securities (or if such 180th day is not a Business Day, the next succeeding Business Day). The Issuers and the Guarantors shall use their reasonable best efforts to cause the Exchange Offer Registration Statement to become effective under the Act within 270 days of the date of the original issuance of the Securities and to consummate the Registered Exchange Offer within 300 days of the date of the original issuance of the Securities (if such 270th or 300th day is not a Business Day, the next succeeding Business Day, as applicable). </w:t>
      </w:r>
    </w:p>
    <w:p>
      <w:pPr>
        <w:pStyle w:val="TextBody"/>
        <w:spacing w:before="120" w:after="283"/>
        <w:jc w:val="left"/>
        <w:rPr/>
      </w:pPr>
      <w:r>
        <w:rPr/>
        <w:t>          </w:t>
      </w:r>
      <w:r>
        <w:rPr>
          <w:rFonts w:ascii="Times New Roman;Times;serif" w:hAnsi="Times New Roman;Times;serif"/>
          <w:sz w:val="17"/>
        </w:rPr>
        <w:t xml:space="preserve">(a) Upon the effectiveness of the Exchange Offer Registration Statement, the Issuers and the Guarantors shall promptly commence the Registered Exchange Offer, it being the objective of such Registered Exchange Offer to enable each Holder electing to exchange Securities for New Securities (assuming that such Holder is not an Affiliate of the Issuers or the Guarantors, acquires the New Securities in the ordinary course of such Holders business, has no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arrangements with any Person to participate in the distribution of the New Securities and is not prohibited by any law or policy of the Commission from participating in the Registered Exchange Offer) to trade such New Securities from and after their receipt without any limitations or restrictions under the Act and without material restrictions under the securities laws of a substantial proportion of the several states of the United States. </w:t>
      </w:r>
    </w:p>
    <w:p>
      <w:pPr>
        <w:pStyle w:val="TextBody"/>
        <w:spacing w:before="120" w:after="283"/>
        <w:jc w:val="left"/>
        <w:rPr/>
      </w:pPr>
      <w:r>
        <w:rPr/>
        <w:t>          </w:t>
      </w:r>
      <w:r>
        <w:rPr>
          <w:rFonts w:ascii="Times New Roman;Times;serif" w:hAnsi="Times New Roman;Times;serif"/>
          <w:sz w:val="17"/>
        </w:rPr>
        <w:t xml:space="preserve">(b) In connection with the Registered Exchange Offer, the Issuers and the Guarantors shall: </w:t>
      </w:r>
    </w:p>
    <w:p>
      <w:pPr>
        <w:pStyle w:val="TextBody"/>
        <w:spacing w:before="120" w:after="283"/>
        <w:jc w:val="left"/>
        <w:rPr/>
      </w:pPr>
      <w:r>
        <w:rPr/>
        <w:t>          </w:t>
      </w:r>
      <w:r>
        <w:rPr>
          <w:rFonts w:ascii="Times New Roman;Times;serif" w:hAnsi="Times New Roman;Times;serif"/>
          <w:sz w:val="17"/>
        </w:rPr>
        <w:t xml:space="preserve">(i) mail to each Holder a copy of the Prospectus forming part of the Exchange Offer Registration Statement, together with an appropriate letter of transmittal and related documents; </w:t>
      </w:r>
    </w:p>
    <w:p>
      <w:pPr>
        <w:pStyle w:val="TextBody"/>
        <w:spacing w:before="120" w:after="283"/>
        <w:jc w:val="left"/>
        <w:rPr/>
      </w:pPr>
      <w:r>
        <w:rPr/>
        <w:t>          </w:t>
      </w:r>
      <w:r>
        <w:rPr>
          <w:rFonts w:ascii="Times New Roman;Times;serif" w:hAnsi="Times New Roman;Times;serif"/>
          <w:sz w:val="17"/>
        </w:rPr>
        <w:t xml:space="preserve">(ii) keep the Registered Exchange Offer open for not less than 20 Business Days after the date the notice thereof is mailed to the Holders (or, in each case, longer if required by applicable law); </w:t>
      </w:r>
    </w:p>
    <w:p>
      <w:pPr>
        <w:pStyle w:val="TextBody"/>
        <w:spacing w:before="120" w:after="283"/>
        <w:jc w:val="left"/>
        <w:rPr/>
      </w:pPr>
      <w:r>
        <w:rPr/>
        <w:t>          </w:t>
      </w:r>
      <w:r>
        <w:rPr>
          <w:rFonts w:ascii="Times New Roman;Times;serif" w:hAnsi="Times New Roman;Times;serif"/>
          <w:sz w:val="17"/>
        </w:rPr>
        <w:t xml:space="preserve">(iii) use their reasonable best efforts to keep the Exchange Offer Registration Statement continuously effective under the Act, supplemented and amended as required under the Act to ensure that it is available for sales of New Securities by Exchanging Dealers during the Exchange Offer Registration Period; </w:t>
      </w:r>
    </w:p>
    <w:p>
      <w:pPr>
        <w:pStyle w:val="TextBody"/>
        <w:spacing w:before="120" w:after="283"/>
        <w:jc w:val="left"/>
        <w:rPr/>
      </w:pPr>
      <w:r>
        <w:rPr/>
        <w:t>          </w:t>
      </w:r>
      <w:r>
        <w:rPr>
          <w:rFonts w:ascii="Times New Roman;Times;serif" w:hAnsi="Times New Roman;Times;serif"/>
          <w:sz w:val="17"/>
        </w:rPr>
        <w:t xml:space="preserve">(iv) utilize the services of a bank depositary for the Registered Exchange Offer with an address in the Borough of Manhattan in New York City, which may be the Trustee or an Affiliate of the Trustee; </w:t>
      </w:r>
    </w:p>
    <w:p>
      <w:pPr>
        <w:pStyle w:val="TextBody"/>
        <w:spacing w:before="120" w:after="283"/>
        <w:jc w:val="left"/>
        <w:rPr/>
      </w:pPr>
      <w:r>
        <w:rPr/>
        <w:t>          </w:t>
      </w:r>
      <w:r>
        <w:rPr>
          <w:rFonts w:ascii="Times New Roman;Times;serif" w:hAnsi="Times New Roman;Times;serif"/>
          <w:sz w:val="17"/>
        </w:rPr>
        <w:t xml:space="preserve">(v) permit Holders to withdraw tendered Securities at any time prior to the close of business, New York time, on the last Business Day on which the Registered Exchange Offer is open; </w:t>
      </w:r>
    </w:p>
    <w:p>
      <w:pPr>
        <w:pStyle w:val="TextBody"/>
        <w:spacing w:before="120" w:after="283"/>
        <w:jc w:val="left"/>
        <w:rPr/>
      </w:pPr>
      <w:r>
        <w:rPr/>
        <w:t>          </w:t>
      </w:r>
      <w:r>
        <w:rPr>
          <w:rFonts w:ascii="Times New Roman;Times;serif" w:hAnsi="Times New Roman;Times;serif"/>
          <w:sz w:val="17"/>
        </w:rPr>
        <w:t xml:space="preserve">(vi) prior to effectiveness of the Exchange Offer Registration Statement, provide a supplemental letter to the Commission (A) stating that the Issuers and the Guarantors are conducting the Registered Exchange Offer in reliance on the position of the Commission in </w:t>
      </w:r>
      <w:r>
        <w:rPr>
          <w:rFonts w:ascii="Times New Roman;Times;serif" w:hAnsi="Times New Roman;Times;serif"/>
          <w:sz w:val="17"/>
          <w:u w:val="single"/>
        </w:rPr>
        <w:t>Exxon Capital Holdings Corporation</w:t>
      </w:r>
      <w:r>
        <w:rPr>
          <w:rFonts w:ascii="Times New Roman;Times;serif" w:hAnsi="Times New Roman;Times;serif"/>
          <w:sz w:val="17"/>
        </w:rPr>
        <w:t xml:space="preserve"> (pub. avail. May 13, 1988) and </w:t>
      </w:r>
      <w:r>
        <w:rPr>
          <w:rFonts w:ascii="Times New Roman;Times;serif" w:hAnsi="Times New Roman;Times;serif"/>
          <w:sz w:val="17"/>
          <w:u w:val="single"/>
        </w:rPr>
        <w:t>Morgan Stanley and Co., Inc</w:t>
      </w:r>
      <w:r>
        <w:rPr>
          <w:rFonts w:ascii="Times New Roman;Times;serif" w:hAnsi="Times New Roman;Times;serif"/>
          <w:sz w:val="17"/>
        </w:rPr>
        <w:t xml:space="preserve">. (pub. avail. June 5, 1991) and (B) including a representation that the Issuers and the Guarantors have not entered into any arrangement or understanding with any Person to distribute the New Securities to be received in the Registered Exchange Offer and that, to the best of the Issuers and the Guarantors information and belief, each Holder participating in the Registered Exchange Offer is acquiring the New Securities in the ordinary course of business and has no arrangement or understanding with any Person to participate in the distribution of the New Securities; and </w:t>
      </w:r>
    </w:p>
    <w:p>
      <w:pPr>
        <w:pStyle w:val="TextBody"/>
        <w:spacing w:before="120" w:after="283"/>
        <w:jc w:val="left"/>
        <w:rPr/>
      </w:pPr>
      <w:r>
        <w:rPr/>
        <w:t>          </w:t>
      </w:r>
      <w:r>
        <w:rPr>
          <w:rFonts w:ascii="Times New Roman;Times;serif" w:hAnsi="Times New Roman;Times;serif"/>
          <w:sz w:val="17"/>
        </w:rPr>
        <w:t xml:space="preserve">(vii) comply in all material respects with all applicable laws. </w:t>
      </w:r>
    </w:p>
    <w:p>
      <w:pPr>
        <w:pStyle w:val="TextBody"/>
        <w:spacing w:before="120" w:after="283"/>
        <w:jc w:val="left"/>
        <w:rPr/>
      </w:pPr>
      <w:r>
        <w:rPr/>
        <w:t>          </w:t>
      </w:r>
      <w:r>
        <w:rPr>
          <w:rFonts w:ascii="Times New Roman;Times;serif" w:hAnsi="Times New Roman;Times;serif"/>
          <w:sz w:val="17"/>
        </w:rPr>
        <w:t xml:space="preserve">(c) As soon as practicable after the close of the Registered Exchange Offer, the Issuers and the Guarantors shall: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 accept for exchange all Securities tendered and not validly withdrawn pursuant to the Registered Exchange Offer; and </w:t>
      </w:r>
    </w:p>
    <w:p>
      <w:pPr>
        <w:pStyle w:val="TextBody"/>
        <w:spacing w:before="120" w:after="283"/>
        <w:jc w:val="left"/>
        <w:rPr/>
      </w:pPr>
      <w:r>
        <w:rPr/>
        <w:t>          </w:t>
      </w:r>
      <w:r>
        <w:rPr>
          <w:rFonts w:ascii="Times New Roman;Times;serif" w:hAnsi="Times New Roman;Times;serif"/>
          <w:sz w:val="17"/>
        </w:rPr>
        <w:t xml:space="preserve">(ii) issue and cause the Trustee promptly to authenticate a global certificate representing New Securities exchanged for Securities and to deliver to each Holder of Securities a principal amount of New Securities equal to the principal amount of the Securities of such Holder so accepted for exchange. </w:t>
      </w:r>
    </w:p>
    <w:p>
      <w:pPr>
        <w:pStyle w:val="TextBody"/>
        <w:spacing w:before="120" w:after="283"/>
        <w:jc w:val="left"/>
        <w:rPr/>
      </w:pPr>
      <w:r>
        <w:rPr/>
        <w:t>          </w:t>
      </w:r>
      <w:r>
        <w:rPr>
          <w:rFonts w:ascii="Times New Roman;Times;serif" w:hAnsi="Times New Roman;Times;serif"/>
          <w:sz w:val="17"/>
        </w:rPr>
        <w:t xml:space="preserve">(d) Each Holder hereby acknowledges and agrees that any Broker-Dealer and any such Holder using the Registered Exchange Offer to participate in a distribution of the New Securities (x) could not under Commission policy as in effect on the date of this Agreement rely on the position of the Commission in </w:t>
      </w:r>
      <w:r>
        <w:rPr>
          <w:rFonts w:ascii="Times New Roman;Times;serif" w:hAnsi="Times New Roman;Times;serif"/>
          <w:sz w:val="17"/>
          <w:u w:val="single"/>
        </w:rPr>
        <w:t>Morgan Stanley and Co., Inc.</w:t>
      </w:r>
      <w:r>
        <w:rPr>
          <w:rFonts w:ascii="Times New Roman;Times;serif" w:hAnsi="Times New Roman;Times;serif"/>
          <w:sz w:val="17"/>
        </w:rPr>
        <w:t xml:space="preserve"> (pub. avail. June 5, 1991) and </w:t>
      </w:r>
      <w:r>
        <w:rPr>
          <w:rFonts w:ascii="Times New Roman;Times;serif" w:hAnsi="Times New Roman;Times;serif"/>
          <w:sz w:val="17"/>
          <w:u w:val="single"/>
        </w:rPr>
        <w:t>Exxon Capital Holdings Corporation</w:t>
      </w:r>
      <w:r>
        <w:rPr>
          <w:rFonts w:ascii="Times New Roman;Times;serif" w:hAnsi="Times New Roman;Times;serif"/>
          <w:sz w:val="17"/>
        </w:rPr>
        <w:t xml:space="preserve"> (pub. avail. May 13, 1988), as interpreted in the Commissions letter to Shearman &amp; Sterling dated July 2, 1993 and similar no-action letters; and (y) must comply with the registration and prospectus delivery requirements of the Act in connection with any secondary resale transaction and must be covered by an effective registration statement containing the selling security holder information required by Item 507 or 508, as applicable, of Regulation S-K under the Act if the resales are of New Securities obtained by such Holder in exchange for Securities acquired by such Holder directly from the Issuers or the Guarantors or one of their Affiliates. Accordingly, each Holder participating in the Registered Exchange Offer shall be required to represent to the Issuers and the Guarantors that, at the time of the consummation of the Registered Exchange Offer: </w:t>
      </w:r>
    </w:p>
    <w:p>
      <w:pPr>
        <w:pStyle w:val="TextBody"/>
        <w:spacing w:before="120" w:after="283"/>
        <w:jc w:val="left"/>
        <w:rPr/>
      </w:pPr>
      <w:r>
        <w:rPr/>
        <w:t>          </w:t>
      </w:r>
      <w:r>
        <w:rPr>
          <w:rFonts w:ascii="Times New Roman;Times;serif" w:hAnsi="Times New Roman;Times;serif"/>
          <w:sz w:val="17"/>
        </w:rPr>
        <w:t xml:space="preserve">(i) any New Securities received by such Holder will be acquired in the ordinary course of business; </w:t>
      </w:r>
    </w:p>
    <w:p>
      <w:pPr>
        <w:pStyle w:val="TextBody"/>
        <w:spacing w:before="120" w:after="283"/>
        <w:jc w:val="left"/>
        <w:rPr/>
      </w:pPr>
      <w:r>
        <w:rPr/>
        <w:t>          </w:t>
      </w:r>
      <w:r>
        <w:rPr>
          <w:rFonts w:ascii="Times New Roman;Times;serif" w:hAnsi="Times New Roman;Times;serif"/>
          <w:sz w:val="17"/>
        </w:rPr>
        <w:t xml:space="preserve">(ii) such Holder will have no arrangement or understanding with any Person to participate in the distribution of the Securities or the New Securities within the meaning of the Act; and </w:t>
      </w:r>
    </w:p>
    <w:p>
      <w:pPr>
        <w:pStyle w:val="TextBody"/>
        <w:spacing w:before="120" w:after="283"/>
        <w:jc w:val="left"/>
        <w:rPr/>
      </w:pPr>
      <w:r>
        <w:rPr/>
        <w:t>          </w:t>
      </w:r>
      <w:r>
        <w:rPr>
          <w:rFonts w:ascii="Times New Roman;Times;serif" w:hAnsi="Times New Roman;Times;serif"/>
          <w:sz w:val="17"/>
        </w:rPr>
        <w:t xml:space="preserve">(iii) such Holder is not an Affiliate of the Issuers or the Guarantors. </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sz w:val="17"/>
          <w:u w:val="single"/>
        </w:rPr>
        <w:t>Shelf Registration</w:t>
      </w:r>
      <w:r>
        <w:rPr>
          <w:rFonts w:ascii="Times New Roman;Times;serif" w:hAnsi="Times New Roman;Times;serif"/>
          <w:sz w:val="17"/>
        </w:rPr>
        <w:t xml:space="preserve">. (a) If (i) due to any change in law or applicable interpretations thereof by the Commissions staff, the Issuers and the Guarantors determine upon advice of their outside counsel that they are not permitted to effect the Registered Exchange Offer as contemplated by Section 2 hereof; (ii) for any other reason the Registered Exchange Offer is not consummated within 300 days of the date hereof; (iii) any Initial Purchaser so requests with respect to Securities that are not eligible to be exchanged for New Securities in the Registered Exchange Offer and that are held by it following consummation of the Registered Exchange Offer, or (iv) any Holder (other than an Initial Purchaser) is not eligible to participate in the Registered Exchange Offer, the Issuers and the Guarantors shall effect a Shelf Registration Statement in accordance with subsection (b) below. </w:t>
      </w:r>
    </w:p>
    <w:p>
      <w:pPr>
        <w:pStyle w:val="TextBody"/>
        <w:spacing w:before="120" w:after="283"/>
        <w:jc w:val="left"/>
        <w:rPr/>
      </w:pPr>
      <w:r>
        <w:rPr/>
        <w:t>          </w:t>
      </w:r>
      <w:r>
        <w:rPr>
          <w:rFonts w:ascii="Times New Roman;Times;serif" w:hAnsi="Times New Roman;Times;serif"/>
          <w:sz w:val="17"/>
        </w:rPr>
        <w:t xml:space="preserve">(b) (i) The Issuers and the Guarantors shall as promptly as practicable (but in no event more than 180 days after so required or requested pursuant to this Section 3), file with the Commission and thereafter shall use their reasonable best efforts to cause to be declared effective under the Act, within 270 days after so required or requested pursuant to this Section 3,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Shelf Registration Statement relating to the offer and sale of the Securities or the New Securities, as applicable, by the Holders thereof from time to time in accordance with the methods of distribution elected by such Holders and set forth in such Shelf Registration Statement;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no Holder (other than an Initial Purchaser) shall be entitled to have the Securities held by it covered by such Shelf Registration Statement unless such Holder agrees in writing to be bound by all of the provisions of this Agreement applicable to such Holder; and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further</w:t>
      </w:r>
      <w:r>
        <w:rPr>
          <w:rFonts w:ascii="Times New Roman;Times;serif" w:hAnsi="Times New Roman;Times;serif"/>
          <w:sz w:val="17"/>
        </w:rPr>
        <w:t xml:space="preserve">, that with respect to New Securities received by an Initial Purchaser in exchange for Securities constituting any portion of an unsold allotment, the Issuers and the Guarantors may, if permitted by current interpretations by the Commissions staff, file a post-effective amendment to the Exchange Offer Registration Statement containing the 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 </w:t>
      </w:r>
    </w:p>
    <w:p>
      <w:pPr>
        <w:pStyle w:val="TextBody"/>
        <w:spacing w:before="120" w:after="283"/>
        <w:jc w:val="left"/>
        <w:rPr/>
      </w:pPr>
      <w:r>
        <w:rPr/>
        <w:t>          </w:t>
      </w:r>
      <w:r>
        <w:rPr>
          <w:rFonts w:ascii="Times New Roman;Times;serif" w:hAnsi="Times New Roman;Times;serif"/>
          <w:sz w:val="17"/>
        </w:rPr>
        <w:t xml:space="preserve">(ii) The Issuers and the Guarantors shall use their reasonable best efforts to keep the Shelf Registration Statement continuously effective, supplemented and amended as required by the Act, in order to permit the Prospectus forming part thereof to be usable by Holders for a period of two years from the date the Shelf Registration Statement is declared effective by the Commission or such shorter period that will terminate when all the Securities or New Securities, as applicable, covered by the Shelf Registration Statement have been sold pursuant to the Shelf Registration Statement under the Act (in any such case, such period being called the Shelf Registration Period). The Issuers and the Guarantors shall be deemed not to have used their reasonable best efforts to keep the Shelf Registration Statement effective during the requisite period if either Issuer or any Guarantor voluntarily takes any action that would result in Holders of Securities covered thereby not being able to offer and sell such Securities during that period, unless (A) such action is required by applicable law; or (B) such action is taken by such Issuer or such Guarantor in good faith and for valid business reasons (not including avoidance of the Issuers or the Guarantors obligations hereunder), including the acquisition or divestiture of assets, so long as the Issuers and the Guarantors promptly thereafter comply with the requirements of Section 5(k) hereof, if applicable. </w:t>
      </w:r>
    </w:p>
    <w:p>
      <w:pPr>
        <w:pStyle w:val="TextBody"/>
        <w:spacing w:before="120" w:after="283"/>
        <w:jc w:val="left"/>
        <w:rPr/>
      </w:pPr>
      <w:r>
        <w:rPr/>
        <w:t>          </w:t>
      </w:r>
      <w:r>
        <w:rPr>
          <w:rFonts w:ascii="Times New Roman;Times;serif" w:hAnsi="Times New Roman;Times;serif"/>
          <w:sz w:val="17"/>
        </w:rPr>
        <w:t xml:space="preserve">(iii) The Issuers and the Guarantors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the rules and regulations of the Commission; and (B) not to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 xml:space="preserve">Additional Interest. </w:t>
      </w:r>
    </w:p>
    <w:p>
      <w:pPr>
        <w:pStyle w:val="TextBody"/>
        <w:spacing w:before="120" w:after="283"/>
        <w:jc w:val="left"/>
        <w:rPr/>
      </w:pPr>
      <w:r>
        <w:rPr/>
        <w:t>          </w:t>
      </w:r>
      <w:r>
        <w:rPr>
          <w:rFonts w:ascii="Times New Roman;Times;serif" w:hAnsi="Times New Roman;Times;serif"/>
          <w:sz w:val="17"/>
        </w:rPr>
        <w:t xml:space="preserve">(a) In the event that (i) the Issuers and the Guarantors have not filed the Exchange Offer Registration Statement or the Shelf Registration Statement with the Commission on or before the date on which such Registration Statement is required to be so filed pursuant to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2(a) and 3(b), respectively, or (ii) such Exchange Offer Registration Statement or Shelf Registration Statement has not been declared effective by the Commission under the Act on or before the date on which such Registration Statement is required to be declared effective under the Act pursuant to Section 2(a) or 3(b), respectively, or (iii) the Exchange Offer has not been consummated within 300 days after the date of issuance of the Securities, or (iv) the Exchange Offer Registration Statement or Shelf Registration Statement required by Section 2(a) or 3(b) hereof is filed and declared effective by the Commission under the Act but shall thereafter cease to be effective (except as specifically permitted herein) without being succeeded immediately by an additional Registration Statement filed and declared effective by the Commission under the Act (each such event referred to in clauses (i) through (iv) is referred to herein as a Registration Default), then the interest rate on the Securities will be increased, for the period from the occurrence of the Registration Default until such time as all Registration Defaults are cured (at which time the interest rate will be reduced to its initial rate) by 0.25% per annum during the first 90-day period following the occurrence and during the continuation of the Registration Default, and by 0.25% per annum for each subsequent 90-day period during which such Registration Default continues. The interest rate will not at any time be increased by greater than 0.50% per annum. </w:t>
      </w:r>
    </w:p>
    <w:p>
      <w:pPr>
        <w:pStyle w:val="TextBody"/>
        <w:spacing w:before="120" w:after="283"/>
        <w:jc w:val="left"/>
        <w:rPr/>
      </w:pPr>
      <w:r>
        <w:rPr/>
        <w:t>          </w:t>
      </w:r>
      <w:r>
        <w:rPr>
          <w:rFonts w:ascii="Times New Roman;Times;serif" w:hAnsi="Times New Roman;Times;serif"/>
          <w:sz w:val="17"/>
        </w:rPr>
        <w:t xml:space="preserve">(b) Without limiting the remedies available to the Initial Purchasers and the Holders, the Issuers and the Guarantors acknowledge that any failure by the Issuers or the Guarantors to comply with their obligations under Section 2(a) or 3(b)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 2(a) or Section 3(b) hereof.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Additional Registration Procedures</w:t>
      </w:r>
      <w:r>
        <w:rPr>
          <w:rFonts w:ascii="Times New Roman;Times;serif" w:hAnsi="Times New Roman;Times;serif"/>
          <w:sz w:val="17"/>
        </w:rPr>
        <w:t xml:space="preserve">. In connection with any Shelf Registration Statement and, to the extent applicable, any Exchange Offer Registration Statement, the following provisions shall apply. </w:t>
      </w:r>
    </w:p>
    <w:p>
      <w:pPr>
        <w:pStyle w:val="TextBody"/>
        <w:spacing w:before="120" w:after="283"/>
        <w:jc w:val="left"/>
        <w:rPr/>
      </w:pPr>
      <w:r>
        <w:rPr/>
        <w:t>          </w:t>
      </w:r>
      <w:r>
        <w:rPr>
          <w:rFonts w:ascii="Times New Roman;Times;serif" w:hAnsi="Times New Roman;Times;serif"/>
          <w:sz w:val="17"/>
        </w:rPr>
        <w:t xml:space="preserve">(a) The Issuers and the Guarantors shall: </w:t>
      </w:r>
    </w:p>
    <w:p>
      <w:pPr>
        <w:pStyle w:val="TextBody"/>
        <w:spacing w:before="120" w:after="283"/>
        <w:jc w:val="left"/>
        <w:rPr/>
      </w:pPr>
      <w:r>
        <w:rPr/>
        <w:t>          </w:t>
      </w:r>
      <w:r>
        <w:rPr>
          <w:rFonts w:ascii="Times New Roman;Times;serif" w:hAnsi="Times New Roman;Times;serif"/>
          <w:sz w:val="17"/>
        </w:rPr>
        <w:t xml:space="preserve">(i) furnish to you, not less than five Business Days prior to the filing thereof with the Commission, a copy of any Exchange Offer Registration Statement and any Shelf Registration Statement, and each amendment thereof and each amendment or supplement, if any, to the Prospectus included therein (including all documents incorporated by reference therein after the initial filing) and shall use their reasonable best efforts to reflect in each such document, when so filed with the Commission, such comments as you reasonably propose; </w:t>
      </w:r>
    </w:p>
    <w:p>
      <w:pPr>
        <w:pStyle w:val="TextBody"/>
        <w:spacing w:before="120" w:after="283"/>
        <w:jc w:val="left"/>
        <w:rPr/>
      </w:pPr>
      <w:r>
        <w:rPr/>
        <w:t>          </w:t>
      </w:r>
      <w:r>
        <w:rPr>
          <w:rFonts w:ascii="Times New Roman;Times;serif" w:hAnsi="Times New Roman;Times;serif"/>
          <w:sz w:val="17"/>
        </w:rPr>
        <w:t xml:space="preserve">(ii) include the information set forth in Annex A hereto on the facing page of the Exchange Offer Registration Statement, in Annex B hereto in the forepart of the Exchange Offer Registration Statement in a section setting forth details of the Exchange Offer, in Annex C hereto in the underwriting or plan of distribution section of the Prospectus contained in the Exchange Offer Registration Statement, and in Annex D hereto in the letter of transmittal delivered pursuant to the Registered Exchange Offer;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(iii) if requested by an Initial Purchaser, include the information required by Item 507 or 508 of Regulation S-K, as applicable, in the Prospectus contained in the Shelf Registration Statement; and </w:t>
      </w:r>
    </w:p>
    <w:p>
      <w:pPr>
        <w:pStyle w:val="TextBody"/>
        <w:spacing w:before="120" w:after="283"/>
        <w:jc w:val="left"/>
        <w:rPr/>
      </w:pPr>
      <w:r>
        <w:rPr/>
        <w:t>          </w:t>
      </w:r>
      <w:r>
        <w:rPr>
          <w:rFonts w:ascii="Times New Roman;Times;serif" w:hAnsi="Times New Roman;Times;serif"/>
          <w:sz w:val="17"/>
        </w:rPr>
        <w:t xml:space="preserve">(iv) in the case of a Shelf Registration Statement, include the names of the Holders that propose to sell Securities pursuant to the Shelf Registration Statement as selling security holders. </w:t>
      </w:r>
    </w:p>
    <w:p>
      <w:pPr>
        <w:pStyle w:val="TextBody"/>
        <w:spacing w:before="120" w:after="283"/>
        <w:jc w:val="left"/>
        <w:rPr/>
      </w:pPr>
      <w:r>
        <w:rPr/>
        <w:t>          </w:t>
      </w:r>
      <w:r>
        <w:rPr>
          <w:rFonts w:ascii="Times New Roman;Times;serif" w:hAnsi="Times New Roman;Times;serif"/>
          <w:sz w:val="17"/>
        </w:rPr>
        <w:t xml:space="preserve">(b) The Issuers and the Guarantors shall ensure that: </w:t>
      </w:r>
    </w:p>
    <w:p>
      <w:pPr>
        <w:pStyle w:val="TextBody"/>
        <w:spacing w:before="120" w:after="283"/>
        <w:jc w:val="left"/>
        <w:rPr/>
      </w:pPr>
      <w:r>
        <w:rPr/>
        <w:t>          </w:t>
      </w:r>
      <w:r>
        <w:rPr>
          <w:rFonts w:ascii="Times New Roman;Times;serif" w:hAnsi="Times New Roman;Times;serif"/>
          <w:sz w:val="17"/>
        </w:rPr>
        <w:t xml:space="preserve">(i) any Registration Statement and any amendment thereto and any Prospectus forming part thereof and any amendment or supplement thereto comply in all material respects with the Act and the rules and regulations thereunder; and </w:t>
      </w:r>
    </w:p>
    <w:p>
      <w:pPr>
        <w:pStyle w:val="TextBody"/>
        <w:spacing w:before="120" w:after="283"/>
        <w:jc w:val="left"/>
        <w:rPr/>
      </w:pPr>
      <w:r>
        <w:rPr/>
        <w:t>          </w:t>
      </w:r>
      <w:r>
        <w:rPr>
          <w:rFonts w:ascii="Times New Roman;Times;serif" w:hAnsi="Times New Roman;Times;serif"/>
          <w:sz w:val="17"/>
        </w:rPr>
        <w:t xml:space="preserve">(ii) any Registration Statement and any amendment thereto do not, when they become effective, contain an untrue statement of a material fact or omit to state a material fact required to be stated therein or necessary to make the statements therein not misleading. </w:t>
      </w:r>
    </w:p>
    <w:p>
      <w:pPr>
        <w:pStyle w:val="TextBody"/>
        <w:spacing w:before="120" w:after="283"/>
        <w:jc w:val="left"/>
        <w:rPr/>
      </w:pPr>
      <w:r>
        <w:rPr/>
        <w:t>          </w:t>
      </w:r>
      <w:r>
        <w:rPr>
          <w:rFonts w:ascii="Times New Roman;Times;serif" w:hAnsi="Times New Roman;Times;serif"/>
          <w:sz w:val="17"/>
        </w:rPr>
        <w:t xml:space="preserve">(c) The Issuers and the Guarantors shall advise you, the Holders of Securities covered by any Shelf Registration Statement and any Exchanging Dealer under any Exchange Offer Registration Statement that has provided in writing to the Issuers and the Guarantors a telephone or facsimile number and address for notices, and, if requested in writing by you or any such Holder or Exchanging Dealer, shall confirm such advice in writing (which notice pursuant to clauses (ii)-(v) hereof shall be accompanied by an instruction to suspend the use of the Prospectus until the Issuers and the Guarantors shall have remedied the basis for such suspension): </w:t>
      </w:r>
    </w:p>
    <w:p>
      <w:pPr>
        <w:pStyle w:val="TextBody"/>
        <w:spacing w:before="120" w:after="283"/>
        <w:jc w:val="left"/>
        <w:rPr/>
      </w:pPr>
      <w:r>
        <w:rPr/>
        <w:t>          </w:t>
      </w:r>
      <w:r>
        <w:rPr>
          <w:rFonts w:ascii="Times New Roman;Times;serif" w:hAnsi="Times New Roman;Times;serif"/>
          <w:sz w:val="17"/>
        </w:rPr>
        <w:t xml:space="preserve">(i) when a Registration Statement and any amendment thereto have been filed with the Commission and when the Registration Statement or any post-effective amendment thereto has become effective; </w:t>
      </w:r>
    </w:p>
    <w:p>
      <w:pPr>
        <w:pStyle w:val="TextBody"/>
        <w:spacing w:before="120" w:after="283"/>
        <w:jc w:val="left"/>
        <w:rPr/>
      </w:pPr>
      <w:r>
        <w:rPr/>
        <w:t>          </w:t>
      </w:r>
      <w:r>
        <w:rPr>
          <w:rFonts w:ascii="Times New Roman;Times;serif" w:hAnsi="Times New Roman;Times;serif"/>
          <w:sz w:val="17"/>
        </w:rPr>
        <w:t xml:space="preserve">(ii) of any request by the Commission for any amendment or supplement to the Registration Statement or the Prospectus or for additional information; </w:t>
      </w:r>
    </w:p>
    <w:p>
      <w:pPr>
        <w:pStyle w:val="TextBody"/>
        <w:spacing w:before="120" w:after="283"/>
        <w:jc w:val="left"/>
        <w:rPr/>
      </w:pPr>
      <w:r>
        <w:rPr/>
        <w:t>          </w:t>
      </w:r>
      <w:r>
        <w:rPr>
          <w:rFonts w:ascii="Times New Roman;Times;serif" w:hAnsi="Times New Roman;Times;serif"/>
          <w:sz w:val="17"/>
        </w:rPr>
        <w:t xml:space="preserve">(iii) of the issuance by the Commission of any stop order suspending the effectiveness of the Registration Statement or the initiation of any proceedings for that purpose; </w:t>
      </w:r>
    </w:p>
    <w:p>
      <w:pPr>
        <w:pStyle w:val="TextBody"/>
        <w:spacing w:before="120" w:after="283"/>
        <w:jc w:val="left"/>
        <w:rPr/>
      </w:pPr>
      <w:r>
        <w:rPr/>
        <w:t>          </w:t>
      </w:r>
      <w:r>
        <w:rPr>
          <w:rFonts w:ascii="Times New Roman;Times;serif" w:hAnsi="Times New Roman;Times;serif"/>
          <w:sz w:val="17"/>
        </w:rPr>
        <w:t xml:space="preserve">(iv) of the receipt by the Issuers and the Guarantors of any notification with respect to the suspension of the qualification of the Securities included therein for sale in any jurisdiction or the initiation of any proceeding for such purpose; and </w:t>
      </w:r>
    </w:p>
    <w:p>
      <w:pPr>
        <w:pStyle w:val="TextBody"/>
        <w:spacing w:before="120" w:after="283"/>
        <w:jc w:val="left"/>
        <w:rPr/>
      </w:pPr>
      <w:r>
        <w:rPr/>
        <w:t>          </w:t>
      </w:r>
      <w:r>
        <w:rPr>
          <w:rFonts w:ascii="Times New Roman;Times;serif" w:hAnsi="Times New Roman;Times;serif"/>
          <w:sz w:val="17"/>
        </w:rPr>
        <w:t xml:space="preserve">(v) of the happening of any event that requires any change in the Registration Statement or the Prospectus so that, as of such date, the statements therein are not misleading and do not omit to state a material fact required to be stated therein or necessary to make the statements therein (in the case of the Prospectus, in the light of the circumstances under which they were made) not misleading.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(d) The Issuers and the Guarantors shall use their reasonable best efforts to obtain the withdrawal of any order suspending the effectiveness of any Registration Statement or the qualification of the Securities therein for sale in any jurisdiction at the earliest possible time. </w:t>
      </w:r>
    </w:p>
    <w:p>
      <w:pPr>
        <w:pStyle w:val="TextBody"/>
        <w:spacing w:before="120" w:after="283"/>
        <w:jc w:val="left"/>
        <w:rPr/>
      </w:pPr>
      <w:r>
        <w:rPr/>
        <w:t>          </w:t>
      </w:r>
      <w:r>
        <w:rPr>
          <w:rFonts w:ascii="Times New Roman;Times;serif" w:hAnsi="Times New Roman;Times;serif"/>
          <w:sz w:val="17"/>
        </w:rPr>
        <w:t xml:space="preserve">(e) The Issuers and the Guarantors shall furnish to each Holder of Securities covered by any Shelf Registration Statement,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 </w:t>
      </w:r>
    </w:p>
    <w:p>
      <w:pPr>
        <w:pStyle w:val="TextBody"/>
        <w:spacing w:before="120" w:after="283"/>
        <w:jc w:val="left"/>
        <w:rPr/>
      </w:pPr>
      <w:r>
        <w:rPr/>
        <w:t>          </w:t>
      </w:r>
      <w:r>
        <w:rPr>
          <w:rFonts w:ascii="Times New Roman;Times;serif" w:hAnsi="Times New Roman;Times;serif"/>
          <w:sz w:val="17"/>
        </w:rPr>
        <w:t xml:space="preserve">(f) The Issuers and the Guarantors shall, during the Shelf Registration Period, deliver to each Holder of Securities covered by any Shelf Registration Statement, without charge, as many copies of the Prospectus (including each preliminary Prospectus) included in such Shelf Registration Statement and any amendment or supplement thereto as such Holder may reasonably request. The Issuers and the Guarantors consent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 </w:t>
      </w:r>
    </w:p>
    <w:p>
      <w:pPr>
        <w:pStyle w:val="TextBody"/>
        <w:spacing w:before="120" w:after="283"/>
        <w:jc w:val="left"/>
        <w:rPr/>
      </w:pPr>
      <w:r>
        <w:rPr/>
        <w:t>          </w:t>
      </w:r>
      <w:r>
        <w:rPr>
          <w:rFonts w:ascii="Times New Roman;Times;serif" w:hAnsi="Times New Roman;Times;serif"/>
          <w:sz w:val="17"/>
        </w:rPr>
        <w:t xml:space="preserve">(g) The Issuers and the Guarantors shall furnish to each Exchanging Dealer which so requests, without charge, at least one copy of the Exchange Offer Registration Statement and any post-effective amendment thereto, including all material incorporated by reference therein, and, if the Exchanging Dealer so requests in writing, all exhibits thereto (including exhibits incorporated by reference therein). </w:t>
      </w:r>
    </w:p>
    <w:p>
      <w:pPr>
        <w:pStyle w:val="TextBody"/>
        <w:spacing w:before="120" w:after="283"/>
        <w:jc w:val="left"/>
        <w:rPr/>
      </w:pPr>
      <w:r>
        <w:rPr/>
        <w:t>          </w:t>
      </w:r>
      <w:r>
        <w:rPr>
          <w:rFonts w:ascii="Times New Roman;Times;serif" w:hAnsi="Times New Roman;Times;serif"/>
          <w:sz w:val="17"/>
        </w:rPr>
        <w:t xml:space="preserve">(h) The Issuers and the Guarantors shall promptly deliver to each Initial Purchaser, each Exchanging Dealer and each other Person required to deliver a Prospectus during the effectiveness of the Exchange Offer Registration Statement, without charge, as many copies of the Prospectus included in such Exchange Offer Registration Statement and any amendment or supplement thereto as any such Person may reasonably request. The Issuers and the Guarantors consent to the use of the Prospectus or any amendment or supplement thereto by any Initial Purchaser, any Exchanging Dealer and any such other Person that may be required to deliver a Prospectus following the Registered Exchange Offer in connection with the offering and sale of the New Securities covered by the Prospectus, or any amendment or supplement thereto, included in the Exchange Offer Registration Statement. </w:t>
      </w:r>
    </w:p>
    <w:p>
      <w:pPr>
        <w:pStyle w:val="TextBody"/>
        <w:spacing w:before="120" w:after="283"/>
        <w:jc w:val="left"/>
        <w:rPr/>
      </w:pPr>
      <w:r>
        <w:rPr/>
        <w:t>          </w:t>
      </w:r>
      <w:r>
        <w:rPr>
          <w:rFonts w:ascii="Times New Roman;Times;serif" w:hAnsi="Times New Roman;Times;serif"/>
          <w:sz w:val="17"/>
        </w:rPr>
        <w:t xml:space="preserve">(i) Prior to the Registered Exchange Offer or any other offering of Securities pursuant to any Registration Statement, the Issuers and the Guarantors shall arrange, if necessary, for the qualification of the Securities or the New Securities for sale under the laws of such jurisdiction as any Holder shall reasonably request and will maintain such qualification in effect so long as required; </w:t>
      </w:r>
      <w:r>
        <w:rPr>
          <w:rFonts w:ascii="Times New Roman;Times;serif" w:hAnsi="Times New Roman;Times;serif"/>
          <w:sz w:val="17"/>
          <w:u w:val="single"/>
        </w:rPr>
        <w:t>provided</w:t>
      </w:r>
      <w:r>
        <w:rPr>
          <w:rFonts w:ascii="Times New Roman;Times;serif" w:hAnsi="Times New Roman;Times;serif"/>
          <w:sz w:val="17"/>
        </w:rPr>
        <w:t xml:space="preserve"> that in no event shall either Issuer or any Guarantor be obligated to qualify to do business in any jurisdiction where it is not then so qualified or to take any action that would subject it to service of process in suits, other than those arising out of the Initial Placement, the Registered Exchange Offer or any offering pursuant to a Shelf Registration Statement, in any such jurisdiction where it is not then so subject.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(j) If any of the Securities or the New Securities are not issued in global form, then the Issuers and the Guarantors shall cooperate with the Holders of Securities to facilitate the timely preparation and delivery of certificates representing New Securities or Securities to be issued or sold pursuant to any Registration Statement free of any restrictive legends and in such denominations and registered in such names as Holders may request. </w:t>
      </w:r>
    </w:p>
    <w:p>
      <w:pPr>
        <w:pStyle w:val="TextBody"/>
        <w:spacing w:before="120" w:after="283"/>
        <w:jc w:val="left"/>
        <w:rPr/>
      </w:pPr>
      <w:r>
        <w:rPr/>
        <w:t>          </w:t>
      </w:r>
      <w:r>
        <w:rPr>
          <w:rFonts w:ascii="Times New Roman;Times;serif" w:hAnsi="Times New Roman;Times;serif"/>
          <w:sz w:val="17"/>
        </w:rPr>
        <w:t xml:space="preserve">(k) Upon the occurrence of any event contemplated by subsections (c)(ii) or (v) above, the Issuers and the Guarantors shall promptly prepare a post-effective amendment to the applicable Registration Statement or an amendment or supplement to the related Prospectus or file any other required document so that, as thereafter delivered to Initial Purchasers of the securities included 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and the Shelf Registration Statement provided for in Section 3(b) shall each be extended by the number of days from and including the date of the giving of a notice of suspension pursuant to Section 5(c) to and including the date when the Initial Purchasers, the Holders of the Securities and any known Exchanging Dealer shall have received such amended or supplemented Prospectus pursuant to this Section. </w:t>
      </w:r>
    </w:p>
    <w:p>
      <w:pPr>
        <w:pStyle w:val="TextBody"/>
        <w:spacing w:before="120" w:after="283"/>
        <w:jc w:val="left"/>
        <w:rPr/>
      </w:pPr>
      <w:r>
        <w:rPr/>
        <w:t>          </w:t>
      </w:r>
      <w:r>
        <w:rPr>
          <w:rFonts w:ascii="Times New Roman;Times;serif" w:hAnsi="Times New Roman;Times;serif"/>
          <w:sz w:val="17"/>
        </w:rPr>
        <w:t xml:space="preserve">(l) Not later than the effective date of any Registration Statement, the Issuers and the Guarantors shall provide a CUSIP number for the Securities or the New Securities, as the case may be, registered under such Registration Statement and provide the Trustee with certificates for such Securities or New Securities, in a form eligible for deposit with The Depository Trust Company. </w:t>
      </w:r>
    </w:p>
    <w:p>
      <w:pPr>
        <w:pStyle w:val="TextBody"/>
        <w:spacing w:before="120" w:after="283"/>
        <w:jc w:val="left"/>
        <w:rPr/>
      </w:pPr>
      <w:r>
        <w:rPr/>
        <w:t>          </w:t>
      </w:r>
      <w:r>
        <w:rPr>
          <w:rFonts w:ascii="Times New Roman;Times;serif" w:hAnsi="Times New Roman;Times;serif"/>
          <w:sz w:val="17"/>
        </w:rPr>
        <w:t xml:space="preserve">(m) The Issuers and the Guarantors shall comply with all applicable rules and regulations of the Commission and shall make generally available to the Issuers security holders as soon as practicable after the effective date of the applicable Registration Statement an earnings statement satisfying the provisions of Section 11(a) of the Act. </w:t>
      </w:r>
    </w:p>
    <w:p>
      <w:pPr>
        <w:pStyle w:val="TextBody"/>
        <w:spacing w:before="120" w:after="283"/>
        <w:jc w:val="left"/>
        <w:rPr/>
      </w:pPr>
      <w:r>
        <w:rPr/>
        <w:t>          </w:t>
      </w:r>
      <w:r>
        <w:rPr>
          <w:rFonts w:ascii="Times New Roman;Times;serif" w:hAnsi="Times New Roman;Times;serif"/>
          <w:sz w:val="17"/>
        </w:rPr>
        <w:t xml:space="preserve">(n) The Issuers and the Guarantors shall cause the Indenture to be qualified under the Trust Indenture Act in a timely manner. </w:t>
      </w:r>
    </w:p>
    <w:p>
      <w:pPr>
        <w:pStyle w:val="TextBody"/>
        <w:spacing w:before="120" w:after="283"/>
        <w:jc w:val="left"/>
        <w:rPr/>
      </w:pPr>
      <w:r>
        <w:rPr/>
        <w:t>          </w:t>
      </w:r>
      <w:r>
        <w:rPr>
          <w:rFonts w:ascii="Times New Roman;Times;serif" w:hAnsi="Times New Roman;Times;serif"/>
          <w:sz w:val="17"/>
        </w:rPr>
        <w:t xml:space="preserve">(o) The Issuers and the Guarantors may require each Holder of Securities to be sold pursuant to any Shelf Registration Statement to furnish to the Issuers and the Guarantors such information regarding the Holder and the distribution of such Securities as the Issuers and the Guarantors may from time to time reasonably require for inclusion in such Registration Statement. The Issuers and the Guarantors may exclude from such Shelf Registration Statement the Securities of any Holder that unreasonably fails to furnish such information within a reasonable time after receiving such request. </w:t>
      </w:r>
    </w:p>
    <w:p>
      <w:pPr>
        <w:pStyle w:val="TextBody"/>
        <w:spacing w:before="120" w:after="283"/>
        <w:jc w:val="left"/>
        <w:rPr/>
      </w:pPr>
      <w:r>
        <w:rPr/>
        <w:t>          </w:t>
      </w:r>
      <w:r>
        <w:rPr>
          <w:rFonts w:ascii="Times New Roman;Times;serif" w:hAnsi="Times New Roman;Times;serif"/>
          <w:sz w:val="17"/>
        </w:rPr>
        <w:t xml:space="preserve">(p) In the case of any Shelf Registration Statement, the Issuers and the Guarantors shall enter into such agreements and take all other appropriate actions (including, if requested, an underwriting agreement in customary form) in order to expedite or facilitate the registration or the disposition of the Securities, and in connection therewith, if an underwriting agreement is entered into, cause the same to contain indemnification provisions and procedures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less favorable than those set forth in Section 7 (or such other provisions and procedures acceptable to the Majority Holders and the Managing Underwriters, if any, with respect to all parties to be indemnified pursuant to Section 7). </w:t>
      </w:r>
    </w:p>
    <w:p>
      <w:pPr>
        <w:pStyle w:val="TextBody"/>
        <w:spacing w:before="120" w:after="283"/>
        <w:jc w:val="left"/>
        <w:rPr/>
      </w:pPr>
      <w:r>
        <w:rPr/>
        <w:t>          </w:t>
      </w:r>
      <w:r>
        <w:rPr>
          <w:rFonts w:ascii="Times New Roman;Times;serif" w:hAnsi="Times New Roman;Times;serif"/>
          <w:sz w:val="17"/>
        </w:rPr>
        <w:t xml:space="preserve">(q) In the case of any Shelf Registration Statement, the Issuers and the Guarantors shall: </w:t>
      </w:r>
    </w:p>
    <w:p>
      <w:pPr>
        <w:pStyle w:val="TextBody"/>
        <w:spacing w:before="120" w:after="283"/>
        <w:jc w:val="left"/>
        <w:rPr/>
      </w:pPr>
      <w:r>
        <w:rPr/>
        <w:t>          </w:t>
      </w:r>
      <w:r>
        <w:rPr>
          <w:rFonts w:ascii="Times New Roman;Times;serif" w:hAnsi="Times New Roman;Times;serif"/>
          <w:sz w:val="17"/>
        </w:rPr>
        <w:t xml:space="preserve">(i) make reasonably available for inspection by the Holders of Securities to be registered thereunder, any underwriter participating in any disposition pursuant to such Registration Statement, and any attorney, accountant or other agent retained by the Holders or any such underwriter all relevant financial and other records, pertinent partnership, corporate or limited liability company documents and properties of the Issuers and the Guarantors and their respective subsidiaries; </w:t>
      </w:r>
    </w:p>
    <w:p>
      <w:pPr>
        <w:pStyle w:val="TextBody"/>
        <w:spacing w:before="120" w:after="283"/>
        <w:jc w:val="left"/>
        <w:rPr/>
      </w:pPr>
      <w:r>
        <w:rPr/>
        <w:t>          </w:t>
      </w:r>
      <w:r>
        <w:rPr>
          <w:rFonts w:ascii="Times New Roman;Times;serif" w:hAnsi="Times New Roman;Times;serif"/>
          <w:sz w:val="17"/>
        </w:rPr>
        <w:t xml:space="preserve">(ii) cause the Issuers and the Guarantors respective officers, directors and employees to supply all relevant information reasonably requested by the Holders or any such underwriter, attorney, accountant or agent in connection with any such Registration Statement as is customary for similar due diligence examinations;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any information that is designated in writing by the Issuers or the Guarantors, in good faith, as confidential at the time of delivery of such information shall be kept confidential by the Holders or any such underwriter, attorney, accountant or agent, unless such disclosure is made in connection with a court proceeding or required by law, or such information becomes available to the public generally or through a third party without an accompanying obligation of confidentiality; </w:t>
      </w:r>
    </w:p>
    <w:p>
      <w:pPr>
        <w:pStyle w:val="TextBody"/>
        <w:spacing w:before="120" w:after="283"/>
        <w:jc w:val="left"/>
        <w:rPr/>
      </w:pPr>
      <w:r>
        <w:rPr/>
        <w:t>          </w:t>
      </w:r>
      <w:r>
        <w:rPr>
          <w:rFonts w:ascii="Times New Roman;Times;serif" w:hAnsi="Times New Roman;Times;serif"/>
          <w:sz w:val="17"/>
        </w:rPr>
        <w:t xml:space="preserve">(iii) make such representations and warranties to the Holders of Securities registered thereunder and the underwriters, if any, in form, substance and scope as are customarily made by issuers to underwriters in primary underwritten offerings and covering matters including, but not limited to, those set forth in the Purchase Agreement; </w:t>
      </w:r>
    </w:p>
    <w:p>
      <w:pPr>
        <w:pStyle w:val="TextBody"/>
        <w:spacing w:before="120" w:after="283"/>
        <w:jc w:val="left"/>
        <w:rPr/>
      </w:pPr>
      <w:r>
        <w:rPr/>
        <w:t>          </w:t>
      </w:r>
      <w:r>
        <w:rPr>
          <w:rFonts w:ascii="Times New Roman;Times;serif" w:hAnsi="Times New Roman;Times;serif"/>
          <w:sz w:val="17"/>
        </w:rPr>
        <w:t xml:space="preserve">(iv) obtain opinions of counsel to the Issuers and the Guarantors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 </w:t>
      </w:r>
    </w:p>
    <w:p>
      <w:pPr>
        <w:pStyle w:val="TextBody"/>
        <w:spacing w:before="120" w:after="283"/>
        <w:jc w:val="left"/>
        <w:rPr/>
      </w:pPr>
      <w:r>
        <w:rPr/>
        <w:t>          </w:t>
      </w:r>
      <w:r>
        <w:rPr>
          <w:rFonts w:ascii="Times New Roman;Times;serif" w:hAnsi="Times New Roman;Times;serif"/>
          <w:sz w:val="17"/>
        </w:rPr>
        <w:t xml:space="preserve">(v) obtain cold comfort letters and updates thereof from the independent certified public accountants of the Issuers and the Guarantors (and, if necessary, any other independent certified public accountants of any subsidiary of the Issuers and the Guarantors or of any business acquired by the Issuers and the Guarantors for which financial statements and financial data are, or are required to be, included in the Registration Statement), addressed to each selling Holder of Securities registered thereunder and the underwriters, if any, in customary form and covering matters of the type customarily covered in cold comfort letters in connection with primary underwritten offerings; and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(vi) deliver such documents and certificates as may be reasonably requested by the Majority Holders and the Managing Underwriters, if any, including those to evidence compliance with Section 5(k) and with any customary conditions contained in the underwriting agreement or other agreement entered into by the Issuers or the Guarantors.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actions set forth in clauses (iii), (iv), (v) and (vi) of this Section shall be performed at (A) the effectiveness of such Registration Statement and each post-effective amendment thereto; and (B) each closing under any underwriting or similar agreement as and to the extent required thereunder. </w:t>
      </w:r>
    </w:p>
    <w:p>
      <w:pPr>
        <w:pStyle w:val="TextBody"/>
        <w:spacing w:before="120" w:after="283"/>
        <w:jc w:val="left"/>
        <w:rPr/>
      </w:pPr>
      <w:r>
        <w:rPr/>
        <w:t>          </w:t>
      </w:r>
      <w:r>
        <w:rPr>
          <w:rFonts w:ascii="Times New Roman;Times;serif" w:hAnsi="Times New Roman;Times;serif"/>
          <w:sz w:val="17"/>
        </w:rPr>
        <w:t xml:space="preserve">(r) [omitted] </w:t>
      </w:r>
    </w:p>
    <w:p>
      <w:pPr>
        <w:pStyle w:val="TextBody"/>
        <w:spacing w:before="120" w:after="283"/>
        <w:jc w:val="left"/>
        <w:rPr/>
      </w:pPr>
      <w:r>
        <w:rPr/>
        <w:t>          </w:t>
      </w:r>
      <w:r>
        <w:rPr>
          <w:rFonts w:ascii="Times New Roman;Times;serif" w:hAnsi="Times New Roman;Times;serif"/>
          <w:sz w:val="17"/>
        </w:rPr>
        <w:t xml:space="preserve">(s) [omitted] </w:t>
      </w:r>
    </w:p>
    <w:p>
      <w:pPr>
        <w:pStyle w:val="TextBody"/>
        <w:spacing w:before="120" w:after="283"/>
        <w:jc w:val="left"/>
        <w:rPr/>
      </w:pPr>
      <w:r>
        <w:rPr/>
        <w:t>          </w:t>
      </w:r>
      <w:r>
        <w:rPr>
          <w:rFonts w:ascii="Times New Roman;Times;serif" w:hAnsi="Times New Roman;Times;serif"/>
          <w:sz w:val="17"/>
        </w:rPr>
        <w:t xml:space="preserve">(t) [omitted] </w:t>
      </w:r>
    </w:p>
    <w:p>
      <w:pPr>
        <w:pStyle w:val="TextBody"/>
        <w:spacing w:before="120" w:after="283"/>
        <w:jc w:val="left"/>
        <w:rPr/>
      </w:pPr>
      <w:r>
        <w:rPr/>
        <w:t>          </w:t>
      </w:r>
      <w:r>
        <w:rPr>
          <w:rFonts w:ascii="Times New Roman;Times;serif" w:hAnsi="Times New Roman;Times;serif"/>
          <w:sz w:val="17"/>
        </w:rPr>
        <w:t xml:space="preserve">(u) In the event that any Broker-Dealer shall underwrite any Securities or participate as a member of an underwriting syndicate or selling group or assist in the distribution (within the meaning of the Conduct Rules and the By-Laws of the National Association of Securities Dealers, Inc.) thereof, whether as a Holder of such Securities or as an underwriter, a placement or sales agent or a broker or dealer in respect thereof, or otherwise, assist such Broker-Dealer in complying with the requirements of such Rules and By-Laws, including, without limitation, by: </w:t>
      </w:r>
    </w:p>
    <w:p>
      <w:pPr>
        <w:pStyle w:val="TextBody"/>
        <w:spacing w:before="120" w:after="283"/>
        <w:jc w:val="left"/>
        <w:rPr/>
      </w:pPr>
      <w:r>
        <w:rPr/>
        <w:t>          </w:t>
      </w:r>
      <w:r>
        <w:rPr>
          <w:rFonts w:ascii="Times New Roman;Times;serif" w:hAnsi="Times New Roman;Times;serif"/>
          <w:sz w:val="17"/>
        </w:rPr>
        <w:t xml:space="preserve">(i) if such Rules or By-Laws shall so require, engaging a qualified independent underwriter (as defined in such Rules) to participate in the preparation of the Registration Statement, to exercise usual standards of due diligence with respect thereto and, if any portion of the offering contemplated by such Registration Statement is an underwritten offering or is made through a placement or sales agent, to recommend the yield of such Securities; </w:t>
      </w:r>
    </w:p>
    <w:p>
      <w:pPr>
        <w:pStyle w:val="TextBody"/>
        <w:spacing w:before="120" w:after="283"/>
        <w:jc w:val="left"/>
        <w:rPr/>
      </w:pPr>
      <w:r>
        <w:rPr/>
        <w:t>          </w:t>
      </w:r>
      <w:r>
        <w:rPr>
          <w:rFonts w:ascii="Times New Roman;Times;serif" w:hAnsi="Times New Roman;Times;serif"/>
          <w:sz w:val="17"/>
        </w:rPr>
        <w:t xml:space="preserve">(ii) indemnifying any such qualified independent underwriter to the extent of the indemnification of underwriters provided in Section 7 hereof; and </w:t>
      </w:r>
    </w:p>
    <w:p>
      <w:pPr>
        <w:pStyle w:val="TextBody"/>
        <w:spacing w:before="120" w:after="283"/>
        <w:jc w:val="left"/>
        <w:rPr/>
      </w:pPr>
      <w:r>
        <w:rPr/>
        <w:t>          </w:t>
      </w:r>
      <w:r>
        <w:rPr>
          <w:rFonts w:ascii="Times New Roman;Times;serif" w:hAnsi="Times New Roman;Times;serif"/>
          <w:sz w:val="17"/>
        </w:rPr>
        <w:t xml:space="preserve">(iii) providing such information to such Broker-Dealer as may be required in order for such Broker-Dealer to comply with the requirements of such Rules. </w:t>
      </w:r>
    </w:p>
    <w:p>
      <w:pPr>
        <w:pStyle w:val="TextBody"/>
        <w:spacing w:before="120" w:after="283"/>
        <w:jc w:val="left"/>
        <w:rPr/>
      </w:pPr>
      <w:r>
        <w:rPr/>
        <w:t>          </w:t>
      </w:r>
      <w:r>
        <w:rPr>
          <w:rFonts w:ascii="Times New Roman;Times;serif" w:hAnsi="Times New Roman;Times;serif"/>
          <w:sz w:val="17"/>
        </w:rPr>
        <w:t xml:space="preserve">(iv) The Issuers and the Guarantors shall use their reasonable best efforts to take all other steps necessary to effect the registration of the Securities or the New Securities, as the case may be, covered by a Registration Statement. </w:t>
      </w:r>
    </w:p>
    <w:p>
      <w:pPr>
        <w:pStyle w:val="TextBody"/>
        <w:spacing w:before="120" w:after="283"/>
        <w:jc w:val="left"/>
        <w:rPr/>
      </w:pPr>
      <w:r>
        <w:rPr/>
        <w:t>          </w:t>
      </w:r>
      <w:r>
        <w:rPr>
          <w:rFonts w:ascii="Times New Roman;Times;serif" w:hAnsi="Times New Roman;Times;serif"/>
          <w:sz w:val="17"/>
        </w:rPr>
        <w:t xml:space="preserve">6. </w:t>
      </w:r>
      <w:r>
        <w:rPr>
          <w:rFonts w:ascii="Times New Roman;Times;serif" w:hAnsi="Times New Roman;Times;serif"/>
          <w:sz w:val="17"/>
          <w:u w:val="single"/>
        </w:rPr>
        <w:t>Registration Expenses</w:t>
      </w:r>
      <w:r>
        <w:rPr>
          <w:rFonts w:ascii="Times New Roman;Times;serif" w:hAnsi="Times New Roman;Times;serif"/>
          <w:sz w:val="17"/>
        </w:rPr>
        <w:t xml:space="preserve">. The Issuers and the Guarantors bear all expenses incurred in connection with the performance of their obligations under Sections 2, 3 and 5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Registration Statement, will reimburse the Initial Purchasers for the reasonable fees and disbursements of counsel acting in connection therewith. </w:t>
      </w:r>
    </w:p>
    <w:p>
      <w:pPr>
        <w:pStyle w:val="TextBody"/>
        <w:spacing w:before="120" w:after="283"/>
        <w:jc w:val="left"/>
        <w:rPr/>
      </w:pPr>
      <w:r>
        <w:rPr/>
        <w:t>          </w:t>
      </w:r>
      <w:r>
        <w:rPr>
          <w:rFonts w:ascii="Times New Roman;Times;serif" w:hAnsi="Times New Roman;Times;serif"/>
          <w:sz w:val="17"/>
        </w:rPr>
        <w:t xml:space="preserve">7. </w:t>
      </w:r>
      <w:r>
        <w:rPr>
          <w:rFonts w:ascii="Times New Roman;Times;serif" w:hAnsi="Times New Roman;Times;serif"/>
          <w:sz w:val="17"/>
          <w:u w:val="single"/>
        </w:rPr>
        <w:t>Indemnification and Contribution</w:t>
      </w:r>
      <w:r>
        <w:rPr>
          <w:rFonts w:ascii="Times New Roman;Times;serif" w:hAnsi="Times New Roman;Times;serif"/>
          <w:sz w:val="17"/>
        </w:rPr>
        <w:t xml:space="preserve">. (a) The Issuers and each Guarantor agree to indemnify and hold harmless each Holder of Securities or New Securities, as the case may be, covered by any Registration Statement (including each Initial Purchaser and, with respect to any Prospectus delivery as contemplated in Section 5(h) hereof, each Exchanging Dealer), the directors, officers, employees and agents of each such Holder and each Person who controls any such Holder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not misleading, and agree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 the Issuers and the Guarantors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Issuers or the Guarantors by or on behalf of any such Holder specifically for inclusion therein. This indemnity agreement will be in addition to any liability which the Issuers or the Guarantors may otherwise have. </w:t>
      </w:r>
    </w:p>
    <w:p>
      <w:pPr>
        <w:pStyle w:val="TextBody"/>
        <w:spacing w:before="120" w:after="283"/>
        <w:jc w:val="left"/>
        <w:rPr/>
      </w:pPr>
      <w:r>
        <w:rPr/>
        <w:t>          </w:t>
      </w:r>
      <w:r>
        <w:rPr>
          <w:rFonts w:ascii="Times New Roman;Times;serif" w:hAnsi="Times New Roman;Times;serif"/>
          <w:sz w:val="17"/>
        </w:rPr>
        <w:t xml:space="preserve">The Issuers and each Guarantor also agree to indemnify or contribute as provided in Section 7(d) to Losses of any underwriter of Securities or New Securities, as the case may be, registered under a Shelf Registration Statement, their directors, officers, employees or agents and each Person who controls such underwriter on substantially the same basis as that of the indemnification of the Initial Purchasers and the selling Holders provided in this Section 7(a). The Issuers and each Guarantor shall, if requested by any Holder, enter into an underwriting agreement reflecting such agreement, as provided in Section 5(p) hereof. </w:t>
      </w:r>
    </w:p>
    <w:p>
      <w:pPr>
        <w:pStyle w:val="TextBody"/>
        <w:spacing w:before="120" w:after="283"/>
        <w:jc w:val="left"/>
        <w:rPr/>
      </w:pPr>
      <w:r>
        <w:rPr/>
        <w:t>          </w:t>
      </w:r>
      <w:r>
        <w:rPr>
          <w:rFonts w:ascii="Times New Roman;Times;serif" w:hAnsi="Times New Roman;Times;serif"/>
          <w:sz w:val="17"/>
        </w:rPr>
        <w:t xml:space="preserve">(b) Each Holder of securities covered by a Registration Statement (including each Initial Purchaser and, with respect to any Prospectus delivery as contemplated in Section 5(h) hereof, each Exchanging Dealer) severally and not jointly agrees to indemnify and hold harmless the Issuers, the Guarantors, the directors of the Issuers and the Guarantors, the officers of the Issuers and the Guarantors who sign such Registration Statement and each Person who controls the Issuers or the Guarantors within the meaning of either the Act or the Exchange Act, to the same extent as the foregoing indemnity from the Issuers and the Guarantors to each such Holder, but only with reference to written information relating to such Holder furnished to the Issuers and the Guarantors by or on behalf of such Holder specifically for inclusion in the documents referred to in the foregoing indemnity. This indemnity agreement will be in addition to any liability which any such Holder may otherwise have.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 Promptly after receipt by an indemnified party under this Section 7 or notice of the commencement of any action, such indemnified party will, if a claim in respect thereof is to be made against the indemnifying party under this Section,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w:t>
      </w:r>
    </w:p>
    <w:p>
      <w:pPr>
        <w:pStyle w:val="TextBody"/>
        <w:spacing w:before="120" w:after="283"/>
        <w:jc w:val="left"/>
        <w:rPr/>
      </w:pPr>
      <w:r>
        <w:rPr/>
        <w:t>          </w:t>
      </w:r>
      <w:r>
        <w:rPr>
          <w:rFonts w:ascii="Times New Roman;Times;serif" w:hAnsi="Times New Roman;Times;serif"/>
          <w:sz w:val="17"/>
        </w:rPr>
        <w:t xml:space="preserve">(d) In the event that the indemnity provided in paragraph (a) or (b) of this Section 7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same) (collectively Losses)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in no case shall any Initial Purchaser or any subsequent Holder of any Security or New Security be responsible, in the aggregate, for any amount in excess of the purchase discount or commission applicable to such Security, or in the case of a New Security, applicable to the Security that was exchangeable into such New Security, as set forth on the cover page of the Final Offering Memorandum, nor shall any underwriter be responsible for any amount in excess of the underwriting discount or commission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 or the Guarantors shall be deemed to be equal to the sum of (x) the total net proceeds from the Initial Placement (before deducting expenses) as set forth on the cover page of the Final Offering Memorandum and (y) the total amount of additional interest which the Issuers and the Guarantors were not required to pay as a result of registering the securities covered by the Registration Statement which resulted in such Losses. Benefits received by the Initial Purchasers shall be deemed to be equal to the total purchase discounts and commissions as set forth on the cover page of the Final Offering Memorandum, and benefits received by any other Holders shall be deemed to be equal to the value of receiving Securities or New Securities,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 be determined by reference to, among other things, whether any alleged untrue statement or omission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Holder within the meaning of either the Act or the Exchange Act and each director, officer, employee and agent of such Holder shall have the same rights to contribution as such Holder, and each Person who controls the Issuers and the Guarantors within the meaning of either the Act or the Exchange Act, each officer of the Issuers and the Guarantors who shall have signed the Registration Statement and each director of the Issuers and the Guarantors shall have the same rights to contribution as the Issuers and the Guarantors, subject in each case to the applicable terms and conditions of this paragraph (d). </w:t>
      </w:r>
    </w:p>
    <w:p>
      <w:pPr>
        <w:pStyle w:val="TextBody"/>
        <w:spacing w:before="120" w:after="283"/>
        <w:jc w:val="left"/>
        <w:rPr/>
      </w:pPr>
      <w:r>
        <w:rPr/>
        <w:t>          </w:t>
      </w:r>
      <w:r>
        <w:rPr>
          <w:rFonts w:ascii="Times New Roman;Times;serif" w:hAnsi="Times New Roman;Times;serif"/>
          <w:sz w:val="17"/>
        </w:rPr>
        <w:t xml:space="preserve">(e) The provisions of this Section 7 will remain in full force and effect, regardless of any investigation made by or on behalf of any Holder or the Issuers and the Guarantors or any of the officers, directors or controlling Persons referred to in this Section hereof, and will survive the sale by a Holder of securities covered by a Registration Statement.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8. </w:t>
      </w:r>
      <w:r>
        <w:rPr>
          <w:rFonts w:ascii="Times New Roman;Times;serif" w:hAnsi="Times New Roman;Times;serif"/>
          <w:sz w:val="17"/>
          <w:u w:val="single"/>
        </w:rPr>
        <w:t>Underwritten Registrations</w:t>
      </w:r>
      <w:r>
        <w:rPr>
          <w:rFonts w:ascii="Times New Roman;Times;serif" w:hAnsi="Times New Roman;Times;serif"/>
          <w:sz w:val="17"/>
        </w:rPr>
        <w:t xml:space="preserve">. (a) If any of the Securities or New Securities, as the case may be, covered by any Shelf Registration Statement are to be sold in an underwritten offering, the Managing Underwriters shall be selected by the Majority Holders and shall be reasonably satisfactory to the Partnership. </w:t>
      </w:r>
    </w:p>
    <w:p>
      <w:pPr>
        <w:pStyle w:val="TextBody"/>
        <w:spacing w:before="120" w:after="283"/>
        <w:jc w:val="left"/>
        <w:rPr/>
      </w:pPr>
      <w:r>
        <w:rPr/>
        <w:t>          </w:t>
      </w:r>
      <w:r>
        <w:rPr>
          <w:rFonts w:ascii="Times New Roman;Times;serif" w:hAnsi="Times New Roman;Times;serif"/>
          <w:sz w:val="17"/>
        </w:rPr>
        <w:t xml:space="preserve">(b) No Person may participate in any underwritten offering pursuant to any Shelf Registration Statement, unless such Person (i) agrees to sell such Persons Securities or New Securities,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w:t>
      </w:r>
    </w:p>
    <w:p>
      <w:pPr>
        <w:pStyle w:val="TextBody"/>
        <w:spacing w:before="120" w:after="283"/>
        <w:jc w:val="left"/>
        <w:rPr/>
      </w:pPr>
      <w:r>
        <w:rPr/>
        <w:t>          </w:t>
      </w:r>
      <w:r>
        <w:rPr>
          <w:rFonts w:ascii="Times New Roman;Times;serif" w:hAnsi="Times New Roman;Times;serif"/>
          <w:sz w:val="17"/>
        </w:rPr>
        <w:t xml:space="preserve">9. </w:t>
      </w:r>
      <w:r>
        <w:rPr>
          <w:rFonts w:ascii="Times New Roman;Times;serif" w:hAnsi="Times New Roman;Times;serif"/>
          <w:sz w:val="17"/>
          <w:u w:val="single"/>
        </w:rPr>
        <w:t>No Inconsistent Agreements</w:t>
      </w:r>
      <w:r>
        <w:rPr>
          <w:rFonts w:ascii="Times New Roman;Times;serif" w:hAnsi="Times New Roman;Times;serif"/>
          <w:sz w:val="17"/>
        </w:rPr>
        <w:t xml:space="preserve">. The Issuers and the Guarantors have not, as of the date hereof, entered into, nor shall they, on or after the date hereof, enter into, any agreement with respect to their securities that is inconsistent with the rights granted to the Holders herein or otherwise conflicts with the provisions hereof. </w:t>
      </w:r>
    </w:p>
    <w:p>
      <w:pPr>
        <w:pStyle w:val="TextBody"/>
        <w:spacing w:before="120" w:after="283"/>
        <w:jc w:val="left"/>
        <w:rPr/>
      </w:pPr>
      <w:r>
        <w:rPr/>
        <w:t>          </w:t>
      </w:r>
      <w:r>
        <w:rPr>
          <w:rFonts w:ascii="Times New Roman;Times;serif" w:hAnsi="Times New Roman;Times;serif"/>
          <w:sz w:val="17"/>
        </w:rPr>
        <w:t xml:space="preserve">10. </w:t>
      </w:r>
      <w:r>
        <w:rPr>
          <w:rFonts w:ascii="Times New Roman;Times;serif" w:hAnsi="Times New Roman;Times;serif"/>
          <w:sz w:val="17"/>
          <w:u w:val="single"/>
        </w:rPr>
        <w:t>Amendments and Waivers</w:t>
      </w:r>
      <w:r>
        <w:rPr>
          <w:rFonts w:ascii="Times New Roman;Times;serif" w:hAnsi="Times New Roman;Times;serif"/>
          <w:sz w:val="17"/>
        </w:rPr>
        <w:t xml:space="preserve">. The provisions of this Agreement, including the provisions of this sentence, may not be amended, qualified, modified or supplemented, and waivers or consents to departures from the provisions hereof may not be given, unless the Issuers and the Guarantors have obtained the written consent of the Majority Holders (or, after the consummation of any Registered Exchange Offer in accordance with Section 2 hereof, of New Securities); </w:t>
      </w:r>
      <w:r>
        <w:rPr>
          <w:rFonts w:ascii="Times New Roman;Times;serif" w:hAnsi="Times New Roman;Times;serif"/>
          <w:sz w:val="17"/>
          <w:u w:val="single"/>
        </w:rPr>
        <w:t>provided</w:t>
      </w:r>
      <w:r>
        <w:rPr>
          <w:rFonts w:ascii="Times New Roman;Times;serif" w:hAnsi="Times New Roman;Times;serif"/>
          <w:sz w:val="17"/>
        </w:rPr>
        <w:t xml:space="preserve"> that, with respect to any matter that directly or indirectly affects the rights of any Initial Purchaser hereunder, the Issuers and the Guarantors shall obtain the written consent of each such Initial Purchaser against which such amendment, qualification, supplement, waiver or consent is to be effective. Notwithstanding the foregoing (except the foregoing proviso), a waiver or consent to departure from the provisions hereof with respect to a matter that relates exclusively to the rights of Holders whose Securities or New Securities, as the case may be, are being sold pursuant to a Registration Statement and that does not directly or indirectly affect the rights of other Holders may be given by the Majority Holders, determined on the basis of Securities or New Securities, as the case may be, being sold rather than registered under such Registration Statement. </w:t>
      </w:r>
    </w:p>
    <w:p>
      <w:pPr>
        <w:pStyle w:val="TextBody"/>
        <w:spacing w:before="120" w:after="283"/>
        <w:jc w:val="left"/>
        <w:rPr/>
      </w:pPr>
      <w:r>
        <w:rPr/>
        <w:t>          </w:t>
      </w:r>
      <w:r>
        <w:rPr>
          <w:rFonts w:ascii="Times New Roman;Times;serif" w:hAnsi="Times New Roman;Times;serif"/>
          <w:sz w:val="17"/>
        </w:rPr>
        <w:t xml:space="preserve">11. </w:t>
      </w:r>
      <w:r>
        <w:rPr>
          <w:rFonts w:ascii="Times New Roman;Times;serif" w:hAnsi="Times New Roman;Times;serif"/>
          <w:sz w:val="17"/>
          <w:u w:val="single"/>
        </w:rPr>
        <w:t>Notices</w:t>
      </w:r>
      <w:r>
        <w:rPr>
          <w:rFonts w:ascii="Times New Roman;Times;serif" w:hAnsi="Times New Roman;Times;serif"/>
          <w:sz w:val="17"/>
        </w:rPr>
        <w:t xml:space="preserve">. All notices and other communications provided for or permitted hereunder shall be made in writing by hand-delivery, first-class mail, telex, telecopier or air courier guaranteeing overnight delivery: </w:t>
      </w:r>
    </w:p>
    <w:p>
      <w:pPr>
        <w:pStyle w:val="TextBody"/>
        <w:spacing w:before="120" w:after="283"/>
        <w:jc w:val="left"/>
        <w:rPr/>
      </w:pPr>
      <w:r>
        <w:rPr/>
        <w:t>          </w:t>
      </w:r>
      <w:r>
        <w:rPr>
          <w:rFonts w:ascii="Times New Roman;Times;serif" w:hAnsi="Times New Roman;Times;serif"/>
          <w:sz w:val="17"/>
        </w:rPr>
        <w:t xml:space="preserve">(a) if to a Holder, at the most current address given by such Holder to the Issuers in accordance with the provisions of this Section, which address initially is, with respect to each Holder, the address of such Holder maintained by the Registrar under the Indenture, with a copy in like manner to Citigroup Global Markets Inc.; </w:t>
      </w:r>
    </w:p>
    <w:p>
      <w:pPr>
        <w:pStyle w:val="TextBody"/>
        <w:spacing w:before="120" w:after="283"/>
        <w:jc w:val="left"/>
        <w:rPr/>
      </w:pPr>
      <w:r>
        <w:rPr/>
        <w:t>          </w:t>
      </w:r>
      <w:r>
        <w:rPr>
          <w:rFonts w:ascii="Times New Roman;Times;serif" w:hAnsi="Times New Roman;Times;serif"/>
          <w:sz w:val="17"/>
        </w:rPr>
        <w:t xml:space="preserve">(b) if to you, initially at the respective addresses set forth in the Purchase Agreement;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 if to the Issuers, initially at the address set forth in the Purchase Agreement; and </w:t>
      </w:r>
    </w:p>
    <w:p>
      <w:pPr>
        <w:pStyle w:val="TextBody"/>
        <w:spacing w:before="120" w:after="283"/>
        <w:jc w:val="left"/>
        <w:rPr/>
      </w:pPr>
      <w:r>
        <w:rPr/>
        <w:t>          </w:t>
      </w:r>
      <w:r>
        <w:rPr>
          <w:rFonts w:ascii="Times New Roman;Times;serif" w:hAnsi="Times New Roman;Times;serif"/>
          <w:sz w:val="17"/>
        </w:rPr>
        <w:t xml:space="preserve">(d) if to the Guarantors, initially at 333 Clay Street, Suite 1600, Houston, Texas 77002. </w:t>
      </w:r>
    </w:p>
    <w:p>
      <w:pPr>
        <w:pStyle w:val="TextBody"/>
        <w:spacing w:before="120" w:after="283"/>
        <w:jc w:val="left"/>
        <w:rPr/>
      </w:pPr>
      <w:r>
        <w:rPr/>
        <w:t>          </w:t>
      </w:r>
      <w:r>
        <w:rPr>
          <w:rFonts w:ascii="Times New Roman;Times;serif" w:hAnsi="Times New Roman;Times;serif"/>
          <w:sz w:val="17"/>
        </w:rPr>
        <w:t xml:space="preserve">All such notices and communications shall be deemed to have been duly given when received. </w:t>
      </w:r>
    </w:p>
    <w:p>
      <w:pPr>
        <w:pStyle w:val="TextBody"/>
        <w:spacing w:before="120" w:after="283"/>
        <w:jc w:val="left"/>
        <w:rPr/>
      </w:pPr>
      <w:r>
        <w:rPr/>
        <w:t>          </w:t>
      </w:r>
      <w:r>
        <w:rPr>
          <w:rFonts w:ascii="Times New Roman;Times;serif" w:hAnsi="Times New Roman;Times;serif"/>
          <w:sz w:val="17"/>
        </w:rPr>
        <w:t xml:space="preserve">The Initial Purchasers, the Issuers or the Guarantors by notice to the other parties may designate additional or different addresses for subsequent notices or communications. </w:t>
      </w:r>
    </w:p>
    <w:p>
      <w:pPr>
        <w:pStyle w:val="TextBody"/>
        <w:spacing w:before="120" w:after="283"/>
        <w:jc w:val="left"/>
        <w:rPr/>
      </w:pPr>
      <w:r>
        <w:rPr/>
        <w:t>          </w:t>
      </w:r>
      <w:r>
        <w:rPr>
          <w:rFonts w:ascii="Times New Roman;Times;serif" w:hAnsi="Times New Roman;Times;serif"/>
          <w:sz w:val="17"/>
        </w:rPr>
        <w:t xml:space="preserve">12. </w:t>
      </w:r>
      <w:r>
        <w:rPr>
          <w:rFonts w:ascii="Times New Roman;Times;serif" w:hAnsi="Times New Roman;Times;serif"/>
          <w:sz w:val="17"/>
          <w:u w:val="single"/>
        </w:rPr>
        <w:t>Successors and Assigns</w:t>
      </w:r>
      <w:r>
        <w:rPr>
          <w:rFonts w:ascii="Times New Roman;Times;serif" w:hAnsi="Times New Roman;Times;serif"/>
          <w:sz w:val="17"/>
        </w:rPr>
        <w:t xml:space="preserve">. This Agreement shall inure to the benefit of and be binding upon the successors and assigns of each of the parties, including, without the need for an express assignment or any consent by the Issuers or the Guarantors thereto, subsequent Holders of Securities and the New Securities. The Issuers and the Guarantors hereby agree to extend the benefits of this Agreement to any Holder of Securities and the New Securities, and any such Holder may specifically enforce the provisions of this Agreement as if an original party hereto. </w:t>
      </w:r>
    </w:p>
    <w:p>
      <w:pPr>
        <w:pStyle w:val="TextBody"/>
        <w:spacing w:before="120" w:after="283"/>
        <w:jc w:val="left"/>
        <w:rPr/>
      </w:pPr>
      <w:r>
        <w:rPr/>
        <w:t>          </w:t>
      </w:r>
      <w:r>
        <w:rPr>
          <w:rFonts w:ascii="Times New Roman;Times;serif" w:hAnsi="Times New Roman;Times;serif"/>
          <w:sz w:val="17"/>
        </w:rPr>
        <w:t xml:space="preserve">13. </w:t>
      </w:r>
      <w:r>
        <w:rPr>
          <w:rFonts w:ascii="Times New Roman;Times;serif" w:hAnsi="Times New Roman;Times;serif"/>
          <w:sz w:val="17"/>
          <w:u w:val="single"/>
        </w:rPr>
        <w:t>Counterparts</w:t>
      </w:r>
      <w:r>
        <w:rPr>
          <w:rFonts w:ascii="Times New Roman;Times;serif" w:hAnsi="Times New Roman;Times;serif"/>
          <w:sz w:val="17"/>
        </w:rPr>
        <w:t xml:space="preserve">. This agreement may be in signed counterparts, each of which shall constitute an original and all of which together shall constitute one and the same agreement. </w:t>
      </w:r>
    </w:p>
    <w:p>
      <w:pPr>
        <w:pStyle w:val="TextBody"/>
        <w:spacing w:before="120" w:after="283"/>
        <w:jc w:val="left"/>
        <w:rPr/>
      </w:pPr>
      <w:r>
        <w:rPr/>
        <w:t>          </w:t>
      </w:r>
      <w:r>
        <w:rPr>
          <w:rFonts w:ascii="Times New Roman;Times;serif" w:hAnsi="Times New Roman;Times;serif"/>
          <w:sz w:val="17"/>
        </w:rPr>
        <w:t xml:space="preserve">14. </w:t>
      </w:r>
      <w:r>
        <w:rPr>
          <w:rFonts w:ascii="Times New Roman;Times;serif" w:hAnsi="Times New Roman;Times;serif"/>
          <w:sz w:val="17"/>
          <w:u w:val="single"/>
        </w:rPr>
        <w:t>Purchases and Sales of Securities</w:t>
      </w:r>
      <w:r>
        <w:rPr>
          <w:rFonts w:ascii="Times New Roman;Times;serif" w:hAnsi="Times New Roman;Times;serif"/>
          <w:sz w:val="17"/>
        </w:rPr>
        <w:t xml:space="preserve">. The Issuers and the Guarantors shall not, and shall use their best efforts to cause their affiliates (as defined in Rule 405 under the Act) not to, purchase and then resell or otherwise transfer any Securities for two (2) years, or if a Shelf Registration Statement shall become effective during such two (2) year period, for the period of such effectiveness. </w:t>
      </w:r>
    </w:p>
    <w:p>
      <w:pPr>
        <w:pStyle w:val="TextBody"/>
        <w:spacing w:before="120" w:after="283"/>
        <w:jc w:val="left"/>
        <w:rPr/>
      </w:pPr>
      <w:r>
        <w:rPr/>
        <w:t>          </w:t>
      </w:r>
      <w:r>
        <w:rPr>
          <w:rFonts w:ascii="Times New Roman;Times;serif" w:hAnsi="Times New Roman;Times;serif"/>
          <w:sz w:val="17"/>
        </w:rPr>
        <w:t xml:space="preserve">15. </w:t>
      </w:r>
      <w:r>
        <w:rPr>
          <w:rFonts w:ascii="Times New Roman;Times;serif" w:hAnsi="Times New Roman;Times;serif"/>
          <w:sz w:val="17"/>
          <w:u w:val="single"/>
        </w:rPr>
        <w:t>Third Party Beneficiaries</w:t>
      </w:r>
      <w:r>
        <w:rPr>
          <w:rFonts w:ascii="Times New Roman;Times;serif" w:hAnsi="Times New Roman;Times;serif"/>
          <w:sz w:val="17"/>
        </w:rPr>
        <w:t xml:space="preserve">. Each Holder shall be a third party beneficiary to the agreements made hereunder between the Issuers and the Guarantors, on the one hand, and the Initial Purchasers, on the other hand, and shall have the right to enforce such agreements directly to the extent it deems such enforcement necessary or advisable to protect its rights or the rights of other Holders hereunder. </w:t>
      </w:r>
    </w:p>
    <w:p>
      <w:pPr>
        <w:pStyle w:val="TextBody"/>
        <w:spacing w:before="120" w:after="283"/>
        <w:jc w:val="left"/>
        <w:rPr/>
      </w:pPr>
      <w:r>
        <w:rPr/>
        <w:t>          </w:t>
      </w:r>
      <w:r>
        <w:rPr>
          <w:rFonts w:ascii="Times New Roman;Times;serif" w:hAnsi="Times New Roman;Times;serif"/>
          <w:sz w:val="17"/>
        </w:rPr>
        <w:t xml:space="preserve">16. </w:t>
      </w:r>
      <w:r>
        <w:rPr>
          <w:rFonts w:ascii="Times New Roman;Times;serif" w:hAnsi="Times New Roman;Times;serif"/>
          <w:sz w:val="17"/>
          <w:u w:val="single"/>
        </w:rPr>
        <w:t>Headings</w:t>
      </w:r>
      <w:r>
        <w:rPr>
          <w:rFonts w:ascii="Times New Roman;Times;serif" w:hAnsi="Times New Roman;Times;serif"/>
          <w:sz w:val="17"/>
        </w:rPr>
        <w:t xml:space="preserve">. The headings used herein are for convenience only and shall not affect the construction hereof. </w:t>
      </w:r>
    </w:p>
    <w:p>
      <w:pPr>
        <w:pStyle w:val="TextBody"/>
        <w:spacing w:before="120" w:after="283"/>
        <w:jc w:val="left"/>
        <w:rPr/>
      </w:pPr>
      <w:r>
        <w:rPr/>
        <w:t>          </w:t>
      </w:r>
      <w:r>
        <w:rPr>
          <w:rFonts w:ascii="Times New Roman;Times;serif" w:hAnsi="Times New Roman;Times;serif"/>
          <w:sz w:val="17"/>
        </w:rPr>
        <w:t xml:space="preserve">17. </w:t>
      </w:r>
      <w:r>
        <w:rPr>
          <w:rFonts w:ascii="Times New Roman;Times;serif" w:hAnsi="Times New Roman;Times;serif"/>
          <w:sz w:val="17"/>
          <w:u w:val="single"/>
        </w:rPr>
        <w:t>Applicable Law</w:t>
      </w:r>
      <w:r>
        <w:rPr>
          <w:rFonts w:ascii="Times New Roman;Times;serif" w:hAnsi="Times New Roman;Times;serif"/>
          <w:sz w:val="17"/>
        </w:rPr>
        <w:t xml:space="preserve">. This Agreement shall be governed by and construed in accordance with the laws of the State of New York applicable to contracts made and to be performed in the State of New York. </w:t>
      </w:r>
    </w:p>
    <w:p>
      <w:pPr>
        <w:pStyle w:val="TextBody"/>
        <w:spacing w:before="120" w:after="283"/>
        <w:jc w:val="left"/>
        <w:rPr/>
      </w:pPr>
      <w:r>
        <w:rPr/>
        <w:t>          </w:t>
      </w:r>
      <w:r>
        <w:rPr>
          <w:rFonts w:ascii="Times New Roman;Times;serif" w:hAnsi="Times New Roman;Times;serif"/>
          <w:sz w:val="17"/>
        </w:rPr>
        <w:t xml:space="preserve">18. </w:t>
      </w:r>
      <w:r>
        <w:rPr>
          <w:rFonts w:ascii="Times New Roman;Times;serif" w:hAnsi="Times New Roman;Times;serif"/>
          <w:sz w:val="17"/>
          <w:u w:val="single"/>
        </w:rPr>
        <w:t>Severability</w:t>
      </w:r>
      <w:r>
        <w:rPr>
          <w:rFonts w:ascii="Times New Roman;Times;serif" w:hAnsi="Times New Roman;Times;serif"/>
          <w:sz w:val="17"/>
        </w:rPr>
        <w:t xml:space="preserve">.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thereby, it being intended that all of the rights and privileges of the parties shall be enforceable to the fullest extent permitted by law. </w:t>
      </w:r>
    </w:p>
    <w:p>
      <w:pPr>
        <w:pStyle w:val="TextBody"/>
        <w:spacing w:before="120" w:after="283"/>
        <w:jc w:val="left"/>
        <w:rPr/>
      </w:pPr>
      <w:r>
        <w:rPr/>
        <w:t>          </w:t>
      </w:r>
      <w:r>
        <w:rPr>
          <w:rFonts w:ascii="Times New Roman;Times;serif" w:hAnsi="Times New Roman;Times;serif"/>
          <w:sz w:val="17"/>
        </w:rPr>
        <w:t xml:space="preserve">19. </w:t>
      </w:r>
      <w:r>
        <w:rPr>
          <w:rFonts w:ascii="Times New Roman;Times;serif" w:hAnsi="Times New Roman;Times;serif"/>
          <w:sz w:val="17"/>
          <w:u w:val="single"/>
        </w:rPr>
        <w:t>Securities Held by the Issuers, the Guarantors, etc.</w:t>
      </w:r>
      <w:r>
        <w:rPr>
          <w:rFonts w:ascii="Times New Roman;Times;serif" w:hAnsi="Times New Roman;Times;serif"/>
          <w:sz w:val="17"/>
        </w:rPr>
        <w:t xml:space="preserve"> Whenever the consent or approval of Holders of a specified percentage of principal amount of Securities or New Securities is required hereunder, Securities or New Securities, as applicable, held by the Issuers, the Guarantors or their Affiliates (other than subsequent Holders of Securities or New Securities if such subsequent Holders are deemed to be Affiliates solely by reason of their holdings of such Securities or New Securities) shall not be counted in determining whether such consent or approval was given by the Holders of such required percentage.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If the foregoing is in accordance with your understanding of our agreement, please sign and return to us the enclosed duplicate hereof, whereupon this letter and your acceptance shall represent a building agreement among the Issuers, the Guarantors and the several Initial Purchasers. </w:t>
      </w:r>
    </w:p>
    <w:tbl>
      <w:tblPr>
        <w:tblW w:w="5000" w:type="pct"/>
        <w:jc w:val="center"/>
        <w:tblInd w:w="0" w:type="dxa"/>
        <w:tblCellMar>
          <w:top w:w="0" w:type="dxa"/>
          <w:left w:w="0" w:type="dxa"/>
          <w:bottom w:w="0" w:type="dxa"/>
          <w:right w:w="0" w:type="dxa"/>
        </w:tblCellMar>
      </w:tblPr>
      <w:tblGrid>
        <w:gridCol w:w="3424"/>
        <w:gridCol w:w="142"/>
        <w:gridCol w:w="331"/>
        <w:gridCol w:w="142"/>
        <w:gridCol w:w="377"/>
        <w:gridCol w:w="142"/>
        <w:gridCol w:w="4488"/>
        <w:gridCol w:w="142"/>
        <w:gridCol w:w="1017"/>
      </w:tblGrid>
      <w:tr>
        <w:trPr/>
        <w:tc>
          <w:tcPr>
            <w:tcW w:w="34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Very truly yours,</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PLAINS ALL AMERICAN PIPELINE,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AAP,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ALL AMERICAN GP LLC</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488"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PAA FINANCE CORP.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488"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PLAINS MARKETING,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MARKETING GP INC.</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488"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399"/>
        <w:gridCol w:w="142"/>
        <w:gridCol w:w="333"/>
        <w:gridCol w:w="142"/>
        <w:gridCol w:w="379"/>
        <w:gridCol w:w="142"/>
        <w:gridCol w:w="4516"/>
        <w:gridCol w:w="142"/>
        <w:gridCol w:w="1010"/>
      </w:tblGrid>
      <w:tr>
        <w:trPr/>
        <w:tc>
          <w:tcPr>
            <w:tcW w:w="339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512" w:type="dxa"/>
            <w:gridSpan w:val="5"/>
            <w:tcBorders/>
            <w:shd w:fill="auto" w:val="clear"/>
          </w:tcPr>
          <w:p>
            <w:pPr>
              <w:pStyle w:val="TableContents"/>
              <w:spacing w:before="0" w:after="283"/>
              <w:jc w:val="left"/>
              <w:rPr/>
            </w:pPr>
            <w:r>
              <w:rPr/>
              <w:t>PLAINS PIPELINE, L.P.</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37" w:type="dxa"/>
            <w:gridSpan w:val="3"/>
            <w:tcBorders/>
            <w:shd w:fill="auto" w:val="clear"/>
          </w:tcPr>
          <w:p>
            <w:pPr>
              <w:pStyle w:val="TableContents"/>
              <w:spacing w:before="0" w:after="283"/>
              <w:jc w:val="left"/>
              <w:rPr/>
            </w:pPr>
            <w:r>
              <w:rPr/>
              <w:t>PLAINS MARKETING GP INC.</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3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516"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512" w:type="dxa"/>
            <w:gridSpan w:val="5"/>
            <w:tcBorders/>
            <w:shd w:fill="auto" w:val="clear"/>
          </w:tcPr>
          <w:p>
            <w:pPr>
              <w:pStyle w:val="TableContents"/>
              <w:spacing w:before="0" w:after="283"/>
              <w:jc w:val="left"/>
              <w:rPr/>
            </w:pPr>
            <w:r>
              <w:rPr/>
              <w:t>PLAINS MARKETING GP INC.</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516"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512" w:type="dxa"/>
            <w:gridSpan w:val="5"/>
            <w:tcBorders/>
            <w:shd w:fill="auto" w:val="clear"/>
          </w:tcPr>
          <w:p>
            <w:pPr>
              <w:pStyle w:val="TableContents"/>
              <w:spacing w:before="0" w:after="283"/>
              <w:jc w:val="left"/>
              <w:rPr/>
            </w:pPr>
            <w:r>
              <w:rPr/>
              <w:t>PLAINS MARKETING CANADA LLC</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37" w:type="dxa"/>
            <w:gridSpan w:val="3"/>
            <w:tcBorders/>
            <w:shd w:fill="auto" w:val="clear"/>
          </w:tcPr>
          <w:p>
            <w:pPr>
              <w:pStyle w:val="TableContents"/>
              <w:spacing w:before="0" w:after="283"/>
              <w:jc w:val="left"/>
              <w:rPr/>
            </w:pPr>
            <w:r>
              <w:rPr/>
              <w:t>PLAINS MARKETING, L.P.</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37" w:type="dxa"/>
            <w:gridSpan w:val="3"/>
            <w:tcBorders/>
            <w:shd w:fill="auto" w:val="clear"/>
          </w:tcPr>
          <w:p>
            <w:pPr>
              <w:pStyle w:val="TableContents"/>
              <w:spacing w:before="0" w:after="283"/>
              <w:jc w:val="left"/>
              <w:rPr/>
            </w:pPr>
            <w:r>
              <w:rPr/>
              <w:t>its Sole Member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37" w:type="dxa"/>
            <w:gridSpan w:val="3"/>
            <w:tcBorders/>
            <w:shd w:fill="auto" w:val="clear"/>
          </w:tcPr>
          <w:p>
            <w:pPr>
              <w:pStyle w:val="TableContents"/>
              <w:spacing w:before="0" w:after="283"/>
              <w:jc w:val="left"/>
              <w:rPr/>
            </w:pPr>
            <w:r>
              <w:rPr/>
              <w:t>PLAINS MARKETING GP INC.</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3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516"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512" w:type="dxa"/>
            <w:gridSpan w:val="5"/>
            <w:tcBorders/>
            <w:shd w:fill="auto" w:val="clear"/>
          </w:tcPr>
          <w:p>
            <w:pPr>
              <w:pStyle w:val="TableContents"/>
              <w:spacing w:before="0" w:after="283"/>
              <w:jc w:val="left"/>
              <w:rPr/>
            </w:pPr>
            <w:r>
              <w:rPr/>
              <w:t>PMC (NOVA SCOTIA) COMPANY</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516"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r>
        <w:trPr/>
        <w:tc>
          <w:tcPr>
            <w:tcW w:w="3399"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3"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516" w:type="dxa"/>
            <w:tcBorders/>
            <w:shd w:fill="auto" w:val="clear"/>
          </w:tcPr>
          <w:p>
            <w:pPr>
              <w:pStyle w:val="TableContents"/>
              <w:spacing w:before="0" w:after="283"/>
              <w:jc w:val="left"/>
              <w:rPr/>
            </w:pPr>
            <w:r>
              <w:rPr/>
              <w:t>Title: Executive Vice President</w:t>
            </w:r>
          </w:p>
        </w:tc>
        <w:tc>
          <w:tcPr>
            <w:tcW w:w="142" w:type="dxa"/>
            <w:tcBorders/>
            <w:shd w:fill="auto" w:val="clear"/>
            <w:vAlign w:val="bottom"/>
          </w:tcPr>
          <w:p>
            <w:pPr>
              <w:pStyle w:val="TableContents"/>
              <w:spacing w:before="0" w:after="283"/>
              <w:rPr/>
            </w:pPr>
            <w:r>
              <w:rPr/>
              <w:t> </w:t>
            </w:r>
          </w:p>
        </w:tc>
        <w:tc>
          <w:tcPr>
            <w:tcW w:w="101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424"/>
        <w:gridCol w:w="142"/>
        <w:gridCol w:w="331"/>
        <w:gridCol w:w="142"/>
        <w:gridCol w:w="377"/>
        <w:gridCol w:w="142"/>
        <w:gridCol w:w="4488"/>
        <w:gridCol w:w="142"/>
        <w:gridCol w:w="1017"/>
      </w:tblGrid>
      <w:tr>
        <w:trPr/>
        <w:tc>
          <w:tcPr>
            <w:tcW w:w="34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PLAINS MARKETING CANADA,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PMC (NOVA SCOTIA) COMPANY</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  </w:t>
            </w: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488"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Name: Phil Kramer</w:t>
              <w:br/>
              <w:t>Title: Executive Vice President</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BASIN HOLDINGS GP LLC</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PIPELINE,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Sole Member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MARKETING GP INC.</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488"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480" w:type="dxa"/>
            <w:gridSpan w:val="5"/>
            <w:tcBorders/>
            <w:shd w:fill="auto" w:val="clear"/>
          </w:tcPr>
          <w:p>
            <w:pPr>
              <w:pStyle w:val="TableContents"/>
              <w:spacing w:before="0" w:after="283"/>
              <w:jc w:val="left"/>
              <w:rPr/>
            </w:pPr>
            <w:r>
              <w:rPr/>
              <w:t>BASIN PIPELINE HOLDINGS,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BASIN HOLDINGS GP LLC</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PIPELINE, L.P.</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Sole Member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PLAINS MARKETING GP INC.</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5007" w:type="dxa"/>
            <w:gridSpan w:val="3"/>
            <w:tcBorders/>
            <w:shd w:fill="auto" w:val="clear"/>
          </w:tcPr>
          <w:p>
            <w:pPr>
              <w:pStyle w:val="TableContents"/>
              <w:spacing w:before="0" w:after="283"/>
              <w:jc w:val="left"/>
              <w:rPr/>
            </w:pPr>
            <w:r>
              <w:rPr/>
              <w:t>its General Partner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By:</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/s/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488" w:type="dxa"/>
            <w:tcBorders>
              <w:top w:val="single" w:sz="2" w:space="0" w:color="000000"/>
            </w:tcBorders>
            <w:shd w:fill="auto" w:val="clear"/>
            <w:tcMar>
              <w:top w:w="28" w:type="dxa"/>
            </w:tcM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283"/>
              <w:jc w:val="left"/>
              <w:rPr/>
            </w:pPr>
            <w:r>
              <w:rPr/>
              <w:t>Name: Phil Kramer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42" w:type="dxa"/>
            <w:tcBorders/>
            <w:shd w:fill="auto" w:val="clear"/>
            <w:vAlign w:val="bottom"/>
          </w:tcPr>
          <w:p>
            <w:pPr>
              <w:pStyle w:val="TableContents"/>
              <w:spacing w:before="0" w:after="283"/>
              <w:rPr/>
            </w:pPr>
            <w:r>
              <w:rPr/>
              <w:t> </w:t>
            </w:r>
          </w:p>
        </w:tc>
        <w:tc>
          <w:tcPr>
            <w:tcW w:w="331"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377"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488" w:type="dxa"/>
            <w:tcBorders/>
            <w:shd w:fill="auto" w:val="clear"/>
          </w:tcPr>
          <w:p>
            <w:pPr>
              <w:pStyle w:val="TableContents"/>
              <w:spacing w:before="0" w:after="0"/>
              <w:ind w:left="450" w:right="0" w:hanging="450"/>
              <w:jc w:val="left"/>
              <w:rPr/>
            </w:pPr>
            <w:r>
              <w:rPr/>
              <w:t>Title: Executive Vice President and Chief Financial Officer</w:t>
            </w:r>
          </w:p>
        </w:tc>
        <w:tc>
          <w:tcPr>
            <w:tcW w:w="142" w:type="dxa"/>
            <w:tcBorders/>
            <w:shd w:fill="auto" w:val="clear"/>
            <w:vAlign w:val="bottom"/>
          </w:tcPr>
          <w:p>
            <w:pPr>
              <w:pStyle w:val="TableContents"/>
              <w:spacing w:before="0" w:after="283"/>
              <w:rPr/>
            </w:pPr>
            <w:r>
              <w:rPr/>
              <w:t> </w:t>
            </w:r>
          </w:p>
        </w:tc>
        <w:tc>
          <w:tcPr>
            <w:tcW w:w="1017"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387"/>
        <w:gridCol w:w="144"/>
        <w:gridCol w:w="344"/>
        <w:gridCol w:w="144"/>
        <w:gridCol w:w="442"/>
        <w:gridCol w:w="144"/>
        <w:gridCol w:w="4447"/>
        <w:gridCol w:w="144"/>
        <w:gridCol w:w="1009"/>
      </w:tblGrid>
      <w:tr>
        <w:trPr/>
        <w:tc>
          <w:tcPr>
            <w:tcW w:w="338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521" w:type="dxa"/>
            <w:gridSpan w:val="5"/>
            <w:tcBorders/>
            <w:shd w:fill="auto" w:val="clear"/>
          </w:tcPr>
          <w:p>
            <w:pPr>
              <w:pStyle w:val="TableContents"/>
              <w:spacing w:before="0" w:after="283"/>
              <w:jc w:val="left"/>
              <w:rPr/>
            </w:pPr>
            <w:r>
              <w:rPr/>
              <w:t>RANCHO HOLDINGS GP LLC</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PLAINS PIPELINE, L.P.</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its Sole Member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PLAINS MARKETING GP INC.</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its General Partner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/s/ Phil Kramer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center"/>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4447" w:type="dxa"/>
            <w:tcBorders>
              <w:top w:val="single" w:sz="2" w:space="0" w:color="000000"/>
            </w:tcBorders>
            <w:shd w:fill="auto" w:val="clear"/>
            <w:tcMar>
              <w:top w:w="28" w:type="dxa"/>
            </w:tcM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Name: Phil Kramer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0"/>
              <w:ind w:left="450" w:right="0" w:hanging="450"/>
              <w:jc w:val="left"/>
              <w:rPr/>
            </w:pPr>
            <w:r>
              <w:rPr/>
              <w:t>Title: Executive Vice President and Chief Financial Officer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521" w:type="dxa"/>
            <w:gridSpan w:val="5"/>
            <w:tcBorders/>
            <w:shd w:fill="auto" w:val="clear"/>
          </w:tcPr>
          <w:p>
            <w:pPr>
              <w:pStyle w:val="TableContents"/>
              <w:spacing w:before="0" w:after="283"/>
              <w:jc w:val="left"/>
              <w:rPr/>
            </w:pPr>
            <w:r>
              <w:rPr/>
              <w:t>RANCHO PIPELINE HOLDINGS, L.P.</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RANCHO HOLDINGS GP LLC</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its General Partner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PLAINS PIPELINE, L.P.</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its Sole Member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PLAINS MARKETING GP INC.</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its General Partner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/s/ Phil Kramer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center"/>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4447" w:type="dxa"/>
            <w:tcBorders>
              <w:top w:val="single" w:sz="2" w:space="0" w:color="000000"/>
            </w:tcBorders>
            <w:shd w:fill="auto" w:val="clear"/>
            <w:tcMar>
              <w:top w:w="28" w:type="dxa"/>
            </w:tcM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Name: Phil Kramer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0"/>
              <w:ind w:left="450" w:right="0" w:hanging="450"/>
              <w:jc w:val="left"/>
              <w:rPr/>
            </w:pPr>
            <w:r>
              <w:rPr/>
              <w:t>Title: Executive Vice President and Chief Financial Officer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5521" w:type="dxa"/>
            <w:gridSpan w:val="5"/>
            <w:tcBorders/>
            <w:shd w:fill="auto" w:val="clear"/>
          </w:tcPr>
          <w:p>
            <w:pPr>
              <w:pStyle w:val="TableContents"/>
              <w:spacing w:before="0" w:after="283"/>
              <w:jc w:val="left"/>
              <w:rPr/>
            </w:pPr>
            <w:r>
              <w:rPr/>
              <w:t>PLAINS LPG SERVICES GP LLC</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Plains Marketing, L.P., its Sole Member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By:</w:t>
            </w:r>
          </w:p>
        </w:tc>
        <w:tc>
          <w:tcPr>
            <w:tcW w:w="144" w:type="dxa"/>
            <w:tcBorders/>
            <w:shd w:fill="auto" w:val="clear"/>
            <w:vAlign w:val="bottom"/>
          </w:tcPr>
          <w:p>
            <w:pPr>
              <w:pStyle w:val="TableContents"/>
              <w:spacing w:before="0" w:after="283"/>
              <w:rPr/>
            </w:pPr>
            <w:r>
              <w:rPr/>
              <w:t> </w:t>
            </w:r>
          </w:p>
        </w:tc>
        <w:tc>
          <w:tcPr>
            <w:tcW w:w="5033" w:type="dxa"/>
            <w:gridSpan w:val="3"/>
            <w:tcBorders/>
            <w:shd w:fill="auto" w:val="clear"/>
          </w:tcPr>
          <w:p>
            <w:pPr>
              <w:pStyle w:val="TableContents"/>
              <w:spacing w:before="0" w:after="283"/>
              <w:jc w:val="left"/>
              <w:rPr/>
            </w:pPr>
            <w:r>
              <w:rPr/>
              <w:t>Plains Marketing GP Inc., its General Partner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xml:space="preserve">By: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/s/ Phil Kramer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center"/>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4447" w:type="dxa"/>
            <w:tcBorders>
              <w:top w:val="single" w:sz="2" w:space="0" w:color="000000"/>
            </w:tcBorders>
            <w:shd w:fill="auto" w:val="clear"/>
            <w:tcMar>
              <w:top w:w="28" w:type="dxa"/>
            </w:tcMar>
          </w:tcPr>
          <w:p>
            <w:pPr>
              <w:pStyle w:val="TableContents"/>
              <w:spacing w:before="0" w:after="283"/>
              <w:jc w:val="left"/>
              <w:rPr/>
            </w:pPr>
            <w:r>
              <w:rPr/>
              <w:t> </w:t>
            </w:r>
          </w:p>
        </w:tc>
        <w:tc>
          <w:tcPr>
            <w:tcW w:w="144" w:type="dxa"/>
            <w:tcBorders/>
            <w:shd w:fill="auto" w:val="clear"/>
            <w:vAlign w:val="center"/>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Phil Kramer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r>
        <w:trPr/>
        <w:tc>
          <w:tcPr>
            <w:tcW w:w="3387" w:type="dxa"/>
            <w:tcBorders/>
            <w:shd w:fill="auto" w:val="clear"/>
          </w:tcPr>
          <w:p>
            <w:pPr>
              <w:pStyle w:val="TableContents"/>
              <w:spacing w:before="0" w:after="0"/>
              <w:ind w:left="0" w:right="0" w:hanging="0"/>
              <w:rPr/>
            </w:pPr>
            <w:r>
              <w:rPr/>
              <w:t xml:space="preserve">  </w:t>
            </w:r>
          </w:p>
        </w:tc>
        <w:tc>
          <w:tcPr>
            <w:tcW w:w="144" w:type="dxa"/>
            <w:tcBorders/>
            <w:shd w:fill="auto" w:val="clear"/>
            <w:vAlign w:val="bottom"/>
          </w:tcPr>
          <w:p>
            <w:pPr>
              <w:pStyle w:val="TableContents"/>
              <w:spacing w:before="0" w:after="283"/>
              <w:rPr/>
            </w:pPr>
            <w:r>
              <w:rPr/>
              <w:t> </w:t>
            </w:r>
          </w:p>
        </w:tc>
        <w:tc>
          <w:tcPr>
            <w:tcW w:w="344"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2" w:type="dxa"/>
            <w:tcBorders/>
            <w:shd w:fill="auto" w:val="clear"/>
          </w:tcPr>
          <w:p>
            <w:pPr>
              <w:pStyle w:val="TableContents"/>
              <w:spacing w:before="0" w:after="283"/>
              <w:jc w:val="left"/>
              <w:rPr/>
            </w:pPr>
            <w:r>
              <w:rPr/>
              <w:t> </w:t>
            </w:r>
          </w:p>
        </w:tc>
        <w:tc>
          <w:tcPr>
            <w:tcW w:w="144" w:type="dxa"/>
            <w:tcBorders/>
            <w:shd w:fill="auto" w:val="clear"/>
            <w:vAlign w:val="bottom"/>
          </w:tcPr>
          <w:p>
            <w:pPr>
              <w:pStyle w:val="TableContents"/>
              <w:spacing w:before="0" w:after="283"/>
              <w:rPr/>
            </w:pPr>
            <w:r>
              <w:rPr/>
              <w:t> </w:t>
            </w:r>
          </w:p>
        </w:tc>
        <w:tc>
          <w:tcPr>
            <w:tcW w:w="4447" w:type="dxa"/>
            <w:tcBorders/>
            <w:shd w:fill="auto" w:val="clear"/>
          </w:tcPr>
          <w:p>
            <w:pPr>
              <w:pStyle w:val="TableContents"/>
              <w:spacing w:before="0" w:after="283"/>
              <w:jc w:val="left"/>
              <w:rPr/>
            </w:pPr>
            <w:r>
              <w:rPr/>
              <w:t>Executive Vice President and Chief Financial Officer</w:t>
            </w:r>
          </w:p>
        </w:tc>
        <w:tc>
          <w:tcPr>
            <w:tcW w:w="144" w:type="dxa"/>
            <w:tcBorders/>
            <w:shd w:fill="auto" w:val="clear"/>
            <w:vAlign w:val="bottom"/>
          </w:tcPr>
          <w:p>
            <w:pPr>
              <w:pStyle w:val="TableContents"/>
              <w:spacing w:before="0" w:after="283"/>
              <w:rPr/>
            </w:pPr>
            <w:r>
              <w:rPr/>
              <w:t> </w:t>
            </w:r>
          </w:p>
        </w:tc>
        <w:tc>
          <w:tcPr>
            <w:tcW w:w="1009"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528"/>
        <w:gridCol w:w="140"/>
        <w:gridCol w:w="310"/>
        <w:gridCol w:w="140"/>
        <w:gridCol w:w="310"/>
        <w:gridCol w:w="140"/>
        <w:gridCol w:w="4453"/>
        <w:gridCol w:w="140"/>
        <w:gridCol w:w="1044"/>
      </w:tblGrid>
      <w:tr>
        <w:trPr/>
        <w:tc>
          <w:tcPr>
            <w:tcW w:w="35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vAlign w:val="bottom"/>
          </w:tcPr>
          <w:p>
            <w:pPr>
              <w:pStyle w:val="TableContents"/>
              <w:spacing w:before="0" w:after="283"/>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353" w:type="dxa"/>
            <w:gridSpan w:val="5"/>
            <w:tcBorders/>
            <w:shd w:fill="auto" w:val="clear"/>
          </w:tcPr>
          <w:p>
            <w:pPr>
              <w:pStyle w:val="TableContents"/>
              <w:spacing w:before="0" w:after="283"/>
              <w:jc w:val="left"/>
              <w:rPr/>
            </w:pPr>
            <w:r>
              <w:rPr/>
              <w:t>PLAINS LPG SERVICES, L.P.</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LPG Services GP LLC, its General Partner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Marketing, L.P., its Sole Member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Marketing GP Inc., its General Partner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/s/ Phil Kramer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4453" w:type="dxa"/>
            <w:tcBorders>
              <w:top w:val="single" w:sz="2" w:space="0" w:color="000000"/>
            </w:tcBorders>
            <w:shd w:fill="auto" w:val="clear"/>
            <w:tcMar>
              <w:top w:w="28" w:type="dxa"/>
            </w:tcM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Phil Kramer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Executive Vice President and Chief Financial Officer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353" w:type="dxa"/>
            <w:gridSpan w:val="5"/>
            <w:tcBorders/>
            <w:shd w:fill="auto" w:val="clear"/>
          </w:tcPr>
          <w:p>
            <w:pPr>
              <w:pStyle w:val="TableContents"/>
              <w:spacing w:before="0" w:after="283"/>
              <w:jc w:val="left"/>
              <w:rPr/>
            </w:pPr>
            <w:r>
              <w:rPr/>
              <w:t>LONE STAR TRUCKING, LLC</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LPG Services, L.P., its Sole Member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LPG Services GP LLC, its General Partner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Marketing, L.P., its Sole Member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03" w:type="dxa"/>
            <w:gridSpan w:val="3"/>
            <w:tcBorders/>
            <w:shd w:fill="auto" w:val="clear"/>
          </w:tcPr>
          <w:p>
            <w:pPr>
              <w:pStyle w:val="TableContents"/>
              <w:spacing w:before="0" w:after="283"/>
              <w:jc w:val="left"/>
              <w:rPr/>
            </w:pPr>
            <w:r>
              <w:rPr/>
              <w:t>Plains Marketing GP Inc., its General Partner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/s/ Phil Kramer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4453" w:type="dxa"/>
            <w:tcBorders>
              <w:top w:val="single" w:sz="2" w:space="0" w:color="000000"/>
            </w:tcBorders>
            <w:shd w:fill="auto" w:val="clear"/>
            <w:tcMar>
              <w:top w:w="28" w:type="dxa"/>
            </w:tcM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Phil Kramer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r>
        <w:trPr/>
        <w:tc>
          <w:tcPr>
            <w:tcW w:w="3528"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53" w:type="dxa"/>
            <w:tcBorders/>
            <w:shd w:fill="auto" w:val="clear"/>
          </w:tcPr>
          <w:p>
            <w:pPr>
              <w:pStyle w:val="TableContents"/>
              <w:spacing w:before="0" w:after="283"/>
              <w:jc w:val="left"/>
              <w:rPr/>
            </w:pPr>
            <w:r>
              <w:rPr/>
              <w:t>Executive Vice President and Chief Financial Officer</w:t>
            </w:r>
          </w:p>
        </w:tc>
        <w:tc>
          <w:tcPr>
            <w:tcW w:w="140" w:type="dxa"/>
            <w:tcBorders/>
            <w:shd w:fill="auto" w:val="clear"/>
            <w:vAlign w:val="bottom"/>
          </w:tcPr>
          <w:p>
            <w:pPr>
              <w:pStyle w:val="TableContents"/>
              <w:spacing w:before="0" w:after="283"/>
              <w:rPr/>
            </w:pPr>
            <w:r>
              <w:rPr/>
              <w:t> </w:t>
            </w:r>
          </w:p>
        </w:tc>
        <w:tc>
          <w:tcPr>
            <w:tcW w:w="1044"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257"/>
        <w:gridCol w:w="137"/>
        <w:gridCol w:w="369"/>
        <w:gridCol w:w="137"/>
        <w:gridCol w:w="369"/>
        <w:gridCol w:w="137"/>
        <w:gridCol w:w="4696"/>
        <w:gridCol w:w="137"/>
        <w:gridCol w:w="966"/>
      </w:tblGrid>
      <w:tr>
        <w:trPr/>
        <w:tc>
          <w:tcPr>
            <w:tcW w:w="3257"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708" w:type="dxa"/>
            <w:gridSpan w:val="5"/>
            <w:tcBorders/>
            <w:shd w:fill="auto" w:val="clear"/>
          </w:tcPr>
          <w:p>
            <w:pPr>
              <w:pStyle w:val="TableContents"/>
              <w:spacing w:before="0" w:after="283"/>
              <w:jc w:val="left"/>
              <w:rPr/>
            </w:pPr>
            <w:r>
              <w:rPr/>
              <w:t>PLAINS MARKETING INTERNATIONAL GP LLC</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PLAINS MARKETING, L.P.</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its Sole Member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PLAINS MARKETING GP INC.</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its General Partner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/s/ Phil Kramer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center"/>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4696" w:type="dxa"/>
            <w:tcBorders>
              <w:top w:val="single" w:sz="2" w:space="0" w:color="000000"/>
            </w:tcBorders>
            <w:shd w:fill="auto" w:val="clear"/>
            <w:tcMar>
              <w:top w:w="28" w:type="dxa"/>
            </w:tcM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Name: Phil Kramer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0"/>
              <w:ind w:left="450" w:right="0" w:hanging="450"/>
              <w:jc w:val="left"/>
              <w:rPr/>
            </w:pPr>
            <w:r>
              <w:rPr/>
              <w:t>Title: Executive Vice President and Chief Financial Officer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5708" w:type="dxa"/>
            <w:gridSpan w:val="5"/>
            <w:tcBorders/>
            <w:shd w:fill="auto" w:val="clear"/>
          </w:tcPr>
          <w:p>
            <w:pPr>
              <w:pStyle w:val="TableContents"/>
              <w:spacing w:before="0" w:after="283"/>
              <w:jc w:val="left"/>
              <w:rPr/>
            </w:pPr>
            <w:r>
              <w:rPr/>
              <w:t>PLAINS MARKETING INTERNATIONAL, L.P.</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PLAINS MARKETING INTERNATIONAL GP LLC</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its General Partner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PLAINS MARKETING, L.P.</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its Sole Member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PLAINS MARKETING GP INC.</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5202" w:type="dxa"/>
            <w:gridSpan w:val="3"/>
            <w:tcBorders/>
            <w:shd w:fill="auto" w:val="clear"/>
          </w:tcPr>
          <w:p>
            <w:pPr>
              <w:pStyle w:val="TableContents"/>
              <w:spacing w:before="0" w:after="283"/>
              <w:jc w:val="left"/>
              <w:rPr/>
            </w:pPr>
            <w:r>
              <w:rPr/>
              <w:t>its General Partner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By:</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/s/ Phil Kramer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center"/>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4696" w:type="dxa"/>
            <w:tcBorders>
              <w:top w:val="single" w:sz="2" w:space="0" w:color="000000"/>
            </w:tcBorders>
            <w:shd w:fill="auto" w:val="clear"/>
            <w:tcMar>
              <w:top w:w="28" w:type="dxa"/>
            </w:tcMar>
          </w:tcPr>
          <w:p>
            <w:pPr>
              <w:pStyle w:val="TableContents"/>
              <w:spacing w:before="0" w:after="283"/>
              <w:jc w:val="left"/>
              <w:rPr/>
            </w:pPr>
            <w:r>
              <w:rPr/>
              <w:t> </w:t>
            </w:r>
          </w:p>
        </w:tc>
        <w:tc>
          <w:tcPr>
            <w:tcW w:w="137" w:type="dxa"/>
            <w:tcBorders/>
            <w:shd w:fill="auto" w:val="clear"/>
            <w:vAlign w:val="center"/>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283"/>
              <w:jc w:val="left"/>
              <w:rPr/>
            </w:pPr>
            <w:r>
              <w:rPr/>
              <w:t>Name: Phil Kramer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r>
        <w:trPr/>
        <w:tc>
          <w:tcPr>
            <w:tcW w:w="3257" w:type="dxa"/>
            <w:tcBorders/>
            <w:shd w:fill="auto" w:val="clear"/>
          </w:tcPr>
          <w:p>
            <w:pPr>
              <w:pStyle w:val="TableContents"/>
              <w:spacing w:before="0" w:after="0"/>
              <w:ind w:left="0" w:right="0" w:hanging="0"/>
              <w:rPr/>
            </w:pPr>
            <w:r>
              <w:rPr/>
              <w:t xml:space="preserve">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369" w:type="dxa"/>
            <w:tcBorders/>
            <w:shd w:fill="auto" w:val="clear"/>
          </w:tcPr>
          <w:p>
            <w:pPr>
              <w:pStyle w:val="TableContents"/>
              <w:spacing w:before="0" w:after="283"/>
              <w:jc w:val="left"/>
              <w:rPr/>
            </w:pPr>
            <w:r>
              <w:rPr/>
              <w:t> </w:t>
            </w:r>
          </w:p>
        </w:tc>
        <w:tc>
          <w:tcPr>
            <w:tcW w:w="137" w:type="dxa"/>
            <w:tcBorders/>
            <w:shd w:fill="auto" w:val="clear"/>
            <w:vAlign w:val="bottom"/>
          </w:tcPr>
          <w:p>
            <w:pPr>
              <w:pStyle w:val="TableContents"/>
              <w:spacing w:before="0" w:after="283"/>
              <w:rPr/>
            </w:pPr>
            <w:r>
              <w:rPr/>
              <w:t> </w:t>
            </w:r>
          </w:p>
        </w:tc>
        <w:tc>
          <w:tcPr>
            <w:tcW w:w="4696" w:type="dxa"/>
            <w:tcBorders/>
            <w:shd w:fill="auto" w:val="clear"/>
          </w:tcPr>
          <w:p>
            <w:pPr>
              <w:pStyle w:val="TableContents"/>
              <w:spacing w:before="0" w:after="0"/>
              <w:ind w:left="450" w:right="0" w:hanging="450"/>
              <w:jc w:val="left"/>
              <w:rPr/>
            </w:pPr>
            <w:r>
              <w:rPr/>
              <w:t>Title: Executive Vice President and Chief Financial Officer</w:t>
            </w:r>
          </w:p>
        </w:tc>
        <w:tc>
          <w:tcPr>
            <w:tcW w:w="137" w:type="dxa"/>
            <w:tcBorders/>
            <w:shd w:fill="auto" w:val="clear"/>
            <w:vAlign w:val="bottom"/>
          </w:tcPr>
          <w:p>
            <w:pPr>
              <w:pStyle w:val="TableContents"/>
              <w:spacing w:before="0" w:after="283"/>
              <w:rPr/>
            </w:pPr>
            <w:r>
              <w:rPr/>
              <w:t> </w:t>
            </w:r>
          </w:p>
        </w:tc>
        <w:tc>
          <w:tcPr>
            <w:tcW w:w="966"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412"/>
        <w:gridCol w:w="140"/>
        <w:gridCol w:w="366"/>
        <w:gridCol w:w="140"/>
        <w:gridCol w:w="366"/>
        <w:gridCol w:w="140"/>
        <w:gridCol w:w="4489"/>
        <w:gridCol w:w="140"/>
        <w:gridCol w:w="1012"/>
      </w:tblGrid>
      <w:tr>
        <w:trPr/>
        <w:tc>
          <w:tcPr>
            <w:tcW w:w="3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501" w:type="dxa"/>
            <w:gridSpan w:val="5"/>
            <w:tcBorders/>
            <w:shd w:fill="auto" w:val="clear"/>
          </w:tcPr>
          <w:p>
            <w:pPr>
              <w:pStyle w:val="TableContents"/>
              <w:spacing w:before="0" w:after="283"/>
              <w:jc w:val="left"/>
              <w:rPr/>
            </w:pPr>
            <w:r>
              <w:rPr/>
              <w:t>PLAINS LPG MARKETING, L.P.</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95" w:type="dxa"/>
            <w:gridSpan w:val="3"/>
            <w:tcBorders/>
            <w:shd w:fill="auto" w:val="clear"/>
          </w:tcPr>
          <w:p>
            <w:pPr>
              <w:pStyle w:val="TableContents"/>
              <w:spacing w:before="0" w:after="283"/>
              <w:jc w:val="left"/>
              <w:rPr/>
            </w:pPr>
            <w:r>
              <w:rPr/>
              <w:t>PLAINS LPG SERVICES GP LLC</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995" w:type="dxa"/>
            <w:gridSpan w:val="3"/>
            <w:tcBorders/>
            <w:shd w:fill="auto" w:val="clear"/>
          </w:tcPr>
          <w:p>
            <w:pPr>
              <w:pStyle w:val="TableContents"/>
              <w:spacing w:before="0" w:after="283"/>
              <w:jc w:val="left"/>
              <w:rPr/>
            </w:pPr>
            <w:r>
              <w:rPr/>
              <w:t>its General Partner</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95" w:type="dxa"/>
            <w:gridSpan w:val="3"/>
            <w:tcBorders/>
            <w:shd w:fill="auto" w:val="clear"/>
          </w:tcPr>
          <w:p>
            <w:pPr>
              <w:pStyle w:val="TableContents"/>
              <w:spacing w:before="0" w:after="283"/>
              <w:jc w:val="left"/>
              <w:rPr/>
            </w:pPr>
            <w:r>
              <w:rPr/>
              <w:t>PLAINS MARKETING, L.P.</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995" w:type="dxa"/>
            <w:gridSpan w:val="3"/>
            <w:tcBorders/>
            <w:shd w:fill="auto" w:val="clear"/>
          </w:tcPr>
          <w:p>
            <w:pPr>
              <w:pStyle w:val="TableContents"/>
              <w:spacing w:before="0" w:after="283"/>
              <w:jc w:val="left"/>
              <w:rPr/>
            </w:pPr>
            <w:r>
              <w:rPr/>
              <w:t>its Sole Member</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995" w:type="dxa"/>
            <w:gridSpan w:val="3"/>
            <w:tcBorders/>
            <w:shd w:fill="auto" w:val="clear"/>
          </w:tcPr>
          <w:p>
            <w:pPr>
              <w:pStyle w:val="TableContents"/>
              <w:spacing w:before="0" w:after="283"/>
              <w:jc w:val="left"/>
              <w:rPr/>
            </w:pPr>
            <w:r>
              <w:rPr/>
              <w:t>PLAINS MARKETING GP INC.</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995" w:type="dxa"/>
            <w:gridSpan w:val="3"/>
            <w:tcBorders/>
            <w:shd w:fill="auto" w:val="clear"/>
          </w:tcPr>
          <w:p>
            <w:pPr>
              <w:pStyle w:val="TableContents"/>
              <w:spacing w:before="0" w:after="283"/>
              <w:jc w:val="left"/>
              <w:rPr/>
            </w:pPr>
            <w:r>
              <w:rPr/>
              <w:t>its General Partner</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By:</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283"/>
              <w:jc w:val="left"/>
              <w:rPr/>
            </w:pPr>
            <w:r>
              <w:rPr/>
              <w:t>/s/ Phil Kramer</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xml:space="preserve">  </w:t>
            </w:r>
          </w:p>
        </w:tc>
        <w:tc>
          <w:tcPr>
            <w:tcW w:w="140" w:type="dxa"/>
            <w:tcBorders/>
            <w:shd w:fill="auto" w:val="clear"/>
            <w:vAlign w:val="center"/>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4489" w:type="dxa"/>
            <w:tcBorders>
              <w:top w:val="single" w:sz="2" w:space="0" w:color="000000"/>
            </w:tcBorders>
            <w:shd w:fill="auto" w:val="clear"/>
            <w:tcMar>
              <w:top w:w="28" w:type="dxa"/>
            </w:tcMar>
          </w:tcPr>
          <w:p>
            <w:pPr>
              <w:pStyle w:val="TableContents"/>
              <w:spacing w:before="0" w:after="283"/>
              <w:jc w:val="left"/>
              <w:rPr/>
            </w:pPr>
            <w:r>
              <w:rPr/>
              <w:t> </w:t>
            </w:r>
          </w:p>
        </w:tc>
        <w:tc>
          <w:tcPr>
            <w:tcW w:w="140" w:type="dxa"/>
            <w:tcBorders/>
            <w:shd w:fill="auto" w:val="clear"/>
            <w:vAlign w:val="center"/>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283"/>
              <w:jc w:val="left"/>
              <w:rPr/>
            </w:pPr>
            <w:r>
              <w:rPr/>
              <w:t>Name: Phil Kramer</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r>
        <w:trPr/>
        <w:tc>
          <w:tcPr>
            <w:tcW w:w="3412" w:type="dxa"/>
            <w:tcBorders/>
            <w:shd w:fill="auto" w:val="clear"/>
          </w:tcPr>
          <w:p>
            <w:pPr>
              <w:pStyle w:val="TableContents"/>
              <w:spacing w:before="0" w:after="0"/>
              <w:ind w:left="0" w:right="0" w:hanging="0"/>
              <w:rPr/>
            </w:pPr>
            <w:r>
              <w:rPr/>
              <w:t xml:space="preserve">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366" w:type="dxa"/>
            <w:tcBorders/>
            <w:shd w:fill="auto" w:val="clear"/>
          </w:tcPr>
          <w:p>
            <w:pPr>
              <w:pStyle w:val="TableContents"/>
              <w:spacing w:before="0" w:after="283"/>
              <w:jc w:val="left"/>
              <w:rPr/>
            </w:pPr>
            <w:r>
              <w:rPr/>
              <w:t> </w:t>
            </w:r>
          </w:p>
        </w:tc>
        <w:tc>
          <w:tcPr>
            <w:tcW w:w="140" w:type="dxa"/>
            <w:tcBorders/>
            <w:shd w:fill="auto" w:val="clear"/>
            <w:vAlign w:val="bottom"/>
          </w:tcPr>
          <w:p>
            <w:pPr>
              <w:pStyle w:val="TableContents"/>
              <w:spacing w:before="0" w:after="283"/>
              <w:rPr/>
            </w:pPr>
            <w:r>
              <w:rPr/>
              <w:t> </w:t>
            </w:r>
          </w:p>
        </w:tc>
        <w:tc>
          <w:tcPr>
            <w:tcW w:w="4489" w:type="dxa"/>
            <w:tcBorders/>
            <w:shd w:fill="auto" w:val="clear"/>
          </w:tcPr>
          <w:p>
            <w:pPr>
              <w:pStyle w:val="TableContents"/>
              <w:spacing w:before="0" w:after="0"/>
              <w:ind w:left="450" w:right="0" w:hanging="450"/>
              <w:jc w:val="left"/>
              <w:rPr/>
            </w:pPr>
            <w:r>
              <w:rPr/>
              <w:t>Title: Executive Vice President and Chief Financial Officer</w:t>
            </w:r>
          </w:p>
        </w:tc>
        <w:tc>
          <w:tcPr>
            <w:tcW w:w="140" w:type="dxa"/>
            <w:tcBorders/>
            <w:shd w:fill="auto" w:val="clear"/>
            <w:vAlign w:val="bottom"/>
          </w:tcPr>
          <w:p>
            <w:pPr>
              <w:pStyle w:val="TableContents"/>
              <w:spacing w:before="0" w:after="283"/>
              <w:rPr/>
            </w:pPr>
            <w:r>
              <w:rPr/>
              <w:t> </w:t>
            </w:r>
          </w:p>
        </w:tc>
        <w:tc>
          <w:tcPr>
            <w:tcW w:w="1012"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The foregoing Agreement is hereby confirmed and accepted as of the date first above written.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tbl>
      <w:tblPr>
        <w:tblW w:w="5000" w:type="pct"/>
        <w:jc w:val="center"/>
        <w:tblInd w:w="0" w:type="dxa"/>
        <w:tblCellMar>
          <w:top w:w="0" w:type="dxa"/>
          <w:left w:w="0" w:type="dxa"/>
          <w:bottom w:w="0" w:type="dxa"/>
          <w:right w:w="0" w:type="dxa"/>
        </w:tblCellMar>
      </w:tblPr>
      <w:tblGrid>
        <w:gridCol w:w="324"/>
        <w:gridCol w:w="171"/>
        <w:gridCol w:w="4168"/>
        <w:gridCol w:w="171"/>
        <w:gridCol w:w="5371"/>
      </w:tblGrid>
      <w:tr>
        <w:trPr/>
        <w:tc>
          <w:tcPr>
            <w:tcW w:w="324"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4168"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5371" w:type="dxa"/>
            <w:tcBorders/>
            <w:shd w:fill="auto" w:val="clear"/>
            <w:vAlign w:val="bottom"/>
          </w:tcPr>
          <w:p>
            <w:pPr>
              <w:pStyle w:val="TableContents"/>
              <w:spacing w:before="0" w:after="283"/>
              <w:rPr/>
            </w:pPr>
            <w:r>
              <w:rPr/>
              <w:t> </w:t>
            </w:r>
          </w:p>
        </w:tc>
      </w:tr>
      <w:tr>
        <w:trPr/>
        <w:tc>
          <w:tcPr>
            <w:tcW w:w="324" w:type="dxa"/>
            <w:tcBorders/>
            <w:shd w:fill="auto" w:val="clear"/>
          </w:tcPr>
          <w:p>
            <w:pPr>
              <w:pStyle w:val="TableContents"/>
              <w:spacing w:before="0" w:after="0"/>
              <w:ind w:left="0" w:right="0" w:hanging="0"/>
              <w:rPr/>
            </w:pPr>
            <w:r>
              <w:rPr/>
              <w:t xml:space="preserve">By: </w:t>
            </w:r>
          </w:p>
        </w:tc>
        <w:tc>
          <w:tcPr>
            <w:tcW w:w="171" w:type="dxa"/>
            <w:tcBorders/>
            <w:shd w:fill="auto" w:val="clear"/>
            <w:vAlign w:val="bottom"/>
          </w:tcPr>
          <w:p>
            <w:pPr>
              <w:pStyle w:val="TableContents"/>
              <w:spacing w:before="0" w:after="283"/>
              <w:rPr/>
            </w:pPr>
            <w:r>
              <w:rPr/>
              <w:t> </w:t>
            </w:r>
          </w:p>
        </w:tc>
        <w:tc>
          <w:tcPr>
            <w:tcW w:w="4168" w:type="dxa"/>
            <w:tcBorders/>
            <w:shd w:fill="auto" w:val="clear"/>
          </w:tcPr>
          <w:p>
            <w:pPr>
              <w:pStyle w:val="TableContents"/>
              <w:spacing w:before="0" w:after="283"/>
              <w:jc w:val="left"/>
              <w:rPr/>
            </w:pPr>
            <w:r>
              <w:rPr/>
              <w:t>CITIGROUP GLOBAL MARKETS INC.</w:t>
            </w:r>
          </w:p>
        </w:tc>
        <w:tc>
          <w:tcPr>
            <w:tcW w:w="171" w:type="dxa"/>
            <w:tcBorders/>
            <w:shd w:fill="auto" w:val="clear"/>
            <w:vAlign w:val="bottom"/>
          </w:tcPr>
          <w:p>
            <w:pPr>
              <w:pStyle w:val="TableContents"/>
              <w:spacing w:before="0" w:after="283"/>
              <w:rPr/>
            </w:pPr>
            <w:r>
              <w:rPr/>
              <w:t> </w:t>
            </w:r>
          </w:p>
        </w:tc>
        <w:tc>
          <w:tcPr>
            <w:tcW w:w="5371"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283"/>
              <w:rPr/>
            </w:pPr>
            <w:r>
              <w:rPr/>
              <w:t> </w:t>
            </w:r>
          </w:p>
        </w:tc>
        <w:tc>
          <w:tcPr>
            <w:tcW w:w="4168" w:type="dxa"/>
            <w:tcBorders/>
            <w:shd w:fill="auto" w:val="clear"/>
          </w:tcPr>
          <w:p>
            <w:pPr>
              <w:pStyle w:val="TableContents"/>
              <w:spacing w:before="0" w:after="283"/>
              <w:jc w:val="left"/>
              <w:rPr/>
            </w:pPr>
            <w:r>
              <w:rPr/>
              <w:t> </w:t>
            </w:r>
          </w:p>
        </w:tc>
        <w:tc>
          <w:tcPr>
            <w:tcW w:w="171" w:type="dxa"/>
            <w:tcBorders/>
            <w:shd w:fill="auto" w:val="clear"/>
            <w:vAlign w:val="bottom"/>
          </w:tcPr>
          <w:p>
            <w:pPr>
              <w:pStyle w:val="TableContents"/>
              <w:spacing w:before="0" w:after="283"/>
              <w:rPr/>
            </w:pPr>
            <w:r>
              <w:rPr/>
              <w:t> </w:t>
            </w:r>
          </w:p>
        </w:tc>
        <w:tc>
          <w:tcPr>
            <w:tcW w:w="5371"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0"/>
              <w:ind w:left="0" w:right="0" w:hanging="0"/>
              <w:rPr/>
            </w:pPr>
            <w:r>
              <w:rPr/>
              <w:t>By:</w:t>
            </w:r>
          </w:p>
        </w:tc>
        <w:tc>
          <w:tcPr>
            <w:tcW w:w="171" w:type="dxa"/>
            <w:tcBorders/>
            <w:shd w:fill="auto" w:val="clear"/>
            <w:vAlign w:val="bottom"/>
          </w:tcPr>
          <w:p>
            <w:pPr>
              <w:pStyle w:val="TableContents"/>
              <w:spacing w:before="0" w:after="283"/>
              <w:rPr/>
            </w:pPr>
            <w:r>
              <w:rPr/>
              <w:t> </w:t>
            </w:r>
          </w:p>
        </w:tc>
        <w:tc>
          <w:tcPr>
            <w:tcW w:w="4168" w:type="dxa"/>
            <w:tcBorders/>
            <w:shd w:fill="auto" w:val="clear"/>
          </w:tcPr>
          <w:p>
            <w:pPr>
              <w:pStyle w:val="TableContents"/>
              <w:spacing w:before="0" w:after="283"/>
              <w:jc w:val="left"/>
              <w:rPr/>
            </w:pPr>
            <w:r>
              <w:rPr/>
              <w:t>/s/ Brian D. Bednarski</w:t>
            </w:r>
          </w:p>
        </w:tc>
        <w:tc>
          <w:tcPr>
            <w:tcW w:w="171" w:type="dxa"/>
            <w:tcBorders/>
            <w:shd w:fill="auto" w:val="clear"/>
            <w:vAlign w:val="bottom"/>
          </w:tcPr>
          <w:p>
            <w:pPr>
              <w:pStyle w:val="TableContents"/>
              <w:spacing w:before="0" w:after="283"/>
              <w:rPr/>
            </w:pPr>
            <w:r>
              <w:rPr/>
              <w:t> </w:t>
            </w:r>
          </w:p>
        </w:tc>
        <w:tc>
          <w:tcPr>
            <w:tcW w:w="5371"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0"/>
              <w:ind w:left="0" w:right="0" w:hanging="0"/>
              <w:rPr/>
            </w:pPr>
            <w:r>
              <w:rPr/>
              <w:t xml:space="preserve">  </w:t>
            </w:r>
          </w:p>
        </w:tc>
        <w:tc>
          <w:tcPr>
            <w:tcW w:w="171" w:type="dxa"/>
            <w:tcBorders/>
            <w:shd w:fill="auto" w:val="clear"/>
            <w:vAlign w:val="bottom"/>
          </w:tcPr>
          <w:p>
            <w:pPr>
              <w:pStyle w:val="TableContents"/>
              <w:spacing w:before="0" w:after="283"/>
              <w:rPr/>
            </w:pPr>
            <w:r>
              <w:rPr/>
              <w:t> </w:t>
            </w:r>
          </w:p>
        </w:tc>
        <w:tc>
          <w:tcPr>
            <w:tcW w:w="4168"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w:t>
            </w:r>
            <w:r>
              <w:rPr/>
              <w:t xml:space="preserve">Name: Brian D. Bednarski </w:t>
            </w:r>
          </w:p>
        </w:tc>
        <w:tc>
          <w:tcPr>
            <w:tcW w:w="171" w:type="dxa"/>
            <w:tcBorders/>
            <w:shd w:fill="auto" w:val="clear"/>
            <w:vAlign w:val="bottom"/>
          </w:tcPr>
          <w:p>
            <w:pPr>
              <w:pStyle w:val="TableContents"/>
              <w:spacing w:before="0" w:after="283"/>
              <w:rPr/>
            </w:pPr>
            <w:r>
              <w:rPr/>
              <w:t> </w:t>
            </w:r>
          </w:p>
        </w:tc>
        <w:tc>
          <w:tcPr>
            <w:tcW w:w="5371"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0"/>
              <w:ind w:left="0" w:right="0" w:hanging="0"/>
              <w:rPr/>
            </w:pPr>
            <w:r>
              <w:rPr/>
              <w:t xml:space="preserve">  </w:t>
            </w:r>
          </w:p>
        </w:tc>
        <w:tc>
          <w:tcPr>
            <w:tcW w:w="171" w:type="dxa"/>
            <w:tcBorders/>
            <w:shd w:fill="auto" w:val="clear"/>
            <w:vAlign w:val="bottom"/>
          </w:tcPr>
          <w:p>
            <w:pPr>
              <w:pStyle w:val="TableContents"/>
              <w:spacing w:before="0" w:after="283"/>
              <w:rPr/>
            </w:pPr>
            <w:r>
              <w:rPr/>
              <w:t> </w:t>
            </w:r>
          </w:p>
        </w:tc>
        <w:tc>
          <w:tcPr>
            <w:tcW w:w="4168" w:type="dxa"/>
            <w:tcBorders/>
            <w:shd w:fill="auto" w:val="clear"/>
          </w:tcPr>
          <w:p>
            <w:pPr>
              <w:pStyle w:val="TableContents"/>
              <w:spacing w:before="0" w:after="283"/>
              <w:jc w:val="left"/>
              <w:rPr/>
            </w:pPr>
            <w:r>
              <w:rPr/>
              <w:t>     </w:t>
            </w:r>
            <w:r>
              <w:rPr/>
              <w:t>Title:   Director</w:t>
            </w:r>
          </w:p>
        </w:tc>
        <w:tc>
          <w:tcPr>
            <w:tcW w:w="171" w:type="dxa"/>
            <w:tcBorders/>
            <w:shd w:fill="auto" w:val="clear"/>
            <w:vAlign w:val="bottom"/>
          </w:tcPr>
          <w:p>
            <w:pPr>
              <w:pStyle w:val="TableContents"/>
              <w:spacing w:before="0" w:after="283"/>
              <w:rPr/>
            </w:pPr>
            <w:r>
              <w:rPr/>
              <w:t> </w:t>
            </w:r>
          </w:p>
        </w:tc>
        <w:tc>
          <w:tcPr>
            <w:tcW w:w="5371"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1</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Pipeline,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GP Inc.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Canada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PMC (Nova Scotia)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Canada,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Basin Holdings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Basin Pipeline Holdings,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Rancho Holdings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Rancho Pipeline Holdings,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Services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Services,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Lone Star Trucking,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International GP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Marketing International,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LPG Marketing, L.P.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UBS Securities LLC</w:t>
        <w:br/>
        <w:t>Banc of America Securities LLC</w:t>
        <w:br/>
        <w:t>J.P. Morgan Securities Inc.</w:t>
        <w:br/>
        <w:t>Wachovia Capital Markets, LLC</w:t>
        <w:br/>
        <w:t>BNP Paribas Securities Corp.</w:t>
        <w:br/>
        <w:t>SunTrust Capital Markets, Inc.</w:t>
        <w:br/>
        <w:t>Comerica Securities, Inc.</w:t>
        <w:br/>
        <w:t>Commerzbank Capital Markets Corp.</w:t>
        <w:br/>
        <w:t>DnB NOR Markets, Inc.</w:t>
        <w:br/>
        <w:t>Fortis Securities LLC</w:t>
        <w:br/>
        <w:t>HSBC Securities (USA) Inc.</w:t>
        <w:br/>
        <w:t>ING Financial Markets LLC</w:t>
        <w:br/>
        <w:t>Mitsubishi UFJ Securities International plc</w:t>
        <w:br/>
        <w:t>Piper Jaffray &amp; Co.</w:t>
        <w:br/>
        <w:t>RBC Capital Markets Corporation</w:t>
        <w:br/>
        <w:t>Scotia Capital (USA) Inc.</w:t>
        <w:br/>
        <w:t>Daiwa Securities America Inc.</w:t>
        <w:br/>
        <w:t>SG Americas Securities, LLC</w:t>
        <w:br/>
        <w:t>Wedbush Morgan Securities Inc.</w:t>
        <w:br/>
        <w:t xml:space="preserve">Wells Fargo Securities, LLC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A</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Broker-Dealer that receives New Securities for its own account pursuant to the Exchange Offer must acknowledge that it will deliver a prospectus in connection with any resale of such New Securities.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New Securities received in exchange for Securities where such Securities were acquired by such Broker-Dealer as a result of market-making activities or other trading activities. The Issuers and the Guarantors have agreed that, starting on the Expiration Date (as defined herein) and ending on the close of business one year after the Expiration Date, they will make this Prospectus available to any Broker-Dealer for use in connection with any such resale. See Plan of Distribution.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B</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Broker-Dealer that receives New Securities for its own account in exchange for Securities, where such Securities were acquired by such Broker-Dealer as a result of market-making activities or other trading activities, must acknowledge that it will deliver a prospectus in connection with any resale of such New Securities. See Plan of Distribution.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PLAN OF DISTRIBUTION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Broker-Dealer that receives New Securities for its own account pursuant to the Exchange Offer must acknowledge that it will deliver a prospectus in connection with any resale of such New Securities. This Prospectus, as it may be amended or supplemented from time to time, may be used by a Broker-Dealer in connection with resales of New Securities received in exchange for Securities where such Securities were acquired as a result of market-making activities or other trading activities. The Issuers and the Guarantors have agreed that, starting on the Expiration Date and ending on the close of business one year after the Expiration Date, they will make this Prospectus, as amended or supplemented, available to any Broker-Dealer for use in connection with any such resale. In addition, until </w:t>
      </w:r>
      <w:r>
        <w:rPr>
          <w:rFonts w:ascii="Times New Roman;Times;serif" w:hAnsi="Times New Roman;Times;serif"/>
          <w:sz w:val="17"/>
          <w:u w:val="single"/>
        </w:rPr>
        <w:t>                    </w:t>
      </w:r>
      <w:r>
        <w:rPr>
          <w:rFonts w:ascii="Times New Roman;Times;serif" w:hAnsi="Times New Roman;Times;serif"/>
          <w:sz w:val="17"/>
        </w:rPr>
        <w:t xml:space="preserve">, 200___[90 days] after commencement of the offering, all dealers effecting transactions in the New Securities may be required to deliver a prospectus. </w:t>
      </w:r>
    </w:p>
    <w:p>
      <w:pPr>
        <w:pStyle w:val="TextBody"/>
        <w:spacing w:before="120" w:after="283"/>
        <w:jc w:val="left"/>
        <w:rPr/>
      </w:pPr>
      <w:r>
        <w:rPr/>
        <w:t>          </w:t>
      </w:r>
      <w:r>
        <w:rPr>
          <w:rFonts w:ascii="Times New Roman;Times;serif" w:hAnsi="Times New Roman;Times;serif"/>
          <w:sz w:val="17"/>
        </w:rPr>
        <w:t xml:space="preserve">The Issuers and the Guarantors will not receive any proceeds from any sale of New Securities by Brokers-Dealers. New Securities received by Broker-Dealers for their own account pursuant to the Exchange Offer may be sold from time to time in one or more transactions in the over-the-counter market, in negotiated transactions, through the writing of options on the New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Securities. Any Broker-Dealer that resells New Securities that were received by it for its own account pursuant to the Exchange Offer and any broker or dealer that participates in a distribution of such New Securities may be deemed to be an underwriter within the meaning of the Act and any profit of any such resale of New Securities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 </w:t>
      </w:r>
    </w:p>
    <w:p>
      <w:pPr>
        <w:pStyle w:val="TextBody"/>
        <w:spacing w:before="120" w:after="283"/>
        <w:jc w:val="left"/>
        <w:rPr/>
      </w:pPr>
      <w:r>
        <w:rPr/>
        <w:t>          </w:t>
      </w:r>
      <w:r>
        <w:rPr>
          <w:rFonts w:ascii="Times New Roman;Times;serif" w:hAnsi="Times New Roman;Times;serif"/>
          <w:sz w:val="17"/>
        </w:rPr>
        <w:t xml:space="preserve">For a period of one year after the Expiration Date, the Issuers and the Guarantors will promptly send additional copies of this Prospectus and any amendment or supplement to this Prospectus to any Broker-Dealer that requests such documents in the Letter of Transmittal. The Issuers and the Guarantors have agreed to pay all expenses incident to the Exchange Offer (including the reasonable expenses of one counsel for the holders of the Securities) other than commissions or concessions of any brokers or dealers and will indemnify the holders of the Securities (including any Broker-Dealers) against certain liabilities, including liabilities under the Act. </w:t>
      </w:r>
    </w:p>
    <w:p>
      <w:pPr>
        <w:pStyle w:val="TextBody"/>
        <w:spacing w:before="120" w:after="283"/>
        <w:jc w:val="left"/>
        <w:rPr/>
      </w:pPr>
      <w:r>
        <w:rPr/>
        <w:t>          </w:t>
      </w:r>
      <w:r>
        <w:rPr>
          <w:rFonts w:ascii="Times New Roman;Times;serif" w:hAnsi="Times New Roman;Times;serif"/>
          <w:sz w:val="17"/>
        </w:rPr>
        <w:t xml:space="preserve">If applicable, add information required by Regulation S-K Items 507 and/or 508.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ANNEX 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Rider A</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HERE IF YOU ARE A BROKER-DEALER AND WISH TO RECEIVE 10 ADDITIONAL COPIES OF THE PROSPECTUS AND 10 COPIES OF ANY AMENDMENTS OR SUPPLEMENTS THERETO. </w:t>
      </w:r>
    </w:p>
    <w:tbl>
      <w:tblPr>
        <w:tblW w:w="5000" w:type="pct"/>
        <w:jc w:val="center"/>
        <w:tblInd w:w="0" w:type="dxa"/>
        <w:tblCellMar>
          <w:top w:w="0" w:type="dxa"/>
          <w:left w:w="0" w:type="dxa"/>
          <w:bottom w:w="0" w:type="dxa"/>
          <w:right w:w="0" w:type="dxa"/>
        </w:tblCellMar>
      </w:tblPr>
      <w:tblGrid>
        <w:gridCol w:w="310"/>
        <w:gridCol w:w="182"/>
        <w:gridCol w:w="840"/>
        <w:gridCol w:w="182"/>
        <w:gridCol w:w="3283"/>
        <w:gridCol w:w="182"/>
        <w:gridCol w:w="5226"/>
      </w:tblGrid>
      <w:tr>
        <w:trPr/>
        <w:tc>
          <w:tcPr>
            <w:tcW w:w="31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3283"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5226" w:type="dxa"/>
            <w:tcBorders/>
            <w:shd w:fill="auto" w:val="clear"/>
            <w:vAlign w:val="bottom"/>
          </w:tcPr>
          <w:p>
            <w:pPr>
              <w:pStyle w:val="TableContents"/>
              <w:spacing w:before="0" w:after="283"/>
              <w:rPr/>
            </w:pPr>
            <w:r>
              <w:rPr/>
              <w:t> </w:t>
            </w:r>
          </w:p>
        </w:tc>
      </w:tr>
      <w:tr>
        <w:trPr/>
        <w:tc>
          <w:tcPr>
            <w:tcW w:w="310" w:type="dxa"/>
            <w:tcBorders/>
            <w:shd w:fill="auto" w:val="clear"/>
          </w:tcPr>
          <w:p>
            <w:pPr>
              <w:pStyle w:val="TableContents"/>
              <w:spacing w:before="0" w:after="0"/>
              <w:ind w:left="0" w:right="0" w:hanging="0"/>
              <w:rPr/>
            </w:pPr>
            <w:r>
              <w:rPr/>
              <w:t xml:space="preserve">  </w:t>
            </w:r>
          </w:p>
        </w:tc>
        <w:tc>
          <w:tcPr>
            <w:tcW w:w="182" w:type="dxa"/>
            <w:tcBorders/>
            <w:shd w:fill="auto" w:val="clear"/>
            <w:vAlign w:val="bottom"/>
          </w:tcPr>
          <w:p>
            <w:pPr>
              <w:pStyle w:val="TableContents"/>
              <w:spacing w:before="0" w:after="283"/>
              <w:rPr/>
            </w:pPr>
            <w:r>
              <w:rPr/>
              <w:t> </w:t>
            </w:r>
          </w:p>
        </w:tc>
        <w:tc>
          <w:tcPr>
            <w:tcW w:w="840" w:type="dxa"/>
            <w:tcBorders/>
            <w:shd w:fill="auto" w:val="clear"/>
          </w:tcPr>
          <w:p>
            <w:pPr>
              <w:pStyle w:val="TableContents"/>
              <w:spacing w:before="0" w:after="283"/>
              <w:jc w:val="left"/>
              <w:rPr/>
            </w:pPr>
            <w:r>
              <w:rPr/>
              <w:t>Name:</w:t>
            </w:r>
          </w:p>
        </w:tc>
        <w:tc>
          <w:tcPr>
            <w:tcW w:w="182" w:type="dxa"/>
            <w:tcBorders/>
            <w:shd w:fill="auto" w:val="clear"/>
            <w:vAlign w:val="bottom"/>
          </w:tcPr>
          <w:p>
            <w:pPr>
              <w:pStyle w:val="TableContents"/>
              <w:spacing w:before="0" w:after="283"/>
              <w:rPr/>
            </w:pPr>
            <w:r>
              <w:rPr/>
              <w:t> </w:t>
            </w:r>
          </w:p>
        </w:tc>
        <w:tc>
          <w:tcPr>
            <w:tcW w:w="3283" w:type="dxa"/>
            <w:tcBorders/>
            <w:shd w:fill="auto" w:val="clear"/>
          </w:tcPr>
          <w:p>
            <w:pPr>
              <w:pStyle w:val="TableContents"/>
              <w:spacing w:before="0" w:after="283"/>
              <w:jc w:val="left"/>
              <w:rPr/>
            </w:pPr>
            <w:r>
              <w:rPr/>
              <w:t> </w:t>
            </w:r>
          </w:p>
        </w:tc>
        <w:tc>
          <w:tcPr>
            <w:tcW w:w="182" w:type="dxa"/>
            <w:tcBorders/>
            <w:shd w:fill="auto" w:val="clear"/>
            <w:vAlign w:val="bottom"/>
          </w:tcPr>
          <w:p>
            <w:pPr>
              <w:pStyle w:val="TableContents"/>
              <w:spacing w:before="0" w:after="283"/>
              <w:rPr/>
            </w:pPr>
            <w:r>
              <w:rPr/>
              <w:t> </w:t>
            </w:r>
          </w:p>
        </w:tc>
        <w:tc>
          <w:tcPr>
            <w:tcW w:w="5226" w:type="dxa"/>
            <w:tcBorders/>
            <w:shd w:fill="auto" w:val="clear"/>
          </w:tcPr>
          <w:p>
            <w:pPr>
              <w:pStyle w:val="TableContents"/>
              <w:spacing w:before="0" w:after="283"/>
              <w:jc w:val="left"/>
              <w:rPr/>
            </w:pPr>
            <w:r>
              <w:rPr/>
              <w:t> </w:t>
            </w:r>
          </w:p>
        </w:tc>
      </w:tr>
      <w:tr>
        <w:trPr/>
        <w:tc>
          <w:tcPr>
            <w:tcW w:w="310" w:type="dxa"/>
            <w:tcBorders/>
            <w:shd w:fill="auto" w:val="clea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283"/>
              <w:rPr/>
            </w:pPr>
            <w:r>
              <w:rPr/>
              <w:t> </w:t>
            </w:r>
          </w:p>
        </w:tc>
        <w:tc>
          <w:tcPr>
            <w:tcW w:w="840" w:type="dxa"/>
            <w:tcBorders/>
            <w:shd w:fill="auto" w:val="clear"/>
          </w:tcPr>
          <w:p>
            <w:pPr>
              <w:pStyle w:val="TableContents"/>
              <w:spacing w:before="0" w:after="283"/>
              <w:jc w:val="left"/>
              <w:rPr/>
            </w:pPr>
            <w:r>
              <w:rPr/>
              <w:t> </w:t>
            </w:r>
          </w:p>
        </w:tc>
        <w:tc>
          <w:tcPr>
            <w:tcW w:w="182" w:type="dxa"/>
            <w:tcBorders/>
            <w:shd w:fill="auto" w:val="clear"/>
            <w:vAlign w:val="center"/>
          </w:tcPr>
          <w:p>
            <w:pPr>
              <w:pStyle w:val="TableContents"/>
              <w:spacing w:before="0" w:after="283"/>
              <w:rPr/>
            </w:pPr>
            <w:r>
              <w:rPr/>
              <w:t> </w:t>
            </w:r>
          </w:p>
        </w:tc>
        <w:tc>
          <w:tcPr>
            <w:tcW w:w="3283" w:type="dxa"/>
            <w:tcBorders>
              <w:top w:val="single" w:sz="2" w:space="0" w:color="000000"/>
            </w:tcBorders>
            <w:shd w:fill="auto" w:val="clear"/>
            <w:tcMar>
              <w:top w:w="28" w:type="dxa"/>
            </w:tcMar>
          </w:tcPr>
          <w:p>
            <w:pPr>
              <w:pStyle w:val="TableContents"/>
              <w:spacing w:before="0" w:after="283"/>
              <w:jc w:val="left"/>
              <w:rPr/>
            </w:pPr>
            <w:r>
              <w:rPr/>
              <w:t> </w:t>
            </w:r>
          </w:p>
        </w:tc>
        <w:tc>
          <w:tcPr>
            <w:tcW w:w="182" w:type="dxa"/>
            <w:tcBorders/>
            <w:shd w:fill="auto" w:val="clear"/>
            <w:vAlign w:val="center"/>
          </w:tcPr>
          <w:p>
            <w:pPr>
              <w:pStyle w:val="TableContents"/>
              <w:spacing w:before="0" w:after="283"/>
              <w:rPr/>
            </w:pPr>
            <w:r>
              <w:rPr/>
              <w:t> </w:t>
            </w:r>
          </w:p>
        </w:tc>
        <w:tc>
          <w:tcPr>
            <w:tcW w:w="5226" w:type="dxa"/>
            <w:tcBorders/>
            <w:shd w:fill="auto" w:val="clear"/>
          </w:tcPr>
          <w:p>
            <w:pPr>
              <w:pStyle w:val="TableContents"/>
              <w:spacing w:before="0" w:after="283"/>
              <w:jc w:val="left"/>
              <w:rPr/>
            </w:pPr>
            <w:r>
              <w:rPr/>
              <w:t> </w:t>
            </w:r>
          </w:p>
        </w:tc>
      </w:tr>
      <w:tr>
        <w:trPr/>
        <w:tc>
          <w:tcPr>
            <w:tcW w:w="310" w:type="dxa"/>
            <w:tcBorders/>
            <w:shd w:fill="auto" w:val="clear"/>
          </w:tcPr>
          <w:p>
            <w:pPr>
              <w:pStyle w:val="TableContents"/>
              <w:spacing w:before="0" w:after="0"/>
              <w:ind w:left="0" w:right="0" w:hanging="0"/>
              <w:rPr/>
            </w:pPr>
            <w:r>
              <w:rPr/>
              <w:t xml:space="preserve">  </w:t>
            </w:r>
          </w:p>
        </w:tc>
        <w:tc>
          <w:tcPr>
            <w:tcW w:w="182" w:type="dxa"/>
            <w:tcBorders/>
            <w:shd w:fill="auto" w:val="clear"/>
            <w:vAlign w:val="bottom"/>
          </w:tcPr>
          <w:p>
            <w:pPr>
              <w:pStyle w:val="TableContents"/>
              <w:spacing w:before="0" w:after="283"/>
              <w:rPr/>
            </w:pPr>
            <w:r>
              <w:rPr/>
              <w:t> </w:t>
            </w:r>
          </w:p>
        </w:tc>
        <w:tc>
          <w:tcPr>
            <w:tcW w:w="840" w:type="dxa"/>
            <w:tcBorders/>
            <w:shd w:fill="auto" w:val="clear"/>
          </w:tcPr>
          <w:p>
            <w:pPr>
              <w:pStyle w:val="TableContents"/>
              <w:spacing w:before="0" w:after="283"/>
              <w:jc w:val="left"/>
              <w:rPr/>
            </w:pPr>
            <w:r>
              <w:rPr/>
              <w:t>Address:</w:t>
            </w:r>
          </w:p>
        </w:tc>
        <w:tc>
          <w:tcPr>
            <w:tcW w:w="182" w:type="dxa"/>
            <w:tcBorders/>
            <w:shd w:fill="auto" w:val="clear"/>
            <w:vAlign w:val="bottom"/>
          </w:tcPr>
          <w:p>
            <w:pPr>
              <w:pStyle w:val="TableContents"/>
              <w:spacing w:before="0" w:after="283"/>
              <w:rPr/>
            </w:pPr>
            <w:r>
              <w:rPr/>
              <w:t> </w:t>
            </w:r>
          </w:p>
        </w:tc>
        <w:tc>
          <w:tcPr>
            <w:tcW w:w="3283" w:type="dxa"/>
            <w:tcBorders/>
            <w:shd w:fill="auto" w:val="clear"/>
          </w:tcPr>
          <w:p>
            <w:pPr>
              <w:pStyle w:val="TableContents"/>
              <w:spacing w:before="0" w:after="283"/>
              <w:jc w:val="left"/>
              <w:rPr/>
            </w:pPr>
            <w:r>
              <w:rPr/>
              <w:t> </w:t>
            </w:r>
          </w:p>
        </w:tc>
        <w:tc>
          <w:tcPr>
            <w:tcW w:w="182" w:type="dxa"/>
            <w:tcBorders/>
            <w:shd w:fill="auto" w:val="clear"/>
            <w:vAlign w:val="bottom"/>
          </w:tcPr>
          <w:p>
            <w:pPr>
              <w:pStyle w:val="TableContents"/>
              <w:spacing w:before="0" w:after="283"/>
              <w:rPr/>
            </w:pPr>
            <w:r>
              <w:rPr/>
              <w:t> </w:t>
            </w:r>
          </w:p>
        </w:tc>
        <w:tc>
          <w:tcPr>
            <w:tcW w:w="5226" w:type="dxa"/>
            <w:tcBorders/>
            <w:shd w:fill="auto" w:val="clear"/>
          </w:tcPr>
          <w:p>
            <w:pPr>
              <w:pStyle w:val="TableContents"/>
              <w:spacing w:before="0" w:after="283"/>
              <w:jc w:val="left"/>
              <w:rPr/>
            </w:pPr>
            <w:r>
              <w:rPr/>
              <w:t> </w:t>
            </w:r>
          </w:p>
        </w:tc>
      </w:tr>
      <w:tr>
        <w:trPr/>
        <w:tc>
          <w:tcPr>
            <w:tcW w:w="310" w:type="dxa"/>
            <w:tcBorders/>
            <w:shd w:fill="auto" w:val="clea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283"/>
              <w:rPr/>
            </w:pPr>
            <w:r>
              <w:rPr/>
              <w:t> </w:t>
            </w:r>
          </w:p>
        </w:tc>
        <w:tc>
          <w:tcPr>
            <w:tcW w:w="840" w:type="dxa"/>
            <w:tcBorders/>
            <w:shd w:fill="auto" w:val="clear"/>
          </w:tcPr>
          <w:p>
            <w:pPr>
              <w:pStyle w:val="TableContents"/>
              <w:spacing w:before="0" w:after="283"/>
              <w:jc w:val="left"/>
              <w:rPr/>
            </w:pPr>
            <w:r>
              <w:rPr/>
              <w:t> </w:t>
            </w:r>
          </w:p>
        </w:tc>
        <w:tc>
          <w:tcPr>
            <w:tcW w:w="182" w:type="dxa"/>
            <w:tcBorders/>
            <w:shd w:fill="auto" w:val="clear"/>
            <w:vAlign w:val="center"/>
          </w:tcPr>
          <w:p>
            <w:pPr>
              <w:pStyle w:val="TableContents"/>
              <w:spacing w:before="0" w:after="283"/>
              <w:rPr/>
            </w:pPr>
            <w:r>
              <w:rPr/>
              <w:t> </w:t>
            </w:r>
          </w:p>
        </w:tc>
        <w:tc>
          <w:tcPr>
            <w:tcW w:w="3283" w:type="dxa"/>
            <w:tcBorders>
              <w:top w:val="single" w:sz="2" w:space="0" w:color="000000"/>
            </w:tcBorders>
            <w:shd w:fill="auto" w:val="clear"/>
            <w:tcMar>
              <w:top w:w="28" w:type="dxa"/>
            </w:tcMar>
          </w:tcPr>
          <w:p>
            <w:pPr>
              <w:pStyle w:val="TableContents"/>
              <w:spacing w:before="0" w:after="283"/>
              <w:jc w:val="left"/>
              <w:rPr/>
            </w:pPr>
            <w:r>
              <w:rPr/>
              <w:t> </w:t>
            </w:r>
          </w:p>
        </w:tc>
        <w:tc>
          <w:tcPr>
            <w:tcW w:w="182" w:type="dxa"/>
            <w:tcBorders/>
            <w:shd w:fill="auto" w:val="clear"/>
            <w:vAlign w:val="center"/>
          </w:tcPr>
          <w:p>
            <w:pPr>
              <w:pStyle w:val="TableContents"/>
              <w:spacing w:before="0" w:after="283"/>
              <w:rPr/>
            </w:pPr>
            <w:r>
              <w:rPr/>
              <w:t> </w:t>
            </w:r>
          </w:p>
        </w:tc>
        <w:tc>
          <w:tcPr>
            <w:tcW w:w="5226" w:type="dxa"/>
            <w:tcBorders/>
            <w:shd w:fill="auto" w:val="clear"/>
          </w:tcPr>
          <w:p>
            <w:pPr>
              <w:pStyle w:val="TableContents"/>
              <w:spacing w:before="0" w:after="283"/>
              <w:jc w:val="left"/>
              <w:rPr/>
            </w:pPr>
            <w:r>
              <w:rPr/>
              <w:t> </w:t>
            </w:r>
          </w:p>
        </w:tc>
      </w:tr>
      <w:tr>
        <w:trPr/>
        <w:tc>
          <w:tcPr>
            <w:tcW w:w="310" w:type="dxa"/>
            <w:tcBorders/>
            <w:shd w:fill="auto" w:val="clear"/>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283"/>
              <w:rPr/>
            </w:pPr>
            <w:r>
              <w:rPr/>
              <w:t> </w:t>
            </w:r>
          </w:p>
        </w:tc>
        <w:tc>
          <w:tcPr>
            <w:tcW w:w="840" w:type="dxa"/>
            <w:tcBorders/>
            <w:shd w:fill="auto" w:val="clear"/>
          </w:tcPr>
          <w:p>
            <w:pPr>
              <w:pStyle w:val="TableContents"/>
              <w:spacing w:before="0" w:after="283"/>
              <w:jc w:val="left"/>
              <w:rPr/>
            </w:pPr>
            <w:r>
              <w:rPr/>
              <w:t> </w:t>
            </w:r>
          </w:p>
        </w:tc>
        <w:tc>
          <w:tcPr>
            <w:tcW w:w="182" w:type="dxa"/>
            <w:tcBorders/>
            <w:shd w:fill="auto" w:val="clear"/>
            <w:vAlign w:val="bottom"/>
          </w:tcPr>
          <w:p>
            <w:pPr>
              <w:pStyle w:val="TableContents"/>
              <w:spacing w:before="0" w:after="283"/>
              <w:rPr/>
            </w:pPr>
            <w:r>
              <w:rPr/>
              <w:t> </w:t>
            </w:r>
          </w:p>
        </w:tc>
        <w:tc>
          <w:tcPr>
            <w:tcW w:w="3283" w:type="dxa"/>
            <w:tcBorders/>
            <w:shd w:fill="auto" w:val="clear"/>
          </w:tcPr>
          <w:p>
            <w:pPr>
              <w:pStyle w:val="TableContents"/>
              <w:spacing w:before="0" w:after="283"/>
              <w:jc w:val="left"/>
              <w:rPr/>
            </w:pPr>
            <w:r>
              <w:rPr/>
              <w:t> </w:t>
            </w:r>
          </w:p>
        </w:tc>
        <w:tc>
          <w:tcPr>
            <w:tcW w:w="182" w:type="dxa"/>
            <w:tcBorders/>
            <w:shd w:fill="auto" w:val="clear"/>
            <w:vAlign w:val="bottom"/>
          </w:tcPr>
          <w:p>
            <w:pPr>
              <w:pStyle w:val="TableContents"/>
              <w:spacing w:before="0" w:after="283"/>
              <w:rPr/>
            </w:pPr>
            <w:r>
              <w:rPr/>
              <w:t> </w:t>
            </w:r>
          </w:p>
        </w:tc>
        <w:tc>
          <w:tcPr>
            <w:tcW w:w="5226" w:type="dxa"/>
            <w:tcBorders/>
            <w:shd w:fill="auto" w:val="clear"/>
          </w:tcPr>
          <w:p>
            <w:pPr>
              <w:pStyle w:val="TableContents"/>
              <w:spacing w:before="0" w:after="283"/>
              <w:jc w:val="left"/>
              <w:rPr/>
            </w:pPr>
            <w:r>
              <w:rPr/>
              <w:t> </w:t>
            </w:r>
          </w:p>
        </w:tc>
      </w:tr>
      <w:tr>
        <w:trPr/>
        <w:tc>
          <w:tcPr>
            <w:tcW w:w="310" w:type="dxa"/>
            <w:tcBorders/>
            <w:shd w:fill="auto" w:val="clea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283"/>
              <w:rPr/>
            </w:pPr>
            <w:r>
              <w:rPr/>
              <w:t> </w:t>
            </w:r>
          </w:p>
        </w:tc>
        <w:tc>
          <w:tcPr>
            <w:tcW w:w="840" w:type="dxa"/>
            <w:tcBorders/>
            <w:shd w:fill="auto" w:val="clear"/>
          </w:tcPr>
          <w:p>
            <w:pPr>
              <w:pStyle w:val="TableContents"/>
              <w:spacing w:before="0" w:after="283"/>
              <w:jc w:val="left"/>
              <w:rPr/>
            </w:pPr>
            <w:r>
              <w:rPr/>
              <w:t> </w:t>
            </w:r>
          </w:p>
        </w:tc>
        <w:tc>
          <w:tcPr>
            <w:tcW w:w="182" w:type="dxa"/>
            <w:tcBorders/>
            <w:shd w:fill="auto" w:val="clear"/>
            <w:vAlign w:val="center"/>
          </w:tcPr>
          <w:p>
            <w:pPr>
              <w:pStyle w:val="TableContents"/>
              <w:spacing w:before="0" w:after="283"/>
              <w:rPr/>
            </w:pPr>
            <w:r>
              <w:rPr/>
              <w:t> </w:t>
            </w:r>
          </w:p>
        </w:tc>
        <w:tc>
          <w:tcPr>
            <w:tcW w:w="3283" w:type="dxa"/>
            <w:tcBorders>
              <w:top w:val="single" w:sz="2" w:space="0" w:color="000000"/>
            </w:tcBorders>
            <w:shd w:fill="auto" w:val="clear"/>
            <w:tcMar>
              <w:top w:w="28" w:type="dxa"/>
            </w:tcMar>
          </w:tcPr>
          <w:p>
            <w:pPr>
              <w:pStyle w:val="TableContents"/>
              <w:spacing w:before="0" w:after="283"/>
              <w:jc w:val="left"/>
              <w:rPr/>
            </w:pPr>
            <w:r>
              <w:rPr/>
              <w:t> </w:t>
            </w:r>
          </w:p>
        </w:tc>
        <w:tc>
          <w:tcPr>
            <w:tcW w:w="182" w:type="dxa"/>
            <w:tcBorders/>
            <w:shd w:fill="auto" w:val="clear"/>
            <w:vAlign w:val="center"/>
          </w:tcPr>
          <w:p>
            <w:pPr>
              <w:pStyle w:val="TableContents"/>
              <w:spacing w:before="0" w:after="283"/>
              <w:rPr/>
            </w:pPr>
            <w:r>
              <w:rPr/>
              <w:t> </w:t>
            </w:r>
          </w:p>
        </w:tc>
        <w:tc>
          <w:tcPr>
            <w:tcW w:w="5226" w:type="dxa"/>
            <w:tcBorders/>
            <w:shd w:fill="auto" w:val="clear"/>
          </w:tcPr>
          <w:p>
            <w:pPr>
              <w:pStyle w:val="TableContents"/>
              <w:spacing w:before="0" w:after="283"/>
              <w:jc w:val="left"/>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Rider B</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 undersigned is not a Broker-Dealer, the undersigned represents that it acquired the New Securities in the ordinary course of its business, it is not engaged in, and does not intend to engage in, a distribution of New Securities and it has no arrangements or understandings with any Person to participate in a distribution of the New Securities. If the undersigned is a Broker-Dealer that will receive New Securities for its own account in exchange for Securities, it represents that the Securities to be exchange for New Securities were acquired by it as a result of market-making activities or other trading activities and acknowledges that it will deliver a prospectus in connection with any resale of such New Securities; however, by so acknowledging and by delivering a prospectus, the undersigned will not be deemed to admit that it is an underwriter within the meaning of the Act.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191</Pages>
  <Words>67453</Words>
  <CharactersWithSpaces>426231</CharactersWithSpaces>
  <Paragraphs>8759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exv4w4</dc:title>
</cp:coreProperties>
</file>