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h47553b5e424b5.htm"/>
        <w:bookmarkStart w:id="1" w:name="ksh47553b5e424b5"/>
        <w:bookmarkEnd w:id="0"/>
        <w:bookmarkEnd w:id="1"/>
        <w:r>
          <w:rPr>
            <w:rStyle w:val="InternetLink"/>
          </w:rPr>
          <w:t>Table of Contents</w:t>
        </w:r>
      </w:hyperlink>
    </w:p>
    <w:p>
      <w:pPr>
        <w:pStyle w:val="TextBody"/>
        <w:spacing w:before="0" w:after="0"/>
        <w:jc w:val="right"/>
        <w:rPr>
          <w:rFonts w:ascii="Times New Roman;Times" w:hAnsi="Times New Roman;Times"/>
          <w:color w:val="000000"/>
          <w:sz w:val="17"/>
          <w:highlight w:val="white"/>
        </w:rPr>
      </w:pPr>
      <w:r>
        <w:rPr>
          <w:rFonts w:ascii="Times New Roman;Times" w:hAnsi="Times New Roman;Times"/>
          <w:b/>
          <w:color w:val="000000"/>
          <w:sz w:val="17"/>
          <w:highlight w:val="white"/>
        </w:rPr>
        <w:t>Filed Pursuant to Rule 424(b)(5)</w:t>
      </w:r>
      <w:r>
        <w:rPr>
          <w:rFonts w:ascii="Times New Roman;Times" w:hAnsi="Times New Roman;Times"/>
          <w:color w:val="000000"/>
          <w:sz w:val="17"/>
          <w:highlight w:val="white"/>
        </w:rPr>
        <w:t xml:space="preserve"> </w:t>
      </w:r>
    </w:p>
    <w:p>
      <w:pPr>
        <w:pStyle w:val="TextBody"/>
        <w:spacing w:before="0" w:after="0"/>
        <w:jc w:val="right"/>
        <w:rPr>
          <w:rFonts w:ascii="Times New Roman;Times" w:hAnsi="Times New Roman;Times"/>
          <w:color w:val="000000"/>
          <w:sz w:val="17"/>
          <w:highlight w:val="white"/>
        </w:rPr>
      </w:pPr>
      <w:r>
        <w:rPr>
          <w:rFonts w:ascii="Times New Roman;Times" w:hAnsi="Times New Roman;Times"/>
          <w:b/>
          <w:color w:val="000000"/>
          <w:sz w:val="17"/>
          <w:highlight w:val="white"/>
        </w:rPr>
        <w:t>Registration No. 333-126447</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PROSPECTUS SUPPLEMENT</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(To Prospectus Dated July 22, 2005)</w:t>
      </w:r>
      <w:r>
        <w:rPr>
          <w:rFonts w:ascii="Times New Roman;Times" w:hAnsi="Times New Roman;Times"/>
          <w:color w:val="000000"/>
          <w:sz w:val="17"/>
          <w:highlight w:val="white"/>
        </w:rPr>
        <w:t xml:space="preserve"> </w:t>
      </w:r>
    </w:p>
    <w:p>
      <w:pPr>
        <w:pStyle w:val="TextBody"/>
        <w:spacing w:before="360" w:after="283"/>
        <w:rPr/>
      </w:pPr>
      <w:r>
        <w:rPr/>
        <w:t> </w:t>
      </w:r>
    </w:p>
    <w:p>
      <w:pPr>
        <w:pStyle w:val="TextBody"/>
        <w:spacing w:before="0" w:after="0"/>
        <w:jc w:val="center"/>
        <w:rPr>
          <w:color w:val="000000"/>
          <w:highlight w:val="white"/>
        </w:rPr>
      </w:pPr>
      <w:r>
        <w:rPr>
          <w:color w:val="000000"/>
          <w:highlight w:val="white"/>
        </w:rPr>
        <w:drawing>
          <wp:inline distT="0" distB="0" distL="0" distR="0">
            <wp:extent cx="18859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590550"/>
                    </a:xfrm>
                    <a:prstGeom prst="rect">
                      <a:avLst/>
                    </a:prstGeom>
                  </pic:spPr>
                </pic:pic>
              </a:graphicData>
            </a:graphic>
          </wp:inline>
        </w:drawing>
      </w:r>
      <w:r>
        <w:rPr>
          <w:color w:val="000000"/>
          <w:highlight w:val="white"/>
        </w:rPr>
        <w:t xml:space="preserve"> </w:t>
      </w:r>
    </w:p>
    <w:p>
      <w:pPr>
        <w:pStyle w:val="TextBody"/>
        <w:spacing w:before="240" w:after="283"/>
        <w:rPr/>
      </w:pPr>
      <w:r>
        <w:rPr/>
        <w:t> </w:t>
      </w:r>
    </w:p>
    <w:p>
      <w:pPr>
        <w:pStyle w:val="TextBody"/>
        <w:spacing w:before="0" w:after="0"/>
        <w:jc w:val="center"/>
        <w:rPr>
          <w:rFonts w:ascii="Times New Roman;Times" w:hAnsi="Times New Roman;Times"/>
          <w:color w:val="000000"/>
          <w:sz w:val="23"/>
          <w:highlight w:val="white"/>
        </w:rPr>
      </w:pPr>
      <w:r>
        <w:rPr>
          <w:rFonts w:ascii="Times New Roman;Times" w:hAnsi="Times New Roman;Times"/>
          <w:color w:val="000000"/>
          <w:sz w:val="23"/>
          <w:highlight w:val="white"/>
        </w:rPr>
        <w:t xml:space="preserve">6,296,172 Common Units </w:t>
      </w:r>
    </w:p>
    <w:p>
      <w:pPr>
        <w:pStyle w:val="TextBody"/>
        <w:spacing w:before="60" w:after="283"/>
        <w:rPr/>
      </w:pPr>
      <w:r>
        <w:rPr/>
        <w:t> </w:t>
      </w:r>
    </w:p>
    <w:p>
      <w:pPr>
        <w:pStyle w:val="TextBody"/>
        <w:spacing w:before="0" w:after="0"/>
        <w:jc w:val="center"/>
        <w:rPr>
          <w:rFonts w:ascii="Times New Roman;Times" w:hAnsi="Times New Roman;Times"/>
          <w:color w:val="000000"/>
          <w:sz w:val="23"/>
          <w:highlight w:val="white"/>
        </w:rPr>
      </w:pPr>
      <w:r>
        <w:rPr>
          <w:rFonts w:ascii="Times New Roman;Times" w:hAnsi="Times New Roman;Times"/>
          <w:color w:val="000000"/>
          <w:sz w:val="23"/>
          <w:highlight w:val="white"/>
        </w:rPr>
        <w:t xml:space="preserve">Representing Limited Partner Interests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offering 6,296,172 common units directly to certain purchasers (the Purchasers) in a privately negotiated transaction at a price of $59.56 per unit. We expect to receive net proceeds of approximately $382.5 million, including our general partners proportionate capital contribution after deducting offering expenses, from this sale of our common units.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common units are listed on The New York Stock Exchange under the symbol PAA. The last reported sale price of our common units on the New York Stock Exchange on June 19, 2007 was $63.25 per unit.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Investing in our common units involves risks. See Risk Factors beginning on page S-1 of this prospectus supplement and on page 5 of the accompanying prospectus.</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r>
        <w:rPr>
          <w:rFonts w:ascii="Times New Roman;Times" w:hAnsi="Times New Roman;Times"/>
          <w:color w:val="000000"/>
          <w:sz w:val="17"/>
          <w:highlight w:val="white"/>
        </w:rPr>
        <w:t xml:space="preserve"> </w:t>
      </w:r>
    </w:p>
    <w:p>
      <w:pPr>
        <w:pStyle w:val="TextBody"/>
        <w:spacing w:before="6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The date of this prospectus supplement is June 20, 2007.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document is in two parts. The first part is the prospectus supplement, which describes our business and the specific terms of this offering. The second part, the base prospectus, gives more general information, some of which may not apply to this offering. Generally, when we refer only to the prospectus, we are referring to both parts combined. If the description of the offering varies between the prospectus supplement and the base prospectus, you should rely on the information in the prospectus supplement.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should rely only on the information contained in or incorporated by reference in this prospectus. We have not authorized anyone to provide you with different information. We are not making an offer of the common units in any jurisdiction where the offer is not permitted. You should not assume that the information contained in this prospectus or in the documents incorporated by reference in this prospectus is accurate as of any date other than the date on the front of those documents.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information in this prospectus supplement is not complete. You should review carefully all of the detailed information appearing in this prospectus supplement, the accompanying prospectus and the documents we have incorporated by reference before making any investment decision. </w:t>
      </w:r>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TABLE OF CONTENTS</w:t>
      </w:r>
      <w:r>
        <w:rPr>
          <w:rFonts w:ascii="Arial;Helvetica" w:hAnsi="Arial;Helvetica"/>
          <w:color w:val="000000"/>
          <w:sz w:val="17"/>
          <w:highlight w:val="white"/>
        </w:rPr>
        <w:t xml:space="preserve"> </w:t>
      </w:r>
    </w:p>
    <w:p>
      <w:pPr>
        <w:pStyle w:val="TextBody"/>
        <w:spacing w:before="60" w:after="283"/>
        <w:rPr/>
      </w:pPr>
      <w:bookmarkStart w:id="2" w:name="tocpage"/>
      <w:bookmarkEnd w:id="2"/>
      <w:r>
        <w:rPr/>
        <w:t> </w:t>
      </w:r>
    </w:p>
    <w:tbl>
      <w:tblPr>
        <w:tblW w:w="5000" w:type="pct"/>
        <w:jc w:val="center"/>
        <w:tblInd w:w="0" w:type="dxa"/>
        <w:shd w:fill="FFFFFF" w:val="clear"/>
        <w:tblCellMar>
          <w:top w:w="0" w:type="dxa"/>
          <w:left w:w="0" w:type="dxa"/>
          <w:bottom w:w="0" w:type="dxa"/>
          <w:right w:w="0" w:type="dxa"/>
        </w:tblCellMar>
      </w:tblPr>
      <w:tblGrid>
        <w:gridCol w:w="9545"/>
        <w:gridCol w:w="196"/>
        <w:gridCol w:w="98"/>
        <w:gridCol w:w="305"/>
        <w:gridCol w:w="61"/>
      </w:tblGrid>
      <w:tr>
        <w:trPr/>
        <w:tc>
          <w:tcPr>
            <w:tcW w:w="9545" w:type="dxa"/>
            <w:tcBorders/>
            <w:shd w:fill="FFFFFF" w:val="clear"/>
            <w:vAlign w:val="bottom"/>
          </w:tcPr>
          <w:p>
            <w:pPr>
              <w:pStyle w:val="TableContents"/>
              <w:spacing w:before="0" w:after="283"/>
              <w:rPr/>
            </w:pPr>
            <w:r>
              <w:rPr/>
              <w:t> </w:t>
            </w:r>
          </w:p>
        </w:tc>
        <w:tc>
          <w:tcPr>
            <w:tcW w:w="196"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61" w:type="dxa"/>
            <w:tcBorders/>
            <w:shd w:fill="FFFFFF" w:val="clear"/>
            <w:vAlign w:val="bottom"/>
          </w:tcPr>
          <w:p>
            <w:pPr>
              <w:pStyle w:val="TableContents"/>
              <w:spacing w:before="0" w:after="283"/>
              <w:rPr/>
            </w:pPr>
            <w:r>
              <w:rPr/>
              <w:t> </w:t>
            </w:r>
          </w:p>
        </w:tc>
      </w:tr>
      <w:tr>
        <w:trPr/>
        <w:tc>
          <w:tcPr>
            <w:tcW w:w="10205" w:type="dxa"/>
            <w:gridSpan w:val="5"/>
            <w:tcBorders/>
            <w:shd w:fill="FFFFFF" w:val="clear"/>
            <w:vAlign w:val="bottom"/>
          </w:tcPr>
          <w:p>
            <w:pPr>
              <w:pStyle w:val="TableContents"/>
              <w:spacing w:before="0" w:after="0"/>
              <w:ind w:left="200" w:right="0" w:hanging="200"/>
              <w:jc w:val="center"/>
              <w:rPr/>
            </w:pPr>
            <w:r>
              <w:rPr>
                <w:b/>
                <w:sz w:val="17"/>
              </w:rPr>
              <w:t>Prospectus Supplement</w:t>
            </w:r>
            <w:r>
              <w:rPr/>
              <w:t xml:space="preserve"> </w:t>
            </w:r>
          </w:p>
        </w:tc>
      </w:tr>
      <w:tr>
        <w:trPr/>
        <w:tc>
          <w:tcPr>
            <w:tcW w:w="9545" w:type="dxa"/>
            <w:tcBorders/>
            <w:shd w:fill="FFFFFF" w:val="clear"/>
            <w:vAlign w:val="bottom"/>
          </w:tcPr>
          <w:p>
            <w:pPr>
              <w:pStyle w:val="TableContents"/>
              <w:spacing w:before="0" w:after="0"/>
              <w:ind w:left="200" w:right="0" w:hanging="200"/>
              <w:jc w:val="left"/>
              <w:rPr/>
            </w:pPr>
            <w:hyperlink w:anchor="101">
              <w:r>
                <w:rPr>
                  <w:rStyle w:val="InternetLink"/>
                  <w:sz w:val="17"/>
                </w:rPr>
                <w:t>Plains All American Pipeline, L.P. </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S-1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2">
              <w:r>
                <w:rPr>
                  <w:rStyle w:val="InternetLink"/>
                  <w:sz w:val="17"/>
                </w:rPr>
                <w:t>Risk Factors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S-1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3">
              <w:r>
                <w:rPr>
                  <w:rStyle w:val="InternetLink"/>
                  <w:sz w:val="17"/>
                </w:rPr>
                <w:t>Use of Proceeds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S-2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4">
              <w:r>
                <w:rPr>
                  <w:rStyle w:val="InternetLink"/>
                  <w:sz w:val="17"/>
                </w:rPr>
                <w:t>Price Range of Common Units and Distributions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5">
              <w:r>
                <w:rPr>
                  <w:rStyle w:val="InternetLink"/>
                  <w:sz w:val="17"/>
                </w:rPr>
                <w:t>Plan of Distribution</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S-4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6">
              <w:r>
                <w:rPr>
                  <w:rStyle w:val="InternetLink"/>
                  <w:sz w:val="17"/>
                </w:rPr>
                <w:t>Where You Can Find More Information</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S-5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7">
              <w:r>
                <w:rPr>
                  <w:rStyle w:val="InternetLink"/>
                  <w:sz w:val="17"/>
                </w:rPr>
                <w:t>Forward-Looking Statements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S-6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8">
              <w:r>
                <w:rPr>
                  <w:rStyle w:val="InternetLink"/>
                  <w:sz w:val="17"/>
                </w:rPr>
                <w:t>Experts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S-7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10205" w:type="dxa"/>
            <w:gridSpan w:val="5"/>
            <w:tcBorders/>
            <w:shd w:fill="FFFFFF" w:val="clear"/>
            <w:vAlign w:val="bottom"/>
          </w:tcPr>
          <w:p>
            <w:pPr>
              <w:pStyle w:val="TableContents"/>
              <w:spacing w:before="0" w:after="283"/>
              <w:rPr/>
            </w:pPr>
            <w:r>
              <w:rPr/>
              <w:t xml:space="preserve">  </w:t>
            </w:r>
          </w:p>
        </w:tc>
      </w:tr>
      <w:tr>
        <w:trPr/>
        <w:tc>
          <w:tcPr>
            <w:tcW w:w="10205" w:type="dxa"/>
            <w:gridSpan w:val="5"/>
            <w:tcBorders/>
            <w:shd w:fill="FFFFFF" w:val="clear"/>
            <w:vAlign w:val="bottom"/>
          </w:tcPr>
          <w:p>
            <w:pPr>
              <w:pStyle w:val="TableContents"/>
              <w:spacing w:before="0" w:after="0"/>
              <w:ind w:left="200" w:right="0" w:hanging="200"/>
              <w:jc w:val="center"/>
              <w:rPr/>
            </w:pPr>
            <w:r>
              <w:rPr>
                <w:b/>
                <w:sz w:val="17"/>
              </w:rPr>
              <w:t>Prospectus</w:t>
            </w:r>
            <w:r>
              <w:rPr/>
              <w:t xml:space="preserve"> </w:t>
            </w:r>
          </w:p>
        </w:tc>
      </w:tr>
      <w:tr>
        <w:trPr/>
        <w:tc>
          <w:tcPr>
            <w:tcW w:w="9545" w:type="dxa"/>
            <w:tcBorders/>
            <w:shd w:fill="FFFFFF" w:val="clear"/>
            <w:vAlign w:val="bottom"/>
          </w:tcPr>
          <w:p>
            <w:pPr>
              <w:pStyle w:val="TableContents"/>
              <w:spacing w:before="0" w:after="0"/>
              <w:ind w:left="200" w:right="0" w:hanging="200"/>
              <w:jc w:val="left"/>
              <w:rPr/>
            </w:pPr>
            <w:hyperlink w:anchor="109">
              <w:r>
                <w:rPr>
                  <w:rStyle w:val="InternetLink"/>
                  <w:sz w:val="17"/>
                </w:rPr>
                <w:t>About this Prospectus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i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0">
              <w:r>
                <w:rPr>
                  <w:rStyle w:val="InternetLink"/>
                  <w:sz w:val="17"/>
                </w:rPr>
                <w:t>Where You Can Find More Information</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1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1">
              <w:r>
                <w:rPr>
                  <w:rStyle w:val="InternetLink"/>
                  <w:sz w:val="17"/>
                </w:rPr>
                <w:t>Forward-Looking Statements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2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2">
              <w:r>
                <w:rPr>
                  <w:rStyle w:val="InternetLink"/>
                  <w:sz w:val="17"/>
                </w:rPr>
                <w:t>Who We Are</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3">
              <w:r>
                <w:rPr>
                  <w:rStyle w:val="InternetLink"/>
                  <w:sz w:val="17"/>
                </w:rPr>
                <w:t>Risk Factors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5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4">
              <w:r>
                <w:rPr>
                  <w:rStyle w:val="InternetLink"/>
                  <w:sz w:val="17"/>
                </w:rPr>
                <w:t>Use of Proceeds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13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5">
              <w:r>
                <w:rPr>
                  <w:rStyle w:val="InternetLink"/>
                  <w:sz w:val="17"/>
                </w:rPr>
                <w:t>Ratio of Earnings to Fixed Charges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13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6">
              <w:r>
                <w:rPr>
                  <w:rStyle w:val="InternetLink"/>
                  <w:sz w:val="17"/>
                </w:rPr>
                <w:t>Description of Our Debt Securities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13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7">
              <w:r>
                <w:rPr>
                  <w:rStyle w:val="InternetLink"/>
                  <w:sz w:val="17"/>
                </w:rPr>
                <w:t>Description of Our Common Units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21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8">
              <w:r>
                <w:rPr>
                  <w:rStyle w:val="InternetLink"/>
                  <w:sz w:val="17"/>
                </w:rPr>
                <w:t>Cash Distribution Policy</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23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9">
              <w:r>
                <w:rPr>
                  <w:rStyle w:val="InternetLink"/>
                  <w:sz w:val="17"/>
                </w:rPr>
                <w:t>Description of Our Partnership Agreement</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26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20">
              <w:r>
                <w:rPr>
                  <w:rStyle w:val="InternetLink"/>
                  <w:sz w:val="17"/>
                </w:rPr>
                <w:t>Tax Considerations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29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21">
              <w:r>
                <w:rPr>
                  <w:rStyle w:val="InternetLink"/>
                  <w:sz w:val="17"/>
                </w:rPr>
                <w:t>Plan of Distribution</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42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22">
              <w:r>
                <w:rPr>
                  <w:rStyle w:val="InternetLink"/>
                  <w:sz w:val="17"/>
                </w:rPr>
                <w:t>Legal Matters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43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23">
              <w:r>
                <w:rPr>
                  <w:rStyle w:val="InternetLink"/>
                  <w:sz w:val="17"/>
                </w:rPr>
                <w:t>Experts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43 </w:t>
            </w:r>
          </w:p>
        </w:tc>
        <w:tc>
          <w:tcPr>
            <w:tcW w:w="61" w:type="dxa"/>
            <w:tcBorders/>
            <w:shd w:fill="FFFFFF" w:val="clear"/>
            <w:vAlign w:val="bottom"/>
          </w:tcPr>
          <w:p>
            <w:pPr>
              <w:pStyle w:val="TableContents"/>
              <w:spacing w:before="0" w:after="283"/>
              <w:rPr>
                <w:sz w:val="4"/>
                <w:szCs w:val="4"/>
              </w:rPr>
            </w:pPr>
            <w:r>
              <w:rPr>
                <w:sz w:val="4"/>
                <w:szCs w:val="4"/>
              </w:rPr>
            </w:r>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3" w:name="101"/>
      <w:bookmarkEnd w:id="3"/>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a Delaware limited partnership formed in September 1998. We are engaged in the transportation, storage, terminalling and marketing of crude oil, refined products and liquefied petroleum gas and other natural gas related petroleum products. We refer to liquefied petroleum gas and other natural gas related petroleum products as LPG. Through our 50% equity ownership in PAA/Vulcan Gas Storage, LLC, we also develop and operate natural gas storage facilities.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own and operate a diversified portfolio of strategically located assets that play a vital role in the movement of U.S. and Canadian energy supplies. On average we handle over 3 million barrels per day of crude oil, refined products and LPG through our extensive network of assets located in key North American producing basins and transportation gateways.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executive offices are located at 333 Clay Street, Suite 1600, Houston, Texas 77002 and our telephone number is (713) 646-4100. </w:t>
      </w:r>
    </w:p>
    <w:p>
      <w:pPr>
        <w:pStyle w:val="TextBody"/>
        <w:spacing w:before="360" w:after="283"/>
        <w:rPr/>
      </w:pPr>
      <w:bookmarkStart w:id="4" w:name="102"/>
      <w:bookmarkEnd w:id="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RISK FACTORS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should carefully consider the risk factors discussed in our 2006 Annual Report on Form 10-K, together with all of the other information included in this prospectus supplement, the accompanying prospectus and the documents we have incorporated by reference into this prospectus in evaluating an investment in our common units. If any of the described risks actually were to occur, our business, financial condition or results of operations could be materially adversely affected.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5" w:name="103"/>
      <w:bookmarkEnd w:id="5"/>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USE OF PROCEEDS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net proceeds of this offering will be approximately $382.5 million, including our general partners proportionate capital contribution after deducting estimated offering expenses. We intend to use the net proceeds of this offering (i) to fund expansion capital programs; (ii) to fund the pending acquisition of the Bumstead LPG storage business, which we agreed to acquire in February 2007 for approximately $52 million; (iii) to repay indebtedness under our senior unsecured credit facility; and (iv) for general partnership purposes.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Indebtedness under our senior unsecured credit facility was approximately $469 million as of June 19, 2007, and had an annual interest rate of 5.4% and a final maturity in July 2011. Substantially all of the outstanding indebtedness under the facility was incurred to fund acquisitions, capital expansion projects, working capital requirements and the purchase of hedged inventory.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6" w:name="104"/>
      <w:bookmarkEnd w:id="6"/>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PRICE RANGE OF COMMON UNITS AND DISTRIBUTIONS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June 19, 2007, we had 109,685,504 common units outstanding, held by approximately 435 holders of record. Our common units are traded on the New York Stock Exchange under the symbol PAA.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sets forth, for the periods indicated, the high and low sales prices for the common units, as reported on the New York Stock Exchange Composite Transactions Tape, and quarterly cash distributions declared per common unit. The last reported sale price of common units on the New York Stock Exchange on June 19, 2007 was $63.25 per common unit.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846"/>
        <w:gridCol w:w="166"/>
        <w:gridCol w:w="226"/>
        <w:gridCol w:w="755"/>
        <w:gridCol w:w="159"/>
        <w:gridCol w:w="224"/>
        <w:gridCol w:w="226"/>
        <w:gridCol w:w="755"/>
        <w:gridCol w:w="159"/>
        <w:gridCol w:w="224"/>
        <w:gridCol w:w="357"/>
        <w:gridCol w:w="1747"/>
        <w:gridCol w:w="361"/>
      </w:tblGrid>
      <w:tr>
        <w:trPr/>
        <w:tc>
          <w:tcPr>
            <w:tcW w:w="4846" w:type="dxa"/>
            <w:tcBorders/>
            <w:shd w:fill="FFFFFF" w:val="clear"/>
            <w:vAlign w:val="bottom"/>
          </w:tcPr>
          <w:p>
            <w:pPr>
              <w:pStyle w:val="TableContents"/>
              <w:spacing w:before="0" w:after="283"/>
              <w:rPr/>
            </w:pPr>
            <w:r>
              <w:rPr/>
              <w:t> </w:t>
            </w:r>
          </w:p>
        </w:tc>
        <w:tc>
          <w:tcPr>
            <w:tcW w:w="166"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jc w:val="right"/>
              <w:rPr/>
            </w:pPr>
            <w:r>
              <w:rPr/>
              <w:t> </w:t>
            </w:r>
          </w:p>
        </w:tc>
        <w:tc>
          <w:tcPr>
            <w:tcW w:w="755" w:type="dxa"/>
            <w:tcBorders/>
            <w:shd w:fill="FFFFFF" w:val="clear"/>
            <w:vAlign w:val="bottom"/>
          </w:tcPr>
          <w:p>
            <w:pPr>
              <w:pStyle w:val="TableContents"/>
              <w:spacing w:before="0" w:after="283"/>
              <w:jc w:val="right"/>
              <w:rPr/>
            </w:pPr>
            <w:r>
              <w:rPr/>
              <w:t> </w:t>
            </w:r>
          </w:p>
        </w:tc>
        <w:tc>
          <w:tcPr>
            <w:tcW w:w="159" w:type="dxa"/>
            <w:tcBorders/>
            <w:shd w:fill="FFFFFF" w:val="clear"/>
            <w:vAlign w:val="bottom"/>
          </w:tcPr>
          <w:p>
            <w:pPr>
              <w:pStyle w:val="TableContents"/>
              <w:spacing w:before="0" w:after="283"/>
              <w:jc w:val="left"/>
              <w:rPr/>
            </w:pPr>
            <w:r>
              <w:rPr/>
              <w:t> </w:t>
            </w:r>
          </w:p>
        </w:tc>
        <w:tc>
          <w:tcPr>
            <w:tcW w:w="224"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jc w:val="right"/>
              <w:rPr/>
            </w:pPr>
            <w:r>
              <w:rPr/>
              <w:t> </w:t>
            </w:r>
          </w:p>
        </w:tc>
        <w:tc>
          <w:tcPr>
            <w:tcW w:w="755" w:type="dxa"/>
            <w:tcBorders/>
            <w:shd w:fill="FFFFFF" w:val="clear"/>
            <w:vAlign w:val="bottom"/>
          </w:tcPr>
          <w:p>
            <w:pPr>
              <w:pStyle w:val="TableContents"/>
              <w:spacing w:before="0" w:after="283"/>
              <w:jc w:val="right"/>
              <w:rPr/>
            </w:pPr>
            <w:r>
              <w:rPr/>
              <w:t> </w:t>
            </w:r>
          </w:p>
        </w:tc>
        <w:tc>
          <w:tcPr>
            <w:tcW w:w="159" w:type="dxa"/>
            <w:tcBorders/>
            <w:shd w:fill="FFFFFF" w:val="clear"/>
            <w:vAlign w:val="bottom"/>
          </w:tcPr>
          <w:p>
            <w:pPr>
              <w:pStyle w:val="TableContents"/>
              <w:spacing w:before="0" w:after="283"/>
              <w:jc w:val="left"/>
              <w:rPr/>
            </w:pPr>
            <w:r>
              <w:rPr/>
              <w:t> </w:t>
            </w:r>
          </w:p>
        </w:tc>
        <w:tc>
          <w:tcPr>
            <w:tcW w:w="224" w:type="dxa"/>
            <w:tcBorders/>
            <w:shd w:fill="FFFFFF" w:val="clear"/>
            <w:vAlign w:val="bottom"/>
          </w:tcPr>
          <w:p>
            <w:pPr>
              <w:pStyle w:val="TableContents"/>
              <w:spacing w:before="0" w:after="283"/>
              <w:rPr/>
            </w:pPr>
            <w:r>
              <w:rPr/>
              <w:t> </w:t>
            </w:r>
          </w:p>
        </w:tc>
        <w:tc>
          <w:tcPr>
            <w:tcW w:w="357" w:type="dxa"/>
            <w:tcBorders/>
            <w:shd w:fill="FFFFFF" w:val="clear"/>
            <w:vAlign w:val="bottom"/>
          </w:tcPr>
          <w:p>
            <w:pPr>
              <w:pStyle w:val="TableContents"/>
              <w:spacing w:before="0" w:after="283"/>
              <w:jc w:val="right"/>
              <w:rPr/>
            </w:pPr>
            <w:r>
              <w:rPr/>
              <w:t> </w:t>
            </w:r>
          </w:p>
        </w:tc>
        <w:tc>
          <w:tcPr>
            <w:tcW w:w="1747" w:type="dxa"/>
            <w:tcBorders/>
            <w:shd w:fill="FFFFFF" w:val="clear"/>
            <w:vAlign w:val="bottom"/>
          </w:tcPr>
          <w:p>
            <w:pPr>
              <w:pStyle w:val="TableContents"/>
              <w:spacing w:before="0" w:after="283"/>
              <w:jc w:val="right"/>
              <w:rPr/>
            </w:pPr>
            <w:r>
              <w:rPr/>
              <w:t> </w:t>
            </w:r>
          </w:p>
        </w:tc>
        <w:tc>
          <w:tcPr>
            <w:tcW w:w="361" w:type="dxa"/>
            <w:tcBorders/>
            <w:shd w:fill="FFFFFF" w:val="clear"/>
            <w:vAlign w:val="bottom"/>
          </w:tcPr>
          <w:p>
            <w:pPr>
              <w:pStyle w:val="TableContents"/>
              <w:spacing w:before="0" w:after="283"/>
              <w:jc w:val="left"/>
              <w:rPr/>
            </w:pPr>
            <w:r>
              <w:rPr/>
              <w:t> </w:t>
            </w:r>
          </w:p>
        </w:tc>
      </w:tr>
      <w:tr>
        <w:trPr/>
        <w:tc>
          <w:tcPr>
            <w:tcW w:w="4846" w:type="dxa"/>
            <w:tcBorders/>
            <w:shd w:fill="FFFFFF" w:val="clear"/>
            <w:vAlign w:val="bottom"/>
          </w:tcPr>
          <w:p>
            <w:pPr>
              <w:pStyle w:val="TableContents"/>
              <w:spacing w:before="0" w:after="283"/>
              <w:jc w:val="center"/>
              <w:rPr/>
            </w:pPr>
            <w:r>
              <w:rPr/>
              <w:t xml:space="preserve">  </w:t>
            </w:r>
          </w:p>
        </w:tc>
        <w:tc>
          <w:tcPr>
            <w:tcW w:w="166" w:type="dxa"/>
            <w:tcBorders/>
            <w:shd w:fill="FFFFFF" w:val="clear"/>
            <w:vAlign w:val="bottom"/>
          </w:tcPr>
          <w:p>
            <w:pPr>
              <w:pStyle w:val="TableContents"/>
              <w:spacing w:before="0" w:after="283"/>
              <w:jc w:val="center"/>
              <w:rPr/>
            </w:pPr>
            <w:r>
              <w:rPr/>
              <w:t xml:space="preserve">  </w:t>
            </w:r>
          </w:p>
        </w:tc>
        <w:tc>
          <w:tcPr>
            <w:tcW w:w="2345"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Price Range</w:t>
            </w:r>
            <w:r>
              <w:rPr/>
              <w:t xml:space="preserve"> </w:t>
            </w:r>
          </w:p>
        </w:tc>
        <w:tc>
          <w:tcPr>
            <w:tcW w:w="159" w:type="dxa"/>
            <w:tcBorders/>
            <w:shd w:fill="FFFFFF" w:val="clear"/>
            <w:vAlign w:val="bottom"/>
          </w:tcPr>
          <w:p>
            <w:pPr>
              <w:pStyle w:val="TableContents"/>
              <w:spacing w:before="0" w:after="283"/>
              <w:jc w:val="center"/>
              <w:rPr/>
            </w:pPr>
            <w:r>
              <w:rPr/>
              <w:t xml:space="preserve">  </w:t>
            </w:r>
          </w:p>
        </w:tc>
        <w:tc>
          <w:tcPr>
            <w:tcW w:w="224" w:type="dxa"/>
            <w:tcBorders/>
            <w:shd w:fill="FFFFFF" w:val="clear"/>
            <w:vAlign w:val="bottom"/>
          </w:tcPr>
          <w:p>
            <w:pPr>
              <w:pStyle w:val="TableContents"/>
              <w:spacing w:before="0" w:after="283"/>
              <w:jc w:val="center"/>
              <w:rPr/>
            </w:pPr>
            <w:r>
              <w:rPr/>
              <w:t xml:space="preserve">  </w:t>
            </w:r>
          </w:p>
        </w:tc>
        <w:tc>
          <w:tcPr>
            <w:tcW w:w="2104" w:type="dxa"/>
            <w:gridSpan w:val="2"/>
            <w:tcBorders/>
            <w:shd w:fill="FFFFFF" w:val="clear"/>
            <w:vAlign w:val="bottom"/>
          </w:tcPr>
          <w:p>
            <w:pPr>
              <w:pStyle w:val="TableContents"/>
              <w:spacing w:before="0" w:after="283"/>
              <w:jc w:val="center"/>
              <w:rPr>
                <w:b/>
              </w:rPr>
            </w:pPr>
            <w:r>
              <w:rPr>
                <w:b/>
              </w:rPr>
              <w:t>Cash</w:t>
            </w:r>
          </w:p>
        </w:tc>
        <w:tc>
          <w:tcPr>
            <w:tcW w:w="361" w:type="dxa"/>
            <w:tcBorders/>
            <w:shd w:fill="FFFFFF" w:val="clear"/>
            <w:vAlign w:val="bottom"/>
          </w:tcPr>
          <w:p>
            <w:pPr>
              <w:pStyle w:val="TableContents"/>
              <w:spacing w:before="0" w:after="283"/>
              <w:jc w:val="center"/>
              <w:rPr/>
            </w:pPr>
            <w:r>
              <w:rPr/>
              <w:t xml:space="preserve">  </w:t>
            </w:r>
          </w:p>
        </w:tc>
      </w:tr>
      <w:tr>
        <w:trPr/>
        <w:tc>
          <w:tcPr>
            <w:tcW w:w="4846" w:type="dxa"/>
            <w:tcBorders/>
            <w:shd w:fill="FFFFFF" w:val="clear"/>
            <w:vAlign w:val="bottom"/>
          </w:tcPr>
          <w:p>
            <w:pPr>
              <w:pStyle w:val="TableContents"/>
              <w:spacing w:before="0" w:after="283"/>
              <w:jc w:val="center"/>
              <w:rPr/>
            </w:pPr>
            <w:r>
              <w:rPr/>
              <w:t xml:space="preserve">  </w:t>
            </w:r>
          </w:p>
        </w:tc>
        <w:tc>
          <w:tcPr>
            <w:tcW w:w="166" w:type="dxa"/>
            <w:tcBorders/>
            <w:shd w:fill="FFFFFF" w:val="clear"/>
            <w:vAlign w:val="bottom"/>
          </w:tcPr>
          <w:p>
            <w:pPr>
              <w:pStyle w:val="TableContents"/>
              <w:spacing w:before="0" w:after="283"/>
              <w:jc w:val="center"/>
              <w:rPr/>
            </w:pPr>
            <w:r>
              <w:rPr/>
              <w:t xml:space="preserve">  </w:t>
            </w:r>
          </w:p>
        </w:tc>
        <w:tc>
          <w:tcPr>
            <w:tcW w:w="98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High</w:t>
            </w:r>
            <w:r>
              <w:rPr/>
              <w:t xml:space="preserve"> </w:t>
            </w:r>
          </w:p>
        </w:tc>
        <w:tc>
          <w:tcPr>
            <w:tcW w:w="159" w:type="dxa"/>
            <w:tcBorders/>
            <w:shd w:fill="FFFFFF" w:val="clear"/>
            <w:vAlign w:val="bottom"/>
          </w:tcPr>
          <w:p>
            <w:pPr>
              <w:pStyle w:val="TableContents"/>
              <w:spacing w:before="0" w:after="283"/>
              <w:jc w:val="center"/>
              <w:rPr/>
            </w:pPr>
            <w:r>
              <w:rPr/>
              <w:t xml:space="preserve">  </w:t>
            </w:r>
          </w:p>
        </w:tc>
        <w:tc>
          <w:tcPr>
            <w:tcW w:w="224" w:type="dxa"/>
            <w:tcBorders/>
            <w:shd w:fill="FFFFFF" w:val="clear"/>
            <w:vAlign w:val="bottom"/>
          </w:tcPr>
          <w:p>
            <w:pPr>
              <w:pStyle w:val="TableContents"/>
              <w:spacing w:before="0" w:after="283"/>
              <w:jc w:val="center"/>
              <w:rPr/>
            </w:pPr>
            <w:r>
              <w:rPr/>
              <w:t xml:space="preserve">  </w:t>
            </w:r>
          </w:p>
        </w:tc>
        <w:tc>
          <w:tcPr>
            <w:tcW w:w="98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Low</w:t>
            </w:r>
            <w:r>
              <w:rPr/>
              <w:t xml:space="preserve"> </w:t>
            </w:r>
          </w:p>
        </w:tc>
        <w:tc>
          <w:tcPr>
            <w:tcW w:w="159" w:type="dxa"/>
            <w:tcBorders/>
            <w:shd w:fill="FFFFFF" w:val="clear"/>
            <w:vAlign w:val="bottom"/>
          </w:tcPr>
          <w:p>
            <w:pPr>
              <w:pStyle w:val="TableContents"/>
              <w:spacing w:before="0" w:after="283"/>
              <w:jc w:val="center"/>
              <w:rPr/>
            </w:pPr>
            <w:r>
              <w:rPr/>
              <w:t xml:space="preserve">  </w:t>
            </w:r>
          </w:p>
        </w:tc>
        <w:tc>
          <w:tcPr>
            <w:tcW w:w="224" w:type="dxa"/>
            <w:tcBorders/>
            <w:shd w:fill="FFFFFF" w:val="clear"/>
            <w:vAlign w:val="bottom"/>
          </w:tcPr>
          <w:p>
            <w:pPr>
              <w:pStyle w:val="TableContents"/>
              <w:spacing w:before="0" w:after="283"/>
              <w:jc w:val="center"/>
              <w:rPr/>
            </w:pPr>
            <w:r>
              <w:rPr/>
              <w:t xml:space="preserve">  </w:t>
            </w:r>
          </w:p>
        </w:tc>
        <w:tc>
          <w:tcPr>
            <w:tcW w:w="210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Distributions(1)</w:t>
            </w:r>
            <w:r>
              <w:rPr/>
              <w:t xml:space="preserve"> </w:t>
            </w:r>
          </w:p>
        </w:tc>
        <w:tc>
          <w:tcPr>
            <w:tcW w:w="361" w:type="dxa"/>
            <w:tcBorders/>
            <w:shd w:fill="FFFFFF" w:val="clear"/>
            <w:vAlign w:val="bottom"/>
          </w:tcPr>
          <w:p>
            <w:pPr>
              <w:pStyle w:val="TableContents"/>
              <w:spacing w:before="0" w:after="283"/>
              <w:jc w:val="center"/>
              <w:rPr/>
            </w:pPr>
            <w:r>
              <w:rPr/>
              <w:t xml:space="preserve">  </w:t>
            </w:r>
          </w:p>
        </w:tc>
      </w:tr>
      <w:tr>
        <w:trPr/>
        <w:tc>
          <w:tcPr>
            <w:tcW w:w="4846" w:type="dxa"/>
            <w:tcBorders/>
            <w:shd w:fill="FFFFFF" w:val="clear"/>
            <w:vAlign w:val="center"/>
          </w:tcPr>
          <w:p>
            <w:pPr>
              <w:pStyle w:val="TableContents"/>
              <w:spacing w:before="0" w:after="283"/>
              <w:rPr/>
            </w:pPr>
            <w:r>
              <w:rPr/>
              <w:t xml:space="preserve">  </w:t>
            </w:r>
          </w:p>
        </w:tc>
        <w:tc>
          <w:tcPr>
            <w:tcW w:w="5359" w:type="dxa"/>
            <w:gridSpan w:val="12"/>
            <w:tcBorders/>
            <w:shd w:fill="FFFFFF" w:val="clear"/>
          </w:tcPr>
          <w:p>
            <w:pPr>
              <w:pStyle w:val="TableContents"/>
              <w:spacing w:before="0" w:after="283"/>
              <w:rPr>
                <w:sz w:val="4"/>
                <w:szCs w:val="4"/>
              </w:rPr>
            </w:pPr>
            <w:r>
              <w:rPr>
                <w:sz w:val="4"/>
                <w:szCs w:val="4"/>
              </w:rPr>
            </w:r>
          </w:p>
        </w:tc>
      </w:tr>
      <w:tr>
        <w:trPr/>
        <w:tc>
          <w:tcPr>
            <w:tcW w:w="4846" w:type="dxa"/>
            <w:tcBorders/>
            <w:shd w:fill="CCEEFF" w:val="clear"/>
            <w:vAlign w:val="bottom"/>
          </w:tcPr>
          <w:p>
            <w:pPr>
              <w:pStyle w:val="TableContents"/>
              <w:spacing w:before="0" w:after="0"/>
              <w:ind w:left="200" w:right="0" w:hanging="200"/>
              <w:jc w:val="left"/>
              <w:rPr/>
            </w:pPr>
            <w:r>
              <w:rPr>
                <w:b/>
                <w:sz w:val="17"/>
              </w:rPr>
              <w:t>2005</w:t>
            </w:r>
            <w:r>
              <w:rPr/>
              <w:t xml:space="preserve">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jc w:val="right"/>
              <w:rPr/>
            </w:pPr>
            <w:r>
              <w:rPr/>
              <w:t xml:space="preserve">  </w:t>
            </w:r>
          </w:p>
        </w:tc>
        <w:tc>
          <w:tcPr>
            <w:tcW w:w="361" w:type="dxa"/>
            <w:tcBorders/>
            <w:shd w:fill="CCEEFF" w:val="clear"/>
            <w:vAlign w:val="bottom"/>
          </w:tcPr>
          <w:p>
            <w:pPr>
              <w:pStyle w:val="TableContents"/>
              <w:spacing w:before="0" w:after="283"/>
              <w:jc w:val="left"/>
              <w:rPr/>
            </w:pPr>
            <w:r>
              <w:rPr/>
              <w:t xml:space="preserve">  </w:t>
            </w:r>
          </w:p>
        </w:tc>
      </w:tr>
      <w:tr>
        <w:trPr/>
        <w:tc>
          <w:tcPr>
            <w:tcW w:w="4846" w:type="dxa"/>
            <w:tcBorders/>
            <w:shd w:fill="FFFFFF" w:val="clear"/>
            <w:vAlign w:val="bottom"/>
          </w:tcPr>
          <w:p>
            <w:pPr>
              <w:pStyle w:val="TableContents"/>
              <w:spacing w:before="0" w:after="0"/>
              <w:ind w:left="200" w:right="0" w:hanging="200"/>
              <w:jc w:val="left"/>
              <w:rPr>
                <w:sz w:val="17"/>
              </w:rPr>
            </w:pPr>
            <w:r>
              <w:rPr>
                <w:sz w:val="17"/>
              </w:rPr>
              <w:t xml:space="preserve">First Quarter </w:t>
            </w:r>
          </w:p>
        </w:tc>
        <w:tc>
          <w:tcPr>
            <w:tcW w:w="16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40.98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36.50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357" w:type="dxa"/>
            <w:tcBorders/>
            <w:shd w:fill="FFFFFF" w:val="clear"/>
            <w:vAlign w:val="bottom"/>
          </w:tcPr>
          <w:p>
            <w:pPr>
              <w:pStyle w:val="TableContents"/>
              <w:spacing w:before="0" w:after="283"/>
              <w:jc w:val="left"/>
              <w:rPr/>
            </w:pPr>
            <w:r>
              <w:rPr/>
              <w:t xml:space="preserve">$ </w:t>
            </w:r>
          </w:p>
        </w:tc>
        <w:tc>
          <w:tcPr>
            <w:tcW w:w="1747" w:type="dxa"/>
            <w:tcBorders/>
            <w:shd w:fill="FFFFFF" w:val="clear"/>
            <w:vAlign w:val="bottom"/>
          </w:tcPr>
          <w:p>
            <w:pPr>
              <w:pStyle w:val="TableContents"/>
              <w:spacing w:before="0" w:after="283"/>
              <w:jc w:val="right"/>
              <w:rPr/>
            </w:pPr>
            <w:r>
              <w:rPr/>
              <w:t xml:space="preserve">0.6375 </w:t>
            </w:r>
          </w:p>
        </w:tc>
        <w:tc>
          <w:tcPr>
            <w:tcW w:w="361" w:type="dxa"/>
            <w:tcBorders/>
            <w:shd w:fill="FFFFFF" w:val="clear"/>
            <w:vAlign w:val="bottom"/>
          </w:tcPr>
          <w:p>
            <w:pPr>
              <w:pStyle w:val="TableContents"/>
              <w:spacing w:before="0" w:after="283"/>
              <w:jc w:val="left"/>
              <w:rPr/>
            </w:pPr>
            <w:r>
              <w:rPr/>
              <w:t xml:space="preserve">  </w:t>
            </w:r>
          </w:p>
        </w:tc>
      </w:tr>
      <w:tr>
        <w:trPr/>
        <w:tc>
          <w:tcPr>
            <w:tcW w:w="4846" w:type="dxa"/>
            <w:tcBorders/>
            <w:shd w:fill="CCEEFF" w:val="clear"/>
            <w:vAlign w:val="bottom"/>
          </w:tcPr>
          <w:p>
            <w:pPr>
              <w:pStyle w:val="TableContents"/>
              <w:spacing w:before="0" w:after="0"/>
              <w:ind w:left="200" w:right="0" w:hanging="200"/>
              <w:jc w:val="left"/>
              <w:rPr>
                <w:sz w:val="17"/>
              </w:rPr>
            </w:pPr>
            <w:r>
              <w:rPr>
                <w:sz w:val="17"/>
              </w:rPr>
              <w:t xml:space="preserve">Second Quarter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45.08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38.00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jc w:val="right"/>
              <w:rPr/>
            </w:pPr>
            <w:r>
              <w:rPr/>
              <w:t xml:space="preserve">0.6500 </w:t>
            </w:r>
          </w:p>
        </w:tc>
        <w:tc>
          <w:tcPr>
            <w:tcW w:w="361" w:type="dxa"/>
            <w:tcBorders/>
            <w:shd w:fill="CCEEFF" w:val="clear"/>
            <w:vAlign w:val="bottom"/>
          </w:tcPr>
          <w:p>
            <w:pPr>
              <w:pStyle w:val="TableContents"/>
              <w:spacing w:before="0" w:after="283"/>
              <w:jc w:val="left"/>
              <w:rPr/>
            </w:pPr>
            <w:r>
              <w:rPr/>
              <w:t xml:space="preserve">  </w:t>
            </w:r>
          </w:p>
        </w:tc>
      </w:tr>
      <w:tr>
        <w:trPr/>
        <w:tc>
          <w:tcPr>
            <w:tcW w:w="4846" w:type="dxa"/>
            <w:tcBorders/>
            <w:shd w:fill="FFFFFF" w:val="clear"/>
            <w:vAlign w:val="bottom"/>
          </w:tcPr>
          <w:p>
            <w:pPr>
              <w:pStyle w:val="TableContents"/>
              <w:spacing w:before="0" w:after="0"/>
              <w:ind w:left="200" w:right="0" w:hanging="200"/>
              <w:jc w:val="left"/>
              <w:rPr>
                <w:sz w:val="17"/>
              </w:rPr>
            </w:pPr>
            <w:r>
              <w:rPr>
                <w:sz w:val="17"/>
              </w:rPr>
              <w:t xml:space="preserve">Third Quarter </w:t>
            </w:r>
          </w:p>
        </w:tc>
        <w:tc>
          <w:tcPr>
            <w:tcW w:w="16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48.20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42.01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357" w:type="dxa"/>
            <w:tcBorders/>
            <w:shd w:fill="FFFFFF" w:val="clear"/>
            <w:vAlign w:val="bottom"/>
          </w:tcPr>
          <w:p>
            <w:pPr>
              <w:pStyle w:val="TableContents"/>
              <w:spacing w:before="0" w:after="283"/>
              <w:jc w:val="left"/>
              <w:rPr/>
            </w:pPr>
            <w:r>
              <w:rPr/>
              <w:t xml:space="preserve">  </w:t>
            </w:r>
          </w:p>
        </w:tc>
        <w:tc>
          <w:tcPr>
            <w:tcW w:w="1747" w:type="dxa"/>
            <w:tcBorders/>
            <w:shd w:fill="FFFFFF" w:val="clear"/>
            <w:vAlign w:val="bottom"/>
          </w:tcPr>
          <w:p>
            <w:pPr>
              <w:pStyle w:val="TableContents"/>
              <w:spacing w:before="0" w:after="283"/>
              <w:jc w:val="right"/>
              <w:rPr/>
            </w:pPr>
            <w:r>
              <w:rPr/>
              <w:t xml:space="preserve">0.6750 </w:t>
            </w:r>
          </w:p>
        </w:tc>
        <w:tc>
          <w:tcPr>
            <w:tcW w:w="361" w:type="dxa"/>
            <w:tcBorders/>
            <w:shd w:fill="FFFFFF" w:val="clear"/>
            <w:vAlign w:val="bottom"/>
          </w:tcPr>
          <w:p>
            <w:pPr>
              <w:pStyle w:val="TableContents"/>
              <w:spacing w:before="0" w:after="283"/>
              <w:jc w:val="left"/>
              <w:rPr/>
            </w:pPr>
            <w:r>
              <w:rPr/>
              <w:t xml:space="preserve">  </w:t>
            </w:r>
          </w:p>
        </w:tc>
      </w:tr>
      <w:tr>
        <w:trPr/>
        <w:tc>
          <w:tcPr>
            <w:tcW w:w="4846" w:type="dxa"/>
            <w:tcBorders/>
            <w:shd w:fill="CCEEFF" w:val="clear"/>
            <w:vAlign w:val="bottom"/>
          </w:tcPr>
          <w:p>
            <w:pPr>
              <w:pStyle w:val="TableContents"/>
              <w:spacing w:before="0" w:after="0"/>
              <w:ind w:left="200" w:right="0" w:hanging="200"/>
              <w:jc w:val="left"/>
              <w:rPr>
                <w:sz w:val="17"/>
              </w:rPr>
            </w:pPr>
            <w:r>
              <w:rPr>
                <w:sz w:val="17"/>
              </w:rPr>
              <w:t xml:space="preserve">Fourth Quarter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42.82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38.51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jc w:val="right"/>
              <w:rPr/>
            </w:pPr>
            <w:r>
              <w:rPr/>
              <w:t xml:space="preserve">0.6875 </w:t>
            </w:r>
          </w:p>
        </w:tc>
        <w:tc>
          <w:tcPr>
            <w:tcW w:w="361" w:type="dxa"/>
            <w:tcBorders/>
            <w:shd w:fill="CCEEFF" w:val="clear"/>
            <w:vAlign w:val="bottom"/>
          </w:tcPr>
          <w:p>
            <w:pPr>
              <w:pStyle w:val="TableContents"/>
              <w:spacing w:before="0" w:after="283"/>
              <w:jc w:val="left"/>
              <w:rPr/>
            </w:pPr>
            <w:r>
              <w:rPr/>
              <w:t xml:space="preserve">  </w:t>
            </w:r>
          </w:p>
        </w:tc>
      </w:tr>
      <w:tr>
        <w:trPr/>
        <w:tc>
          <w:tcPr>
            <w:tcW w:w="4846" w:type="dxa"/>
            <w:tcBorders/>
            <w:shd w:fill="FFFFFF" w:val="clear"/>
            <w:vAlign w:val="bottom"/>
          </w:tcPr>
          <w:p>
            <w:pPr>
              <w:pStyle w:val="TableContents"/>
              <w:spacing w:before="0" w:after="0"/>
              <w:ind w:left="200" w:right="0" w:hanging="200"/>
              <w:jc w:val="left"/>
              <w:rPr/>
            </w:pPr>
            <w:r>
              <w:rPr>
                <w:b/>
                <w:sz w:val="17"/>
              </w:rPr>
              <w:t>2006</w:t>
            </w:r>
            <w:r>
              <w:rPr/>
              <w:t xml:space="preserve"> </w:t>
            </w:r>
          </w:p>
        </w:tc>
        <w:tc>
          <w:tcPr>
            <w:tcW w:w="16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357" w:type="dxa"/>
            <w:tcBorders/>
            <w:shd w:fill="FFFFFF" w:val="clear"/>
            <w:vAlign w:val="bottom"/>
          </w:tcPr>
          <w:p>
            <w:pPr>
              <w:pStyle w:val="TableContents"/>
              <w:spacing w:before="0" w:after="283"/>
              <w:jc w:val="left"/>
              <w:rPr/>
            </w:pPr>
            <w:r>
              <w:rPr/>
              <w:t xml:space="preserve">  </w:t>
            </w:r>
          </w:p>
        </w:tc>
        <w:tc>
          <w:tcPr>
            <w:tcW w:w="1747" w:type="dxa"/>
            <w:tcBorders/>
            <w:shd w:fill="FFFFFF" w:val="clear"/>
            <w:vAlign w:val="bottom"/>
          </w:tcPr>
          <w:p>
            <w:pPr>
              <w:pStyle w:val="TableContents"/>
              <w:spacing w:before="0" w:after="283"/>
              <w:jc w:val="right"/>
              <w:rPr/>
            </w:pPr>
            <w:r>
              <w:rPr/>
              <w:t xml:space="preserve">  </w:t>
            </w:r>
          </w:p>
        </w:tc>
        <w:tc>
          <w:tcPr>
            <w:tcW w:w="361" w:type="dxa"/>
            <w:tcBorders/>
            <w:shd w:fill="FFFFFF" w:val="clear"/>
            <w:vAlign w:val="bottom"/>
          </w:tcPr>
          <w:p>
            <w:pPr>
              <w:pStyle w:val="TableContents"/>
              <w:spacing w:before="0" w:after="283"/>
              <w:jc w:val="left"/>
              <w:rPr/>
            </w:pPr>
            <w:r>
              <w:rPr/>
              <w:t xml:space="preserve">  </w:t>
            </w:r>
          </w:p>
        </w:tc>
      </w:tr>
      <w:tr>
        <w:trPr/>
        <w:tc>
          <w:tcPr>
            <w:tcW w:w="4846" w:type="dxa"/>
            <w:tcBorders/>
            <w:shd w:fill="CCEEFF" w:val="clear"/>
            <w:vAlign w:val="bottom"/>
          </w:tcPr>
          <w:p>
            <w:pPr>
              <w:pStyle w:val="TableContents"/>
              <w:spacing w:before="0" w:after="0"/>
              <w:ind w:left="200" w:right="0" w:hanging="200"/>
              <w:jc w:val="left"/>
              <w:rPr>
                <w:sz w:val="17"/>
              </w:rPr>
            </w:pPr>
            <w:r>
              <w:rPr>
                <w:sz w:val="17"/>
              </w:rPr>
              <w:t xml:space="preserve">First Quarter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47.00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39.81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jc w:val="right"/>
              <w:rPr/>
            </w:pPr>
            <w:r>
              <w:rPr/>
              <w:t xml:space="preserve">0.7075 </w:t>
            </w:r>
          </w:p>
        </w:tc>
        <w:tc>
          <w:tcPr>
            <w:tcW w:w="361" w:type="dxa"/>
            <w:tcBorders/>
            <w:shd w:fill="CCEEFF" w:val="clear"/>
            <w:vAlign w:val="bottom"/>
          </w:tcPr>
          <w:p>
            <w:pPr>
              <w:pStyle w:val="TableContents"/>
              <w:spacing w:before="0" w:after="283"/>
              <w:jc w:val="left"/>
              <w:rPr/>
            </w:pPr>
            <w:r>
              <w:rPr/>
              <w:t xml:space="preserve">  </w:t>
            </w:r>
          </w:p>
        </w:tc>
      </w:tr>
      <w:tr>
        <w:trPr/>
        <w:tc>
          <w:tcPr>
            <w:tcW w:w="4846" w:type="dxa"/>
            <w:tcBorders/>
            <w:shd w:fill="FFFFFF" w:val="clear"/>
            <w:vAlign w:val="bottom"/>
          </w:tcPr>
          <w:p>
            <w:pPr>
              <w:pStyle w:val="TableContents"/>
              <w:spacing w:before="0" w:after="0"/>
              <w:ind w:left="200" w:right="0" w:hanging="200"/>
              <w:jc w:val="left"/>
              <w:rPr>
                <w:sz w:val="17"/>
              </w:rPr>
            </w:pPr>
            <w:r>
              <w:rPr>
                <w:sz w:val="17"/>
              </w:rPr>
              <w:t xml:space="preserve">Second Quarter </w:t>
            </w:r>
          </w:p>
        </w:tc>
        <w:tc>
          <w:tcPr>
            <w:tcW w:w="16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48.92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42.81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357" w:type="dxa"/>
            <w:tcBorders/>
            <w:shd w:fill="FFFFFF" w:val="clear"/>
            <w:vAlign w:val="bottom"/>
          </w:tcPr>
          <w:p>
            <w:pPr>
              <w:pStyle w:val="TableContents"/>
              <w:spacing w:before="0" w:after="283"/>
              <w:jc w:val="left"/>
              <w:rPr/>
            </w:pPr>
            <w:r>
              <w:rPr/>
              <w:t xml:space="preserve">  </w:t>
            </w:r>
          </w:p>
        </w:tc>
        <w:tc>
          <w:tcPr>
            <w:tcW w:w="1747" w:type="dxa"/>
            <w:tcBorders/>
            <w:shd w:fill="FFFFFF" w:val="clear"/>
            <w:vAlign w:val="bottom"/>
          </w:tcPr>
          <w:p>
            <w:pPr>
              <w:pStyle w:val="TableContents"/>
              <w:spacing w:before="0" w:after="283"/>
              <w:jc w:val="right"/>
              <w:rPr/>
            </w:pPr>
            <w:r>
              <w:rPr/>
              <w:t xml:space="preserve">0.7250 </w:t>
            </w:r>
          </w:p>
        </w:tc>
        <w:tc>
          <w:tcPr>
            <w:tcW w:w="361" w:type="dxa"/>
            <w:tcBorders/>
            <w:shd w:fill="FFFFFF" w:val="clear"/>
            <w:vAlign w:val="bottom"/>
          </w:tcPr>
          <w:p>
            <w:pPr>
              <w:pStyle w:val="TableContents"/>
              <w:spacing w:before="0" w:after="283"/>
              <w:jc w:val="left"/>
              <w:rPr/>
            </w:pPr>
            <w:r>
              <w:rPr/>
              <w:t xml:space="preserve">  </w:t>
            </w:r>
          </w:p>
        </w:tc>
      </w:tr>
      <w:tr>
        <w:trPr/>
        <w:tc>
          <w:tcPr>
            <w:tcW w:w="4846" w:type="dxa"/>
            <w:tcBorders/>
            <w:shd w:fill="CCEEFF" w:val="clear"/>
            <w:vAlign w:val="bottom"/>
          </w:tcPr>
          <w:p>
            <w:pPr>
              <w:pStyle w:val="TableContents"/>
              <w:spacing w:before="0" w:after="0"/>
              <w:ind w:left="200" w:right="0" w:hanging="200"/>
              <w:jc w:val="left"/>
              <w:rPr>
                <w:sz w:val="17"/>
              </w:rPr>
            </w:pPr>
            <w:r>
              <w:rPr>
                <w:sz w:val="17"/>
              </w:rPr>
              <w:t xml:space="preserve">Third Quarter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47.35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43.21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jc w:val="right"/>
              <w:rPr/>
            </w:pPr>
            <w:r>
              <w:rPr/>
              <w:t xml:space="preserve">0.7500 </w:t>
            </w:r>
          </w:p>
        </w:tc>
        <w:tc>
          <w:tcPr>
            <w:tcW w:w="361" w:type="dxa"/>
            <w:tcBorders/>
            <w:shd w:fill="CCEEFF" w:val="clear"/>
            <w:vAlign w:val="bottom"/>
          </w:tcPr>
          <w:p>
            <w:pPr>
              <w:pStyle w:val="TableContents"/>
              <w:spacing w:before="0" w:after="283"/>
              <w:jc w:val="left"/>
              <w:rPr/>
            </w:pPr>
            <w:r>
              <w:rPr/>
              <w:t xml:space="preserve">  </w:t>
            </w:r>
          </w:p>
        </w:tc>
      </w:tr>
      <w:tr>
        <w:trPr/>
        <w:tc>
          <w:tcPr>
            <w:tcW w:w="4846" w:type="dxa"/>
            <w:tcBorders/>
            <w:shd w:fill="FFFFFF" w:val="clear"/>
            <w:vAlign w:val="bottom"/>
          </w:tcPr>
          <w:p>
            <w:pPr>
              <w:pStyle w:val="TableContents"/>
              <w:spacing w:before="0" w:after="0"/>
              <w:ind w:left="200" w:right="0" w:hanging="200"/>
              <w:jc w:val="left"/>
              <w:rPr>
                <w:sz w:val="17"/>
              </w:rPr>
            </w:pPr>
            <w:r>
              <w:rPr>
                <w:sz w:val="17"/>
              </w:rPr>
              <w:t xml:space="preserve">Fourth Quarter </w:t>
            </w:r>
          </w:p>
        </w:tc>
        <w:tc>
          <w:tcPr>
            <w:tcW w:w="16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53.23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45.20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357" w:type="dxa"/>
            <w:tcBorders/>
            <w:shd w:fill="FFFFFF" w:val="clear"/>
            <w:vAlign w:val="bottom"/>
          </w:tcPr>
          <w:p>
            <w:pPr>
              <w:pStyle w:val="TableContents"/>
              <w:spacing w:before="0" w:after="283"/>
              <w:jc w:val="left"/>
              <w:rPr/>
            </w:pPr>
            <w:r>
              <w:rPr/>
              <w:t xml:space="preserve">  </w:t>
            </w:r>
          </w:p>
        </w:tc>
        <w:tc>
          <w:tcPr>
            <w:tcW w:w="1747" w:type="dxa"/>
            <w:tcBorders/>
            <w:shd w:fill="FFFFFF" w:val="clear"/>
            <w:vAlign w:val="bottom"/>
          </w:tcPr>
          <w:p>
            <w:pPr>
              <w:pStyle w:val="TableContents"/>
              <w:spacing w:before="0" w:after="283"/>
              <w:jc w:val="right"/>
              <w:rPr/>
            </w:pPr>
            <w:r>
              <w:rPr/>
              <w:t xml:space="preserve">0.8000 </w:t>
            </w:r>
          </w:p>
        </w:tc>
        <w:tc>
          <w:tcPr>
            <w:tcW w:w="361" w:type="dxa"/>
            <w:tcBorders/>
            <w:shd w:fill="FFFFFF" w:val="clear"/>
            <w:vAlign w:val="bottom"/>
          </w:tcPr>
          <w:p>
            <w:pPr>
              <w:pStyle w:val="TableContents"/>
              <w:spacing w:before="0" w:after="283"/>
              <w:jc w:val="left"/>
              <w:rPr/>
            </w:pPr>
            <w:r>
              <w:rPr/>
              <w:t xml:space="preserve">  </w:t>
            </w:r>
          </w:p>
        </w:tc>
      </w:tr>
      <w:tr>
        <w:trPr/>
        <w:tc>
          <w:tcPr>
            <w:tcW w:w="4846" w:type="dxa"/>
            <w:tcBorders/>
            <w:shd w:fill="CCEEFF" w:val="clear"/>
            <w:vAlign w:val="bottom"/>
          </w:tcPr>
          <w:p>
            <w:pPr>
              <w:pStyle w:val="TableContents"/>
              <w:spacing w:before="0" w:after="0"/>
              <w:ind w:left="200" w:right="0" w:hanging="200"/>
              <w:jc w:val="left"/>
              <w:rPr/>
            </w:pPr>
            <w:r>
              <w:rPr>
                <w:b/>
                <w:sz w:val="17"/>
              </w:rPr>
              <w:t>2007</w:t>
            </w:r>
            <w:r>
              <w:rPr/>
              <w:t xml:space="preserve">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jc w:val="right"/>
              <w:rPr/>
            </w:pPr>
            <w:r>
              <w:rPr/>
              <w:t xml:space="preserve">  </w:t>
            </w:r>
          </w:p>
        </w:tc>
        <w:tc>
          <w:tcPr>
            <w:tcW w:w="361" w:type="dxa"/>
            <w:tcBorders/>
            <w:shd w:fill="CCEEFF" w:val="clear"/>
            <w:vAlign w:val="bottom"/>
          </w:tcPr>
          <w:p>
            <w:pPr>
              <w:pStyle w:val="TableContents"/>
              <w:spacing w:before="0" w:after="283"/>
              <w:jc w:val="left"/>
              <w:rPr/>
            </w:pPr>
            <w:r>
              <w:rPr/>
              <w:t xml:space="preserve">  </w:t>
            </w:r>
          </w:p>
        </w:tc>
      </w:tr>
      <w:tr>
        <w:trPr/>
        <w:tc>
          <w:tcPr>
            <w:tcW w:w="4846" w:type="dxa"/>
            <w:tcBorders/>
            <w:shd w:fill="FFFFFF" w:val="clear"/>
            <w:vAlign w:val="bottom"/>
          </w:tcPr>
          <w:p>
            <w:pPr>
              <w:pStyle w:val="TableContents"/>
              <w:spacing w:before="0" w:after="0"/>
              <w:ind w:left="200" w:right="0" w:hanging="200"/>
              <w:jc w:val="left"/>
              <w:rPr>
                <w:sz w:val="17"/>
              </w:rPr>
            </w:pPr>
            <w:r>
              <w:rPr>
                <w:sz w:val="17"/>
              </w:rPr>
              <w:t xml:space="preserve">First Quarter </w:t>
            </w:r>
          </w:p>
        </w:tc>
        <w:tc>
          <w:tcPr>
            <w:tcW w:w="16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59.33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49.56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357" w:type="dxa"/>
            <w:tcBorders/>
            <w:shd w:fill="FFFFFF" w:val="clear"/>
            <w:vAlign w:val="bottom"/>
          </w:tcPr>
          <w:p>
            <w:pPr>
              <w:pStyle w:val="TableContents"/>
              <w:spacing w:before="0" w:after="283"/>
              <w:jc w:val="left"/>
              <w:rPr/>
            </w:pPr>
            <w:r>
              <w:rPr/>
              <w:t xml:space="preserve">$ </w:t>
            </w:r>
          </w:p>
        </w:tc>
        <w:tc>
          <w:tcPr>
            <w:tcW w:w="1747" w:type="dxa"/>
            <w:tcBorders/>
            <w:shd w:fill="FFFFFF" w:val="clear"/>
            <w:vAlign w:val="bottom"/>
          </w:tcPr>
          <w:p>
            <w:pPr>
              <w:pStyle w:val="TableContents"/>
              <w:spacing w:before="0" w:after="283"/>
              <w:jc w:val="right"/>
              <w:rPr/>
            </w:pPr>
            <w:r>
              <w:rPr/>
              <w:t xml:space="preserve">0.8125 </w:t>
            </w:r>
          </w:p>
        </w:tc>
        <w:tc>
          <w:tcPr>
            <w:tcW w:w="361" w:type="dxa"/>
            <w:tcBorders/>
            <w:shd w:fill="FFFFFF" w:val="clear"/>
            <w:vAlign w:val="bottom"/>
          </w:tcPr>
          <w:p>
            <w:pPr>
              <w:pStyle w:val="TableContents"/>
              <w:spacing w:before="0" w:after="283"/>
              <w:jc w:val="left"/>
              <w:rPr/>
            </w:pPr>
            <w:r>
              <w:rPr/>
              <w:t xml:space="preserve">  </w:t>
            </w:r>
          </w:p>
        </w:tc>
      </w:tr>
      <w:tr>
        <w:trPr/>
        <w:tc>
          <w:tcPr>
            <w:tcW w:w="4846" w:type="dxa"/>
            <w:tcBorders/>
            <w:shd w:fill="CCEEFF" w:val="clear"/>
            <w:vAlign w:val="bottom"/>
          </w:tcPr>
          <w:p>
            <w:pPr>
              <w:pStyle w:val="TableContents"/>
              <w:spacing w:before="0" w:after="0"/>
              <w:ind w:left="200" w:right="0" w:hanging="200"/>
              <w:jc w:val="left"/>
              <w:rPr>
                <w:sz w:val="17"/>
              </w:rPr>
            </w:pPr>
            <w:r>
              <w:rPr>
                <w:sz w:val="17"/>
              </w:rPr>
              <w:t xml:space="preserve">Second Quarter (through June 19, 2007)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63.50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56.32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rPr>
                <w:sz w:val="4"/>
                <w:szCs w:val="4"/>
              </w:rPr>
            </w:pPr>
            <w:r>
              <w:rPr>
                <w:sz w:val="4"/>
                <w:szCs w:val="4"/>
              </w:rPr>
            </w:r>
          </w:p>
        </w:tc>
        <w:tc>
          <w:tcPr>
            <w:tcW w:w="361" w:type="dxa"/>
            <w:tcBorders/>
            <w:shd w:fill="CCEEFF" w:val="clear"/>
            <w:vAlign w:val="bottom"/>
          </w:tcPr>
          <w:p>
            <w:pPr>
              <w:pStyle w:val="TableContents"/>
              <w:spacing w:before="0" w:after="283"/>
              <w:jc w:val="left"/>
              <w:rPr/>
            </w:pPr>
            <w:r>
              <w:rPr/>
              <w:t xml:space="preserve">(2)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1"/>
        <w:gridCol w:w="9697"/>
      </w:tblGrid>
      <w:tr>
        <w:trPr/>
        <w:tc>
          <w:tcPr>
            <w:tcW w:w="407"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Represents cash distributions per common unit declared with respect to the quarter and paid in the following quarter.</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(2)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The distribution attributable to the second quarter of 2007 has not yet been declared or paid.</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7" w:name="105"/>
      <w:bookmarkEnd w:id="7"/>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PLAN OF DISTRIBUTION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selling the common units offered pursuant to this prospectus directly to the following purchasers in a privately negotiated transaction in which no party is acting as an underwriter: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115"/>
        <w:gridCol w:w="201"/>
        <w:gridCol w:w="168"/>
        <w:gridCol w:w="1574"/>
        <w:gridCol w:w="147"/>
      </w:tblGrid>
      <w:tr>
        <w:trPr/>
        <w:tc>
          <w:tcPr>
            <w:tcW w:w="8115"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68" w:type="dxa"/>
            <w:tcBorders/>
            <w:shd w:fill="FFFFFF" w:val="clear"/>
            <w:vAlign w:val="bottom"/>
          </w:tcPr>
          <w:p>
            <w:pPr>
              <w:pStyle w:val="TableContents"/>
              <w:spacing w:before="0" w:after="283"/>
              <w:jc w:val="right"/>
              <w:rPr/>
            </w:pPr>
            <w:r>
              <w:rPr/>
              <w:t> </w:t>
            </w:r>
          </w:p>
        </w:tc>
        <w:tc>
          <w:tcPr>
            <w:tcW w:w="1574" w:type="dxa"/>
            <w:tcBorders/>
            <w:shd w:fill="FFFFFF" w:val="clear"/>
            <w:vAlign w:val="bottom"/>
          </w:tcPr>
          <w:p>
            <w:pPr>
              <w:pStyle w:val="TableContents"/>
              <w:spacing w:before="0" w:after="283"/>
              <w:jc w:val="right"/>
              <w:rPr/>
            </w:pPr>
            <w:r>
              <w:rPr/>
              <w:t> </w:t>
            </w:r>
          </w:p>
        </w:tc>
        <w:tc>
          <w:tcPr>
            <w:tcW w:w="147" w:type="dxa"/>
            <w:tcBorders/>
            <w:shd w:fill="FFFFFF" w:val="clear"/>
            <w:vAlign w:val="bottom"/>
          </w:tcPr>
          <w:p>
            <w:pPr>
              <w:pStyle w:val="TableContents"/>
              <w:spacing w:before="0" w:after="283"/>
              <w:jc w:val="left"/>
              <w:rPr/>
            </w:pPr>
            <w:r>
              <w:rPr/>
              <w:t> </w:t>
            </w:r>
          </w:p>
        </w:tc>
      </w:tr>
      <w:tr>
        <w:trPr/>
        <w:tc>
          <w:tcPr>
            <w:tcW w:w="8115" w:type="dxa"/>
            <w:tcBorders/>
            <w:shd w:fill="FFFFFF" w:val="clear"/>
            <w:vAlign w:val="bottom"/>
          </w:tcPr>
          <w:p>
            <w:pPr>
              <w:pStyle w:val="TableContents"/>
              <w:spacing w:before="0" w:after="0"/>
              <w:jc w:val="left"/>
              <w:rPr>
                <w:bdr w:val="single" w:sz="2" w:space="1" w:color="000000"/>
              </w:rPr>
            </w:pPr>
            <w:r>
              <w:rPr>
                <w:b/>
                <w:bdr w:val="single" w:sz="2" w:space="1" w:color="000000"/>
              </w:rPr>
              <w:t>Purchaser</w:t>
            </w:r>
            <w:r>
              <w:rPr>
                <w:bdr w:val="single" w:sz="2" w:space="1" w:color="000000"/>
              </w:rPr>
              <w:t xml:space="preserve"> </w:t>
            </w:r>
          </w:p>
        </w:tc>
        <w:tc>
          <w:tcPr>
            <w:tcW w:w="201" w:type="dxa"/>
            <w:tcBorders/>
            <w:shd w:fill="FFFFFF" w:val="clear"/>
            <w:vAlign w:val="bottom"/>
          </w:tcPr>
          <w:p>
            <w:pPr>
              <w:pStyle w:val="TableContents"/>
              <w:spacing w:before="0" w:after="283"/>
              <w:jc w:val="center"/>
              <w:rPr/>
            </w:pPr>
            <w:r>
              <w:rPr/>
              <w:t xml:space="preserve">  </w:t>
            </w:r>
          </w:p>
        </w:tc>
        <w:tc>
          <w:tcPr>
            <w:tcW w:w="174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Common Units</w:t>
            </w:r>
            <w:r>
              <w:rPr/>
              <w:t xml:space="preserve"> </w:t>
            </w:r>
          </w:p>
        </w:tc>
        <w:tc>
          <w:tcPr>
            <w:tcW w:w="147" w:type="dxa"/>
            <w:tcBorders/>
            <w:shd w:fill="FFFFFF" w:val="clear"/>
            <w:vAlign w:val="bottom"/>
          </w:tcPr>
          <w:p>
            <w:pPr>
              <w:pStyle w:val="TableContents"/>
              <w:spacing w:before="0" w:after="283"/>
              <w:jc w:val="center"/>
              <w:rPr/>
            </w:pPr>
            <w:r>
              <w:rPr/>
              <w:t xml:space="preserve">  </w:t>
            </w:r>
          </w:p>
        </w:tc>
      </w:tr>
      <w:tr>
        <w:trPr/>
        <w:tc>
          <w:tcPr>
            <w:tcW w:w="8115" w:type="dxa"/>
            <w:tcBorders/>
            <w:shd w:fill="FFFFFF" w:val="clear"/>
            <w:vAlign w:val="center"/>
          </w:tcPr>
          <w:p>
            <w:pPr>
              <w:pStyle w:val="TableContents"/>
              <w:spacing w:before="0" w:after="283"/>
              <w:rPr/>
            </w:pPr>
            <w:r>
              <w:rPr/>
              <w:t xml:space="preserve">  </w:t>
            </w:r>
          </w:p>
        </w:tc>
        <w:tc>
          <w:tcPr>
            <w:tcW w:w="2090" w:type="dxa"/>
            <w:gridSpan w:val="4"/>
            <w:tcBorders/>
            <w:shd w:fill="FFFFFF" w:val="clear"/>
          </w:tcPr>
          <w:p>
            <w:pPr>
              <w:pStyle w:val="TableContents"/>
              <w:spacing w:before="0" w:after="283"/>
              <w:rPr>
                <w:sz w:val="4"/>
                <w:szCs w:val="4"/>
              </w:rPr>
            </w:pPr>
            <w:r>
              <w:rPr>
                <w:sz w:val="4"/>
                <w:szCs w:val="4"/>
              </w:rPr>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Royal Bank of Canada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2,767,446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Hugo Neu Corporation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1,981,196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Lehman Brothers MLP Opportunity Fund L.P.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420,000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ING Life Insurance and Annuity Company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176,091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AT MLP Fund, LLC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151,108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Tortoise Energy Infrastructure Corporation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117,529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Lehman Brothers MLP Partners L.P.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117,274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Alerian Capital Partners LP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105,000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ING USA Annuity and Life Insurance Company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104,265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Security Life of Denver Insurance Company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74,144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Strome MLP Fund, LP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60,443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Tetrad Corporation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45,332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GPS Income Fund LP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33,580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ReliaStar Life Insurance Company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28,576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Ira Sochet Intervivos Trust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25,856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Harvest Infrastructure Partners Fund LLC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18,972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Alerian Focus Partners LP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15,398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Harvest Sharing LLC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14,607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Eagle Income Appreciation Partners, L.P.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13,432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Investors Risk Advantage LP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9,402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The Harbourage Fund LP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5,037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Premisla, LLC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5,037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Eagle Income Appreciation II, L.P.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3,358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200" w:right="0" w:hanging="200"/>
              <w:jc w:val="left"/>
              <w:rPr>
                <w:sz w:val="17"/>
              </w:rPr>
            </w:pPr>
            <w:r>
              <w:rPr>
                <w:sz w:val="17"/>
              </w:rPr>
              <w:t xml:space="preserve">ReliaStar Life Insurance Company of New York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3,089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0"/>
              <w:ind w:left="400" w:right="0" w:hanging="200"/>
              <w:jc w:val="left"/>
              <w:rPr>
                <w:sz w:val="17"/>
              </w:rPr>
            </w:pPr>
            <w:r>
              <w:rPr>
                <w:sz w:val="17"/>
              </w:rPr>
              <w:t xml:space="preserve">Total </w:t>
            </w:r>
          </w:p>
        </w:tc>
        <w:tc>
          <w:tcPr>
            <w:tcW w:w="20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74" w:type="dxa"/>
            <w:tcBorders/>
            <w:shd w:fill="FFFFFF" w:val="clear"/>
            <w:vAlign w:val="bottom"/>
          </w:tcPr>
          <w:p>
            <w:pPr>
              <w:pStyle w:val="TableContents"/>
              <w:spacing w:before="0" w:after="283"/>
              <w:jc w:val="right"/>
              <w:rPr/>
            </w:pPr>
            <w:r>
              <w:rPr/>
              <w:t xml:space="preserve">6,296,172 </w:t>
            </w:r>
          </w:p>
        </w:tc>
        <w:tc>
          <w:tcPr>
            <w:tcW w:w="147" w:type="dxa"/>
            <w:tcBorders/>
            <w:shd w:fill="FFFFFF" w:val="clear"/>
            <w:vAlign w:val="bottom"/>
          </w:tcPr>
          <w:p>
            <w:pPr>
              <w:pStyle w:val="TableContents"/>
              <w:spacing w:before="0" w:after="283"/>
              <w:jc w:val="left"/>
              <w:rPr/>
            </w:pPr>
            <w:r>
              <w:rPr/>
              <w:t xml:space="preserve">  </w:t>
            </w:r>
          </w:p>
        </w:tc>
      </w:tr>
      <w:tr>
        <w:trPr/>
        <w:tc>
          <w:tcPr>
            <w:tcW w:w="8115"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rPr/>
            </w:pPr>
            <w:r>
              <w:rPr/>
              <w:t xml:space="preserve">  </w:t>
            </w:r>
          </w:p>
        </w:tc>
        <w:tc>
          <w:tcPr>
            <w:tcW w:w="16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7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7"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Subject to the terms of a purchase agreement dated June 20, 2007, the purchasers have agreed to purchase, and we have agreed to sell to the purchasers, 6,296,172 common units at a price of $59.56 per unit. We determined the per unit price through negotiations with the purchasers.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purchasers have agreed not to offer, sell, contract to sell, pledge or otherwise dispose of (or enter into any transaction which is designed to, or might reasonably be expected to, result in the disposition (whether by actual disposition or effective economic disposition due to cash settlement or otherwise)), directly or indirectly, including the filing (or participation in the filing) of a registration statement with the Securities and Exchange Commission (the SEC) in respect of, or establish or increase a put equivalent position or liquidate or decrease a call equivalent position within the meaning of Section 16 of the Securities Exchange Act of 1934, as amended, with respect to the purchased common units for a period of 90 days after the closing date of this transaction without our prior written consent; </w:t>
      </w:r>
      <w:r>
        <w:rPr>
          <w:rFonts w:ascii="Times New Roman;Times" w:hAnsi="Times New Roman;Times"/>
          <w:i/>
          <w:color w:val="000000"/>
          <w:sz w:val="17"/>
          <w:highlight w:val="white"/>
        </w:rPr>
        <w:t>however</w:t>
      </w:r>
      <w:r>
        <w:rPr>
          <w:rFonts w:ascii="Times New Roman;Times" w:hAnsi="Times New Roman;Times"/>
          <w:color w:val="000000"/>
          <w:sz w:val="17"/>
          <w:highlight w:val="white"/>
        </w:rPr>
        <w:t xml:space="preserve">, a purchaser may enter into a total return swap or similar transaction as long as the swap counterparty agrees to be bound by the terms of the lock-up.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expect to deliver the units through the book entry facilities of The Depository Trust Company against payment of the aggregate purchase price for the units purchased on or about June 25, 2007; </w:t>
      </w:r>
      <w:r>
        <w:rPr>
          <w:rFonts w:ascii="Times New Roman;Times" w:hAnsi="Times New Roman;Times"/>
          <w:i/>
          <w:color w:val="000000"/>
          <w:sz w:val="17"/>
          <w:highlight w:val="white"/>
        </w:rPr>
        <w:t xml:space="preserve">provided, however, </w:t>
      </w:r>
      <w:r>
        <w:rPr>
          <w:rFonts w:ascii="Times New Roman;Times" w:hAnsi="Times New Roman;Times"/>
          <w:color w:val="000000"/>
          <w:sz w:val="17"/>
          <w:highlight w:val="white"/>
        </w:rPr>
        <w:t xml:space="preserve">that we and certain of the purchasers may agree to close the offering with respect to the common units being offered to such purchaser on a later date as mutually agreed upon by us and such purchaser in accordance with the purchase agreement.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8" w:name="106"/>
      <w:bookmarkEnd w:id="8"/>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WHERE YOU CAN FIND MORE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SEC allows us to incorporate by reference information we file with it. This procedure means that we can disclose important information to you by referring you to documents filed with the SEC. The information we incorporate by reference (excluding any information furnished and not filed with the SEC) is part of this prospectus supplement and later information that we file with the SEC (excluding any information furnished and not filed with the SEC) will automatically update and supersede this information. We incorporate by reference the documents listed below: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1"/>
        <w:gridCol w:w="9540"/>
      </w:tblGrid>
      <w:tr>
        <w:trPr/>
        <w:tc>
          <w:tcPr>
            <w:tcW w:w="40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Annual Report on Form 10-K for the year ended December 31, 2006;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Quarterly Report on Form 10-Q for the quarter ended March 31, 2007;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Exhibit 99.3 to the Current Report on Form 8-K filed with the Commission on November 21, 2006 (audited consolidated financial statements of Pacific Energy Partners, L.P. as of December 31, 2005 and 2004 and for each of the years in the three-year period ended December 31, 2005);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Commission on February 28, 2007 (LTIP grants to Named Executive Officers);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Commission on May 2, 2007 (audited consolidated balance sheet of Plains AAP, L.P. as of December 31, 2006);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Commission on June 19, 2007 (unaudited consolidated balance sheet of Plains AAP, L.P. as of March 31, 2007).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request a copy of these filings at no cost by making written or telephone requests for copies to: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Plains All American Pipeline, L.P.</w:t>
        <w:br/>
        <w:t>333 Clay Street, Suite 1600</w:t>
        <w:br/>
        <w:t>Houston, Texas 77002</w:t>
        <w:br/>
        <w:t>Attention: Tim Moore</w:t>
        <w:br/>
        <w:t xml:space="preserve">Telephone: (713) 646-4100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Times New Roman;Times" w:hAnsi="Times New Roman;Times"/>
          <w:i/>
          <w:color w:val="000000"/>
          <w:sz w:val="17"/>
          <w:highlight w:val="white"/>
        </w:rPr>
        <w:t>www.sec.gov.</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should rely only on the information incorporated by reference or provided in this prospectus supplement and the accompanying base prospectus. We have not authorized anyone else to provide you with any information. You should not assume that the information incorporated by reference or provided in this prospectus supplement or the accompanying base prospectus is accurate as of any date other than its date.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9" w:name="107"/>
      <w:bookmarkEnd w:id="9"/>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FORWARD-LOOKING STATEMENTS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statements included or incorporated by reference in this prospectus or any prospectus supplement,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 absence of these words, however, does not mean that the statements are not forward 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6"/>
        <w:gridCol w:w="9537"/>
      </w:tblGrid>
      <w:tr>
        <w:trPr/>
        <w:tc>
          <w:tcPr>
            <w:tcW w:w="4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failure to realize the anticipated synergies and other benefits of the merger with Pacific Energy Partners, L.P.;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success of our risk management activities;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environmental liabilities or events that are not covered by an indemnity, insurance or existing reserves;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maintenance of our credit rating and ability to receive open credit from our suppliers and trade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abrupt or severe declines or interruptions in outer continental shelf production located offshore California and transported on our pipeline system;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failure to implement or capitalize on planned internal growth projects;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shortages or cost increases of power supplies, materials or labor;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availability of adequate third party production volumes for transportation and marketing in the areas in which we operate and other factors that could cause declines in volumes shipped on our pipelines by us and third party shippers;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fluctuations in refinery capacity in areas supplied by our mainlines and other factors affecting demand for various grades of crude oil, refined products and natural gas and resulting changes in pricing conditions or transmission throughput requirements;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availability of, and our ability to consummate, acquisition or combination opportunities;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our access to capital to fund additional acquisitions and our ability to obtain debt or equity financing on satisfactory terms;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successful integration and future performance of acquired assets or businesses and the risks associated with operating in lines of business that are distinct and separate from our historical operations;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unanticipated changes in crude oil market structure and volatility (or lack thereof);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impact of current and future laws, rulings and governmental regulations;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effects of competition;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continued creditworthiness of, and performance by, our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interruptions in service and fluctuations in tariffs or volumes on third-party pipelines;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increased costs or lack of availability of insurance;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fluctuations in the debt and equity markets, including the price of our units at the time of vesting under our long-term incentive plans;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currency exchange rate of the Canadian dollar;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weather interference with business operations or project construction;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risks related to the development and operation of natural gas storage facilities;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general economic, market or business conditions; and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6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other factors and uncertainties inherent in the transportation, storage, terminalling and marketing of crude oil, refined products and liquefied petroleum gas and other natural gas related petroleum products.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factors described herein or incorporated by reference, or factors that are unknown or unpredictable, could also have a material adverse effect on future results. Please read Risk Factors beginning on page S-1 of this prospectus supplement and in Item 1A. Risk Factors in our annual report on Form 10-K for the year ended December 31, 2006. Except as required by securities laws applicable to the documents incorporated by reference, we do not intend to update these forward-looking statements and information. </w:t>
      </w:r>
    </w:p>
    <w:p>
      <w:pPr>
        <w:pStyle w:val="TextBody"/>
        <w:spacing w:before="180" w:after="283"/>
        <w:rPr/>
      </w:pPr>
      <w:r>
        <w:rPr/>
        <w:t> </w:t>
      </w:r>
    </w:p>
    <w:p>
      <w:pPr>
        <w:pStyle w:val="TextBody"/>
        <w:spacing w:before="0" w:after="0"/>
        <w:jc w:val="center"/>
        <w:rPr>
          <w:rFonts w:ascii="Arial;Helvetica" w:hAnsi="Arial;Helvetica"/>
          <w:color w:val="000000"/>
          <w:sz w:val="17"/>
          <w:highlight w:val="white"/>
        </w:rPr>
      </w:pPr>
      <w:bookmarkStart w:id="10" w:name="108"/>
      <w:bookmarkEnd w:id="10"/>
      <w:r>
        <w:rPr>
          <w:rFonts w:ascii="Times New Roman;Times" w:hAnsi="Times New Roman;Times"/>
          <w:b/>
          <w:color w:val="000000"/>
          <w:sz w:val="17"/>
          <w:highlight w:val="white"/>
        </w:rPr>
        <w:t>EXPERTS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2006 have been so incorporated in reliance on the report of PricewaterhouseCoopers LLP, an independent registered public accounting firm, given on the authority of said firm as experts in auditing and accounting.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balance sheet of Plains AAP, L.P. incorporated in this prospectus supplement by reference to Plains All American Pipeline, L.P.s Current Report on Form 8-K filed on May 2, 2007 has been so incorporated in reliance on the report of PricewaterhouseCoopers LLP, an independent registered public accounting firm, given on the authority of said firm as experts in auditing and accounting.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consolidated financial statements of Pacific Energy Partners, L.P. as of December 31, 2005 and 2004, and for each of the years in the three-year period ended December 31, 2005, have been incorporated by reference herein in reliance upon the report of KPMG LLP, an independent registered public accounting firm, and upon the authority of said firm as experts in accounting and auditing.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PROSPECTUS</w:t>
      </w:r>
      <w:r>
        <w:rPr>
          <w:rFonts w:ascii="Arial;Helvetica" w:hAnsi="Arial;Helvetica"/>
          <w:color w:val="000000"/>
          <w:sz w:val="17"/>
          <w:highlight w:val="white"/>
        </w:rPr>
        <w:t xml:space="preserve"> </w:t>
      </w:r>
    </w:p>
    <w:p>
      <w:pPr>
        <w:pStyle w:val="TextBody"/>
        <w:spacing w:before="360" w:after="283"/>
        <w:rPr/>
      </w:pPr>
      <w:r>
        <w:rPr/>
        <w:t> </w:t>
      </w:r>
    </w:p>
    <w:p>
      <w:pPr>
        <w:pStyle w:val="TextBody"/>
        <w:spacing w:before="0" w:after="0"/>
        <w:jc w:val="center"/>
        <w:rPr>
          <w:rFonts w:ascii="Arial;Helvetica" w:hAnsi="Arial;Helvetica"/>
          <w:color w:val="000000"/>
          <w:sz w:val="23"/>
          <w:highlight w:val="white"/>
        </w:rPr>
      </w:pPr>
      <w:r>
        <w:rPr>
          <w:rFonts w:ascii="Times New Roman;Times" w:hAnsi="Times New Roman;Times"/>
          <w:b/>
          <w:color w:val="000000"/>
          <w:sz w:val="23"/>
          <w:highlight w:val="white"/>
        </w:rPr>
        <w:t>$2,000,000,000</w:t>
      </w:r>
      <w:r>
        <w:rPr>
          <w:rFonts w:ascii="Arial;Helvetica" w:hAnsi="Arial;Helvetica"/>
          <w:color w:val="000000"/>
          <w:sz w:val="23"/>
          <w:highlight w:val="white"/>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40"/>
          <w:highlight w:val="white"/>
        </w:rPr>
        <w:t>Plains All American Pipeline, L.P.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40"/>
          <w:highlight w:val="white"/>
        </w:rPr>
        <w:t>PAA Finance Corp.</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Common Units</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Debt Securities</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from time to time offer the following securities under this prospectus: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common units representing limited partner interests in Plains All American Pipeline, L.P.;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debt securities of Plains All American Pipeline, L.P.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PAA Finance Corp. may act as co-issuer of the debt securities, and all other subsidiaries of Plains All American Pipeline, L.P., other than minor subsidiaries as such item is interpreted in securities regulations governing financial reporting for guarantors, may guarantee the debt securities.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common units are traded on the New York Stock Exchange under the symbol PAA.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time we sell securities we will provide a prospectus supplement that will contain specific information about the terms of that offering. The prospectus supplement may also add, update or change information contained in this prospectus. You should read this prospectus and any prospectus supplement carefully before you invest. You should also read the documents we have referred you to in the Where You Can Find More Information section of this prospectus for information on us and for our financial statements.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20"/>
          <w:highlight w:val="white"/>
        </w:rPr>
        <w:t>Limited partnerships are inherently different from corporations. You should consider each of the factors described under Risk Factors, which begin on page 5, in deciding whether or not to buy any of our securities.</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Neither the Securities and Exchange Commission nor any state securities commission has approved or disapproved of our securities or determined if this prospectus is truthful or complete. Any representation to the contrary is a criminal offense.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The date of this prospectus is July 22, 2005.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Table of Contents</w:t>
      </w:r>
      <w:r>
        <w:rPr>
          <w:rFonts w:ascii="Arial;Helvetica" w:hAnsi="Arial;Helvetica"/>
          <w:color w:val="000000"/>
          <w:sz w:val="17"/>
          <w:highlight w:val="white"/>
        </w:rPr>
        <w:t xml:space="preserve">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9604"/>
        <w:gridCol w:w="197"/>
        <w:gridCol w:w="98"/>
        <w:gridCol w:w="245"/>
        <w:gridCol w:w="61"/>
      </w:tblGrid>
      <w:tr>
        <w:trPr/>
        <w:tc>
          <w:tcPr>
            <w:tcW w:w="9604"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rPr/>
            </w:pPr>
            <w:r>
              <w:rPr/>
              <w:t> </w:t>
            </w:r>
          </w:p>
        </w:tc>
        <w:tc>
          <w:tcPr>
            <w:tcW w:w="61" w:type="dxa"/>
            <w:tcBorders/>
            <w:shd w:fill="FFFFFF" w:val="clear"/>
            <w:vAlign w:val="bottom"/>
          </w:tcPr>
          <w:p>
            <w:pPr>
              <w:pStyle w:val="TableContents"/>
              <w:spacing w:before="0" w:after="283"/>
              <w:rPr/>
            </w:pPr>
            <w:r>
              <w:rPr/>
              <w:t> </w:t>
            </w:r>
          </w:p>
        </w:tc>
      </w:tr>
      <w:tr>
        <w:trPr/>
        <w:tc>
          <w:tcPr>
            <w:tcW w:w="9604" w:type="dxa"/>
            <w:tcBorders/>
            <w:shd w:fill="FFFFFF" w:val="clear"/>
          </w:tcPr>
          <w:p>
            <w:pPr>
              <w:pStyle w:val="TableContents"/>
              <w:spacing w:before="0" w:after="0"/>
              <w:ind w:left="200" w:right="0" w:hanging="200"/>
              <w:jc w:val="left"/>
              <w:rPr>
                <w:sz w:val="17"/>
              </w:rPr>
            </w:pPr>
            <w:r>
              <w:rPr>
                <w:sz w:val="17"/>
              </w:rPr>
              <w:t xml:space="preserve">ABOUT THIS PROSPECTUS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i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WHERE YOU CAN FIND MORE INFORMATION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1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FORWARD-LOOKING STATEMENTS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2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WHO WE ARE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RISK FACTORS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5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USE OF PROCEEDS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13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RATIO OF EARNINGS TO FIXED CHARGES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13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DESCRIPTION OF OUR DEBT SECURITIES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13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DESCRIPTION OF OUR COMMON UNITS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21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CASH DISTRIBUTION POLICY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23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DESCRIPTION OF OUR PARTNERSHIP AGREEMENT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26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TAX CONSIDERATIONS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29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PLAN OF DISTRIBUTION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42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LEGAL MATTERS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43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EXPERTS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43 </w:t>
            </w:r>
          </w:p>
        </w:tc>
        <w:tc>
          <w:tcPr>
            <w:tcW w:w="61" w:type="dxa"/>
            <w:tcBorders/>
            <w:shd w:fill="FFFFFF" w:val="clear"/>
            <w:vAlign w:val="bottom"/>
          </w:tcPr>
          <w:p>
            <w:pPr>
              <w:pStyle w:val="TableContents"/>
              <w:spacing w:before="0" w:after="283"/>
              <w:rPr>
                <w:sz w:val="4"/>
                <w:szCs w:val="4"/>
              </w:rPr>
            </w:pPr>
            <w:r>
              <w:rPr>
                <w:sz w:val="4"/>
                <w:szCs w:val="4"/>
              </w:rPr>
            </w:r>
          </w:p>
        </w:tc>
      </w:tr>
    </w:tbl>
    <w:p>
      <w:pPr>
        <w:pStyle w:val="TextBody"/>
        <w:spacing w:before="360" w:after="283"/>
        <w:rPr/>
      </w:pPr>
      <w:bookmarkStart w:id="11" w:name="109"/>
      <w:bookmarkEnd w:id="11"/>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ABOUT THIS PROSPECTUS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prospectus is part of a registration statement on Form S-3 that we filed with the Securities and Exchange Commission, or SEC, using a shelf  registration process. Under this shelf process, we may offer from time to time up to $2,000,000,000 of our securities. Each time we offer securities, we will provide you with a prospectus supplement that will describe, among other things, the specific amounts and prices of the securities being offered and the terms of the offering, including, in the case of debt securities, the specific terms of the securities. The prospectus supplement may also add, update or change information contained in this prospectus. Therefore, before you invest in our securities, you should read this prospectus and any attached prospectus supplements.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this registration statement, the terms we, our, ours, and us refer to Plains All American Pipeline, L.P. and its subsidiaries, unless otherwise indicated or the context requires otherwise.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2" w:name="110"/>
      <w:bookmarkEnd w:id="12"/>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WHERE YOU CAN FIND MORE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Annual Report on Form 10-K for the year ended December 31, 2004;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Quarterly Report on Form 10-Q for the quarter ended March 31, 2005;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Current Reports on Forms 8-K filed on January 26, 2005; February 23, 2005; March 8, 2005; April 1, 2005; April 8, 2005; April 21, 2005; April 25, 2005; May 12, 2005; May 25, 2005; and May 31, 2005;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the description of our common units contained in our Form 8-A/A dated November 3, 1998.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request a copy of these filings at no cost by making written or telephone requests for copies to: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333 Clay Street, Suite 1600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Houston, Texas 77002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Attention: Tim Moore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Telephone: (713) 646-4100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Additionally, you may read and copy any materials that we have filed with the SEC at the SECs Public Reference Room at 450 Fifth Street, N.W.,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Times New Roman;Times" w:hAnsi="Times New Roman;Times"/>
          <w:i/>
          <w:color w:val="000000"/>
          <w:sz w:val="17"/>
          <w:highlight w:val="white"/>
        </w:rPr>
        <w:t>www.sec.gov.</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should rely only on the information incorporated by reference or provided in this prospectus or any prospectus supplement. We have not authorized anyone else to provide you with any information. You should not assume that the information incorporated by reference or provided in this prospectus or any prospectus supplement is accurate as of any date other than the date on the front of each document.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3" w:name="111"/>
      <w:bookmarkEnd w:id="13"/>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FORWARD-LOOKING STATEMENTS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statements, other than statements of historical fact, included or incorporated by reference in this prospectus or the accompanying prospectus supplement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6"/>
        <w:gridCol w:w="9537"/>
      </w:tblGrid>
      <w:tr>
        <w:trPr/>
        <w:tc>
          <w:tcPr>
            <w:tcW w:w="4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abrupt or severe production declines or production interruptions in outer continental shelf production located offshore California and transported on our pipeline system;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success of our risk management activities;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availability of, and our ability to consummate, acquisition or combination opportunities;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our access to capital to fund additional acquisitions and our ability to obtain debt or equity financing on satisfactory terms;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successful integration and future performance of acquired assets or businesses;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environmental liabilities or events that are not covered by an indemnity, insurance or existing reserves;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maintenance of our credit rating and ability to receive open credit from our suppliers and trade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declines in volumes shipped on the Basin Pipeline, Capline Pipeline and our other pipelines by third party shippers;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availability of adequate third party production volumes for transportation and marketing in the areas in which we operate;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successful third party drilling efforts in areas in which we operate pipelines or gather crude oil;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demand for various grades of crude oil and resulting changes in pricing conditions or transmission throughput requirements;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fluctuations in refinery capacity in areas supplied by our transmission lines;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effects of competition;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continued creditworthiness of, and performance by,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impact of crude oil price fluctuations;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impact of current and future laws, rulings and governmental regulations;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shortages or cost increases of power supplies, materials or labor;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weather interference with business operations or project construction;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currency exchange rate of the Canadian dollar;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fluctuations in the debt and equity markets, including the price of our units at the time of vesting under our Long-Term Incentive Plan; and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general economic, market or business conditions.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factors described herein or incorporated by reference, or factors that are unknown or unpredictable, could also have a material adverse effect on future results. Please read Risk Factors beginning on page 5 of this prospectus. Except as required by securities laws applicable to the documents incorporated by reference, we do not intend to update these forward-looking statements and information.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4" w:name="112"/>
      <w:bookmarkEnd w:id="1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WHO WE ARE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engaged in interstate and intrastate crude oil transportation, and crude oil gathering, marketing, terminalling and storage, as well as the marketing and storage of liquefied petroleum gas and natural gas related petroleum products. We refer to liquefied petroleum gas and natural gas related petroleum products collectively as LPG. We have an extensive network of pipeline transportation, storage and gathering assets in key oil producing basins and at major market hubs in the United States and Canada. Our operations can be categorized into two primary business activities: crude oil pipeline transportation operations and gathering, marketing, terminalling and storage operations.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principal business strategy is to efficiently and competitively provide services to our customers, while capitalizing on the regional crude oil supply and demand imbalances that exist in the United States and Canada by combining the strategic location and distinctive capabilities of our transportation and terminalling assets with our extensive marketing and distribution expertise to generate sustainable earnings and cash flow.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intend to execute our business strategy by: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increasing and optimizing throughput on our existing pipeline and gathering assets and realizing cost efficiencies through operational improvements;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utilizing our Cushing Terminal and our other assets to service the needs of refiners and to profit from merchant activities that take advantage of crude oil pricing and quality differentials;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utilizing assets we have recently acquired along the Gulf Coast and our Cushing Terminal to increase our presence in the importation of foreign crude through Gulf of Mexico receipt facilities to U.S. refiners;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selectively pursuing strategic and accretive acquisitions of crude oil transportation assets, including pipelines, gathering systems, terminalling and storage facilities and other assets that complement our existing asset base and distribution capabilities;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optimizing and expanding our Canadian operations and our presence in certain areas of the U.S. to take advantage of anticipated increases in the volume and qualities of crude oil produced in these areas as well as increased foreign crude import activities in the Gulf Coast area;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prudently and economically leveraging our asset base, knowledge base and skill sets to participate in energy businesses that are closely related to, or significantly intertwined with, the crude oil business.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a lesser degree, we also engage in a similar business strategy with respect to the wholesale marketing and storage of LPG, which we began as a result of an acquisition in mid-2001.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is a Delaware limited partnership. PAA Finance was incorporated under the laws of the State of Delaware in February 2001, is indirectly wholly owned by Plains All American Pipeline, and has no material assets or any liabilities other than as a co-issuer of debt securities. Its activities will be limited to co-issuing debt securities and engaging in other activities incidental thereto. Plains AAP, L.P., a Delaware limited partnership, serves as our general partner. Plains All American GP LLC is the general partner of Plains AAP, L.P. Our U.S. operations are conducted through, and our operating assets are owned by, Plains Marketing, L.P., a Delaware limited partnership, and Plains Pipeline, L.P., a Texas limited partnership. Our Canadian operations are conducted through, and our Canadian operating assets are owned by, Plains Marketing Canada, L.P., a Canadian limited partnership.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principal executive offices are located at 333 Clay Street, Suite 1600, Houston, Texas 77002, and our phone number is (713) 646-4100.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Recent Developments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Capital Expenditures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estimate that capital expenditures for expansion projects will be approximately $180 million during 2005, an $80 million increase over the estimate provided in our Annual Report on Form 10-K for the year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ended December 31, 2004. This increase results primarily from additional organic growth projects, including the recently announced construction of a St. James, Louisiana crude oil storage facility. We estimate the total project cost for the St. James facility will be approximately $70 million, of which approximately $21 million will be spent in 2005.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5" w:name="113"/>
      <w:bookmarkEnd w:id="15"/>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RISK FACTORS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You should carefully consider the following risk factors together with all of the other information included or incorporated by reference in this prospectus in evaluating an investment in Plains All American Pipeline. If any of the following risks were actually to occur, our business, financial condition or results of operations could be materially adversely affected. When we offer and sell any securities pursuant to a prospectus supplement, we may include additional risk factors relevant to such securities in the prospectus supplement.</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Risks Related to Our Business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level of our profitability is dependent upon an adequate supply of crude oil from fields located offshore and onshore California. Production from these offshore fields has experienced substantial production declines since 1995.</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significant portion of our segment profit is derived from pipeline transportation margins associated with the Santa Ynez and Point Arguello fields located offshore California. We expect that there will continue to be natural production declines from each of these fields as the underlying reservoirs are depleted. We estimate that a 5,000 barrel per day decline in volumes shipped from these fields would result in a decrease in annual pipeline segment profit of approximately $3.2 million. In addition, any significant production disruption from the Santa Ynez field due to production problems, transportation problems or other reasons could have a material adverse effect on our business.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trading policies cannot eliminate all price risks.  In addition, any non-compliance with our trading policies could result in significant financial losses.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Generally, it is our policy that we establish a margin for crude oil purchased by selling crude oil for physical delivery to third party users, such as independent refiners or major oil companies, or by entering into a future delivery obligation under futures contracts on the NYMEX and over the counter. Through these transactions, we seek to maintain a position that is substantially balanced between purchases, on the one hand, and sales or future delivery obligations, on the other hand. Our policy is generally not to acquire and hold crude oil, futures contracts or derivative products for the purpose of speculating on price changes. These policies and practices cannot, however, eliminate all price risks. For example, any event that disrupts our anticipated physical supply of crude oil could expose us to risk of loss resulting from price changes. Moreover, we are exposed to some risks that are not hedged, including certain basis risks and price risks on certain of our inventory, such as pipeline linefill, which must be maintained in order to transport crude oil on our pipelines. In addition, we engage in a controlled trading program for up to an aggregate of 500,000 barrels of crude oil. Although this activity is monitored independently by our risk management function, it exposes us to price risks within predefined limits and authorizations.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our trading operations involve the risk of non-compliance with our trading policies. For example, we discovered in November 1999 that our trading policy was violated by one of our former employees, which resulted in aggregate losses of approximately $181.0 million. We have taken steps within our organization to enhance our processes and procedures to detect future unauthorized trading. We cannot assure you, however, that these steps will detect and prevent all violations of our trading policies and procedures, particularly if deception or other intentional misconduct is involved.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If we do not make acquisitions on economically acceptable terms our future growth may be limited.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ability to grow is substantially dependent on our ability to make acquisitions that result in an increase in adjusted operating surplus per unit. If we are unable to make such accretive acquisitions either because (i) we are unable to identify attractive acquisition candidates or negotiate acceptable purchase contracts with them, (ii) we are unable to raise financing for such acquisitions on economically acceptable terms or (iii) we are outbid by competitors, our future growth will be limited.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particular, competition for midstream assets and businesses has intensified substantially and as a result such assets and businesses have become more costly. As a result, we may not be able to complete the number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or size of acquisitions that we have targeted internally or to continue to grow as quickly as we have historically.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acquisition strategy requires access to new capital. Tightened capital markets or other factors which increase our cost of capital could impair our ability to grow.</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business strategy is substantially dependent on acquiring additional assets or operations. We continuously consider and enter into discussions regarding potential acquisitions. These transactions can be effected quickly, may occur at any time and may be significant in size relative to our existing assets and operations. Any material acquisition will require access to capital. Any limitations on our access to capital or increase in the cost of that capital could significantly impair our ability to execute our acquisition strategy. Our ability to maintain our targeted credit profile, including maintaining our credit ratings, could impact our cost of capital as well as our ability to execute our acquisition strategy.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acquisition strategy involves risks that may adversely affect our business.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acquisition involves potential risks, including: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71"/>
        <w:gridCol w:w="9531"/>
      </w:tblGrid>
      <w:tr>
        <w:trPr/>
        <w:tc>
          <w:tcPr>
            <w:tcW w:w="4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performance from the acquired assets and businesses that is below the forecasts we used in evaluating the acquisition;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a significant increase in our indebtedness and working capital requirements;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the inability to timely and effectively integrate the operations of recently acquired businesses or assets;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the incurrence of substantial unforeseen environmental and other liabilities arising out of the acquired businesses or assets, including liabilities arising from the operation of the acquired businesses or assets prior to our acquisition;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customer or key employee loss from the acquired businesses; and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the diversion of managements attention from other business concerns.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of these factors could adversely affect our ability to achieve anticipated levels of cash flows from our acquisitions, realize other anticipated benefits and our ability to pay distributions or meet our debt service requirements.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nature of our assets and business could expose us to significant compliance costs and liabilities.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operations involving the storage, treatment, processing, and transportation of liquid hydrocarbons including crude oil are subject to stringent federal, state, and local laws and regulations governing the discharge of materials into the environment, and otherwise relating to protection of the environment, operational safety and related matters. Compliance with these laws and regulations increases our overall cost of business, including our capital costs to construct, maintain and upgrade equipment and facilities, or claims for damages to property or persons resulting from our operations. Failure to comply with these laws and regulations may result in the assessment of administrative, civil, and criminal penalties, the imposition of investigatory and remedial liabilities, the issuance of injunctions that may restrict or prohibit our operations, or claims of damages to property or persons resulting from our operations. The laws and regulations applicable to our operations are subject to change,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liability to private parties for personal injury or property damage.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profitability of our pipeline operations depends on the volume of crude oil shipped.</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Third party shippers generally do not have long term contractual commitments to ship crude oil on our pipelines. A decision by a shipper to substantially reduce or cease to ship volumes of crude oil on our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pipelines could cause a significant decline in our revenues. For example, we estimate that an average 20,000 barrel per day variance in the Basin Pipeline System within the current operating window, equivalent to an approximate 7% volume variance on that system, would change annualized segment profit by approximately $1.7 million. In addition, we estimate that an average 10,000 barrel per day variance on the Capline Pipeline System, equivalent to an approximate 7% volume variance on that system, would change annualized segment profit by approximately $1.5 million.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success of our business strategy to increase and optimize throughput on our pipeline and gathering assets is dependent upon our securing additional supplies of crude oil.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operating results are dependent upon securing additional supplies of crude oil from increased production by oil companies and aggressive lease gathering efforts. The ability of producers to increase production is dependent on the prevailing market price of oil, the exploration and production budgets of the major and independent oil companies, the depletion rate of existing reservoirs, the success of new wells drilled, environmental concerns, regulatory initiatives and other matters beyond our control. There can be no assurance that production of crude oil will rise to sufficient levels to cause an increase in the throughput on our pipeline and gathering assets.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operations are dependent upon demand for crude oil by refiners in the Midwest and on the Gulf Coast. Any decrease in this demand could adversely affect our business.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our transportation assets to satisfy their demand by deliveries through those assets, and any decrease in this demand could adversely affect our business.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face intense competition in our gathering, marketing, terminalling and storage activities.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competitors include other crude oil pipelines, the major integrated oil companies, their marketing affiliates, and independent gatherers, brokers and marketers of widely varying sizes, financial resources and experience. Some of these competitors have capital resources many times greater than ours and control greater supplies of crude oil. We estimate that a $0.01 variance in the average segment profit per barrel would have an approximate $2.5 million annual effect on segment profit.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profitability of our gathering and marketing activities is generally dependent on the volumes of crude oil we purchase and gather.</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maintain the volumes of crude oil we purchase, we must continue to contract for new supplies of crude oil to offset volumes lost because of natural declines in crude oil production from depleting wells or volumes lost to competitors. Replacement of lost volumes of crude oil is particularly difficult in an environment where production is low and competition to gather available production is intense. 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there are existing relationships between producers and other gatherers and purchasers of crude oil. We estimate that a 15,000 barrel per day decrease in barrels gathered by us would have an approximate $2.8 million per year negative impact on segment profit. This impact is based on a reasonable margin throughout various market conditions. Actual margins vary based on the location of the crude oil, the strength or weakness of the market and the grade or quality of crude oil.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Loss of credit rating or the ability to receive open credit could negatively affect our ability to capitalize on a volatile market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believe that, because of our strategic asset base and complementary business model, we will continue to benefit from swings in market prices and shifts in market structure during periods of volatility in the crude oil market. Our ability to capture that benefit, however, is subject to numerous risks and uncertainties, including our maintaining an attractive credit rating and continuing to receive open credit from our suppliers and trade counter-parties.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are exposed to the credit risk of our customers in the ordinary course of our gathering and marketing activities.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 can be no assurance that we have adequately assessed the credit worthiness of our existing or future counterparties or that there will not be an unanticipated deterioration in their credit worthiness, which could have an adverse impact on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other parties.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pipeline assets are subject to federal, state and provincial regulation.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domestic interstate common carrier pipelines are subject to regulation by the Federal Energy Regulatory Commission (FERC) under the Interstate Commerce Act. The Interstate Commerce Act requires that tariff rates for petroleum pipelines be just and reasonable and non-discriminatory. We are also subject to the Pipeline Safety Regulations of the U.S. Department of Transportation. Our intrastate pipeline transportation activities are subject to various state laws and regulations as well as orders of regulatory bodies.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Canadian pipeline assets are subject to regulation by the National Energy Board and by provincial agencies. With respect to a pipeline over which it has jurisdiction, each of these Canadian agencies has the power to determine the rates we are allowed to charge for transportation on such pipeline. The extent to which regulatory agencies can override existing transportation contracts has not been fully decided.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pipeline systems are dependent upon their interconnections with other crude oil pipelines to reach end markets.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Reduced throughput on these interconnecting pipelines as a result of testing, line repair, reduced operating pressures or other causes could result in reduced throughput on our pipeline systems that would adversely affect our profitability.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Fluctuations in demand can negatively affect our operating results.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Fluctuations in demand for crude oil, such as caused by refinery downtime or shutdown, can have a negative effect on our operating results. Specifically, reduced demand in an area serviced by our transmission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terms of our indebtedness may limit our ability to borrow additional funds or capitalize on business opportunities.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March 31, 2005, our total outstanding long-term debt was approximately $930 million. Various limitations in our indebtedness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Changes in currency exchange rates could adversely affect our operating results.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we conduct operations in Canada, we are exposed to currency fluctuations and exchange rate risks that may adversely affect our results of operations.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Cash distributions are not guaranteed and may fluctuate with our performance and the establishment of financial reserves.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distributions on the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Risks Inherent in an Investment in Plains All American Pipeline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Cost reimbursements due to our general partner may be substantial and will reduce our cash available for distribution to you.</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Prior to making any distribution on the common units, we will reimburse our general partner and its affiliates, including officers and directors of the general partner, for all expenses incurred on our behalf. The reimbursement of expenses and the payment of fees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 may not be able to remove our general partner even if you wish to do so.</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manages and operates Plains All American Pipeline. Unlike the holders of common stock in a corporation, you will have only limited voting rights on matters affecting our business. You will have no right to elect the general partner or the directors of the general partner on an annual or other continuing basis.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the following provisions of our partnership agreement may discourage a person or group from attempting to remove our general partner or otherwise change our management: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generally, if a person acquires 20% or more of any class of units then outstanding other than from our general partner or its affiliates, the units owned by such person cannot be voted on any matter;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limitations upon the ability of unitholders to call meetings or to acquire information about our operations, as well as other limitations upon the unitholders ability to influence the manner or direction of management.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a result of these provisions, the price at which the common units will trade may be lower because of the absence or reduction of a takeover premium in the trading price.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may issue additional common units without your approval, which would dilute your existing ownership interests.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may cause us to issue an unlimited number of common units, without your approval. We may also issue at any time an unlimited number of equity securities ranking junior or senior to the common units without your approval. The issuance of additional common units or other equity securities of equal or senior rank will have the following effects: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your proportionate ownership interest in Plains All American Pipeline will decrease;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amount of cash available for distribution on each unit may decrease;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1"/>
        <w:gridCol w:w="9541"/>
      </w:tblGrid>
      <w:tr>
        <w:trPr/>
        <w:tc>
          <w:tcPr>
            <w:tcW w:w="40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the relative voting strength of each previously outstanding unit may be diminished; and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the market price of the common units may decline.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general partner has a limited call right that may require you to sell your units at an undesirable time or price.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you may be required to sell your common units at a time when you may not desire to sell them or at a price that is less than the price you would like to receive. You may also incur a tax liability upon a sale of your common units.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 may not have limited liability if a court finds that unitholder actions constitute control of our business.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Delaware law, you could be held liable for our obligations to the same extent as a general partner if a court determined that the right of unitholders to remove our general partner or to take other action under our partnership agreement constituted participation in the control of our business.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generally has unlimited liability for our obligations, such as our debts and environmental liabilities, except for those contractual obligations that are expressly made without recourse to our general partner.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Section 17-607 of the Delaware Revised Uniform Limited Partnership Act provides that under some circumstances, a unitholder may be liable to us for the amount of a distribution for a period of three years from the date of the distribution.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Conflicts of interest could arise among our general partner and us or the unitholders.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These conflicts may include the following: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we do not have any employees and we rely solely on employees of the general partner or, in the case of Plains Marketing Canada, employees of PMC (Nova Scotia) Company;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under our partnership agreement, we reimburse the general partner for the costs of managing and for operating the partnership;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amount of cash expenditures, borrowings and reserves in any quarter may affect available cash to pay quarterly distributions to unitholders;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the result of arms length negotiations;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general partner would not breach our partnership agreement by exercising its call rights to purchase limited partnership interests or by assigning its call rights to one of its affiliates or to us.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Risks Related to the Debt Securities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have a holding company structure in which our subsidiaries conduct our operations and own our operating assets.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a holding company structure, and our subsidiaries conduct all of our operations and own all of our operating assets. We have no significant assets other than the ownership interests in our subsidiaries. As a result, our ability to make required payments on the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the credit facilities, we may be required to establish cash reserves for the future payment of principal and interest on the amounts outstanding under the credit facilities. If we are unable to obtain the funds necessary to pay the principal amount at maturity of the debt securities, or to repurchase the debt securities upon the occurrence of a change of control, we may be required to adopt one or more alternatives, such as a refinancing of the debt securities. We cannot assure you that we would be able to refinance the debt securities.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do not have the same flexibility as other types of organizations to accumulate cash, which may limit cash available to service the debt securities or to repay them at maturity.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3"/>
        <w:gridCol w:w="9526"/>
      </w:tblGrid>
      <w:tr>
        <w:trPr/>
        <w:tc>
          <w:tcPr>
            <w:tcW w:w="40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to provide for the proper conduct of our business and the businesses of our operating partnerships (including reserves for future capital expenditures and for our anticipated future credit needs),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to provide funds for distributions to our unitholders and the general partner for any one or more of the next four calendar quarters,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to comply with applicable law or any of our loan or other agreements.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Tax Risks to Common Unitholders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should read Tax Considerations for a more complete discussion of the following expected material federal income tax consequences of owning and disposing of common units.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IRS could treat us as a corporation for tax purposes, which would substantially reduce the cash available for distribution to you.</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anticipated after-tax benefit of an investment in the common units depends largely on our being treated as a partnership for federal income tax purposes. We have not requested, and do not plan to request, a ruling from the IRS on this or any other matter affecting us.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were classified as a corporation for federal income tax purposes, we would pay federal income tax on our income at the corporate tax rate, which is currently a maximum of 35%. Distributions to you would generally be taxed again to you as corporate distributions, and no income, gains, losses, deductions or credits would flow through to you. Because a tax would be imposed upon us as a corporation, the cash available for distribution to you would be substantially reduced. Treatment of us as a corporation would result in a material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reduction in the after-tax return to the unitholders, likely causing a substantial reduction in the value of the common units.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Current law may change so as to cause us to be taxed as a corporation for federal income tax purposes or otherwise subject us to entity-level taxation. In addition, because of widespread state budget deficits, several states are evaluating ways to subject partnerships to entity-level taxation through the imposition of state income, franchise or other forms of taxation. If any state were to impose a tax upon us as an entity, the cash available for distribution to you would be reduced. Our partnership agreement provides that, if a law is enacted or existing law is modified or interpreted in a manner that subjects us to taxation as a corporation or otherwise subjects us to entity-level taxation for federal, state or local income tax purposes, then the minimum quarterly distribution and the target distribution levels will be decreased to reflect that impact on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A successful IRS contest of the federal income tax positions we take may adversely impact the market for common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not requested a ruling from the IRS with respect to any matter affecting us. The IRS may adopt positions that differ from the conclusions of our counsel expressed in this registration statement or from the positions we take. It may be necessary to resort to administrative or court proceedings to sustain our counsels conclusions or the positions we take. A court may not concur with our counsels conclusions or the positions we take. Any contest with the IRS may materially and adversely impact the market for common units and the price at which they trade. In addition, the costs of any contest with the IRS, principally legal, accounting and related fees, will be borne by us and directly or indirectly by the unitholders and the general partner.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 may be required to pay taxes even if you do not receive any cash distributions.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will be required to pay federal income taxes and, in some cases, state and local income taxes on your share of our taxable income even if you do not receive any cash distributions from us. You may not receive cash distributions from us equal to your share of our taxable income or even equal to the actual tax liability that results from your share of our taxable income.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Tax gain or loss on disposition of common units could be different than expected.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sell your common units, you will recognize gain or loss equal to the difference between the amount realized and your tax basis in those common units. Prior distributions in excess of the total net taxable income you were allocated for a common unit, which decreased your tax basis in that common unit, will, in effect, become taxable income to you if the common unit is sold at a price greater than your tax basis in that common unit, even if the price you receive is less than your original cost. A substantial portion of the amount realized, whether or not representing gain, may be ordinary income to you. Should the IRS successfully contest some positions we take, you could recognize more gain on the sale of units than would be the case under those positions, without the benefit of decreased income in prior years. Also, if you sell your units, you may incur a tax liability in excess of the amount of cash you receive from the sale.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If you are a tax-exempt entity, a regulated investment company or an individual not residing in the United States, you may have adverse tax consequences from owning common units.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Investment in common units by tax-exempt entities, regulated investment companies or mutual funds and foreign persons raises issues unique to them. For example, virtually all of our income allocated to organizations exempt from federal income tax, including individual retirement accounts and other retirement plans, will be unrelated business taxable income and will be taxable to them. Recent legislation treats net income derived from the ownership of certain publicly traded partnerships (including us) as qualifying income to a regulated investment company. However, this legislation is only effective for taxable years beginning after October 22, 2004, the date of enactment. For taxable years beginning on or before the date of enactment, very little of our income will be qualifying income to a regulated investment company. Distributions to foreign persons will be reduced by withholding taxes at the highest effective U.S. federal income tax rate for individuals, and foreign persons will be required to file federal income tax returns and pay tax on their share of our taxable income.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treat a purchaser of units as having the same tax benefits without regard to the units purchased. The IRS may challenge this treatment, which could adversely affect the value of the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we cannot match transferors and transferees of common units, we have adopted depreciation and amortization positions that do not conform with all aspects of the Treasury regulations. A successful IRS challenge to those positions could adversely affect the amount of tax benefits available to you. It also could affect the timing of these tax benefits or the amount of gain from your sale of common units and could have a negative impact on the value of the common units or result in audit adjustments to your tax returns. Please read Tax Considerations  Uniformity of Units in this prospectus for further discussion of the effect of the depreciation and amortization positions we have adopted.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 will likely be subject to foreign, state and local taxes in jurisdictions where you do not live as a result of an investment in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federal income taxes, you will likely be subject to other taxes, including foreign taxes, state and local taxes, unincorporated business taxes and estate, inheritance or intangible taxes that are imposed by the various jurisdictions in which we do business or own property and in which you do not reside. We own property and conduct business in Canada and in most states in the United States. You may be required to file Canadian federal income tax returns and to pay Canadian federal and provincial income taxes and to file state and local income tax returns and pay state and local income taxes in many or all of the jurisdictions in which we do business or own property. Further, you may be subject to penalties for failure to comply with those requirements. It is your responsibility to file all federal, state, local and foreign tax returns. Our counsel has not rendered an opinion on the foreign, state or local tax consequences of an investment in the common units. </w:t>
      </w:r>
    </w:p>
    <w:p>
      <w:pPr>
        <w:pStyle w:val="TextBody"/>
        <w:spacing w:before="360" w:after="283"/>
        <w:rPr/>
      </w:pPr>
      <w:bookmarkStart w:id="16" w:name="114"/>
      <w:bookmarkEnd w:id="16"/>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USE OF PROCEEDS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 </w:t>
      </w:r>
    </w:p>
    <w:p>
      <w:pPr>
        <w:pStyle w:val="TextBody"/>
        <w:spacing w:before="360" w:after="283"/>
        <w:rPr/>
      </w:pPr>
      <w:bookmarkStart w:id="17" w:name="115"/>
      <w:bookmarkEnd w:id="17"/>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RATIO OF EARNINGS TO FIXED CHARGES</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153"/>
        <w:gridCol w:w="148"/>
        <w:gridCol w:w="305"/>
        <w:gridCol w:w="1407"/>
        <w:gridCol w:w="155"/>
        <w:gridCol w:w="194"/>
        <w:gridCol w:w="155"/>
        <w:gridCol w:w="500"/>
        <w:gridCol w:w="155"/>
        <w:gridCol w:w="194"/>
        <w:gridCol w:w="155"/>
        <w:gridCol w:w="499"/>
        <w:gridCol w:w="155"/>
        <w:gridCol w:w="194"/>
        <w:gridCol w:w="155"/>
        <w:gridCol w:w="500"/>
        <w:gridCol w:w="155"/>
        <w:gridCol w:w="194"/>
        <w:gridCol w:w="155"/>
        <w:gridCol w:w="500"/>
        <w:gridCol w:w="155"/>
        <w:gridCol w:w="193"/>
        <w:gridCol w:w="155"/>
        <w:gridCol w:w="500"/>
        <w:gridCol w:w="174"/>
      </w:tblGrid>
      <w:tr>
        <w:trPr/>
        <w:tc>
          <w:tcPr>
            <w:tcW w:w="3153"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jc w:val="right"/>
              <w:rPr/>
            </w:pPr>
            <w:r>
              <w:rPr/>
              <w:t> </w:t>
            </w:r>
          </w:p>
        </w:tc>
        <w:tc>
          <w:tcPr>
            <w:tcW w:w="1407"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pPr>
            <w:r>
              <w:rPr/>
              <w:t> </w:t>
            </w:r>
          </w:p>
        </w:tc>
        <w:tc>
          <w:tcPr>
            <w:tcW w:w="50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pPr>
            <w:r>
              <w:rPr/>
              <w:t> </w:t>
            </w:r>
          </w:p>
        </w:tc>
        <w:tc>
          <w:tcPr>
            <w:tcW w:w="499"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pPr>
            <w:r>
              <w:rPr/>
              <w:t> </w:t>
            </w:r>
          </w:p>
        </w:tc>
        <w:tc>
          <w:tcPr>
            <w:tcW w:w="50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pPr>
            <w:r>
              <w:rPr/>
              <w:t> </w:t>
            </w:r>
          </w:p>
        </w:tc>
        <w:tc>
          <w:tcPr>
            <w:tcW w:w="50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19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pPr>
            <w:r>
              <w:rPr/>
              <w:t> </w:t>
            </w:r>
          </w:p>
        </w:tc>
        <w:tc>
          <w:tcPr>
            <w:tcW w:w="500"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jc w:val="left"/>
              <w:rPr/>
            </w:pPr>
            <w:r>
              <w:rPr/>
              <w:t> </w:t>
            </w:r>
          </w:p>
        </w:tc>
      </w:tr>
      <w:tr>
        <w:trPr/>
        <w:tc>
          <w:tcPr>
            <w:tcW w:w="3153" w:type="dxa"/>
            <w:tcBorders/>
            <w:shd w:fill="FFFFFF" w:val="clear"/>
            <w:vAlign w:val="bottom"/>
          </w:tcPr>
          <w:p>
            <w:pPr>
              <w:pStyle w:val="TableContents"/>
              <w:spacing w:before="0" w:after="283"/>
              <w:jc w:val="center"/>
              <w:rPr/>
            </w:pP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1712" w:type="dxa"/>
            <w:gridSpan w:val="2"/>
            <w:tcBorders/>
            <w:shd w:fill="FFFFFF" w:val="clear"/>
            <w:vAlign w:val="bottom"/>
          </w:tcPr>
          <w:p>
            <w:pPr>
              <w:pStyle w:val="TableContents"/>
              <w:spacing w:before="0" w:after="283"/>
              <w:jc w:val="center"/>
              <w:rPr>
                <w:b/>
              </w:rPr>
            </w:pPr>
            <w:r>
              <w:rPr>
                <w:b/>
              </w:rPr>
              <w:t>Three Months</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4"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3"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74" w:type="dxa"/>
            <w:tcBorders/>
            <w:shd w:fill="FFFFFF" w:val="clear"/>
            <w:vAlign w:val="bottom"/>
          </w:tcPr>
          <w:p>
            <w:pPr>
              <w:pStyle w:val="TableContents"/>
              <w:spacing w:before="0" w:after="283"/>
              <w:jc w:val="center"/>
              <w:rPr/>
            </w:pPr>
            <w:r>
              <w:rPr/>
              <w:t xml:space="preserve">  </w:t>
            </w:r>
          </w:p>
        </w:tc>
      </w:tr>
      <w:tr>
        <w:trPr/>
        <w:tc>
          <w:tcPr>
            <w:tcW w:w="3153" w:type="dxa"/>
            <w:tcBorders/>
            <w:shd w:fill="FFFFFF" w:val="clear"/>
            <w:vAlign w:val="bottom"/>
          </w:tcPr>
          <w:p>
            <w:pPr>
              <w:pStyle w:val="TableContents"/>
              <w:spacing w:before="0" w:after="283"/>
              <w:jc w:val="center"/>
              <w:rPr/>
            </w:pP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1712" w:type="dxa"/>
            <w:gridSpan w:val="2"/>
            <w:tcBorders/>
            <w:shd w:fill="FFFFFF" w:val="clear"/>
            <w:vAlign w:val="bottom"/>
          </w:tcPr>
          <w:p>
            <w:pPr>
              <w:pStyle w:val="TableContents"/>
              <w:spacing w:before="0" w:after="283"/>
              <w:jc w:val="center"/>
              <w:rPr>
                <w:b/>
              </w:rPr>
            </w:pPr>
            <w:r>
              <w:rPr>
                <w:b/>
              </w:rPr>
              <w:t>Ended</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4"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3"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74" w:type="dxa"/>
            <w:tcBorders/>
            <w:shd w:fill="FFFFFF" w:val="clear"/>
            <w:vAlign w:val="bottom"/>
          </w:tcPr>
          <w:p>
            <w:pPr>
              <w:pStyle w:val="TableContents"/>
              <w:spacing w:before="0" w:after="283"/>
              <w:jc w:val="center"/>
              <w:rPr/>
            </w:pPr>
            <w:r>
              <w:rPr/>
              <w:t xml:space="preserve">  </w:t>
            </w:r>
          </w:p>
        </w:tc>
      </w:tr>
      <w:tr>
        <w:trPr/>
        <w:tc>
          <w:tcPr>
            <w:tcW w:w="3153" w:type="dxa"/>
            <w:tcBorders/>
            <w:shd w:fill="FFFFFF" w:val="clear"/>
            <w:vAlign w:val="bottom"/>
          </w:tcPr>
          <w:p>
            <w:pPr>
              <w:pStyle w:val="TableContents"/>
              <w:spacing w:before="0" w:after="283"/>
              <w:jc w:val="center"/>
              <w:rPr/>
            </w:pP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1712" w:type="dxa"/>
            <w:gridSpan w:val="2"/>
            <w:tcBorders/>
            <w:shd w:fill="FFFFFF" w:val="clear"/>
            <w:vAlign w:val="bottom"/>
          </w:tcPr>
          <w:p>
            <w:pPr>
              <w:pStyle w:val="TableContents"/>
              <w:spacing w:before="0" w:after="283"/>
              <w:jc w:val="center"/>
              <w:rPr>
                <w:b/>
              </w:rPr>
            </w:pPr>
            <w:r>
              <w:rPr>
                <w:b/>
              </w:rPr>
              <w:t>March 31,</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4669" w:type="dxa"/>
            <w:gridSpan w:val="18"/>
            <w:tcBorders>
              <w:bottom w:val="single" w:sz="2" w:space="0" w:color="000000"/>
            </w:tcBorders>
            <w:shd w:fill="FFFFFF" w:val="clear"/>
            <w:tcMar>
              <w:bottom w:w="28" w:type="dxa"/>
            </w:tcMar>
            <w:vAlign w:val="bottom"/>
          </w:tcPr>
          <w:p>
            <w:pPr>
              <w:pStyle w:val="TableContents"/>
              <w:spacing w:before="0" w:after="283"/>
              <w:jc w:val="center"/>
              <w:rPr/>
            </w:pPr>
            <w:r>
              <w:rPr>
                <w:b/>
              </w:rPr>
              <w:t>Year Ended December 31,</w:t>
            </w:r>
            <w:r>
              <w:rPr/>
              <w:t xml:space="preserve"> </w:t>
            </w:r>
          </w:p>
        </w:tc>
        <w:tc>
          <w:tcPr>
            <w:tcW w:w="174" w:type="dxa"/>
            <w:tcBorders/>
            <w:shd w:fill="FFFFFF" w:val="clear"/>
            <w:vAlign w:val="bottom"/>
          </w:tcPr>
          <w:p>
            <w:pPr>
              <w:pStyle w:val="TableContents"/>
              <w:spacing w:before="0" w:after="283"/>
              <w:jc w:val="center"/>
              <w:rPr/>
            </w:pPr>
            <w:r>
              <w:rPr/>
              <w:t xml:space="preserve">  </w:t>
            </w:r>
          </w:p>
        </w:tc>
      </w:tr>
      <w:tr>
        <w:trPr/>
        <w:tc>
          <w:tcPr>
            <w:tcW w:w="3153" w:type="dxa"/>
            <w:tcBorders/>
            <w:shd w:fill="FFFFFF" w:val="clear"/>
            <w:vAlign w:val="bottom"/>
          </w:tcPr>
          <w:p>
            <w:pPr>
              <w:pStyle w:val="TableContents"/>
              <w:spacing w:before="0" w:after="283"/>
              <w:jc w:val="center"/>
              <w:rPr/>
            </w:pP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171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2003</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2002</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2001</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3" w:type="dxa"/>
            <w:tcBorders/>
            <w:shd w:fill="FFFFFF" w:val="clear"/>
            <w:vAlign w:val="bottom"/>
          </w:tcPr>
          <w:p>
            <w:pPr>
              <w:pStyle w:val="TableContents"/>
              <w:spacing w:before="0" w:after="283"/>
              <w:jc w:val="center"/>
              <w:rPr/>
            </w:pPr>
            <w:r>
              <w:rPr/>
              <w:t xml:space="preserve">  </w:t>
            </w:r>
          </w:p>
        </w:tc>
        <w:tc>
          <w:tcPr>
            <w:tcW w:w="65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2000</w:t>
            </w:r>
            <w:r>
              <w:rPr/>
              <w:t xml:space="preserve"> </w:t>
            </w:r>
          </w:p>
        </w:tc>
        <w:tc>
          <w:tcPr>
            <w:tcW w:w="174" w:type="dxa"/>
            <w:tcBorders/>
            <w:shd w:fill="FFFFFF" w:val="clear"/>
            <w:vAlign w:val="bottom"/>
          </w:tcPr>
          <w:p>
            <w:pPr>
              <w:pStyle w:val="TableContents"/>
              <w:spacing w:before="0" w:after="283"/>
              <w:jc w:val="center"/>
              <w:rPr/>
            </w:pPr>
            <w:r>
              <w:rPr/>
              <w:t xml:space="preserve">  </w:t>
            </w:r>
          </w:p>
        </w:tc>
      </w:tr>
      <w:tr>
        <w:trPr/>
        <w:tc>
          <w:tcPr>
            <w:tcW w:w="3153" w:type="dxa"/>
            <w:tcBorders/>
            <w:shd w:fill="FFFFFF" w:val="clear"/>
            <w:vAlign w:val="center"/>
          </w:tcPr>
          <w:p>
            <w:pPr>
              <w:pStyle w:val="TableContents"/>
              <w:spacing w:before="0" w:after="283"/>
              <w:rPr/>
            </w:pPr>
            <w:r>
              <w:rPr/>
              <w:t xml:space="preserve">  </w:t>
            </w:r>
          </w:p>
        </w:tc>
        <w:tc>
          <w:tcPr>
            <w:tcW w:w="7052" w:type="dxa"/>
            <w:gridSpan w:val="24"/>
            <w:tcBorders/>
            <w:shd w:fill="FFFFFF" w:val="clear"/>
          </w:tcPr>
          <w:p>
            <w:pPr>
              <w:pStyle w:val="TableContents"/>
              <w:spacing w:before="0" w:after="283"/>
              <w:rPr>
                <w:sz w:val="4"/>
                <w:szCs w:val="4"/>
              </w:rPr>
            </w:pPr>
            <w:r>
              <w:rPr>
                <w:sz w:val="4"/>
                <w:szCs w:val="4"/>
              </w:rPr>
            </w:r>
          </w:p>
        </w:tc>
      </w:tr>
      <w:tr>
        <w:trPr/>
        <w:tc>
          <w:tcPr>
            <w:tcW w:w="3153" w:type="dxa"/>
            <w:tcBorders/>
            <w:shd w:fill="FFFFFF" w:val="clear"/>
            <w:vAlign w:val="bottom"/>
          </w:tcPr>
          <w:p>
            <w:pPr>
              <w:pStyle w:val="TableContents"/>
              <w:spacing w:before="0" w:after="0"/>
              <w:ind w:left="200" w:right="0" w:hanging="200"/>
              <w:jc w:val="left"/>
              <w:rPr>
                <w:sz w:val="17"/>
              </w:rPr>
            </w:pPr>
            <w:r>
              <w:rPr>
                <w:sz w:val="17"/>
              </w:rPr>
              <w:t xml:space="preserve">Ratio of Earnings to Fixed Charges </w:t>
            </w:r>
          </w:p>
        </w:tc>
        <w:tc>
          <w:tcPr>
            <w:tcW w:w="148" w:type="dxa"/>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jc w:val="left"/>
              <w:rPr/>
            </w:pPr>
            <w:r>
              <w:rPr/>
              <w:t xml:space="preserve">  </w:t>
            </w:r>
          </w:p>
        </w:tc>
        <w:tc>
          <w:tcPr>
            <w:tcW w:w="1407" w:type="dxa"/>
            <w:tcBorders/>
            <w:shd w:fill="FFFFFF" w:val="clear"/>
            <w:vAlign w:val="bottom"/>
          </w:tcPr>
          <w:p>
            <w:pPr>
              <w:pStyle w:val="TableContents"/>
              <w:spacing w:before="0" w:after="283"/>
              <w:jc w:val="right"/>
              <w:rPr/>
            </w:pPr>
            <w:r>
              <w:rPr/>
              <w:t xml:space="preserve">2.93 </w:t>
            </w:r>
          </w:p>
        </w:tc>
        <w:tc>
          <w:tcPr>
            <w:tcW w:w="155" w:type="dxa"/>
            <w:tcBorders/>
            <w:shd w:fill="FFFFFF" w:val="clear"/>
            <w:vAlign w:val="bottom"/>
          </w:tcPr>
          <w:p>
            <w:pPr>
              <w:pStyle w:val="TableContents"/>
              <w:spacing w:before="0" w:after="283"/>
              <w:jc w:val="left"/>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500" w:type="dxa"/>
            <w:tcBorders/>
            <w:shd w:fill="FFFFFF" w:val="clear"/>
            <w:vAlign w:val="bottom"/>
          </w:tcPr>
          <w:p>
            <w:pPr>
              <w:pStyle w:val="TableContents"/>
              <w:spacing w:before="0" w:after="283"/>
              <w:jc w:val="right"/>
              <w:rPr/>
            </w:pPr>
            <w:r>
              <w:rPr/>
              <w:t xml:space="preserve">3.46 </w:t>
            </w:r>
          </w:p>
        </w:tc>
        <w:tc>
          <w:tcPr>
            <w:tcW w:w="155" w:type="dxa"/>
            <w:tcBorders/>
            <w:shd w:fill="FFFFFF" w:val="clear"/>
            <w:vAlign w:val="bottom"/>
          </w:tcPr>
          <w:p>
            <w:pPr>
              <w:pStyle w:val="TableContents"/>
              <w:spacing w:before="0" w:after="283"/>
              <w:jc w:val="left"/>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499" w:type="dxa"/>
            <w:tcBorders/>
            <w:shd w:fill="FFFFFF" w:val="clear"/>
            <w:vAlign w:val="bottom"/>
          </w:tcPr>
          <w:p>
            <w:pPr>
              <w:pStyle w:val="TableContents"/>
              <w:spacing w:before="0" w:after="283"/>
              <w:jc w:val="right"/>
              <w:rPr/>
            </w:pPr>
            <w:r>
              <w:rPr/>
              <w:t xml:space="preserve">2.39 </w:t>
            </w:r>
          </w:p>
        </w:tc>
        <w:tc>
          <w:tcPr>
            <w:tcW w:w="155" w:type="dxa"/>
            <w:tcBorders/>
            <w:shd w:fill="FFFFFF" w:val="clear"/>
            <w:vAlign w:val="bottom"/>
          </w:tcPr>
          <w:p>
            <w:pPr>
              <w:pStyle w:val="TableContents"/>
              <w:spacing w:before="0" w:after="283"/>
              <w:jc w:val="left"/>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500" w:type="dxa"/>
            <w:tcBorders/>
            <w:shd w:fill="FFFFFF" w:val="clear"/>
            <w:vAlign w:val="bottom"/>
          </w:tcPr>
          <w:p>
            <w:pPr>
              <w:pStyle w:val="TableContents"/>
              <w:spacing w:before="0" w:after="283"/>
              <w:jc w:val="right"/>
              <w:rPr/>
            </w:pPr>
            <w:r>
              <w:rPr/>
              <w:t xml:space="preserve">2.77 </w:t>
            </w:r>
          </w:p>
        </w:tc>
        <w:tc>
          <w:tcPr>
            <w:tcW w:w="155" w:type="dxa"/>
            <w:tcBorders/>
            <w:shd w:fill="FFFFFF" w:val="clear"/>
            <w:vAlign w:val="bottom"/>
          </w:tcPr>
          <w:p>
            <w:pPr>
              <w:pStyle w:val="TableContents"/>
              <w:spacing w:before="0" w:after="283"/>
              <w:jc w:val="left"/>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500" w:type="dxa"/>
            <w:tcBorders/>
            <w:shd w:fill="FFFFFF" w:val="clear"/>
            <w:vAlign w:val="bottom"/>
          </w:tcPr>
          <w:p>
            <w:pPr>
              <w:pStyle w:val="TableContents"/>
              <w:spacing w:before="0" w:after="283"/>
              <w:jc w:val="right"/>
              <w:rPr/>
            </w:pPr>
            <w:r>
              <w:rPr/>
              <w:t xml:space="preserve">2.26 </w:t>
            </w:r>
          </w:p>
        </w:tc>
        <w:tc>
          <w:tcPr>
            <w:tcW w:w="155" w:type="dxa"/>
            <w:tcBorders/>
            <w:shd w:fill="FFFFFF" w:val="clear"/>
            <w:vAlign w:val="bottom"/>
          </w:tcPr>
          <w:p>
            <w:pPr>
              <w:pStyle w:val="TableContents"/>
              <w:spacing w:before="0" w:after="283"/>
              <w:jc w:val="left"/>
              <w:rPr/>
            </w:pPr>
            <w:r>
              <w:rPr/>
              <w:t xml:space="preserve">  </w:t>
            </w:r>
          </w:p>
        </w:tc>
        <w:tc>
          <w:tcPr>
            <w:tcW w:w="193"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500" w:type="dxa"/>
            <w:tcBorders/>
            <w:shd w:fill="FFFFFF" w:val="clear"/>
            <w:vAlign w:val="bottom"/>
          </w:tcPr>
          <w:p>
            <w:pPr>
              <w:pStyle w:val="TableContents"/>
              <w:spacing w:before="0" w:after="283"/>
              <w:jc w:val="right"/>
              <w:rPr/>
            </w:pPr>
            <w:r>
              <w:rPr/>
              <w:t xml:space="preserve">3.33 </w:t>
            </w:r>
          </w:p>
        </w:tc>
        <w:tc>
          <w:tcPr>
            <w:tcW w:w="174" w:type="dxa"/>
            <w:tcBorders/>
            <w:shd w:fill="FFFFFF" w:val="clear"/>
            <w:vAlign w:val="bottom"/>
          </w:tcPr>
          <w:p>
            <w:pPr>
              <w:pStyle w:val="TableContents"/>
              <w:spacing w:before="0" w:after="283"/>
              <w:jc w:val="left"/>
              <w:rPr/>
            </w:pPr>
            <w:r>
              <w:rPr/>
              <w:t xml:space="preserve">  </w:t>
            </w:r>
          </w:p>
        </w:tc>
      </w:tr>
      <w:tr>
        <w:trPr/>
        <w:tc>
          <w:tcPr>
            <w:tcW w:w="3153" w:type="dxa"/>
            <w:tcBorders/>
            <w:shd w:fill="FFFFFF" w:val="cle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0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0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9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193" w:type="dxa"/>
            <w:tcBorders/>
            <w:shd w:fill="FFFFFF" w:val="clear"/>
            <w:vAlign w:val="bottom"/>
          </w:tcPr>
          <w:p>
            <w:pPr>
              <w:pStyle w:val="TableContents"/>
              <w:spacing w:before="0" w:after="283"/>
              <w:rPr/>
            </w:pPr>
            <w:r>
              <w:rPr/>
              <w:t xml:space="preserve">  </w:t>
            </w:r>
          </w:p>
        </w:tc>
        <w:tc>
          <w:tcPr>
            <w:tcW w:w="15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r>
    </w:tbl>
    <w:p>
      <w:pPr>
        <w:pStyle w:val="TextBody"/>
        <w:spacing w:before="360" w:after="283"/>
        <w:rPr/>
      </w:pPr>
      <w:bookmarkStart w:id="18" w:name="116"/>
      <w:bookmarkEnd w:id="18"/>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DESCRIPTION OF OUR DEBT SECURITIES</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General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debt securities will be: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our direct general obligations;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either senior debt securities or subordinated debt securities;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issued under separate indentures (which may be existing indentures) among us and Wachovia Bank, N.A., as Trustee.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may issue debt securities in one or more series, and PAA Finance may be a co-issuer of one or more series of debt securities. PAA Finance was incorporated under the laws of the State of Delaware in February 2001, is indirectly wholly owned by Plains All American Pipeline, and has no material assets or any liabilities other than as a co-issuer of debt securities. Its activities will be limited to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Specific Terms of Each Series of Debt Securities in the Prospectus Supplement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6"/>
        <w:gridCol w:w="9535"/>
      </w:tblGrid>
      <w:tr>
        <w:trPr/>
        <w:tc>
          <w:tcPr>
            <w:tcW w:w="40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5"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whether PAA Finance will be a co-issuer of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guarantors of the debt securities, if any;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whether the debt securities are senior or subordinated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title of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total principal amount of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assets, if any, that are pledged as security for the payment of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whether we will issue the debt securities in individual certificates to each holder in registered form, or in the form of temporary or permanent global securities held by a depository on behalf of holders;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prices at which we will issue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portion of the principal amount that will be payable if the maturity of the debt securities is accelerated;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currency or currency unit in which the debt securities will be payable, if not U.S. dollars;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dates on which the principal of the debt securities will be payable;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interest rate that the debt securities will bear and the interest payment dates for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any conversion or exchange provisions;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any optional redemption provisions;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any sinking fund or other provisions that would obligate us to repurchase or otherwise redeem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any changes to or additional events of default or covenants;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any other terms of the debt securities.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Guarantees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all subsidiaries other than minor subsidiaries as such term is interpreted in securities regulation governing financial reporting for guarantors. The prospectus supplement will describe any limitation on the maximum amount of any particular guarantee and the conditions under which guarantees may be released.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Consolidation, Merger or Asset Sale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the remaining or acquiring entity must assume the issuers obligations under the indenture;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immediately after giving effect to the transaction, no Default or Event of Default (as defined under  Events of Default and Remedies below) may exist.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 Protection in the Event of a Change of Control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Modification of Indentures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supplemented or amended without the consent of each holder affected. Without the consent of each outstanding debt security affected, no modification of the indenture or waiver may: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reduce the principal amount of debt securities whose holders must consent to an amendment, supplement or waiver;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reduce the principal of or change the fixed maturity of any debt security;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reduce or waive the premium payable upon redemption or alter or waive the provisions with respect to the redemption of the debt securities (except as may be permitted in the case of a particular series of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reduce the rate of or change the time for payment of interest on any debt security;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except as otherwise permitted under the indenture, release any security that may have been granted with respect to the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make any debt security payable in currency other than that stated in the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in the case of any subordinated debt security, make any change in the subordination provisions that adversely affects the rights of any holder under those provisions;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make any change in the provisions of the indenture relating to waivers of past Defaults or the rights of holders of debt securities to receive payments of principal of or premium, if any, or interest on the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waive a redemption payment with respect to any debt security (except as may be permitted in the case of a particular series of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except as otherwise permitted in the indenture, release any guarantor from its obligations under its guarantee or the indenture or change any guarantee in any manner that would adversely affect the rights of holders;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make any change in the preceding amendment, supplement and waiver provisions (except to increase any percentage set forth therein).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supplement or amend an indenture without the consent of any holders of the debt securities in certain circumstances, including: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to establish the form of terms of any series of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to cure any ambiguity, defect or inconsistency;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to provide for uncertificated notes in addition to or in place of certified notes;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to provide for the assumption of an issuers or guarantors obligations to holders of debt securities in the case of a merger or consolidation or disposition of all or substantially all of such issuers or guarantors assets;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in the case of any subordinated debt security, to make any change in the subordination provisions that limits or terminates the benefits applicable to any holder of Senior Indebtedness of Plains All American Pipeline;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to add or release guarantors pursuant to the terms of the indenture;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to make any changes that would provide any additional rights or benefits to the holders of debt securities or that do not, taken as a whole, adversely affect the rights under the indenture of any holder of debt securities;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to comply with requirements of the SEC in order to effect or maintain the qualification of the Indenture under the Trust Indenture Act;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to evidence or provide for the acceptance of appointment under the indenture of a successor Trustee;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to add any additional Events of Default;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to secure the debt securities and/or the guarantees.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Events of Default and Remedies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Event of Default, when used in an indenture, will mean any of the following with respect to the debt securities of any series: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0"/>
        <w:gridCol w:w="265"/>
        <w:gridCol w:w="9540"/>
      </w:tblGrid>
      <w:tr>
        <w:trPr/>
        <w:tc>
          <w:tcPr>
            <w:tcW w:w="40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to pay when due the principal of or any premium on any debt security of that series;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to pay, within 60 days of the due date, interest on any debt security of that series;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to pay when due any sinking fund payment with respect to any debt securities of that series;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on the part of the issuers to comply with the covenant described under  Consolidation, Merger or Asset Sale;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to perform any other covenant in the indenture that continues for 30 days after written notice is given to the issuers;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certain events of bankruptcy, insolvency or reorganization of an issuer; or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any other Event of Default provided under the terms of the debt securities of that series.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 Limit on Amount of Debt Securities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indenture will not limit the amount of debt securities that we may issue, unless we indicate otherwise in a prospectus supplement. The indenture will allow us to issue debt securities of any series up to the aggregate principal amount that we authorize.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Registration of Notes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issue debt securities of a series only in registered form, without coupons, unless otherwise indicated in the prospectus supplement.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Minimum Denominations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the prospectus supplement states otherwise, the debt securities will be issued only in principal amounts of $1,000 each or integral multiples of $1,000.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 Personal Liability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the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Payment and Transfer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Exchange, Registration and Transfer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be required: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to 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to register the transfer of or exchange any debt security called for redemption or repurchase, except the unredeemed portion of any debt security we are redeeming or repurchasing in part.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Provisions Relating only to the Senior Debt Securities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Provisions Relating only to the Subordinated Debt Securities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Subordinated Debt Securities Subordinated to Senior Indebtedness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Payment Blockages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subordinated indenture will provide that no payment of principal, interest and any premium on the subordinated debt securities may be made in the event: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0"/>
        <w:gridCol w:w="9539"/>
      </w:tblGrid>
      <w:tr>
        <w:trPr/>
        <w:tc>
          <w:tcPr>
            <w:tcW w:w="40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we or our property is involved in any voluntary or involuntary liquidation or bankruptcy;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No Limitation on Amount of Senior Debt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subordinated indenture will not limit the amount of Senior Indebtedness that Plains All American Pipeline may incur, unless otherwise indicated in the prospectus supplement.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Book Entry, Delivery and Form</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Beneficial interests in global debt securities will be shown on, and transfers of global debt securities will be made only through, records maintained by DTC and its participants.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DTC is owned by a number of its Direct Participants and by the New York Stock Exchange, Inc., The American Stock Exchange, Inc. and the National Association of Securities Dealers, Inc.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Debt securities represented by a global debt security will be exchangeable for certificated debt securities with the same terms in authorized denominations only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6"/>
        <w:gridCol w:w="9521"/>
      </w:tblGrid>
      <w:tr>
        <w:trPr/>
        <w:tc>
          <w:tcPr>
            <w:tcW w:w="408"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6" w:type="dxa"/>
            <w:tcBorders/>
            <w:shd w:fill="FFFFFF" w:val="clear"/>
          </w:tcPr>
          <w:p>
            <w:pPr>
              <w:pStyle w:val="TableContents"/>
              <w:spacing w:before="0" w:after="283"/>
              <w:rPr/>
            </w:pPr>
            <w:r>
              <w:rPr/>
              <w:t xml:space="preserve">  </w:t>
            </w:r>
          </w:p>
        </w:tc>
        <w:tc>
          <w:tcPr>
            <w:tcW w:w="9521" w:type="dxa"/>
            <w:tcBorders/>
            <w:shd w:fill="FFFFFF" w:val="clear"/>
          </w:tcPr>
          <w:p>
            <w:pPr>
              <w:pStyle w:val="TableContents"/>
              <w:spacing w:before="0" w:after="283"/>
              <w:jc w:val="left"/>
              <w:rPr/>
            </w:pPr>
            <w:r>
              <w:rPr/>
              <w:t xml:space="preserve">DTC notifies us that it is unwilling or unable to continue as depositary or if DTC ceases to be a clearing agency registered under applicable law and in either event a successor depositary is not appointed by us within 90 days; or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6" w:type="dxa"/>
            <w:tcBorders/>
            <w:shd w:fill="FFFFFF" w:val="clear"/>
          </w:tcPr>
          <w:p>
            <w:pPr>
              <w:pStyle w:val="TableContents"/>
              <w:spacing w:before="0" w:after="283"/>
              <w:rPr/>
            </w:pPr>
            <w:r>
              <w:rPr/>
              <w:t xml:space="preserve">  </w:t>
            </w:r>
          </w:p>
        </w:tc>
        <w:tc>
          <w:tcPr>
            <w:tcW w:w="9521" w:type="dxa"/>
            <w:tcBorders/>
            <w:shd w:fill="FFFFFF" w:val="clear"/>
          </w:tcPr>
          <w:p>
            <w:pPr>
              <w:pStyle w:val="TableContents"/>
              <w:spacing w:before="0" w:after="283"/>
              <w:jc w:val="left"/>
              <w:rPr/>
            </w:pPr>
            <w:r>
              <w:rPr/>
              <w:t xml:space="preserve">we determine not to require all of the debt securities of a series to be represented by a global debt security.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Satisfaction and Discharge; Defeasance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indenture will be discharged and will cease to be of further effect as to all outstanding debt securities of any series issued thereunder, when: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either: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we have paid or caused to be paid all other sums payable by us under the indenture;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we have delivered an officers certificate and an opinion of counsel to the Trustee stating that all conditions precedent to satisfaction and discharge have been satisfied.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debt securities of a particular series will be subject to legal or covenant defeasance to the extent, and upon the terms and conditions, set forth in the prospectus supplement.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The Trustee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Wachovia Bank N.A. will be the initial Trustee under each indenture. We maintain a banking relation in the ordinary course of business with Wachovia Bank N.A. and some of its affiliates.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Limitations on Trustee if it is a Creditor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indenture will limit the right of the Trustee thereunder, in the event that it becomes a creditor of an issuer or guarantor, to obtain payment of claims in certain cases, or to realize on certain property received in respect of any such claim as security or otherwise.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Certificates and Opinions to be Furnished to Trustee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Governing Law</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indenture and all of the debt securities will be governed by the laws of the State of New York. </w:t>
      </w:r>
    </w:p>
    <w:p>
      <w:pPr>
        <w:pStyle w:val="TextBody"/>
        <w:spacing w:before="360" w:after="283"/>
        <w:rPr/>
      </w:pPr>
      <w:bookmarkStart w:id="19" w:name="117"/>
      <w:bookmarkEnd w:id="19"/>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DESCRIPTION OF OUR COMMON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outstanding common units are listed on the NYSE under the symbol PAA. Any additional common units we issue will also be listed on the NYSE.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transfer agent and registrar for our common units is American Stock Transfer &amp; Trust Company.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Meetings/Voting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holder of common units is entitled to one vote for each common unit on all matters submitted to a vote of the unitholders.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Status as Limited Partner or Assignee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Except as described below under  Limited Liability, the common units will be fully paid, and unitholders will not be required to make additional capital contributions to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Limited Liability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Reports and Records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limited partner can, for a purpose reasonably related to the limited partners interest as a limited partner, upon reasonable demand and at his own expense, have furnished to him: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 current list of the name and last known address of each partner;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 copy of our tax returns;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information as to the amount of cash and a description and statement of the agreed value of any other property or services, contributed or to be contributed by each partner and the date on which each became a partner;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copies of our partnership agreement, our certificate of limited partnership, amendments to either of them and powers of attorney which have been executed under our partnership agreement;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information regarding the status of our business and financial condition;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any other information regarding our affairs as is just and reasonable.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20" w:name="118"/>
      <w:bookmarkEnd w:id="20"/>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CASH DISTRIBUTION POLICY</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Distributions of Available Cash</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General.</w:t>
      </w:r>
      <w:r>
        <w:rPr>
          <w:rFonts w:ascii="Times New Roman;Times" w:hAnsi="Times New Roman;Times"/>
          <w:color w:val="000000"/>
          <w:sz w:val="17"/>
          <w:highlight w:val="white"/>
        </w:rPr>
        <w:t xml:space="preserve">  We will distribute to our unitholders, on a quarterly basis, all of our available cash in the manner described below.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Definition of Available Cash.</w:t>
      </w:r>
      <w:r>
        <w:rPr>
          <w:rFonts w:ascii="Times New Roman;Times" w:hAnsi="Times New Roman;Times"/>
          <w:color w:val="000000"/>
          <w:sz w:val="17"/>
          <w:highlight w:val="white"/>
        </w:rPr>
        <w:t xml:space="preserve">  Available cash generally means, for any quarter ending prior to liquidation, all cash on hand at the end of that quarter less the amount of cash reserves that are necessary or appropriate in the reasonable discretion of the general partner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provide for the proper conduct of our business;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comply with applicable law or any partnership debt instrument or other agreement;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provide funds for distributions to unitholders and the general partner in respect of any one or more of the next four quarters.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Operating Surplus and Capital Surplus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General.</w:t>
      </w:r>
      <w:r>
        <w:rPr>
          <w:rFonts w:ascii="Times New Roman;Times" w:hAnsi="Times New Roman;Times"/>
          <w:color w:val="000000"/>
          <w:sz w:val="17"/>
          <w:highlight w:val="white"/>
        </w:rPr>
        <w:t xml:space="preserve">  Cash distributions to our unitholders will be characterized as either operating surplus or capital surplus. We distribute available cash from operating surplus differently than available cash from capital surplus. See  Quarterly Distributions of Available Cash.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Definition of Operating Surplus.</w:t>
      </w:r>
      <w:r>
        <w:rPr>
          <w:rFonts w:ascii="Times New Roman;Times" w:hAnsi="Times New Roman;Times"/>
          <w:color w:val="000000"/>
          <w:sz w:val="17"/>
          <w:highlight w:val="white"/>
        </w:rPr>
        <w:t xml:space="preserve">  Operating surplus refers generally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our cash balances on the closing date of our initial public offering; plus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$25 million; plus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all of our cash receipts from operations, excluding cash that is capital surplus; less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Definition of Capital Surplus.</w:t>
      </w:r>
      <w:r>
        <w:rPr>
          <w:rFonts w:ascii="Times New Roman;Times" w:hAnsi="Times New Roman;Times"/>
          <w:color w:val="000000"/>
          <w:sz w:val="17"/>
          <w:highlight w:val="white"/>
        </w:rPr>
        <w:t xml:space="preserve">  Capital surplus will generally be generated only by: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borrowings other than working capital borrowings;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sales of debt and equity securities;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sales or other dispositions of assets for cash, other than inventory, accounts receivable and other assets in the ordinary course of business.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Incentive Distribution Rights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amounts of available cash from operating surplus distributed above the payments made under the minimum quarterly distribution, if any, and the related 2% distribution to the general partner.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Effect of Issuance of Additional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Quarterly Distributions of Available Cash</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Distributions From Operating Surplus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make distributions of available cash from operating surplus in the following manner: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4"/>
        <w:gridCol w:w="9537"/>
      </w:tblGrid>
      <w:tr>
        <w:trPr/>
        <w:tc>
          <w:tcPr>
            <w:tcW w:w="40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First, 98% to all unitholders, pro rata, and 2% to the general partner, until we distribute for each unit an amount equal to the minimum quarterly distribution for that quarter;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Thereafter, in the manner described in  Incentive Distributions below.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Incentive Distribution Rights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2"/>
        <w:gridCol w:w="9537"/>
      </w:tblGrid>
      <w:tr>
        <w:trPr/>
        <w:tc>
          <w:tcPr>
            <w:tcW w:w="40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First, 85% to all unitholders, pro rata, and 15% to the general partner, until each unitholder receives a total of $0.495 for that quarter for each outstanding unit (the first target distribution);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Second, 75% to all unitholders, pro rata, and 25% to the general partner, until each unitholder receives a total of $0.675 for that quarter for each outstanding unit (the second target distribution);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Thereafter, 50% to all unitholders, pro rata, and 50% to the general partner.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Distributions from Capital Surplus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How Distributions from Capital Surplus Will Be Made.</w:t>
      </w:r>
      <w:r>
        <w:rPr>
          <w:rFonts w:ascii="Times New Roman;Times" w:hAnsi="Times New Roman;Times"/>
          <w:color w:val="000000"/>
          <w:sz w:val="17"/>
          <w:highlight w:val="white"/>
        </w:rPr>
        <w:t xml:space="preserve">  We will make distributions of available cash from capital surplus in the following manner: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First, 98% to all unitholders, pro rata, and 2% to the general partner, until we distribute, for each common unit issued in this offering, available cash from capital surplus in an aggregate amount per common unit equal to the initial public offering price;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Thereafter, we will make all distributions of available cash from capital surplus as if they were from operating surplus.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Effect of a Distribution from Capital Surplus.</w:t>
      </w:r>
      <w:r>
        <w:rPr>
          <w:rFonts w:ascii="Times New Roman;Times" w:hAnsi="Times New Roman;Times"/>
          <w:color w:val="000000"/>
          <w:sz w:val="17"/>
          <w:highlight w:val="white"/>
        </w:rPr>
        <w:t xml:space="preserve">  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When Payback Occurs.</w:t>
      </w:r>
      <w:r>
        <w:rPr>
          <w:rFonts w:ascii="Times New Roman;Times" w:hAnsi="Times New Roman;Times"/>
          <w:color w:val="000000"/>
          <w:sz w:val="17"/>
          <w:highlight w:val="white"/>
        </w:rPr>
        <w:t xml:space="preserve">  When payback of the reduced initial unit price has occurred, i.e., when the unrecovered capital of the common units is zero, then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the minimum quarterly distribution and the target distribution levels will be reduced to zero for subsequent quarters;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all distributions of available cash will be treated as operating surplus;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the general partner will be entitled to receive 50% of distributions of available cash in its capacities as general partner and as holder of the incentive distribution rights.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Distributions of available cash from capital surplus will not reduce the minimum quarterly distribution or target distribution levels for the quarter in which they are distributed.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Adjustment to the Minimum Quarterly Distribution and Target Distribution Levels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How We Adjust the Minimum Quarterly Distribution and Target Distribution Levels.</w:t>
      </w:r>
      <w:r>
        <w:rPr>
          <w:rFonts w:ascii="Times New Roman;Times" w:hAnsi="Times New Roman;Times"/>
          <w:color w:val="000000"/>
          <w:sz w:val="17"/>
          <w:highlight w:val="white"/>
        </w:rPr>
        <w:t xml:space="preserve">  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9"/>
        <w:gridCol w:w="9529"/>
      </w:tblGrid>
      <w:tr>
        <w:trPr/>
        <w:tc>
          <w:tcPr>
            <w:tcW w:w="40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minimum quarterly distribution;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target distribution levels;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unrecovered capital; and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other amounts calculated on a per unit basis.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If We Became Subject to Taxation.</w:t>
      </w:r>
      <w:r>
        <w:rPr>
          <w:rFonts w:ascii="Times New Roman;Times" w:hAnsi="Times New Roman;Times"/>
          <w:color w:val="000000"/>
          <w:sz w:val="17"/>
          <w:highlight w:val="white"/>
        </w:rPr>
        <w:t xml:space="preserve">  If legislation is enacted or if existing law is modified or interpreted by the relevant governmental authority so that we 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68"/>
        <w:gridCol w:w="9529"/>
      </w:tblGrid>
      <w:tr>
        <w:trPr/>
        <w:tc>
          <w:tcPr>
            <w:tcW w:w="40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Distribution of Cash Upon Liquidation</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General.</w:t>
      </w:r>
      <w:r>
        <w:rPr>
          <w:rFonts w:ascii="Times New Roman;Times" w:hAnsi="Times New Roman;Times"/>
          <w:color w:val="000000"/>
          <w:sz w:val="17"/>
          <w:highlight w:val="white"/>
        </w:rPr>
        <w:t xml:space="preserve">  If we dissolve and liquidate, we will sell our assets or otherwise dispose of our assets and we will adjust the partners capital account balances to show any resulting gain or loss. We will first apply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Manner of Adjustment.</w:t>
      </w:r>
      <w:r>
        <w:rPr>
          <w:rFonts w:ascii="Times New Roman;Times" w:hAnsi="Times New Roman;Times"/>
          <w:color w:val="000000"/>
          <w:sz w:val="17"/>
          <w:highlight w:val="white"/>
        </w:rPr>
        <w:t xml:space="preserve">  If we liquidate, we would allocate any loss to the general partner and each unitholder as follows: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2"/>
        <w:gridCol w:w="9525"/>
      </w:tblGrid>
      <w:tr>
        <w:trPr/>
        <w:tc>
          <w:tcPr>
            <w:tcW w:w="40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First, 98% to the holders of common units who have positive balances in their capital accounts in proportion to those positive balances and 2% to the general partner, until the capital accounts of the common unitholders have been reduced to zero; and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Thereafter, 100% to the general partner.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Interim Adjustments to Capital Accounts.</w:t>
      </w:r>
      <w:r>
        <w:rPr>
          <w:rFonts w:ascii="Times New Roman;Times" w:hAnsi="Times New Roman;Times"/>
          <w:color w:val="000000"/>
          <w:sz w:val="17"/>
          <w:highlight w:val="white"/>
        </w:rPr>
        <w:t xml:space="preserve">  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spacing w:before="360" w:after="283"/>
        <w:rPr/>
      </w:pPr>
      <w:bookmarkStart w:id="21" w:name="119"/>
      <w:bookmarkEnd w:id="21"/>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DESCRIPTION OF OUR PARTNERSHIP AGREEMENT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is a summary of the material provisions of our partnership agreement. The following provisions of our partnership agreement are summarized elsewhere in this prospectus: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1"/>
        <w:gridCol w:w="270"/>
        <w:gridCol w:w="9534"/>
      </w:tblGrid>
      <w:tr>
        <w:trPr/>
        <w:tc>
          <w:tcPr>
            <w:tcW w:w="401"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distributions of our available cash are described under Cash Distribution Policy; </w:t>
            </w:r>
          </w:p>
        </w:tc>
      </w:tr>
      <w:tr>
        <w:trPr/>
        <w:tc>
          <w:tcPr>
            <w:tcW w:w="401" w:type="dxa"/>
            <w:tcBorders/>
            <w:shd w:fill="auto" w:val="clear"/>
            <w:vAlign w:val="center"/>
          </w:tcPr>
          <w:p>
            <w:pPr>
              <w:pStyle w:val="TableContents"/>
              <w:spacing w:before="0" w:after="283"/>
              <w:rPr/>
            </w:pPr>
            <w:r>
              <w:rPr/>
              <w:t> </w:t>
            </w:r>
          </w:p>
        </w:tc>
        <w:tc>
          <w:tcPr>
            <w:tcW w:w="9804" w:type="dxa"/>
            <w:gridSpan w:val="2"/>
            <w:tcBorders/>
            <w:shd w:fill="auto" w:val="clea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allocations of taxable income and other tax matters are described under Tax Considerations; and </w:t>
            </w:r>
          </w:p>
        </w:tc>
      </w:tr>
      <w:tr>
        <w:trPr/>
        <w:tc>
          <w:tcPr>
            <w:tcW w:w="401" w:type="dxa"/>
            <w:tcBorders/>
            <w:shd w:fill="auto" w:val="clear"/>
            <w:vAlign w:val="center"/>
          </w:tcPr>
          <w:p>
            <w:pPr>
              <w:pStyle w:val="TableContents"/>
              <w:spacing w:before="0" w:after="283"/>
              <w:rPr/>
            </w:pPr>
            <w:r>
              <w:rPr/>
              <w:t> </w:t>
            </w:r>
          </w:p>
        </w:tc>
        <w:tc>
          <w:tcPr>
            <w:tcW w:w="9804" w:type="dxa"/>
            <w:gridSpan w:val="2"/>
            <w:tcBorders/>
            <w:shd w:fill="auto" w:val="clea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rights of holders of common units are described under Description of Our Common Units.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Purpose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Power of Attorney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Reimbursements of Our General Partner</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Issuance of Additional Securities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Amendments to Our Partnership Agreement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Withdrawal or Removal of Our General Partner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our partnership agreement expressly permits the sale, in whole or in part, of the ownership of our general partner. Our general partner may also transfer, in whole or in part, the common units it owns.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Liquidation and Distribution of Proceeds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9"/>
        <w:gridCol w:w="9531"/>
      </w:tblGrid>
      <w:tr>
        <w:trPr/>
        <w:tc>
          <w:tcPr>
            <w:tcW w:w="40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first, towards the payment of all of our creditors and the creation of a reserve for contingent liabilities;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then, to all partners in accordance with the positive balance in the respective capital accounts.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Change of Management Provisions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partnership agreement contains the following specific provisions that are intended to discourage a person or group from attempting to remove our general partner or otherwise change management: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generally, if a person acquires 20% or more of any class of units then outstanding other than from our general partner or its affiliates, the units owned by such person cannot be voted on any matter;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provisions limiting the ability of unitholders to call meetings or to acquire information about our operations, as well as other provisions limiting the unitholders ability to influence the manner or direction of management.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Limited Call Right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Indemnification</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Registration Rights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spacing w:before="360" w:after="283"/>
        <w:rPr/>
      </w:pPr>
      <w:bookmarkStart w:id="22" w:name="120"/>
      <w:bookmarkEnd w:id="22"/>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TAX CONSIDERATIONS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section is a summary of the material tax considerations that may be relevant to prospective unitholders who are individual citizens or residents of the United States and, unless otherwise noted in the following discussion, expresses the opinion of Vinson &amp; Elkins L.L.P., counsel to the general partner and us, insofar as it relates to matters of United States federal income tax law and legal conclusions with respect to those matters.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section is based upon current provisions of the Internal Revenue Code, existing and proposed regulations and current administrative rulings and court decisions, all of which are subject to change. Later changes in these authorities may cause the tax consequences to vary substantially from the consequences described below.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 attempt has been made in the following discussion to comment on all federal income tax matters affecting us or our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recommend that each prospective unitholder consult, and depend on, his own tax advisor in analyzing the federal, state, local and foreign tax consequences particular to him of the ownership or disposition of common units.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statements as to matters of law and legal conclusions, but not as to factual matters, contained in this section, unless otherwise noted, are the opinion of counsel and are based on the accuracy of the factual representations made by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 ruling has been or will be requested from the IRS regarding any matter affecting us or prospective unitholders. An opinion of counsel represents only that counsels best legal judgment and does not bind the IRS or the courts. Accordingly, the opinions and statements made here may not be sustained by a court if contested by the IRS. Any contest of this sort with the IRS may materially and adversely impact the market for the common units and the prices at which common units trade. In addition, the costs of any contest with the IRS will be borne directly or indirectly by the unitholders and the general partner. Furthermore, the treatment of us, or an investment in us, may be significantly modified by future legislative or administrative changes or court decisions. Any modifications may or may not be retroactively applied.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the reasons described below, counsel has not rendered an opinion with respect to the following specific federal income tax issues: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the treatment of a unitholder whose common units are loaned to a short seller to cover a short sale of common units (please read  Tax Consequences of Unit Ownership  Treatment of Short Sales);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whether our monthly convention for allocating taxable income and losses is permitted by existing Treasury Regulations (please read  Disposition of Common Units  Allocations Between Transferors and Transferees); and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whether our method for depreciating Section 743 adjustments is sustainable (please read  Tax Consequences of Unit Ownership  Section 754 Election).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Partnership Status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unless the amount of cash distributed is in excess of the partners adjusted basis in his partnership interest.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 ruling has been or will be sought from the IRS and the IRS has made no determination as to our status or the status of the operating partnerships as partnerships for federal income tax purposes or whether our operations generate qualifying income under Section 7704 of the Code. Instead, we will rely on the opinion of counsel that, based upon the Internal Revenue Code, its regulations, published revenue rulings and court decisions and the representations described below, we and the operating partnerships will be classified as a partnership for federal income tax purposes.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rendering its opinion, counsel has relied on factual representations made by us and the general partner. The representations made by us and our general partner upon which counsel has relied are: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neither we nor the operating partnerships will elect to be treated as a corporation;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for each taxable year, more than 90% of our gross income will be income from sources that our counsel has opined or will opine is qualifying income within the meaning of Section 7704(d) of the Internal Revenue Code.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Section 7704 of the Internal Revenue Code provides that publicly-traded partnerships will, as a general rule, be taxed as corporations. However, an exception, referred to as the Qualifying Income Exception, exists with respect to publicly-traded partnerships of which 90% or more of the gross income for every taxable year consists of qualifying income. Qualifying income includes income and gains derived from the transportation and marketing of crude oil, natural gas and products thereof. Other types of qualifying income include interest (other than from a financial business), dividends, gains from the sale of real property and gains from the sale or other disposition of assets held for the production of income that otherwise constitutes qualifying income. We estimate that less than 3% of our current income is not qualifying income; however, this estimate could change from time to time. Based upon and subject to this estimate, the factual representations made by us and the general partner and a review of the applicable legal authorities, counsel is of the opinion that at least 90% of our current gross income constitutes qualifying income.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fail to meet the Qualifying Income Exception, other than a failure which is determined by the IRS to be inadvertent and that is cured within a reasonable time after discovery,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contribution and liquidation should be tax-free to unitholders and us so long as we, at that time, do not have liabilities in excess of the tax basis of our assets. Thereafter, we would be treated as a corporation for federal income tax purposes.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were taxable as a corporation in any taxable year, either as a result of a failure to meet the Qualifying Income Exception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has been reduced to zero. Accordingly, taxation as a corporation would result in a material reduction in a unitholders cash flow and after-tax return and thus would likely result in a substantial reduction of the value of the units.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discussion below is based on the conclusion that we will be classified as a partnership for federal income tax purposes.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Limited Partner Status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Unitholders who have become limited partners of Plains All American Pipeline will be treated as partners of Plains All American Pipeline for federal income tax purposes. Also: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1"/>
        <w:gridCol w:w="9528"/>
      </w:tblGrid>
      <w:tr>
        <w:trPr/>
        <w:tc>
          <w:tcPr>
            <w:tcW w:w="40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assignees who have executed and delivered transfer applications, and are awaiting admission as limited partners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unitholders whose common units are held in street name or by a nominee and who have the right to direct the nominee in the exercise of all substantive rights attendant to the ownership of their common units,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will be treated as partners of Plains All American Pipeline for federal income tax purposes. As there is no direct authority addressing assignees of common units who are entitled to execute and deliver transfer applications and become entitled to direct the exercise of attendant rights, but who fail to execute and deliver transfer applications, counsels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beneficial owner of common units whose units have been transferred to a short seller to complete a short sale would appear to lose his status as a partner with respect to those units for federal income tax purposes. Please read  Tax Consequences of Unit Ownership  Treatment of Short Sales.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Income, gain, deductions or losses would not appear to be reportable by a unitholder who is not a partner for federal income tax purposes, and any cash distributions received by a unitholder who is not a partner for federal income tax purposes would therefore be fully taxable as ordinary income. These holders should consult their own tax advisors with respect to their status as partners in Plains All American Pipeline for federal income tax purposes.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Tax Consequences of Unit Ownership</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Flow-through of Taxable Income.</w:t>
      </w:r>
      <w:r>
        <w:rPr>
          <w:rFonts w:ascii="Times New Roman;Times" w:hAnsi="Times New Roman;Times"/>
          <w:color w:val="000000"/>
          <w:sz w:val="17"/>
          <w:highlight w:val="white"/>
        </w:rPr>
        <w:t xml:space="preserve">  We will not pay any federal income tax. Instead, each unitholder will be required to report on his income tax return his share of our income, gains, losses and deductions without regard to whether corresponding cash distributions are received by that unitholder. Consequently, we may allocate income to a unitholder even if he has not received a cash distribution. Each unitholder will be required to include in income his share of our income, gains, losses and deductions for our taxable year ending with or within his taxable year.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Treatment of Distributions.</w:t>
      </w:r>
      <w:r>
        <w:rPr>
          <w:rFonts w:ascii="Times New Roman;Times" w:hAnsi="Times New Roman;Times"/>
          <w:color w:val="000000"/>
          <w:sz w:val="17"/>
          <w:highlight w:val="white"/>
        </w:rPr>
        <w:t xml:space="preserve">  Distributions by us to a unitholder generally will not be taxable to the unitholder for federal income tax purposes to the extent of his tax basis in his common units immediately before the distribution. Our cash distributions in excess of a unitholders tax basis generally will be considered to be gain from the sale or exchange of the common units, taxable in accordance with the rules described under  Disposition of Common Units below.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read  Limitations on Deductibility of Losses.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decrease in a unitholders percentage interest in us because of our issuance of additional common units will decrease his share of our nonrecourse liabilities, and thus will result in a corresponding deemed distribution of cash. A non-pro rata distribution of money or property may result in ordinary income to a unitholder, regardless of his tax basis in his common units, if the distribution reduces the unitholders share of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unrealized receivables, including depreciation recapture, and/or substantially appreciated inventory items, both as defined in Section 751 of the Internal Revenue Code, and collectively, Section 751 Assets. To that extent, he will be treated as having been distributed his proportionate share of the Section 751 Assets and having exchanged those assets with us in return for the non-pro rata portion of the actual distribution made to him. This latter deemed exchange will generally result in the unitholders realization of ordinary income. That income will equal the excess of (1) the non-pro rata portion of that distribution over (2) the unitholders tax basis for the share of Section 751 Assets deemed relinquished in the exchange.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Basis of Common Units.</w:t>
      </w:r>
      <w:r>
        <w:rPr>
          <w:rFonts w:ascii="Times New Roman;Times" w:hAnsi="Times New Roman;Times"/>
          <w:color w:val="000000"/>
          <w:sz w:val="17"/>
          <w:highlight w:val="white"/>
        </w:rPr>
        <w:t xml:space="preserve">  A unitholders initial tax basis for his common units will be the amount he paid for the common units plus his share of our 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limited partner will have no share of our debt which is recourse to the general partner, but will have a share, generally based on his share of profits, of our nonrecourse liabilities. Please read  Disposition of Common Units  Recognition of Gain or Loss.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Limitations on Deductibility of Losses.</w:t>
      </w:r>
      <w:r>
        <w:rPr>
          <w:rFonts w:ascii="Times New Roman;Times" w:hAnsi="Times New Roman;Times"/>
          <w:color w:val="000000"/>
          <w:sz w:val="17"/>
          <w:highlight w:val="white"/>
        </w:rPr>
        <w:t xml:space="preserve">  The deduction by a unitholder of his share of our losses will be limited to the tax basis in his units and, in the case of an individual unitholder or a corporate unitholder, if more than 50% of the value of its stock is owned directly or indirectly by five or fewer individuals or some tax-exempt organizations, to the amount for which the unitholder is considered to be at risk with respect to our activities, if that is less than his tax basis. A unitholder must recapture losses deducted in previous years to the extent that distributions cause his at risk amount to be less than zero at the end of any taxable year. Losses disallowed to a unitholder or recaptured as a result of these limitations will carry forward and will be allowable to the extent that his tax basis or at risk amount, whichever is the limiting factor, is subsequently increased. Upon the taxable disposition of a unit, any gain recognized by a unitholder can be offset by losses that were previously suspended by the at risk limitation but may not be offset by losses suspended by the basis limitation. Any excess loss above that gain previously suspended by the at risk or basis limitations will no longer utilizable.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general, a unitholder will be at risk to the extent of the tax basis of his units, excluding any portion of that basis attributable to his share of our nonrecourse liabilities, reduced by any amount of money he borrows to acquire or hold his units, if the lender of those borrowed funds owns an interest in us, is related to the unitholder or can look only to the units for repayment. A unitholders at risk amount will increase or decrease as the tax basis of the unitholders units increases or decreases, other than tax basis increases or decreases attributable to increases or decreases in his share of our nonrecourse liabilities.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passive loss limitations generally provide that individuals, estates, trusts and some closely-held corporations and personal service corporations can deduct losses from passive activities, which are generally activities in which the taxpayer does not materially participate, only to the extent of the taxpayers income from those passive activities. The passive loss limitations are applied separately with respect to each publicly-traded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activity loss rules are applied after other applicable limitations on deductions, including the at risk rules and the basis limitation.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unitholders share of our net income may be offset by any suspended passive losses, but it may not be offset by any other current or carryover losses from other passive activities, including those attributable to other publicly-traded partnerships.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Limitations on Interest Deductions.</w:t>
      </w:r>
      <w:r>
        <w:rPr>
          <w:rFonts w:ascii="Times New Roman;Times" w:hAnsi="Times New Roman;Times"/>
          <w:color w:val="000000"/>
          <w:sz w:val="17"/>
          <w:highlight w:val="white"/>
        </w:rPr>
        <w:t xml:space="preserve">  The deductibility of a non-corporate taxpayers investment interest expense is generally limited to the amount of that taxpayers net investment income. Investment interest expense includes: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interest on indebtedness properly allocable to property held for investment;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our interest expense attributed to portfolio income;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the portion of interest expense incurred to purchase or carry an interest in a passive activity to the extent attributable to portfolio income.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The IRS has indicated that net passive income from a publicly-traded partnership will be treated as investment income for purposes of the limitations on the deductibility of investment interest. In addition, the unitholders share of our portfolio income will be treated as investment income.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Entity-Level Collections.</w:t>
      </w:r>
      <w:r>
        <w:rPr>
          <w:rFonts w:ascii="Times New Roman;Times" w:hAnsi="Times New Roman;Times"/>
          <w:color w:val="000000"/>
          <w:sz w:val="17"/>
          <w:highlight w:val="white"/>
        </w:rPr>
        <w:t xml:space="preserve">  If we are required or elect under applicable law to pay any federal, state or local income tax on behalf of any unitholder or the 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Allocation of Income, Gain, Loss and Deduction.</w:t>
      </w:r>
      <w:r>
        <w:rPr>
          <w:rFonts w:ascii="Times New Roman;Times" w:hAnsi="Times New Roman;Times"/>
          <w:color w:val="000000"/>
          <w:sz w:val="17"/>
          <w:highlight w:val="white"/>
        </w:rPr>
        <w:t xml:space="preserve">  In general, if we have a net profit, our items of income, gain, loss and deduction will be allocated among the general partner and the unitholders in accordance with their percentage interests in us. At any time that incentive distributions are made to the general partner, gross income will be allocated to the recipients to the extent of these distributions. If we have a net loss for the entire year, that loss will be allocated first to the general partner and the unitholders in accordance with their percentage interests in us to the extent of their positive capital accounts and, second, to the general partner.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Specified items of our income, gain, loss and deduction will be allocated to account for the difference between the tax basis and fair market value of property contributed to us by the general partner, referred to in this discussion as Contributed Property, and to account for the difference between the fair market value of our assets and their carrying value on our books at the time of an offering. The effect of these allocations to a unitholder purchasing common units in an offering will be essentially the same as if the tax basis of our assets were equal to their fair market value at the time of the offering.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to eliminate the negative balance as quickly as possible.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only if the allocation has substantial economic effect. In any other case, a partners share of an item will be determined on the basis of the partners interest in us, which will be determined by taking into account all the facts and circumstances, including the partners relative contributions to us, the interests of all the partners in profits and losses, the interest of all the partners in cash flow and other nonliquidating distributions and rights of the partners to distributions of capital upon liquidation.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Counsel is of the opinion that, with the exception of the issues described in  Tax Consequences of Unit Ownership  Section 754 Election and  Disposition of Common Units  Allocations Between Transferors and Transferees, respectively, allocations under our partnership agreement will be given effect for federal income tax purposes in determining a partners share of an item of income, gain, loss or deduction.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Treatment of Short Sales.</w:t>
      </w:r>
      <w:r>
        <w:rPr>
          <w:rFonts w:ascii="Times New Roman;Times" w:hAnsi="Times New Roman;Times"/>
          <w:color w:val="000000"/>
          <w:sz w:val="17"/>
          <w:highlight w:val="white"/>
        </w:rPr>
        <w:t xml:space="preserve">  A unitholder whose units are loaned to a short seller to cover a short sale of units may be considered as having disposed of those units. If so, he would no longer be a partner with respect to those units during the period of the loan and may recognize gain or loss from the disposition. As a result, during this period: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any of our income, gain, loss or deduction with respect to those units would not be reportable by the unitholder;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any cash distributions received by the unitholder for those units would be fully taxable;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all of these distributions would appear to be ordinary income.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Counsel has not rendered an opinion regarding the treatment of a unitholder where common units are loaned to a short seller to cover a short sale of common units; therefore, unitholders desiring to ensure their status as partners and avoid the risk of gain recognition from a loan to a short seller should modify any applicable brokerage account agreements to prohibit their brokers from borrowing their units. The IRS has announced that it is actively studying issues relating to the tax treatment of short sales of partnership interests. Please read  Disposition of Common Units  Recognition of Gain or Loss.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Alternative Minimum Tax.</w:t>
      </w:r>
      <w:r>
        <w:rPr>
          <w:rFonts w:ascii="Times New Roman;Times" w:hAnsi="Times New Roman;Times"/>
          <w:color w:val="000000"/>
          <w:sz w:val="17"/>
          <w:highlight w:val="white"/>
        </w:rPr>
        <w:t xml:space="preserve">  Although it is not expected that we will generate significant tax preference items or adjustments, each unitholder will be required to take into account his distributive share of any items of our income, 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should consult with their tax advisors as to the impact of an investment in units on their liability for the alternative minimum tax.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Tax Rates.</w:t>
      </w:r>
      <w:r>
        <w:rPr>
          <w:rFonts w:ascii="Times New Roman;Times" w:hAnsi="Times New Roman;Times"/>
          <w:color w:val="000000"/>
          <w:sz w:val="17"/>
          <w:highlight w:val="white"/>
        </w:rPr>
        <w:t xml:space="preserve">  In general the highest effective United States federal income tax rate for individuals currently is 35% and the maximum United States federal income tax rate for net capital gains of an individual currently is 15% if the asset disposed of was held for more than 12 months at the time of disposition.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Section 754 Election.</w:t>
      </w:r>
      <w:r>
        <w:rPr>
          <w:rFonts w:ascii="Times New Roman;Times" w:hAnsi="Times New Roman;Times"/>
          <w:color w:val="000000"/>
          <w:sz w:val="17"/>
          <w:highlight w:val="white"/>
        </w:rPr>
        <w:t xml:space="preserve">  We have made the election permitted by Section 754 of the Internal Revenue Code. That election is irrevocable without the consent 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partners. For purposes of this discussion, a partners inside basis in our assets will be considered to have two components: (1) his share of our tax basis in our assets (common basis) and (2) his Section 743(b) adjustment to that basis.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Treasury regulations under Section 743 of the Internal Revenue Code require, if the remedial allocation method is adopted (which we have adopted), a portion of the Section 743(b) adjustment attributable to recovery property to be depreciated over the remaining cost recovery period for the Section 704(c) built-in gain. Under Treasury Regulation Section 1.167(c)-l(a)(6),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Under our partnership agreement, the general partner is authorized to take a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position to preserve the uniformity of units even if that position is not consistent with these Treasury Regulations. Please read  Tax Treatment of Operations and  Uniformity of Units.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counsel is unable to opine as to the validity of this approach because there is no clear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the property, or treat that portion as non-amortizable to the extent attributable to property the common basis of which is not amortizable. This method is consistent with the regulations under Section 743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read Uniformity of Units.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and depletion deductions and a smaller share of any gain or loss on a sale of our assets.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calculations involved in the Section 754 election are complex and will be made on the basis of assumptions as to the value of our assets and other matters. The determinations we make may be successfully challenged by the IRS and the deductions resulting from them may be reduced or disallowed altogether.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amortizable over a longer period of time or under a less accelerated method than our tangible assets.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Tax Treatment of Operations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Accounting Method and Taxable Year.</w:t>
      </w:r>
      <w:r>
        <w:rPr>
          <w:rFonts w:ascii="Times New Roman;Times" w:hAnsi="Times New Roman;Times"/>
          <w:color w:val="000000"/>
          <w:sz w:val="17"/>
          <w:highlight w:val="white"/>
        </w:rPr>
        <w:t xml:space="preserve">  We use the year ending December 31 as our taxable year and the accrual method of 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read  Disposition of Common Units  Allocations Between Transferors and Transferees.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Initial Tax Basis, Depreciation and Amortization.</w:t>
      </w:r>
      <w:r>
        <w:rPr>
          <w:rFonts w:ascii="Times New Roman;Times" w:hAnsi="Times New Roman;Times"/>
          <w:color w:val="000000"/>
          <w:sz w:val="17"/>
          <w:highlight w:val="white"/>
        </w:rPr>
        <w:t xml:space="preserve">  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this offering will be borne by partners holding interests in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us prior to this offering. Please read  Tax Consequences of Unit Ownership  Allocation of Income, Gain, Loss and Deduction.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the extent allowable, we may elect to use the depreciation and cost recovery methods that will result in the largest deductions being taken in the early years after assets are placed in service. We are not entitled to any amortization deductions with respect to any goodwill conveyed to us on formation. Property we subsequently acquire or construct may be depreciated using accelerated methods permitted by the Internal Revenue Code.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partner who has taken cost recovery or depreciation deductions with respect to property we own will likely be required to recapture some or all of those deductions as ordinary income upon a sale of his interest in us. Please read  Tax Consequences of Unit Ownership  Allocation of Income, Gain, Loss and Deduction and  Disposition of Common Units  Recognition of Gain or Loss.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costs incurred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Valuation and Tax Basis of Our Properties.</w:t>
      </w:r>
      <w:r>
        <w:rPr>
          <w:rFonts w:ascii="Times New Roman;Times" w:hAnsi="Times New Roman;Times"/>
          <w:color w:val="000000"/>
          <w:sz w:val="17"/>
          <w:highlight w:val="white"/>
        </w:rPr>
        <w:t xml:space="preserve">  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may incur interest and penalties with respect to those adjustments.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Disposition of Common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Recognition of Gain or Loss.</w:t>
      </w:r>
      <w:r>
        <w:rPr>
          <w:rFonts w:ascii="Times New Roman;Times" w:hAnsi="Times New Roman;Times"/>
          <w:color w:val="000000"/>
          <w:sz w:val="17"/>
          <w:highlight w:val="white"/>
        </w:rPr>
        <w:t xml:space="preserve">  Gain or loss will be recognized on a sale of units equal to the difference between the amount realized and the unitholders tax basis for the units sold. A unitholders amount realized will be measured by the sum of the cash or the fair market value of other property received plus his share of our nonrecourse liabilities. Because the amount realized includes a unitholders share of our nonrecourse liabilities, the gain recognized on the sale of units could result in a tax liability in excess of any cash received from the sale.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is less than his original cost.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Except as noted below, gain or loss recognized by a unitholder, other than a dealer in units, on the sale or exchange of a unit held for more than one year will generally be taxable as capital gain or loss. Capital gain recognized by an individual on the sale of units held more than 12 months will generally be taxed a maximum rate of 15%. A portion of this gain or loss, which will likely be substantial, however,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income and a capital loss upon a sale of units. Capital losses may offset capital gains and no more than $3,000 of ordinary income in the case of individuals, and may only be used to offset capital gains in the case of corporations.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Although the ruling is unclear as to how the holding period of these interests is determined once they are combined, Treasury regulations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should consult his tax advisor as to the possible consequences of this ruling and application of the regulations.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9"/>
        <w:gridCol w:w="9529"/>
      </w:tblGrid>
      <w:tr>
        <w:trPr/>
        <w:tc>
          <w:tcPr>
            <w:tcW w:w="40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a short sale;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a futures or forward contract with respect to the partnership interest or substantially identical property.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Treasury is also authorized to issue regulations that treat a taxpayer that enters into transactions or positions that have substantially the same effect as the preceding transactions as having constructively sold the financial position.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Allocations Between Transferors and Transferees.</w:t>
      </w:r>
      <w:r>
        <w:rPr>
          <w:rFonts w:ascii="Times New Roman;Times" w:hAnsi="Times New Roman;Times"/>
          <w:color w:val="000000"/>
          <w:sz w:val="17"/>
          <w:highlight w:val="white"/>
        </w:rPr>
        <w:t xml:space="preserve">  In general, our taxable income and losses will be determined annually, will be prorated on a monthly basis and will be subsequently apportioned among the unitholders in proportion to the number of units owned by each of them as of the opening of the NYSE on the first business day of the month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use of this method may not be permitted under existing Treasury regulations. Accordingly, counsel is unable to opine on the validity of this method of allocating income and deductions between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unitholders to conform to a method permitted under future Treasury Regulations.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Notification Requirements.</w:t>
      </w:r>
      <w:r>
        <w:rPr>
          <w:rFonts w:ascii="Times New Roman;Times" w:hAnsi="Times New Roman;Times"/>
          <w:color w:val="000000"/>
          <w:sz w:val="17"/>
          <w:highlight w:val="white"/>
        </w:rPr>
        <w:t xml:space="preserve">  A unitholder who sells or exchanges units, other than through a broker, generally is required to notify us in writing of that sale or exchange within 30 days after the sale or exchange (or, if earlier, January 15 of the year following the sale). A unitholder who acquires units generally is required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notify us in writing of that acquisition within 30 days of that purchase, unless a broker or nominee will satisfy such requirement. We are required to notify the IRS of any such transfers and to furnish specified information to the transferor and transferee. Failure to satisfy these reporting obligations may, in some cases, lead to the imposition of penalties.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Constructive Termination.</w:t>
      </w:r>
      <w:r>
        <w:rPr>
          <w:rFonts w:ascii="Times New Roman;Times" w:hAnsi="Times New Roman;Times"/>
          <w:color w:val="000000"/>
          <w:sz w:val="17"/>
          <w:highlight w:val="white"/>
        </w:rPr>
        <w:t xml:space="preserve">  We will be considered to have been terminated for tax purposes if there is a sale or exchange of 50% or more of the total interests in our capital and profits within a 12-month period. A constructive termination results in the closing of our taxable year for all unitholders. In the case of a unitholder reporting on a taxable year other than a fiscal year ending December 31, the closing of our taxable year may result in more than 12 months of our taxable income or loss being includable in his taxable income for the year of termination.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Uniformity of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read  Tax Consequences of Unit Ownership  Section 754 Election.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that property, or treat that portion as nonamortizable, to the extent attributable to property the common basis of which is not amortizable, consistent with the regulations under Section 743 even though that portion may be inconsistent with Treasury Regulation Section 1.167(c)-1(a)(6), which is not expected to directly apply to a material portion of our assets. Please read  Tax Consequences of Unit Ownership  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rate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read  Disposition of Common Units  Recognition of Gain or Loss.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Tax-Exempt Organizations and Other Investors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Ownership of units by employee benefit plans, other tax-exempt organizations, non-resident aliens, foreign corporations, other foreign persons and regulated investment companies raises issues unique to those investors and, as described below, may have substantially adverse tax consequences to them. Employee benefit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plans and most other organizations exempt from federal income tax, including individual retirement accounts and other retirement plans, are subject to federal income tax on unrelated business taxable income. Virtually all of our income allocated to a unitholder which is a tax-exempt organization will be unrelated business taxable income and will be taxable to the unitholder.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tax years beginning on or prior to October 22, 2004, a regulated investment company or mutual fund is required to derive 90% or more of its gross income from interest, dividends and gains from the sale of stocks or securities or foreign currency or specified related sources. It is not anticipated that any significant amount of our gross income will include that type of income. Recent legislation adds net income derived from the ownership of an interest in a qualified publicly traded partnership to the categories of qualified income for a regulated investment company. We expect that we will meet the definition of a qualified publicly traded partnership. However, this legislation is only effective for taxable years beginning after October 22, 2004.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income or gain. And, under rules applicable to publicly traded partnerships, we will withhold tax at the highest effective applicable rate from cash distributions made quarterly to foreign unitholders. Each foreign unitholder must obtain a taxpayer identification number from the IRS and submit that number to our transfer agent on a Form W-8 BEN or applicable substitute form in order to obtain credit for these withholding taxes.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because a foreign corporation that owns units will be treated as engaged in a United States trade or business, that corporation may be subject to United States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a ruling of the IRS, a foreign unitholder who sells or otherwise disposes of a unit will be subject to federal income tax on gain realized on the disposition of that unit to the extent that this gain is effectively connected with a United States trade or business of the foreign unitholder. Apart from the ruling, a foreign unitholder will not be taxed or subject to withholding upon the disposition of a unit if he has owned less than 5% in value of the units during the five-year period ending on the date of the disposition and if the units are regularly traded on an established securities market at the time of the disposition.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Administrative Matters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Information Returns and Audit Procedures.</w:t>
      </w:r>
      <w:r>
        <w:rPr>
          <w:rFonts w:ascii="Times New Roman;Times" w:hAnsi="Times New Roman;Times"/>
          <w:color w:val="000000"/>
          <w:sz w:val="17"/>
          <w:highlight w:val="white"/>
        </w:rPr>
        <w:t xml:space="preserve">  We intend to furnish to each unitholder, within 90 days after the close of each calendar 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the unitholders share of income, gain, loss and deduction. We cannot assure you that those positions will yield a result that conforms to the requirements of the Internal Revenue Code, regulations or administrative interpretations of the IRS. Neither we nor counsel can assure prospective unitholders that the IRS will not successfully contend in court that those positions are impermissible. Any challenge by the IRS could negatively affect the value of the units.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IRS may audit our federal income tax information returns. Adjustments resulting from an IRS audit may require each unitholder to adjust a prior years tax liability, and possibly may result in an audit of that unitholders own return. Any audit of a unitholders return could result in adjustments not related to our returns as well as those related to our returns.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The partnership agreement appoints the general partner as our Tax Matters Partner.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However, if we elect to be treated as a large partnership, a unitholder will not have the right to participate in settlement conferences with the IRS or to seek a refund.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unitholder must file a statement with the IRS identifying the treatment of any item on his federal income tax return that is not consistent with the treatment of the item on our return. Intentional or negligent disregard of the consistency requirement may subject a unitholder to substantial penalties. However, if we elect to be treated as a large partnership, the unitholders would be required to treat all partnership items in a manner consistent with our return.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Nominee Reporting.</w:t>
      </w:r>
      <w:r>
        <w:rPr>
          <w:rFonts w:ascii="Times New Roman;Times" w:hAnsi="Times New Roman;Times"/>
          <w:color w:val="000000"/>
          <w:sz w:val="17"/>
          <w:highlight w:val="white"/>
        </w:rPr>
        <w:t xml:space="preserve">  Persons who hold an interest in us as a nominee for another person are required to furnish to us: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4"/>
        <w:gridCol w:w="9537"/>
      </w:tblGrid>
      <w:tr>
        <w:trPr/>
        <w:tc>
          <w:tcPr>
            <w:tcW w:w="40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name, address and taxpayer identification number of the beneficial owner and the nominee;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whether the beneficial owner is a person that is not a United States person,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 foreign government, an international organization or any wholly owned agency or instrumentality of either of the foregoing, or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 tax-exempt entity;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amount and description of units held, acquired or transferred for the beneficial owner;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specific information including the dates of acquisitions and transfers, means of acquisitions and transfers, and acquisition cost for purchases, as well as the amount of net proceeds from sales.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Accuracy-related Penalties.</w:t>
      </w:r>
      <w:r>
        <w:rPr>
          <w:rFonts w:ascii="Times New Roman;Times" w:hAnsi="Times New Roman;Times"/>
          <w:color w:val="000000"/>
          <w:sz w:val="17"/>
          <w:highlight w:val="white"/>
        </w:rPr>
        <w:t xml:space="preserve">  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substantial understatement of income tax in any taxable year exists if the amount of the understatement exceeds the greater of 10% of the tax required to be shown on the return for the taxable year or $5,000.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amount of any understatement subject to penalty generally is reduced if any portion is attributable to a position adopted on the return: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66"/>
        <w:gridCol w:w="9531"/>
      </w:tblGrid>
      <w:tr>
        <w:trPr/>
        <w:tc>
          <w:tcPr>
            <w:tcW w:w="40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for which there is, or was, substantial authority, or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as to which there is a reasonable basis and the pertinent facts of that position are disclosed on the return.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to avoid liability for this penalty. More stringent rules apply to tax shelters, which we do not believe includes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substantial valuation misstatement exists if the value of any property, or the adjusted basis of any property, claimed on a tax return is 200% or more of the amount determined to be the correct amount of the valuation or adjusted basis. No penalty is imposed unless the portion of the underpayment attributable to a substantial valuation misstatement exceeds $5,000. If the valuation claimed on a return is 400% or more than the correct valuation, the penalty imposed increases to 40%.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Reportable Transactions.</w:t>
      </w:r>
      <w:r>
        <w:rPr>
          <w:rFonts w:ascii="Times New Roman;Times" w:hAnsi="Times New Roman;Times"/>
          <w:color w:val="000000"/>
          <w:sz w:val="17"/>
          <w:highlight w:val="white"/>
        </w:rPr>
        <w:t xml:space="preserve">  If we were to engage in a reportable transaction, we (and possibly you and others) would be required to make a detailed 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in excess of $2 million. Our participation in a reportable transaction could increase the likelihood that our federal income tax information return (and possibly your tax return) would be audited by the IRS. Please read  Information Returns and Audit Procedures above.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Moreover, if we were to participate in a reportable transaction with a significant purpose to avoid or evade tax, or in any listed transaction, you may be subject to the following provisions of the American Jobs Creation Act of 2004: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6"/>
        <w:gridCol w:w="262"/>
        <w:gridCol w:w="9547"/>
      </w:tblGrid>
      <w:tr>
        <w:trPr/>
        <w:tc>
          <w:tcPr>
            <w:tcW w:w="39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47" w:type="dxa"/>
            <w:tcBorders/>
            <w:shd w:fill="auto" w:val="clear"/>
            <w:vAlign w:val="cente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accuracy-related penalties with a broader scope, significantly narrower exceptions, and potentially greater amounts than described above at  Accuracy-related Penalties,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for those persons otherwise entitled to deduct interest on federal tax deficiencies, nondeductibility of interest on any resulting tax liability and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in the case of a listed transaction, an extended statute of limitations.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do not expect to engage in any reportable transactions.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State, Local and Other Tax Considerations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federal income taxes, you may be subject to other taxes, such as state and local and Canadian federal and provincial taxes, unincorporated business taxes, and estate, inheritance or intangible taxes that may be imposed by the various jurisdictions in which we do business or own property. Although an analysis of those various taxes is not presented herein, each prospective unitholder should consider their potential impact on his investment in us. We will own property or conduct business in Canada and in most states of the United States. A unitholder may be required to file Canadian federal income tax returns and to pay Canadian federal and provincial income taxes and to file state income tax returns and to pay taxes in various states and may be subject to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of the states may require us to withhold a percentage of income from amounts to be distributed to a unitholder who is not a resident of the state. Withholding, the amount of which may be greater or less than a particular unitholders income tax liability to the state, generally does not relieve the non-resident unitholder from the obligation to file an income tax return. Amounts withheld may be treated as if distributed to unitholders for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purposes of determining the amount distributed by us. Please read  Tax Consequences of Unit Ownership. We may also own additional property or do business in other states in the future.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Tax Consequences of Ownership of Debt Securities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description of the material federal income tax consequences of the acquisition, ownership and disposition of debt securities will be set forth in the prospectus supplement relating to the offering of debt securities.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It is the responsibility of each unitholder to investigate the legal and tax consequences, under the laws of pertinent states and localities, including the Canadian provinces and Canada, of his investment in us. Accordingly, each prospective unitholder should consult, and must depend upon, his own tax counsel or other advisor with regard to those matters. Further, it is the responsibility of each unitholder to file all Canadian, Canadian province, state and local, as well as federal tax returns that may be required of him. Counsel has not rendered an opinion on the Canadian federal, Canadian provincial, state or local tax consequences of an investment in us.</w:t>
      </w:r>
      <w:r>
        <w:rPr>
          <w:rFonts w:ascii="Times New Roman;Times" w:hAnsi="Times New Roman;Times"/>
          <w:color w:val="000000"/>
          <w:sz w:val="17"/>
          <w:highlight w:val="white"/>
        </w:rPr>
        <w:t xml:space="preserve"> </w:t>
      </w:r>
    </w:p>
    <w:p>
      <w:pPr>
        <w:pStyle w:val="TextBody"/>
        <w:spacing w:before="360" w:after="283"/>
        <w:rPr/>
      </w:pPr>
      <w:bookmarkStart w:id="23" w:name="121"/>
      <w:bookmarkEnd w:id="23"/>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PLAN OF DISTRIBUTION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this prospectus, we intend to offer our securities to the public: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1"/>
        <w:gridCol w:w="9541"/>
      </w:tblGrid>
      <w:tr>
        <w:trPr/>
        <w:tc>
          <w:tcPr>
            <w:tcW w:w="40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through one or more broker-dealers;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through underwriters; 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directly to investors.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fix a price or prices of our securities at: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2"/>
        <w:gridCol w:w="9525"/>
      </w:tblGrid>
      <w:tr>
        <w:trPr/>
        <w:tc>
          <w:tcPr>
            <w:tcW w:w="40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at market prices prevailing at the time of any sale under this registration statement;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prices related to market prices; or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negotiated prices.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change the price of the securities offered from time to time.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pay or allow distributors or sellers commissions that will not exceed those customary in the types of transactions involved. Broker-dealers may act as agent or may purchase securities as principal and thereafter resell the securities from time to time: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7"/>
        <w:gridCol w:w="9536"/>
      </w:tblGrid>
      <w:tr>
        <w:trPr/>
        <w:tc>
          <w:tcPr>
            <w:tcW w:w="402"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in or through one or more transactions (which may involve crosses and block transactions) or distributions;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on the New York Stock Exchange;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in the over-the-counter market; or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in private transactions.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securities may also engage in transactions with, or perform services for, us or our affiliates in the ordinary course of their businesses. We may indemnify underwriters, brokers, dealers and agents against specific liabilities, including liabilities under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the extent required, this prospectus may be amended or supplemented from time to time to describe a specific plan of distribution.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spacing w:before="360" w:after="283"/>
        <w:rPr/>
      </w:pPr>
      <w:bookmarkStart w:id="24" w:name="122"/>
      <w:bookmarkEnd w:id="2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LEGAL MATTERS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Vinson &amp; Elkins L.L.P., Houston, Texas, will pass upon the validity of the securities offered in this registration statement. </w:t>
      </w:r>
    </w:p>
    <w:p>
      <w:pPr>
        <w:pStyle w:val="TextBody"/>
        <w:spacing w:before="360" w:after="283"/>
        <w:rPr/>
      </w:pPr>
      <w:bookmarkStart w:id="25" w:name="123"/>
      <w:bookmarkEnd w:id="25"/>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EXPERTS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2004 have been so incorporated in reliance on the report of PricewaterhouseCoopers LLP, an independent registered public accounting firm, given on the authority of said firm as experts in auditing and accounting.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balance sheet as of December 31, 2004 of Plains AAP, L.P. incorporated in this Prospectus by reference to Plains All American Pipeline, L.P.s Current Report on Form 8-K filed April 8, 2005 has been so incorporated in reliance on the report of PricewaterhouseCoopers LLP, an independent registered public accounting firm, given on the authority of said firm as experts in auditing and accounting. </w:t>
      </w:r>
    </w:p>
    <w:p>
      <w:pPr>
        <w:pStyle w:val="TextBody"/>
        <w:shd w:fill="FFFFFF" w:val="clear"/>
        <w:spacing w:before="0" w:after="283"/>
        <w:jc w:val="center"/>
        <w:rPr>
          <w:rFonts w:ascii="Times New Roman;Times" w:hAnsi="Times New Roman;Times"/>
          <w:color w:val="000000"/>
          <w:sz w:val="17"/>
        </w:rPr>
      </w:pPr>
      <w:r>
        <w:rPr>
          <w:rFonts w:ascii="Times New Roman;Times" w:hAnsi="Times New Roman;Times"/>
          <w:color w:val="000000"/>
          <w:sz w:val="17"/>
        </w:rPr>
        <w:br/>
        <w:t xml:space="preserve">43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54</Pages>
  <Words>30446</Words>
  <CharactersWithSpaces>189118</CharactersWithSpaces>
  <Paragraphs>2495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e424b5</dc:title>
</cp:coreProperties>
</file>