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5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226060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3"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FORM 8-K</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22"/>
          <w:szCs w:val="22"/>
          <w:b w:val="1"/>
          <w:bCs w:val="1"/>
          <w:color w:val="auto"/>
        </w:rPr>
        <w:t>CURRENT REPORT</w:t>
      </w:r>
    </w:p>
    <w:p>
      <w:pPr>
        <w:spacing w:after="0" w:line="14" w:lineRule="exact"/>
        <w:rPr>
          <w:sz w:val="24"/>
          <w:szCs w:val="24"/>
          <w:color w:val="auto"/>
        </w:rPr>
      </w:pPr>
    </w:p>
    <w:p>
      <w:pPr>
        <w:jc w:val="center"/>
        <w:ind w:right="-59"/>
        <w:spacing w:after="0"/>
        <w:rPr>
          <w:sz w:val="20"/>
          <w:szCs w:val="20"/>
          <w:color w:val="auto"/>
        </w:rPr>
      </w:pPr>
      <w:r>
        <w:rPr>
          <w:rFonts w:ascii="Arial" w:cs="Arial" w:eastAsia="Arial" w:hAnsi="Arial"/>
          <w:sz w:val="19"/>
          <w:szCs w:val="19"/>
          <w:b w:val="1"/>
          <w:bCs w:val="1"/>
          <w:color w:val="auto"/>
        </w:rPr>
        <w:t>Pursuant to Section 13 or 15(d) of the Securities Exchange Act of 1934</w:t>
      </w:r>
    </w:p>
    <w:p>
      <w:pPr>
        <w:spacing w:after="0" w:line="226"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 December 5, 2017</w:t>
      </w:r>
    </w:p>
    <w:p>
      <w:pPr>
        <w:spacing w:after="0" w:line="202" w:lineRule="exact"/>
        <w:rPr>
          <w:sz w:val="24"/>
          <w:szCs w:val="24"/>
          <w:color w:val="auto"/>
        </w:rPr>
      </w:pPr>
    </w:p>
    <w:p>
      <w:pPr>
        <w:jc w:val="center"/>
        <w:ind w:right="-59"/>
        <w:spacing w:after="0"/>
        <w:rPr>
          <w:sz w:val="20"/>
          <w:szCs w:val="20"/>
          <w:color w:val="auto"/>
        </w:rPr>
      </w:pPr>
      <w:r>
        <w:rPr>
          <w:rFonts w:ascii="Arial" w:cs="Arial" w:eastAsia="Arial" w:hAnsi="Arial"/>
          <w:sz w:val="32"/>
          <w:szCs w:val="32"/>
          <w:b w:val="1"/>
          <w:bCs w:val="1"/>
          <w:color w:val="auto"/>
        </w:rPr>
        <w:t>Plains All American Pipeline, L.P.</w:t>
      </w:r>
    </w:p>
    <w:p>
      <w:pPr>
        <w:spacing w:after="0" w:line="4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360"/>
          </w:cols>
          <w:pgMar w:left="240" w:top="544" w:right="299" w:bottom="397" w:gutter="0" w:footer="0" w:header="0"/>
        </w:sectPr>
      </w:pPr>
    </w:p>
    <w:p>
      <w:pPr>
        <w:spacing w:after="0" w:line="205" w:lineRule="exact"/>
        <w:rPr>
          <w:sz w:val="24"/>
          <w:szCs w:val="24"/>
          <w:color w:val="auto"/>
        </w:rPr>
      </w:pPr>
    </w:p>
    <w:p>
      <w:pPr>
        <w:jc w:val="center"/>
        <w:ind w:right="34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340"/>
        <w:spacing w:after="0"/>
        <w:rPr>
          <w:sz w:val="20"/>
          <w:szCs w:val="20"/>
          <w:color w:val="auto"/>
        </w:rPr>
      </w:pPr>
      <w:r>
        <w:rPr>
          <w:rFonts w:ascii="Arial" w:cs="Arial" w:eastAsia="Arial" w:hAnsi="Arial"/>
          <w:sz w:val="16"/>
          <w:szCs w:val="16"/>
          <w:color w:val="auto"/>
        </w:rPr>
        <w:t>(State or other jurisdiction of</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920"/>
        <w:spacing w:after="0"/>
        <w:rPr>
          <w:sz w:val="20"/>
          <w:szCs w:val="20"/>
          <w:color w:val="auto"/>
        </w:rPr>
      </w:pPr>
      <w:r>
        <w:rPr>
          <w:rFonts w:ascii="Arial" w:cs="Arial" w:eastAsia="Arial" w:hAnsi="Arial"/>
          <w:sz w:val="18"/>
          <w:szCs w:val="18"/>
          <w:b w:val="1"/>
          <w:bCs w:val="1"/>
          <w:color w:val="auto"/>
        </w:rPr>
        <w:t>1-14569</w:t>
      </w:r>
    </w:p>
    <w:p>
      <w:pPr>
        <w:spacing w:after="0" w:line="27" w:lineRule="exact"/>
        <w:rPr>
          <w:sz w:val="24"/>
          <w:szCs w:val="24"/>
          <w:color w:val="auto"/>
        </w:rPr>
      </w:pPr>
    </w:p>
    <w:p>
      <w:pPr>
        <w:jc w:val="center"/>
        <w:ind w:right="9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jc w:val="center"/>
        <w:ind w:right="520"/>
        <w:spacing w:after="0"/>
        <w:rPr>
          <w:sz w:val="20"/>
          <w:szCs w:val="20"/>
          <w:color w:val="auto"/>
        </w:rPr>
      </w:pPr>
      <w:r>
        <w:rPr>
          <w:rFonts w:ascii="Arial" w:cs="Arial" w:eastAsia="Arial" w:hAnsi="Arial"/>
          <w:sz w:val="18"/>
          <w:szCs w:val="18"/>
          <w:b w:val="1"/>
          <w:bCs w:val="1"/>
          <w:color w:val="auto"/>
        </w:rPr>
        <w:t>76-0582150</w:t>
      </w:r>
    </w:p>
    <w:p>
      <w:pPr>
        <w:spacing w:after="0" w:line="27" w:lineRule="exact"/>
        <w:rPr>
          <w:sz w:val="24"/>
          <w:szCs w:val="24"/>
          <w:color w:val="auto"/>
        </w:rPr>
      </w:pPr>
    </w:p>
    <w:p>
      <w:pPr>
        <w:jc w:val="center"/>
        <w:ind w:right="520"/>
        <w:spacing w:after="0"/>
        <w:rPr>
          <w:sz w:val="20"/>
          <w:szCs w:val="20"/>
          <w:color w:val="auto"/>
        </w:rPr>
      </w:pPr>
      <w:r>
        <w:rPr>
          <w:rFonts w:ascii="Arial" w:cs="Arial" w:eastAsia="Arial" w:hAnsi="Arial"/>
          <w:sz w:val="17"/>
          <w:szCs w:val="17"/>
          <w:color w:val="auto"/>
        </w:rPr>
        <w:t>(IRS Employer Identification No.)</w:t>
      </w:r>
    </w:p>
    <w:p>
      <w:pPr>
        <w:spacing w:after="0" w:line="21" w:lineRule="exact"/>
        <w:rPr>
          <w:sz w:val="24"/>
          <w:szCs w:val="24"/>
          <w:color w:val="auto"/>
        </w:rPr>
      </w:pPr>
    </w:p>
    <w:p>
      <w:pPr>
        <w:sectPr>
          <w:pgSz w:w="11900" w:h="16838" w:orient="portrait"/>
          <w:cols w:equalWidth="0" w:num="3">
            <w:col w:w="4020" w:space="720"/>
            <w:col w:w="2900" w:space="720"/>
            <w:col w:w="3000"/>
          </w:cols>
          <w:pgMar w:left="240" w:top="544" w:right="299" w:bottom="397" w:gutter="0" w:footer="0" w:header="0"/>
          <w:type w:val="continuous"/>
        </w:sectPr>
      </w:pPr>
    </w:p>
    <w:p>
      <w:pPr>
        <w:ind w:left="1320"/>
        <w:spacing w:after="0"/>
        <w:rPr>
          <w:sz w:val="20"/>
          <w:szCs w:val="20"/>
          <w:color w:val="auto"/>
        </w:rPr>
      </w:pPr>
      <w:r>
        <w:rPr>
          <w:rFonts w:ascii="Arial" w:cs="Arial" w:eastAsia="Arial" w:hAnsi="Arial"/>
          <w:sz w:val="18"/>
          <w:szCs w:val="18"/>
          <w:color w:val="auto"/>
        </w:rPr>
        <w:t>incorporation)</w:t>
      </w:r>
    </w:p>
    <w:p>
      <w:pPr>
        <w:spacing w:after="0" w:line="207" w:lineRule="exact"/>
        <w:rPr>
          <w:sz w:val="24"/>
          <w:szCs w:val="24"/>
          <w:color w:val="auto"/>
        </w:rPr>
      </w:pPr>
    </w:p>
    <w:p>
      <w:pPr>
        <w:ind w:left="3800"/>
        <w:spacing w:after="0"/>
        <w:rPr>
          <w:sz w:val="20"/>
          <w:szCs w:val="20"/>
          <w:color w:val="auto"/>
        </w:rPr>
      </w:pPr>
      <w:r>
        <w:rPr>
          <w:rFonts w:ascii="Arial" w:cs="Arial" w:eastAsia="Arial" w:hAnsi="Arial"/>
          <w:sz w:val="16"/>
          <w:szCs w:val="16"/>
          <w:b w:val="1"/>
          <w:bCs w:val="1"/>
          <w:color w:val="auto"/>
        </w:rPr>
        <w:t>333 Clay Street, Suite 1600, Houston, Texas 77002</w:t>
      </w:r>
    </w:p>
    <w:p>
      <w:pPr>
        <w:spacing w:after="0" w:line="50" w:lineRule="exact"/>
        <w:rPr>
          <w:sz w:val="24"/>
          <w:szCs w:val="24"/>
          <w:color w:val="auto"/>
        </w:rPr>
      </w:pPr>
    </w:p>
    <w:p>
      <w:pPr>
        <w:ind w:left="3860"/>
        <w:spacing w:after="0"/>
        <w:rPr>
          <w:sz w:val="20"/>
          <w:szCs w:val="20"/>
          <w:color w:val="auto"/>
        </w:rPr>
      </w:pPr>
      <w:r>
        <w:rPr>
          <w:rFonts w:ascii="Arial" w:cs="Arial" w:eastAsia="Arial" w:hAnsi="Arial"/>
          <w:sz w:val="16"/>
          <w:szCs w:val="16"/>
          <w:color w:val="auto"/>
        </w:rPr>
        <w:t>(Address of principal executive offices) (Zip Code)</w:t>
      </w:r>
    </w:p>
    <w:p>
      <w:pPr>
        <w:spacing w:after="0" w:line="230"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713-646-4100</w:t>
      </w:r>
    </w:p>
    <w:p>
      <w:pPr>
        <w:spacing w:after="0" w:line="27" w:lineRule="exact"/>
        <w:rPr>
          <w:sz w:val="24"/>
          <w:szCs w:val="24"/>
          <w:color w:val="auto"/>
        </w:rPr>
      </w:pPr>
    </w:p>
    <w:p>
      <w:pPr>
        <w:jc w:val="center"/>
        <w:ind w:right="-5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360"/>
          </w:cols>
          <w:pgMar w:left="240" w:top="544" w:right="299" w:bottom="397" w:gutter="0" w:footer="0" w:header="0"/>
          <w:type w:val="continuous"/>
        </w:sectPr>
      </w:pPr>
    </w:p>
    <w:p>
      <w:pPr>
        <w:spacing w:after="0" w:line="200" w:lineRule="exact"/>
        <w:rPr>
          <w:sz w:val="24"/>
          <w:szCs w:val="24"/>
          <w:color w:val="auto"/>
        </w:rPr>
      </w:pPr>
    </w:p>
    <w:p>
      <w:pPr>
        <w:spacing w:after="0" w:line="250"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(Former name or former address, if changed since last report.)</w:t>
      </w:r>
    </w:p>
    <w:p>
      <w:pPr>
        <w:spacing w:after="0" w:line="225"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70" w:lineRule="exact"/>
        <w:rPr>
          <w:sz w:val="24"/>
          <w:szCs w:val="24"/>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Arial" w:cs="Arial" w:eastAsia="Arial" w:hAnsi="Arial"/>
          <w:sz w:val="18"/>
          <w:szCs w:val="18"/>
          <w:color w:val="auto"/>
        </w:rPr>
      </w:pPr>
    </w:p>
    <w:p>
      <w:pPr>
        <w:ind w:left="640" w:hanging="632"/>
        <w:spacing w:after="0"/>
        <w:tabs>
          <w:tab w:leader="none" w:pos="64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25" w:lineRule="exact"/>
        <w:rPr>
          <w:sz w:val="24"/>
          <w:szCs w:val="24"/>
          <w:color w:val="auto"/>
        </w:rPr>
      </w:pPr>
    </w:p>
    <w:p>
      <w:pPr>
        <w:ind w:right="4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or Rule 12b-2 of the Securities Exchange Act of 1934.</w:t>
      </w:r>
    </w:p>
    <w:p>
      <w:pPr>
        <w:spacing w:after="0" w:line="170" w:lineRule="exact"/>
        <w:rPr>
          <w:sz w:val="24"/>
          <w:szCs w:val="24"/>
          <w:color w:val="auto"/>
        </w:rPr>
      </w:pPr>
    </w:p>
    <w:p>
      <w:pPr>
        <w:spacing w:after="0"/>
        <w:rPr>
          <w:sz w:val="20"/>
          <w:szCs w:val="20"/>
          <w:color w:val="auto"/>
        </w:rPr>
      </w:pPr>
      <w:r>
        <w:rPr>
          <w:rFonts w:ascii="Arial" w:cs="Arial" w:eastAsia="Arial" w:hAnsi="Arial"/>
          <w:sz w:val="18"/>
          <w:szCs w:val="18"/>
          <w:color w:val="auto"/>
        </w:rPr>
        <w:t>Emerging growth company o</w:t>
      </w:r>
    </w:p>
    <w:p>
      <w:pPr>
        <w:spacing w:after="0" w:line="225" w:lineRule="exact"/>
        <w:rPr>
          <w:sz w:val="24"/>
          <w:szCs w:val="24"/>
          <w:color w:val="auto"/>
        </w:rPr>
      </w:pPr>
    </w:p>
    <w:p>
      <w:pPr>
        <w:ind w:right="8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398145</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400" w:lineRule="exact"/>
        <w:rPr>
          <w:sz w:val="24"/>
          <w:szCs w:val="24"/>
          <w:color w:val="auto"/>
        </w:rPr>
      </w:pPr>
    </w:p>
    <w:p>
      <w:pPr>
        <w:spacing w:after="0"/>
        <w:tabs>
          <w:tab w:leader="none" w:pos="134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29" w:lineRule="exact"/>
        <w:rPr>
          <w:sz w:val="24"/>
          <w:szCs w:val="24"/>
          <w:color w:val="auto"/>
        </w:rPr>
      </w:pPr>
    </w:p>
    <w:p>
      <w:pPr>
        <w:ind w:firstLine="648"/>
        <w:spacing w:after="0" w:line="264" w:lineRule="auto"/>
        <w:rPr>
          <w:sz w:val="20"/>
          <w:szCs w:val="20"/>
          <w:color w:val="auto"/>
        </w:rPr>
      </w:pPr>
      <w:r>
        <w:rPr>
          <w:rFonts w:ascii="Arial" w:cs="Arial" w:eastAsia="Arial" w:hAnsi="Arial"/>
          <w:sz w:val="18"/>
          <w:szCs w:val="18"/>
          <w:color w:val="auto"/>
        </w:rPr>
        <w:t>In accordance with General Instruction B.2. of Form 8-K, the following information shall not be deemed “filed” for purposes of Section 18 of the Securities Exchange Act of 1934, as amended, nor shall it be deemed incorporated by reference in any filing under the Securities Act of 1933, as amended, or the Exchange Act except as shall be expressly set forth by specific reference in such a filing.</w:t>
      </w:r>
    </w:p>
    <w:p>
      <w:pPr>
        <w:spacing w:after="0" w:line="181" w:lineRule="exact"/>
        <w:rPr>
          <w:sz w:val="24"/>
          <w:szCs w:val="24"/>
          <w:color w:val="auto"/>
        </w:rPr>
      </w:pPr>
    </w:p>
    <w:p>
      <w:pPr>
        <w:ind w:firstLine="648"/>
        <w:spacing w:after="0" w:line="282" w:lineRule="auto"/>
        <w:rPr>
          <w:sz w:val="20"/>
          <w:szCs w:val="20"/>
          <w:color w:val="auto"/>
        </w:rPr>
      </w:pPr>
      <w:r>
        <w:rPr>
          <w:rFonts w:ascii="Arial" w:cs="Arial" w:eastAsia="Arial" w:hAnsi="Arial"/>
          <w:sz w:val="17"/>
          <w:szCs w:val="17"/>
          <w:color w:val="auto"/>
        </w:rPr>
        <w:t xml:space="preserve">Representatives of Plains All American Pipeline, L.P. (“PAA”) and Plains GP Holdings, L.P. (“PAGP”) intend to make a presentation and meet with investors and members of the financial community at the </w:t>
      </w:r>
      <w:r>
        <w:rPr>
          <w:rFonts w:ascii="Arial" w:cs="Arial" w:eastAsia="Arial" w:hAnsi="Arial"/>
          <w:sz w:val="16"/>
          <w:szCs w:val="16"/>
          <w:color w:val="auto"/>
        </w:rPr>
        <w:t>2017 Wells Fargo Pipeline, MLP and Utility Symposium to be held December 6-7, 2017 in New York,</w:t>
      </w:r>
      <w:r>
        <w:rPr>
          <w:rFonts w:ascii="Arial" w:cs="Arial" w:eastAsia="Arial" w:hAnsi="Arial"/>
          <w:sz w:val="17"/>
          <w:szCs w:val="17"/>
          <w:color w:val="auto"/>
        </w:rPr>
        <w:t xml:space="preserve"> </w:t>
      </w:r>
      <w:r>
        <w:rPr>
          <w:rFonts w:ascii="Arial" w:cs="Arial" w:eastAsia="Arial" w:hAnsi="Arial"/>
          <w:sz w:val="16"/>
          <w:szCs w:val="16"/>
          <w:color w:val="auto"/>
        </w:rPr>
        <w:t>New York. The presentation, which will take place at 10:50 a.m. Eastern Time on Wednesday, December 6, 2017, will cover an industry overview, PAA’s commercial and operational activities, forward growth outlook, financial positioning and other related matters. The presentation materials will be made available for viewing at approximately 7:45 a.m. Eastern Time on Wednesday, December 6, 2017 at www.plainsallamerican.com under the “News &amp; Events — Investor Presentations” portion of the Investor Relations section of the website. The presentation will be webcast live beginning at 10:50 a.m. Eastern Time on Wednesday, December 6, 2017 and will be available for a period of 180 days following the event at the following web link: https://cc.talkpoint.com/well001/120617a_as/?entity=7_4OHO4W3. Neither PAA nor PAGP undertake to update the information as posted on their websites; however, they may post additional information included in future press releases, Forms 8-K, and periodic Exchange Act reports.</w:t>
      </w:r>
    </w:p>
    <w:p>
      <w:pPr>
        <w:spacing w:after="0" w:line="175"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60"/>
          </w:cols>
          <w:pgMar w:left="240" w:top="544" w:right="299" w:bottom="397" w:gutter="0" w:footer="0" w:header="0"/>
          <w:type w:val="continuous"/>
        </w:sectPr>
      </w:pPr>
    </w:p>
    <w:bookmarkStart w:id="1" w:name="page2"/>
    <w:bookmarkEnd w:id="1"/>
    <w:p>
      <w:pPr>
        <w:jc w:val="center"/>
        <w:ind w:right="-49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720"/>
        <w:spacing w:after="0"/>
        <w:rPr>
          <w:sz w:val="20"/>
          <w:szCs w:val="20"/>
          <w:color w:val="auto"/>
        </w:rPr>
      </w:pPr>
      <w:r>
        <w:rPr>
          <w:rFonts w:ascii="Arial" w:cs="Arial" w:eastAsia="Arial" w:hAnsi="Arial"/>
          <w:sz w:val="18"/>
          <w:szCs w:val="18"/>
          <w:color w:val="auto"/>
        </w:rPr>
        <w:t>PLAINS ALL AMERICAN PIPELINE, L.P.</w:t>
      </w:r>
    </w:p>
    <w:p>
      <w:pPr>
        <w:spacing w:after="0" w:line="225" w:lineRule="exact"/>
        <w:rPr>
          <w:sz w:val="20"/>
          <w:szCs w:val="20"/>
          <w:color w:val="auto"/>
        </w:rPr>
      </w:pPr>
    </w:p>
    <w:p>
      <w:pPr>
        <w:spacing w:after="0"/>
        <w:tabs>
          <w:tab w:leader="none" w:pos="5700" w:val="left"/>
          <w:tab w:leader="none" w:pos="6180" w:val="left"/>
        </w:tabs>
        <w:rPr>
          <w:sz w:val="20"/>
          <w:szCs w:val="20"/>
          <w:color w:val="auto"/>
        </w:rPr>
      </w:pPr>
      <w:r>
        <w:rPr>
          <w:rFonts w:ascii="Arial" w:cs="Arial" w:eastAsia="Arial" w:hAnsi="Arial"/>
          <w:sz w:val="18"/>
          <w:szCs w:val="18"/>
          <w:color w:val="auto"/>
        </w:rPr>
        <w:t>Date: December 5, 2017</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PAA GP LLC, its general partner</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Plains AAP, L.P., its sole member</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Plains All American GP LLC, its general partner</w:t>
      </w:r>
    </w:p>
    <w:p>
      <w:pPr>
        <w:spacing w:after="0" w:line="225" w:lineRule="exact"/>
        <w:rPr>
          <w:sz w:val="20"/>
          <w:szCs w:val="20"/>
          <w:color w:val="auto"/>
        </w:rPr>
      </w:pPr>
    </w:p>
    <w:p>
      <w:pPr>
        <w:ind w:left="5720"/>
        <w:spacing w:after="0"/>
        <w:tabs>
          <w:tab w:leader="none" w:pos="6180" w:val="left"/>
        </w:tabs>
        <w:rPr>
          <w:sz w:val="20"/>
          <w:szCs w:val="20"/>
          <w:color w:val="auto"/>
        </w:rPr>
      </w:pPr>
      <w:r>
        <w:rPr>
          <w:rFonts w:ascii="Arial" w:cs="Arial" w:eastAsia="Arial" w:hAnsi="Arial"/>
          <w:sz w:val="18"/>
          <w:szCs w:val="18"/>
          <w:color w:val="auto"/>
        </w:rPr>
        <w:t>By:</w:t>
        <w:tab/>
        <w:t>/s/ Richard McGee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Name: Richard McGee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3932555</wp:posOffset>
            </wp:positionH>
            <wp:positionV relativeFrom="paragraph">
              <wp:posOffset>-130810</wp:posOffset>
            </wp:positionV>
            <wp:extent cx="331914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3319145" cy="8890"/>
                    </a:xfrm>
                    <a:prstGeom prst="rect">
                      <a:avLst/>
                    </a:prstGeom>
                    <a:noFill/>
                  </pic:spPr>
                </pic:pic>
              </a:graphicData>
            </a:graphic>
          </wp:anchor>
        </w:drawing>
      </w:r>
    </w:p>
    <w:p>
      <w:pPr>
        <w:spacing w:after="0" w:line="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Title: Executive Vice President</w:t>
      </w:r>
    </w:p>
    <w:p>
      <w:pPr>
        <w:spacing w:after="0" w:line="211"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0940"/>
      </w:cols>
      <w:pgMar w:left="240" w:top="121" w:right="7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o"/>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2020-01-19T00:32:53Z</dcterms:created>
  <dcterms:modified xsi:type="dcterms:W3CDTF">2020-01-19T00:32:53Z</dcterms:modified>
</cp:coreProperties>
</file>