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 </w:t>
      </w:r>
      <w:r>
        <w:rPr>
          <w:rFonts w:ascii="Arial" w:cs="Arial" w:eastAsia="Arial" w:hAnsi="Arial"/>
          <w:sz w:val="16"/>
          <w:szCs w:val="16"/>
          <w:b w:val="1"/>
          <w:bCs w:val="1"/>
          <w:color w:val="auto"/>
        </w:rPr>
        <w:t>August 13, 2020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40" w:space="720"/>
            <w:col w:w="2240"/>
          </w:cols>
          <w:pgMar w:left="320" w:top="783" w:right="33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40" w:space="720"/>
            <w:col w:w="3040"/>
          </w:cols>
          <w:pgMar w:left="320" w:top="78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On August 13, 2020, the board of directors (the “Board”) of PAA GP Holdings LLC (“GP Holdings”), the general partner of Plains GP Holdings, L.P. (“PAGP”), approved grants of phantom units to certain of those individuals who were identified as Named Executive Officers in PAGP’s 2020 proxy statement. These phantom unit grants were consistent with the annual LTIP targets disclosed in the 2020 proxy statement. The annual LTIP target values and resulting LTIP grants approved by the Board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Annual LTIP Award Target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2020 Annual</w:t>
            </w:r>
          </w:p>
        </w:tc>
        <w:tc>
          <w:tcPr>
            <w:tcW w:w="1440" w:type="dxa"/>
            <w:vAlign w:val="bottom"/>
            <w:gridSpan w:val="2"/>
            <w:vMerge w:val="restart"/>
          </w:tcPr>
          <w:p>
            <w:pPr>
              <w:ind w:left="100"/>
              <w:spacing w:after="0"/>
              <w:rPr>
                <w:sz w:val="20"/>
                <w:szCs w:val="20"/>
                <w:color w:val="auto"/>
              </w:rPr>
            </w:pPr>
            <w:r>
              <w:rPr>
                <w:rFonts w:ascii="Arial" w:cs="Arial" w:eastAsia="Arial" w:hAnsi="Arial"/>
                <w:sz w:val="18"/>
                <w:szCs w:val="18"/>
                <w:color w:val="auto"/>
              </w:rPr>
              <w:t>No. of Phantom</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2"/>
          </w:tcPr>
          <w:p>
            <w:pPr>
              <w:jc w:val="center"/>
              <w:ind w:right="380"/>
              <w:spacing w:after="0" w:line="179" w:lineRule="exact"/>
              <w:rPr>
                <w:sz w:val="20"/>
                <w:szCs w:val="20"/>
                <w:color w:val="auto"/>
              </w:rPr>
            </w:pPr>
            <w:r>
              <w:rPr>
                <w:rFonts w:ascii="Arial" w:cs="Arial" w:eastAsia="Arial" w:hAnsi="Arial"/>
                <w:sz w:val="18"/>
                <w:szCs w:val="18"/>
                <w:color w:val="auto"/>
                <w:w w:val="86"/>
              </w:rPr>
              <w:t>(as a percentage of base</w:t>
            </w:r>
          </w:p>
        </w:tc>
        <w:tc>
          <w:tcPr>
            <w:tcW w:w="140" w:type="dxa"/>
            <w:vAlign w:val="bottom"/>
          </w:tcPr>
          <w:p>
            <w:pPr>
              <w:spacing w:after="0"/>
              <w:rPr>
                <w:sz w:val="15"/>
                <w:szCs w:val="15"/>
                <w:color w:val="auto"/>
              </w:rPr>
            </w:pPr>
          </w:p>
        </w:tc>
        <w:tc>
          <w:tcPr>
            <w:tcW w:w="1420" w:type="dxa"/>
            <w:vAlign w:val="bottom"/>
            <w:gridSpan w:val="2"/>
          </w:tcPr>
          <w:p>
            <w:pPr>
              <w:jc w:val="center"/>
              <w:ind w:right="360"/>
              <w:spacing w:after="0" w:line="179" w:lineRule="exact"/>
              <w:rPr>
                <w:sz w:val="20"/>
                <w:szCs w:val="20"/>
                <w:color w:val="auto"/>
              </w:rPr>
            </w:pPr>
            <w:r>
              <w:rPr>
                <w:rFonts w:ascii="Arial" w:cs="Arial" w:eastAsia="Arial" w:hAnsi="Arial"/>
                <w:sz w:val="18"/>
                <w:szCs w:val="18"/>
                <w:color w:val="auto"/>
                <w:w w:val="99"/>
              </w:rPr>
              <w:t>LTIP</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54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Name and Title</w:t>
            </w:r>
          </w:p>
        </w:tc>
        <w:tc>
          <w:tcPr>
            <w:tcW w:w="220" w:type="dxa"/>
            <w:vAlign w:val="bottom"/>
            <w:tcBorders>
              <w:bottom w:val="single" w:sz="8" w:color="CCEEFF"/>
            </w:tcBorders>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salary)</w:t>
            </w:r>
          </w:p>
        </w:tc>
        <w:tc>
          <w:tcPr>
            <w:tcW w:w="3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Award Value</w:t>
            </w:r>
          </w:p>
        </w:tc>
        <w:tc>
          <w:tcPr>
            <w:tcW w:w="2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line="267" w:lineRule="exact"/>
              <w:rPr>
                <w:sz w:val="20"/>
                <w:szCs w:val="20"/>
                <w:color w:val="auto"/>
              </w:rPr>
            </w:pPr>
            <w:r>
              <w:rPr>
                <w:rFonts w:ascii="Arial" w:cs="Arial" w:eastAsia="Arial" w:hAnsi="Arial"/>
                <w:sz w:val="18"/>
                <w:szCs w:val="18"/>
                <w:color w:val="auto"/>
                <w:w w:val="92"/>
              </w:rPr>
              <w:t>Units Granted</w:t>
            </w:r>
            <w:r>
              <w:rPr>
                <w:rFonts w:ascii="Arial" w:cs="Arial" w:eastAsia="Arial" w:hAnsi="Arial"/>
                <w:sz w:val="29"/>
                <w:szCs w:val="29"/>
                <w:color w:val="auto"/>
                <w:w w:val="92"/>
                <w:vertAlign w:val="superscript"/>
              </w:rPr>
              <w:t>(1)</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Willie Chiang, Chief Executive Officer</w:t>
            </w:r>
          </w:p>
        </w:tc>
        <w:tc>
          <w:tcPr>
            <w:tcW w:w="2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Richard McGee, Executive Vice President, General Counsel and Secretary</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Chris Chandler, Executive Vice President and Chief Operating Officer</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Goebel, Executive Vice President – Commercial</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Based on a volume weighted average price per unit for a 10-day period preceding the date of grant of $7.98.</w:t>
      </w:r>
    </w:p>
    <w:p>
      <w:pPr>
        <w:spacing w:after="0" w:line="202"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The phantom units will vest (become payable 1-for-1 in common units of Plains All American Pipeline, L.P. (“PAA”)) as follows: (a) Tranche 1, consisting of 50% of the number of phantom units granted, will vest on the August 2023 distribution date assuming continued service through such date;</w:t>
      </w:r>
    </w:p>
    <w:p>
      <w:pPr>
        <w:ind w:firstLine="8"/>
        <w:spacing w:after="0" w:line="28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Tranche 2, consisting of 25% of the number of phantom units granted (assuming 100% payout at target), will potentially vest on the August 2023 distribution date at a scaled payout range of between 0% to 200% based on PAA’s total shareholder return (TSR) over the three-year period ending June 30, 2023 compared to the TSR of a selected peer group that includes the S&amp;P 500 Index and the Alerian MLP Index (AMZ) as additional comparators; and (c) Tranche 3, consisting of 25% of the number of phantom units granted (assuming 100% payout at target), will potentially vest on the August 2023 distribution date at a scaled payout range of between 0% to 200% based on (i) PAA achieving cumulative distributable cash flow per common unit equivalent of $6.00 over the three-year period ending June 30, 2023 and (ii) PAA achieving a leverage ratio as of June 30, 2023 consistent with the leverage ratio assumed in its long term plan as of August 2020. The phantom units include tandem distribution equivalent rights (“DERs”) that vest as follows: (a) DERs associated with Tranche 1 will accrue for the first year and be paid in cash in a lump sum on the August 2021 distribution date; beginning in November 2021, DERs associated with Tranche 1 will be paid quarterly until the related phantom units vest; and (b) DERs associated with Tranches 2 and</w:t>
      </w:r>
    </w:p>
    <w:p>
      <w:pPr>
        <w:spacing w:after="0" w:line="5" w:lineRule="exact"/>
        <w:rPr>
          <w:rFonts w:ascii="Arial" w:cs="Arial" w:eastAsia="Arial" w:hAnsi="Arial"/>
          <w:sz w:val="16"/>
          <w:szCs w:val="16"/>
          <w:color w:val="auto"/>
        </w:rPr>
      </w:pP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3 will accrue during the three-year vesting period and be paid in cash in a lump sum on the August 2023 distribution date with respect to each phantom unit that vests on such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6"/>
          <w:szCs w:val="16"/>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80"/>
      </w:cols>
      <w:pgMar w:left="320" w:top="90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2020-08-19T15:35:08Z</dcterms:created>
  <dcterms:modified xsi:type="dcterms:W3CDTF">2020-08-19T15:35:08Z</dcterms:modified>
</cp:coreProperties>
</file>