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22,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3860" w:type="dxa"/>
            <w:vAlign w:val="bottom"/>
          </w:tcPr>
          <w:p>
            <w:pPr>
              <w:jc w:val="center"/>
              <w:ind w:right="1699"/>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jc w:val="center"/>
              <w:ind w:right="282"/>
              <w:spacing w:after="0"/>
              <w:rPr>
                <w:sz w:val="20"/>
                <w:szCs w:val="20"/>
                <w:color w:val="auto"/>
              </w:rPr>
            </w:pPr>
            <w:r>
              <w:rPr>
                <w:rFonts w:ascii="Arial" w:cs="Arial" w:eastAsia="Arial" w:hAnsi="Arial"/>
                <w:sz w:val="18"/>
                <w:szCs w:val="18"/>
                <w:b w:val="1"/>
                <w:bCs w:val="1"/>
                <w:color w:val="auto"/>
                <w:w w:val="90"/>
              </w:rPr>
              <w:t>1-14569</w:t>
            </w:r>
          </w:p>
        </w:tc>
        <w:tc>
          <w:tcPr>
            <w:tcW w:w="3040" w:type="dxa"/>
            <w:vAlign w:val="bottom"/>
          </w:tcPr>
          <w:p>
            <w:pPr>
              <w:jc w:val="center"/>
              <w:ind w:left="1521"/>
              <w:spacing w:after="0"/>
              <w:rPr>
                <w:sz w:val="20"/>
                <w:szCs w:val="20"/>
                <w:color w:val="auto"/>
              </w:rPr>
            </w:pPr>
            <w:r>
              <w:rPr>
                <w:rFonts w:ascii="Arial" w:cs="Arial" w:eastAsia="Arial" w:hAnsi="Arial"/>
                <w:sz w:val="18"/>
                <w:szCs w:val="18"/>
                <w:b w:val="1"/>
                <w:bCs w:val="1"/>
                <w:color w:val="auto"/>
                <w:w w:val="91"/>
              </w:rPr>
              <w:t>76-0582150</w:t>
            </w:r>
          </w:p>
        </w:tc>
      </w:tr>
      <w:tr>
        <w:trPr>
          <w:trHeight w:val="149"/>
        </w:trPr>
        <w:tc>
          <w:tcPr>
            <w:tcW w:w="3860" w:type="dxa"/>
            <w:vAlign w:val="bottom"/>
          </w:tcPr>
          <w:p>
            <w:pPr>
              <w:jc w:val="center"/>
              <w:ind w:right="16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3040" w:type="dxa"/>
            <w:vAlign w:val="bottom"/>
          </w:tcPr>
          <w:p>
            <w:pPr>
              <w:jc w:val="center"/>
              <w:ind w:left="14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60" w:type="dxa"/>
            <w:vAlign w:val="bottom"/>
          </w:tcPr>
          <w:p>
            <w:pPr>
              <w:jc w:val="center"/>
              <w:ind w:right="1679"/>
              <w:spacing w:after="0"/>
              <w:rPr>
                <w:sz w:val="20"/>
                <w:szCs w:val="20"/>
                <w:color w:val="auto"/>
              </w:rPr>
            </w:pPr>
            <w:r>
              <w:rPr>
                <w:rFonts w:ascii="Arial" w:cs="Arial" w:eastAsia="Arial" w:hAnsi="Arial"/>
                <w:sz w:val="14"/>
                <w:szCs w:val="14"/>
                <w:b w:val="1"/>
                <w:bCs w:val="1"/>
                <w:color w:val="auto"/>
                <w:w w:val="95"/>
              </w:rPr>
              <w:t>of Incorporation or Organization)</w:t>
            </w:r>
          </w:p>
        </w:tc>
        <w:tc>
          <w:tcPr>
            <w:tcW w:w="252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File Number)</w:t>
            </w:r>
          </w:p>
        </w:tc>
        <w:tc>
          <w:tcPr>
            <w:tcW w:w="3040" w:type="dxa"/>
            <w:vAlign w:val="bottom"/>
          </w:tcPr>
          <w:p>
            <w:pPr>
              <w:jc w:val="center"/>
              <w:ind w:left="1521"/>
              <w:spacing w:after="0"/>
              <w:rPr>
                <w:sz w:val="20"/>
                <w:szCs w:val="20"/>
                <w:color w:val="auto"/>
              </w:rPr>
            </w:pPr>
            <w:r>
              <w:rPr>
                <w:rFonts w:ascii="Arial" w:cs="Arial" w:eastAsia="Arial" w:hAnsi="Arial"/>
                <w:sz w:val="14"/>
                <w:szCs w:val="14"/>
                <w:b w:val="1"/>
                <w:bCs w:val="1"/>
                <w:color w:val="auto"/>
                <w:w w:val="96"/>
              </w:rPr>
              <w:t>Identification Number)</w:t>
            </w:r>
          </w:p>
        </w:tc>
      </w:tr>
      <w:tr>
        <w:trPr>
          <w:trHeight w:val="439"/>
        </w:trPr>
        <w:tc>
          <w:tcPr>
            <w:tcW w:w="3860" w:type="dxa"/>
            <w:vAlign w:val="bottom"/>
          </w:tcPr>
          <w:p>
            <w:pPr>
              <w:jc w:val="center"/>
              <w:ind w:left="39"/>
              <w:spacing w:after="0"/>
              <w:rPr>
                <w:sz w:val="20"/>
                <w:szCs w:val="20"/>
                <w:color w:val="auto"/>
              </w:rPr>
            </w:pPr>
            <w:r>
              <w:rPr>
                <w:rFonts w:ascii="Arial" w:cs="Arial" w:eastAsia="Arial" w:hAnsi="Arial"/>
                <w:sz w:val="18"/>
                <w:szCs w:val="18"/>
                <w:b w:val="1"/>
                <w:bCs w:val="1"/>
                <w:color w:val="auto"/>
                <w:w w:val="90"/>
              </w:rPr>
              <w:t>333 Clay Street, Suite 1600</w:t>
            </w:r>
          </w:p>
        </w:tc>
        <w:tc>
          <w:tcPr>
            <w:tcW w:w="25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25"/>
        </w:trPr>
        <w:tc>
          <w:tcPr>
            <w:tcW w:w="3860" w:type="dxa"/>
            <w:vAlign w:val="bottom"/>
          </w:tcPr>
          <w:p>
            <w:pPr>
              <w:jc w:val="center"/>
              <w:ind w:left="39"/>
              <w:spacing w:after="0"/>
              <w:rPr>
                <w:sz w:val="20"/>
                <w:szCs w:val="20"/>
                <w:color w:val="auto"/>
              </w:rPr>
            </w:pPr>
            <w:r>
              <w:rPr>
                <w:rFonts w:ascii="Arial" w:cs="Arial" w:eastAsia="Arial" w:hAnsi="Arial"/>
                <w:sz w:val="18"/>
                <w:szCs w:val="18"/>
                <w:b w:val="1"/>
                <w:bCs w:val="1"/>
                <w:color w:val="auto"/>
                <w:w w:val="88"/>
              </w:rPr>
              <w:t>Houston, Texas</w:t>
            </w:r>
          </w:p>
        </w:tc>
        <w:tc>
          <w:tcPr>
            <w:tcW w:w="2520" w:type="dxa"/>
            <w:vAlign w:val="bottom"/>
          </w:tcPr>
          <w:p>
            <w:pPr>
              <w:spacing w:after="0"/>
              <w:rPr>
                <w:sz w:val="19"/>
                <w:szCs w:val="19"/>
                <w:color w:val="auto"/>
              </w:rPr>
            </w:pPr>
          </w:p>
        </w:tc>
        <w:tc>
          <w:tcPr>
            <w:tcW w:w="3040" w:type="dxa"/>
            <w:vAlign w:val="bottom"/>
          </w:tcPr>
          <w:p>
            <w:pPr>
              <w:jc w:val="right"/>
              <w:ind w:right="1361"/>
              <w:spacing w:after="0"/>
              <w:rPr>
                <w:sz w:val="20"/>
                <w:szCs w:val="20"/>
                <w:color w:val="auto"/>
              </w:rPr>
            </w:pPr>
            <w:r>
              <w:rPr>
                <w:rFonts w:ascii="Arial" w:cs="Arial" w:eastAsia="Arial" w:hAnsi="Arial"/>
                <w:sz w:val="18"/>
                <w:szCs w:val="18"/>
                <w:b w:val="1"/>
                <w:bCs w:val="1"/>
                <w:color w:val="auto"/>
              </w:rPr>
              <w:t>77002</w:t>
            </w:r>
          </w:p>
        </w:tc>
      </w:tr>
      <w:tr>
        <w:trPr>
          <w:trHeight w:val="186"/>
        </w:trPr>
        <w:tc>
          <w:tcPr>
            <w:tcW w:w="386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304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646-4100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22, 2014, Plains All American Pipeline, L.P. (the “</w:t>
      </w:r>
      <w:r>
        <w:rPr>
          <w:rFonts w:ascii="Arial" w:cs="Arial" w:eastAsia="Arial" w:hAnsi="Arial"/>
          <w:sz w:val="16"/>
          <w:szCs w:val="16"/>
          <w:b w:val="1"/>
          <w:bCs w:val="1"/>
          <w:color w:val="auto"/>
        </w:rPr>
        <w:t>Partnership</w:t>
      </w:r>
      <w:r>
        <w:rPr>
          <w:rFonts w:ascii="Arial" w:cs="Arial" w:eastAsia="Arial" w:hAnsi="Arial"/>
          <w:sz w:val="16"/>
          <w:szCs w:val="16"/>
          <w:color w:val="auto"/>
        </w:rPr>
        <w:t>”) entered into an Equity Distribution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with Citigroup Global Markets Inc., Barclays Capital Inc., BB&amp;T Capital Markets, a division of BB&amp;T Securities, LLC, BMO Capital Markets Corp., Deutsche Bank Securities Inc., J.P. Morgan Securities LLC, Jefferies LLC, Merrill Lynch, Pierce, Fenner &amp; Smith Incorporated, Mitsubishi UFJ Securities (USA), Inc., Mizuho Securities USA Inc., Morgan Stanley &amp; Co. LLC, Raymond James &amp; Associates, Inc., RBC Capital Markets, LLC, Robert W. Baird &amp; Co. Incorporated, Scotia Capital (USA) Inc., SG Americas Securities, LLC, SunTrust Robinson Humphrey, Inc., Tudor, Pickering, Holt &amp; Co. Securities, Inc., UBS Securities LLC, USCA Securities LLC, and Wells Fargo Securities, LLC (each a “</w:t>
      </w:r>
      <w:r>
        <w:rPr>
          <w:rFonts w:ascii="Arial" w:cs="Arial" w:eastAsia="Arial" w:hAnsi="Arial"/>
          <w:sz w:val="16"/>
          <w:szCs w:val="16"/>
          <w:b w:val="1"/>
          <w:bCs w:val="1"/>
          <w:color w:val="auto"/>
        </w:rPr>
        <w:t>Manager</w:t>
      </w:r>
      <w:r>
        <w:rPr>
          <w:rFonts w:ascii="Arial" w:cs="Arial" w:eastAsia="Arial" w:hAnsi="Arial"/>
          <w:sz w:val="16"/>
          <w:szCs w:val="16"/>
          <w:color w:val="auto"/>
        </w:rPr>
        <w:t>” and collectively the “</w:t>
      </w:r>
      <w:r>
        <w:rPr>
          <w:rFonts w:ascii="Arial" w:cs="Arial" w:eastAsia="Arial" w:hAnsi="Arial"/>
          <w:sz w:val="16"/>
          <w:szCs w:val="16"/>
          <w:b w:val="1"/>
          <w:bCs w:val="1"/>
          <w:color w:val="auto"/>
        </w:rPr>
        <w:t>Managers</w:t>
      </w:r>
      <w:r>
        <w:rPr>
          <w:rFonts w:ascii="Arial" w:cs="Arial" w:eastAsia="Arial" w:hAnsi="Arial"/>
          <w:sz w:val="16"/>
          <w:szCs w:val="16"/>
          <w:color w:val="auto"/>
        </w:rPr>
        <w:t>”). Pursuant to the terms of the Agreement, the Partnership may sell from time to time through the Managers, as the Partnership’s sales agents, common units representing limited partner interests having an aggregate offering price of up to $900,000,000 (the “</w:t>
      </w:r>
      <w:r>
        <w:rPr>
          <w:rFonts w:ascii="Arial" w:cs="Arial" w:eastAsia="Arial" w:hAnsi="Arial"/>
          <w:sz w:val="16"/>
          <w:szCs w:val="16"/>
          <w:b w:val="1"/>
          <w:bCs w:val="1"/>
          <w:color w:val="auto"/>
        </w:rPr>
        <w:t>Units</w:t>
      </w:r>
      <w:r>
        <w:rPr>
          <w:rFonts w:ascii="Arial" w:cs="Arial" w:eastAsia="Arial" w:hAnsi="Arial"/>
          <w:sz w:val="16"/>
          <w:szCs w:val="16"/>
          <w:color w:val="auto"/>
        </w:rPr>
        <w:t>”). Sales of the Units, if any, will be made by means of ordinary brokers’ transactions on the New York Stock Exchange at market prices, in block transactions or as otherwise agreed by the Partnership and the Managers.</w:t>
      </w:r>
    </w:p>
    <w:p>
      <w:pPr>
        <w:spacing w:after="0" w:line="164"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Partnership intends to use the net proceeds of this offering, including its general partner’s proportionate capital contribution, after deducting the sales agents’ commissions and offering expenses, for general partnership purposes, which may include, among other things, repayment of indebtedness, acquisitions, capital expenditures and additions to working capital. Amounts repaid under the Partnership’s credit facilities may be reborrowed to fund the Partnership’s ongoing capital program, potential future acquisitions or for general partnership purposes.</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Under the terms of the Agreement, the Partnership may also sell Units from time to time to any Manager as principal for its own account at a price to be agreed upon at the time of sale. Any sale of Units to a Manager as principal would be pursuant to the terms of a separate terms agreement between the Partnership and such Manager.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Units will be issued pursuant to the Partnership’s existing effective shelf registration statement on Form S-3 (Registration No. 333-184135).</w:t>
      </w:r>
    </w:p>
    <w:p>
      <w:pPr>
        <w:spacing w:after="0" w:line="23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full text of the Agreement, a copy of which is filed herewith as Exhibit 1.1 and is incorporated by reference herein. Legal opinions relating to the Units are filed herewith as Exhibits 5.1 and 8.1.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6"/>
              </w:rPr>
              <w:t>Equity Distribution Agreement, dated August 22, 2014, between Plains All American Pipeline, L.P. and Citigroup Global Markets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4"/>
              </w:rPr>
              <w:t>Barclays Capital Inc., BB&amp;T Capital Markets, a division of BB&amp;T Securities, LLC, BMO Capital Markets Corp., Deutsche Bank Securities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2"/>
              </w:rPr>
              <w:t>Inc., J.P. Morgan Securities LLC, Jefferies LLC, Merrill Lynch, Pierce, Fenner &amp; Smith Incorporated, Mitsubishi UFJ Securities (USA),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3"/>
              </w:rPr>
              <w:t>Mizuho Securities USA Inc., Morgan Stanley &amp; Co. LLC, Raymond James &amp; Associates, Inc., RBC Capital Markets, LLC, Robert W. Baird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3"/>
              </w:rPr>
              <w:t>&amp; Co. Incorporated, Scotia Capital (USA) Inc., SG Americas Securities, LLC, SunTrust Robinson Humphrey, Inc., Tudor, Pickering, Holt &amp;</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 Securities, Inc., UBS Securities LLC, USCA Securities LLC, and Wells Fargo Securities, LLC.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Opinion of Vinson &amp; Elkins L.L.P. regarding legality of the Units.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8.1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Opinion of Vinson &amp; Elkins L.L.P. regarding tax matters.</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420" w:type="dxa"/>
            <w:vAlign w:val="bottom"/>
          </w:tcPr>
          <w:p>
            <w:pPr>
              <w:ind w:left="514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PLAINS APP, L.P., its sole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PLAINS ALL AMERICAN GP LLC, its general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McGee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22,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4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6"/>
              </w:rPr>
              <w:t>Equity Distribution Agreement, dated August 22, 2014, between Plains All American Pipeline, L.P. and Citigroup Global Markets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4"/>
              </w:rPr>
              <w:t>Barclays Capital Inc., BB&amp;T Capital Markets, a division of BB&amp;T Securities, LLC, BMO Capital Markets Corp., Deutsche Bank Securities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2"/>
              </w:rPr>
              <w:t>Inc., J.P. Morgan Securities LLC, Jefferies LLC, Merrill Lynch, Pierce, Fenner &amp; Smith Incorporated, Mitsubishi UFJ Securities (USA),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3"/>
              </w:rPr>
              <w:t>Mizuho Securities USA Inc., Morgan Stanley &amp; Co. LLC, Raymond James &amp; Associates, Inc., RBC Capital Markets, LLC, Robert W. Baird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3"/>
              </w:rPr>
              <w:t>&amp; Co. Incorporated, Scotia Capital (USA) Inc., SG Americas Securities, LLC, SunTrust Robinson Humphrey, Inc., Tudor, Pickering, Holt &amp;</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 Securities, Inc., UBS Securities LLC, USCA Securities LLC, and Wells Fargo Securities, LLC.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Opinion of Vinson &amp; Elkins L.L.P. regarding legality of the Units.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8.1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Opinion of Vinson &amp; Elkins L.L.P. regarding tax matters.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Exhibit 1.1</w:t>
            </w:r>
          </w:p>
        </w:tc>
      </w:tr>
      <w:tr>
        <w:trPr>
          <w:trHeight w:val="432"/>
        </w:trPr>
        <w:tc>
          <w:tcPr>
            <w:tcW w:w="3400" w:type="dxa"/>
            <w:vAlign w:val="bottom"/>
          </w:tcPr>
          <w:p>
            <w:pPr>
              <w:spacing w:after="0"/>
              <w:rPr>
                <w:sz w:val="24"/>
                <w:szCs w:val="24"/>
                <w:color w:val="auto"/>
              </w:rPr>
            </w:pPr>
          </w:p>
        </w:tc>
        <w:tc>
          <w:tcPr>
            <w:tcW w:w="8020" w:type="dxa"/>
            <w:vAlign w:val="bottom"/>
            <w:gridSpan w:val="3"/>
          </w:tcPr>
          <w:p>
            <w:pPr>
              <w:jc w:val="center"/>
              <w:ind w:right="3310"/>
              <w:spacing w:after="0"/>
              <w:rPr>
                <w:sz w:val="20"/>
                <w:szCs w:val="20"/>
                <w:color w:val="auto"/>
              </w:rPr>
            </w:pPr>
            <w:r>
              <w:rPr>
                <w:rFonts w:ascii="Arial" w:cs="Arial" w:eastAsia="Arial" w:hAnsi="Arial"/>
                <w:sz w:val="18"/>
                <w:szCs w:val="18"/>
                <w:b w:val="1"/>
                <w:bCs w:val="1"/>
                <w:color w:val="auto"/>
              </w:rPr>
              <w:t>PLAINS ALL AMERICAN PIPELINE, L.P.</w:t>
            </w:r>
          </w:p>
        </w:tc>
      </w:tr>
      <w:tr>
        <w:trPr>
          <w:trHeight w:val="414"/>
        </w:trPr>
        <w:tc>
          <w:tcPr>
            <w:tcW w:w="3400" w:type="dxa"/>
            <w:vAlign w:val="bottom"/>
          </w:tcPr>
          <w:p>
            <w:pPr>
              <w:spacing w:after="0"/>
              <w:rPr>
                <w:sz w:val="24"/>
                <w:szCs w:val="24"/>
                <w:color w:val="auto"/>
              </w:rPr>
            </w:pPr>
          </w:p>
        </w:tc>
        <w:tc>
          <w:tcPr>
            <w:tcW w:w="8020" w:type="dxa"/>
            <w:vAlign w:val="bottom"/>
            <w:gridSpan w:val="3"/>
          </w:tcPr>
          <w:p>
            <w:pPr>
              <w:jc w:val="center"/>
              <w:ind w:right="3290"/>
              <w:spacing w:after="0"/>
              <w:rPr>
                <w:sz w:val="20"/>
                <w:szCs w:val="20"/>
                <w:color w:val="auto"/>
              </w:rPr>
            </w:pPr>
            <w:r>
              <w:rPr>
                <w:rFonts w:ascii="Arial" w:cs="Arial" w:eastAsia="Arial" w:hAnsi="Arial"/>
                <w:sz w:val="18"/>
                <w:szCs w:val="18"/>
                <w:b w:val="1"/>
                <w:bCs w:val="1"/>
                <w:color w:val="auto"/>
                <w:w w:val="91"/>
              </w:rPr>
              <w:t>Common Units Representing Limited Partner Interests</w:t>
            </w:r>
          </w:p>
        </w:tc>
      </w:tr>
      <w:tr>
        <w:trPr>
          <w:trHeight w:val="216"/>
        </w:trPr>
        <w:tc>
          <w:tcPr>
            <w:tcW w:w="3400" w:type="dxa"/>
            <w:vAlign w:val="bottom"/>
          </w:tcPr>
          <w:p>
            <w:pPr>
              <w:spacing w:after="0"/>
              <w:rPr>
                <w:sz w:val="18"/>
                <w:szCs w:val="18"/>
                <w:color w:val="auto"/>
              </w:rPr>
            </w:pPr>
          </w:p>
        </w:tc>
        <w:tc>
          <w:tcPr>
            <w:tcW w:w="8020" w:type="dxa"/>
            <w:vAlign w:val="bottom"/>
            <w:gridSpan w:val="3"/>
          </w:tcPr>
          <w:p>
            <w:pPr>
              <w:jc w:val="center"/>
              <w:ind w:right="3310"/>
              <w:spacing w:after="0"/>
              <w:rPr>
                <w:sz w:val="20"/>
                <w:szCs w:val="20"/>
                <w:color w:val="auto"/>
              </w:rPr>
            </w:pPr>
            <w:r>
              <w:rPr>
                <w:rFonts w:ascii="Arial" w:cs="Arial" w:eastAsia="Arial" w:hAnsi="Arial"/>
                <w:sz w:val="18"/>
                <w:szCs w:val="18"/>
                <w:b w:val="1"/>
                <w:bCs w:val="1"/>
                <w:color w:val="auto"/>
                <w:w w:val="91"/>
              </w:rPr>
              <w:t>Having an Aggregate Offering Price of up to</w:t>
            </w:r>
          </w:p>
        </w:tc>
      </w:tr>
      <w:tr>
        <w:trPr>
          <w:trHeight w:val="234"/>
        </w:trPr>
        <w:tc>
          <w:tcPr>
            <w:tcW w:w="3400" w:type="dxa"/>
            <w:vAlign w:val="bottom"/>
          </w:tcPr>
          <w:p>
            <w:pPr>
              <w:spacing w:after="0"/>
              <w:rPr>
                <w:sz w:val="20"/>
                <w:szCs w:val="20"/>
                <w:color w:val="auto"/>
              </w:rPr>
            </w:pPr>
          </w:p>
        </w:tc>
        <w:tc>
          <w:tcPr>
            <w:tcW w:w="396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88"/>
              </w:rPr>
              <w:t>$900,000,000</w:t>
            </w:r>
          </w:p>
        </w:tc>
        <w:tc>
          <w:tcPr>
            <w:tcW w:w="4060" w:type="dxa"/>
            <w:vAlign w:val="bottom"/>
          </w:tcPr>
          <w:p>
            <w:pPr>
              <w:spacing w:after="0"/>
              <w:rPr>
                <w:sz w:val="20"/>
                <w:szCs w:val="20"/>
                <w:color w:val="auto"/>
              </w:rPr>
            </w:pPr>
          </w:p>
        </w:tc>
      </w:tr>
      <w:tr>
        <w:trPr>
          <w:trHeight w:val="392"/>
        </w:trPr>
        <w:tc>
          <w:tcPr>
            <w:tcW w:w="3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60" w:type="dxa"/>
            <w:vAlign w:val="bottom"/>
            <w:gridSpan w:val="2"/>
          </w:tcPr>
          <w:p>
            <w:pPr>
              <w:jc w:val="center"/>
              <w:ind w:right="3970"/>
              <w:spacing w:after="0"/>
              <w:rPr>
                <w:sz w:val="20"/>
                <w:szCs w:val="20"/>
                <w:color w:val="auto"/>
              </w:rPr>
            </w:pPr>
            <w:r>
              <w:rPr>
                <w:rFonts w:ascii="Arial" w:cs="Arial" w:eastAsia="Arial" w:hAnsi="Arial"/>
                <w:sz w:val="18"/>
                <w:szCs w:val="18"/>
                <w:b w:val="1"/>
                <w:bCs w:val="1"/>
                <w:color w:val="auto"/>
              </w:rPr>
              <w:t>EQUITY DISTRIBUTION AGREEMENT</w:t>
            </w:r>
          </w:p>
        </w:tc>
      </w:tr>
      <w:tr>
        <w:trPr>
          <w:trHeight w:val="453"/>
        </w:trPr>
        <w:tc>
          <w:tcPr>
            <w:tcW w:w="3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August 22, 2014</w:t>
            </w:r>
          </w:p>
        </w:tc>
      </w:tr>
      <w:tr>
        <w:trPr>
          <w:trHeight w:val="445"/>
        </w:trPr>
        <w:tc>
          <w:tcPr>
            <w:tcW w:w="34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660" w:type="dxa"/>
            <w:vAlign w:val="bottom"/>
          </w:tcPr>
          <w:p>
            <w:pPr>
              <w:spacing w:after="0"/>
              <w:rPr>
                <w:sz w:val="24"/>
                <w:szCs w:val="24"/>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Barclays Capital Inc.</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388 Greenwich Street</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745 Seventh Avenue</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New York, New York 10012</w:t>
            </w:r>
          </w:p>
        </w:tc>
        <w:tc>
          <w:tcPr>
            <w:tcW w:w="660" w:type="dxa"/>
            <w:vAlign w:val="bottom"/>
          </w:tcPr>
          <w:p>
            <w:pPr>
              <w:spacing w:after="0"/>
              <w:rPr>
                <w:sz w:val="20"/>
                <w:szCs w:val="20"/>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New York, New York 10019</w:t>
            </w:r>
          </w:p>
        </w:tc>
      </w:tr>
      <w:tr>
        <w:trPr>
          <w:trHeight w:val="323"/>
        </w:trPr>
        <w:tc>
          <w:tcPr>
            <w:tcW w:w="3400" w:type="dxa"/>
            <w:vAlign w:val="bottom"/>
          </w:tcPr>
          <w:p>
            <w:pPr>
              <w:spacing w:after="0"/>
              <w:rPr>
                <w:sz w:val="20"/>
                <w:szCs w:val="20"/>
                <w:color w:val="auto"/>
              </w:rPr>
            </w:pPr>
            <w:r>
              <w:rPr>
                <w:rFonts w:ascii="Arial" w:cs="Arial" w:eastAsia="Arial" w:hAnsi="Arial"/>
                <w:sz w:val="18"/>
                <w:szCs w:val="18"/>
                <w:color w:val="auto"/>
              </w:rPr>
              <w:t>BB&amp;T Capital Markets, a division of BB&amp;T</w:t>
            </w:r>
          </w:p>
        </w:tc>
        <w:tc>
          <w:tcPr>
            <w:tcW w:w="660" w:type="dxa"/>
            <w:vAlign w:val="bottom"/>
          </w:tcPr>
          <w:p>
            <w:pPr>
              <w:spacing w:after="0"/>
              <w:rPr>
                <w:sz w:val="24"/>
                <w:szCs w:val="24"/>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BMO Capital Markets Corp.</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Securities, LLC</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3 Times Square</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901 East Byrd Street, Ste. 3000</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New York, New York 10036</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Richmond, Virginia 23219</w:t>
            </w:r>
          </w:p>
        </w:tc>
        <w:tc>
          <w:tcPr>
            <w:tcW w:w="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23"/>
        </w:trPr>
        <w:tc>
          <w:tcPr>
            <w:tcW w:w="340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660" w:type="dxa"/>
            <w:vAlign w:val="bottom"/>
          </w:tcPr>
          <w:p>
            <w:pPr>
              <w:spacing w:after="0"/>
              <w:rPr>
                <w:sz w:val="24"/>
                <w:szCs w:val="24"/>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J.P. Morgan Securities LLC</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60 Wall Street, 44th Floor</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383 Madison Avenue</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New York New York 10005</w:t>
            </w:r>
          </w:p>
        </w:tc>
        <w:tc>
          <w:tcPr>
            <w:tcW w:w="660" w:type="dxa"/>
            <w:vAlign w:val="bottom"/>
          </w:tcPr>
          <w:p>
            <w:pPr>
              <w:spacing w:after="0"/>
              <w:rPr>
                <w:sz w:val="20"/>
                <w:szCs w:val="20"/>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New York, New York 10179</w:t>
            </w:r>
          </w:p>
        </w:tc>
      </w:tr>
      <w:tr>
        <w:trPr>
          <w:trHeight w:val="323"/>
        </w:trPr>
        <w:tc>
          <w:tcPr>
            <w:tcW w:w="3400" w:type="dxa"/>
            <w:vAlign w:val="bottom"/>
          </w:tcPr>
          <w:p>
            <w:pPr>
              <w:spacing w:after="0"/>
              <w:rPr>
                <w:sz w:val="20"/>
                <w:szCs w:val="20"/>
                <w:color w:val="auto"/>
              </w:rPr>
            </w:pPr>
            <w:r>
              <w:rPr>
                <w:rFonts w:ascii="Arial" w:cs="Arial" w:eastAsia="Arial" w:hAnsi="Arial"/>
                <w:sz w:val="18"/>
                <w:szCs w:val="18"/>
                <w:color w:val="auto"/>
              </w:rPr>
              <w:t>Jefferies LLC</w:t>
            </w:r>
          </w:p>
        </w:tc>
        <w:tc>
          <w:tcPr>
            <w:tcW w:w="660" w:type="dxa"/>
            <w:vAlign w:val="bottom"/>
          </w:tcPr>
          <w:p>
            <w:pPr>
              <w:spacing w:after="0"/>
              <w:rPr>
                <w:sz w:val="24"/>
                <w:szCs w:val="24"/>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520 Madison Avenue</w:t>
            </w:r>
          </w:p>
        </w:tc>
        <w:tc>
          <w:tcPr>
            <w:tcW w:w="660" w:type="dxa"/>
            <w:vAlign w:val="bottom"/>
          </w:tcPr>
          <w:p>
            <w:pPr>
              <w:spacing w:after="0"/>
              <w:rPr>
                <w:sz w:val="18"/>
                <w:szCs w:val="18"/>
                <w:color w:val="auto"/>
              </w:rPr>
            </w:pPr>
          </w:p>
        </w:tc>
        <w:tc>
          <w:tcPr>
            <w:tcW w:w="7360" w:type="dxa"/>
            <w:vAlign w:val="bottom"/>
            <w:gridSpan w:val="2"/>
          </w:tcPr>
          <w:p>
            <w:pPr>
              <w:ind w:left="660"/>
              <w:spacing w:after="0"/>
              <w:rPr>
                <w:sz w:val="20"/>
                <w:szCs w:val="20"/>
                <w:color w:val="auto"/>
              </w:rPr>
            </w:pPr>
            <w:r>
              <w:rPr>
                <w:rFonts w:ascii="Arial" w:cs="Arial" w:eastAsia="Arial" w:hAnsi="Arial"/>
                <w:sz w:val="18"/>
                <w:szCs w:val="18"/>
                <w:color w:val="auto"/>
              </w:rPr>
              <w:t>Incorporated</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New York, New York 10022</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One Bryant Park</w:t>
            </w:r>
          </w:p>
        </w:tc>
      </w:tr>
      <w:tr>
        <w:trPr>
          <w:trHeight w:val="230"/>
        </w:trPr>
        <w:tc>
          <w:tcPr>
            <w:tcW w:w="3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New York, New York 10036</w:t>
            </w:r>
          </w:p>
        </w:tc>
      </w:tr>
      <w:tr>
        <w:trPr>
          <w:trHeight w:val="323"/>
        </w:trPr>
        <w:tc>
          <w:tcPr>
            <w:tcW w:w="3400" w:type="dxa"/>
            <w:vAlign w:val="bottom"/>
          </w:tcPr>
          <w:p>
            <w:pPr>
              <w:spacing w:after="0"/>
              <w:rPr>
                <w:sz w:val="20"/>
                <w:szCs w:val="20"/>
                <w:color w:val="auto"/>
              </w:rPr>
            </w:pPr>
            <w:r>
              <w:rPr>
                <w:rFonts w:ascii="Arial" w:cs="Arial" w:eastAsia="Arial" w:hAnsi="Arial"/>
                <w:sz w:val="18"/>
                <w:szCs w:val="18"/>
                <w:color w:val="auto"/>
              </w:rPr>
              <w:t>Mitsubishi UFJ Securities (USA), Inc.</w:t>
            </w:r>
          </w:p>
        </w:tc>
        <w:tc>
          <w:tcPr>
            <w:tcW w:w="660" w:type="dxa"/>
            <w:vAlign w:val="bottom"/>
          </w:tcPr>
          <w:p>
            <w:pPr>
              <w:spacing w:after="0"/>
              <w:rPr>
                <w:sz w:val="24"/>
                <w:szCs w:val="24"/>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Mizuho Securities USA Inc.</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1633 Broadway, 29th Floor</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320 Park Avenue, 12th Floor</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New York, New York 10019</w:t>
            </w:r>
          </w:p>
        </w:tc>
        <w:tc>
          <w:tcPr>
            <w:tcW w:w="660" w:type="dxa"/>
            <w:vAlign w:val="bottom"/>
          </w:tcPr>
          <w:p>
            <w:pPr>
              <w:spacing w:after="0"/>
              <w:rPr>
                <w:sz w:val="20"/>
                <w:szCs w:val="20"/>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New York, New York 10022</w:t>
            </w:r>
          </w:p>
        </w:tc>
      </w:tr>
      <w:tr>
        <w:trPr>
          <w:trHeight w:val="323"/>
        </w:trPr>
        <w:tc>
          <w:tcPr>
            <w:tcW w:w="340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660" w:type="dxa"/>
            <w:vAlign w:val="bottom"/>
          </w:tcPr>
          <w:p>
            <w:pPr>
              <w:spacing w:after="0"/>
              <w:rPr>
                <w:sz w:val="24"/>
                <w:szCs w:val="24"/>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Raymond James &amp; Associates, Inc.</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1585 Broadway</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880 Carillon Parkway</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New York, New York 10036</w:t>
            </w:r>
          </w:p>
        </w:tc>
        <w:tc>
          <w:tcPr>
            <w:tcW w:w="660" w:type="dxa"/>
            <w:vAlign w:val="bottom"/>
          </w:tcPr>
          <w:p>
            <w:pPr>
              <w:spacing w:after="0"/>
              <w:rPr>
                <w:sz w:val="20"/>
                <w:szCs w:val="20"/>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St. Petersburg, Florida 33716</w:t>
            </w:r>
          </w:p>
        </w:tc>
      </w:tr>
      <w:tr>
        <w:trPr>
          <w:trHeight w:val="323"/>
        </w:trPr>
        <w:tc>
          <w:tcPr>
            <w:tcW w:w="3400" w:type="dxa"/>
            <w:vAlign w:val="bottom"/>
          </w:tcPr>
          <w:p>
            <w:pPr>
              <w:spacing w:after="0"/>
              <w:rPr>
                <w:sz w:val="20"/>
                <w:szCs w:val="20"/>
                <w:color w:val="auto"/>
              </w:rPr>
            </w:pPr>
            <w:r>
              <w:rPr>
                <w:rFonts w:ascii="Arial" w:cs="Arial" w:eastAsia="Arial" w:hAnsi="Arial"/>
                <w:sz w:val="18"/>
                <w:szCs w:val="18"/>
                <w:color w:val="auto"/>
              </w:rPr>
              <w:t>RBC Capital Markets, LLC</w:t>
            </w:r>
          </w:p>
        </w:tc>
        <w:tc>
          <w:tcPr>
            <w:tcW w:w="660" w:type="dxa"/>
            <w:vAlign w:val="bottom"/>
          </w:tcPr>
          <w:p>
            <w:pPr>
              <w:spacing w:after="0"/>
              <w:rPr>
                <w:sz w:val="24"/>
                <w:szCs w:val="24"/>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Robert W. Baird &amp; Co. Incorporated</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Three World Financial Center, 8th Floor</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8000 Maryland Avenue Ste. 500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200 Vesey Street</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St. Louis, Missouri 63105</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New York, New York 10281</w:t>
            </w:r>
          </w:p>
        </w:tc>
        <w:tc>
          <w:tcPr>
            <w:tcW w:w="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23"/>
        </w:trPr>
        <w:tc>
          <w:tcPr>
            <w:tcW w:w="3400" w:type="dxa"/>
            <w:vAlign w:val="bottom"/>
          </w:tcPr>
          <w:p>
            <w:pPr>
              <w:spacing w:after="0"/>
              <w:rPr>
                <w:sz w:val="20"/>
                <w:szCs w:val="20"/>
                <w:color w:val="auto"/>
              </w:rPr>
            </w:pPr>
            <w:r>
              <w:rPr>
                <w:rFonts w:ascii="Arial" w:cs="Arial" w:eastAsia="Arial" w:hAnsi="Arial"/>
                <w:sz w:val="18"/>
                <w:szCs w:val="18"/>
                <w:color w:val="auto"/>
              </w:rPr>
              <w:t>Scotia Capital (USA) Inc.</w:t>
            </w:r>
          </w:p>
        </w:tc>
        <w:tc>
          <w:tcPr>
            <w:tcW w:w="660" w:type="dxa"/>
            <w:vAlign w:val="bottom"/>
          </w:tcPr>
          <w:p>
            <w:pPr>
              <w:spacing w:after="0"/>
              <w:rPr>
                <w:sz w:val="24"/>
                <w:szCs w:val="24"/>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SG Americas Securities, LLC</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250 Vesey Street, 24th Floor</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245 Park Avenue</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New York, New York 10281</w:t>
            </w:r>
          </w:p>
        </w:tc>
        <w:tc>
          <w:tcPr>
            <w:tcW w:w="660" w:type="dxa"/>
            <w:vAlign w:val="bottom"/>
          </w:tcPr>
          <w:p>
            <w:pPr>
              <w:spacing w:after="0"/>
              <w:rPr>
                <w:sz w:val="20"/>
                <w:szCs w:val="20"/>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New York, New York 10167</w:t>
            </w:r>
          </w:p>
        </w:tc>
      </w:tr>
      <w:tr>
        <w:trPr>
          <w:trHeight w:val="323"/>
        </w:trPr>
        <w:tc>
          <w:tcPr>
            <w:tcW w:w="3400" w:type="dxa"/>
            <w:vAlign w:val="bottom"/>
          </w:tcPr>
          <w:p>
            <w:pPr>
              <w:spacing w:after="0"/>
              <w:rPr>
                <w:sz w:val="20"/>
                <w:szCs w:val="20"/>
                <w:color w:val="auto"/>
              </w:rPr>
            </w:pPr>
            <w:r>
              <w:rPr>
                <w:rFonts w:ascii="Arial" w:cs="Arial" w:eastAsia="Arial" w:hAnsi="Arial"/>
                <w:sz w:val="18"/>
                <w:szCs w:val="18"/>
                <w:color w:val="auto"/>
              </w:rPr>
              <w:t>SunTrust Robinson Humphrey, Inc.</w:t>
            </w:r>
          </w:p>
        </w:tc>
        <w:tc>
          <w:tcPr>
            <w:tcW w:w="660" w:type="dxa"/>
            <w:vAlign w:val="bottom"/>
          </w:tcPr>
          <w:p>
            <w:pPr>
              <w:spacing w:after="0"/>
              <w:rPr>
                <w:sz w:val="24"/>
                <w:szCs w:val="24"/>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Tudor, Pickering, Holt &amp; Co. Securities, Inc.</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3333 Peachtree Road, NE, 11th Floor</w:t>
            </w:r>
          </w:p>
        </w:tc>
        <w:tc>
          <w:tcPr>
            <w:tcW w:w="66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1111 Bagby Street, Ste. 5100</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Atlanta, Georgia 30326</w:t>
            </w:r>
          </w:p>
        </w:tc>
        <w:tc>
          <w:tcPr>
            <w:tcW w:w="660" w:type="dxa"/>
            <w:vAlign w:val="bottom"/>
          </w:tcPr>
          <w:p>
            <w:pPr>
              <w:spacing w:after="0"/>
              <w:rPr>
                <w:sz w:val="20"/>
                <w:szCs w:val="20"/>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Houston, Texas 77002</w:t>
            </w:r>
          </w:p>
        </w:tc>
      </w:tr>
    </w:tbl>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-215900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1330 Post Oak Blvd., Suite 900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16" w:lineRule="exact"/>
        <w:rPr>
          <w:sz w:val="20"/>
          <w:szCs w:val="20"/>
          <w:color w:val="auto"/>
        </w:rPr>
      </w:pPr>
    </w:p>
    <w:p>
      <w:pPr>
        <w:sectPr>
          <w:pgSz w:w="11900" w:h="16838" w:orient="portrait"/>
          <w:cols w:equalWidth="0" w:num="2">
            <w:col w:w="3400" w:space="720"/>
            <w:col w:w="7300"/>
          </w:cols>
          <w:pgMar w:left="240" w:top="274" w:right="239" w:bottom="1440" w:gutter="0" w:footer="0" w:header="0"/>
        </w:sectPr>
      </w:pPr>
    </w:p>
    <w:p>
      <w:pPr>
        <w:spacing w:after="0"/>
        <w:rPr>
          <w:sz w:val="20"/>
          <w:szCs w:val="20"/>
          <w:color w:val="auto"/>
        </w:rPr>
      </w:pPr>
      <w:r>
        <w:rPr>
          <w:rFonts w:ascii="Arial" w:cs="Arial" w:eastAsia="Arial" w:hAnsi="Arial"/>
          <w:sz w:val="16"/>
          <w:szCs w:val="16"/>
          <w:color w:val="auto"/>
        </w:rPr>
        <w:t>Wells Fargo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10152</w:t>
      </w:r>
    </w:p>
    <w:p>
      <w:pPr>
        <w:sectPr>
          <w:pgSz w:w="11900" w:h="16838" w:orient="portrait"/>
          <w:cols w:equalWidth="0" w:num="1">
            <w:col w:w="11420"/>
          </w:cols>
          <w:pgMar w:left="240" w:top="274" w:right="23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6"/>
          <w:szCs w:val="16"/>
          <w:color w:val="auto"/>
        </w:rPr>
        <w:t>Plains All American Pipeline,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Citigroup Global Markets Inc., Barclays Capital Inc., BB&amp;T Capital Markets, a division of BB&amp;T Securities, LLC, BMO Capital Markets Corp., Deutsche Bank Securities Inc., J.P. Morgan Securities LLC, Jefferies LLC, Merrill Lynch, Pierce, Fenner &amp; Smith Incorporated, Mitsubishi UFJ Securities (USA), Inc., Mizuho Securities USA Inc., Morgan Stanley &amp; Co. LLC, Raymond James &amp; Associates, Inc., RBC Capital Markets, LLC, Robert W. Baird &amp; Co.</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Incorporated, Scotia Capital (USA) Inc., SG Americas Securities, LLC, SunTrust Robinson Humphrey, Inc., Tudor, Pickering, Holt &amp; Co. Securities, Inc., UBS Securities LLC, USCA Securities LLC, and Wells Fargo Securities, LLC (the “</w:t>
      </w:r>
      <w:r>
        <w:rPr>
          <w:rFonts w:ascii="Arial" w:cs="Arial" w:eastAsia="Arial" w:hAnsi="Arial"/>
          <w:sz w:val="18"/>
          <w:szCs w:val="18"/>
          <w:u w:val="single" w:color="auto"/>
          <w:color w:val="auto"/>
        </w:rPr>
        <w:t>Managers</w:t>
      </w:r>
      <w:r>
        <w:rPr>
          <w:rFonts w:ascii="Arial" w:cs="Arial" w:eastAsia="Arial" w:hAnsi="Arial"/>
          <w:sz w:val="18"/>
          <w:szCs w:val="18"/>
          <w:color w:val="auto"/>
        </w:rPr>
        <w:t>”) as follows:</w:t>
      </w:r>
    </w:p>
    <w:p>
      <w:pPr>
        <w:spacing w:after="0" w:line="76" w:lineRule="exact"/>
        <w:rPr>
          <w:sz w:val="20"/>
          <w:szCs w:val="20"/>
          <w:color w:val="auto"/>
        </w:rPr>
      </w:pPr>
    </w:p>
    <w:p>
      <w:pPr>
        <w:ind w:firstLine="464"/>
        <w:spacing w:after="0" w:line="270"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Description of Units</w:t>
      </w:r>
      <w:r>
        <w:rPr>
          <w:rFonts w:ascii="Arial" w:cs="Arial" w:eastAsia="Arial" w:hAnsi="Arial"/>
          <w:sz w:val="17"/>
          <w:szCs w:val="17"/>
          <w:color w:val="auto"/>
        </w:rPr>
        <w:t>. The Partnership proposes to issue and sell through or to the Managers, as sales agents and/or principals, common units representing limited partner interests in the Partnership (“</w:t>
      </w:r>
      <w:r>
        <w:rPr>
          <w:rFonts w:ascii="Arial" w:cs="Arial" w:eastAsia="Arial" w:hAnsi="Arial"/>
          <w:sz w:val="17"/>
          <w:szCs w:val="17"/>
          <w:u w:val="single" w:color="auto"/>
          <w:color w:val="auto"/>
        </w:rPr>
        <w:t>Common Units</w:t>
      </w:r>
      <w:r>
        <w:rPr>
          <w:rFonts w:ascii="Arial" w:cs="Arial" w:eastAsia="Arial" w:hAnsi="Arial"/>
          <w:sz w:val="17"/>
          <w:szCs w:val="17"/>
          <w:color w:val="auto"/>
        </w:rPr>
        <w:t>”), having an aggregate gross sales price of up to $900,000,000 (the “</w:t>
      </w:r>
      <w:r>
        <w:rPr>
          <w:rFonts w:ascii="Arial" w:cs="Arial" w:eastAsia="Arial" w:hAnsi="Arial"/>
          <w:sz w:val="17"/>
          <w:szCs w:val="17"/>
          <w:u w:val="single" w:color="auto"/>
          <w:color w:val="auto"/>
        </w:rPr>
        <w:t>Units</w:t>
      </w:r>
      <w:r>
        <w:rPr>
          <w:rFonts w:ascii="Arial" w:cs="Arial" w:eastAsia="Arial" w:hAnsi="Arial"/>
          <w:sz w:val="17"/>
          <w:szCs w:val="17"/>
          <w:color w:val="auto"/>
        </w:rPr>
        <w:t>”), from time to time during the term of this Agreement and on the terms set forth in Section 3 hereof. For the avoidance of doubt, the term Units as used in this Agreement refers only to the Common Units to be sold pursuant to this Agreement. The Units are further described in the Prospectus referred to herein. For purposes of selling the Units through the Managers, the Partnership hereby appoints the Managers as the exclusive agents of the Partnership for the purpose of soliciting purchases of the Units from the Partnership pursuant to this Agreement and each Manager agrees to use its reasonable efforts to solicit purchases of the Units on the terms and subject to the conditions stated herein. The Partnership agrees that whenever it determines to sell Units directly to any Manager as principal, it will enter into a separate agreement (each, a “</w:t>
      </w:r>
      <w:r>
        <w:rPr>
          <w:rFonts w:ascii="Arial" w:cs="Arial" w:eastAsia="Arial" w:hAnsi="Arial"/>
          <w:sz w:val="17"/>
          <w:szCs w:val="17"/>
          <w:u w:val="single" w:color="auto"/>
          <w:color w:val="auto"/>
        </w:rPr>
        <w:t>Terms Agreement</w:t>
      </w:r>
      <w:r>
        <w:rPr>
          <w:rFonts w:ascii="Arial" w:cs="Arial" w:eastAsia="Arial" w:hAnsi="Arial"/>
          <w:sz w:val="17"/>
          <w:szCs w:val="17"/>
          <w:color w:val="auto"/>
        </w:rPr>
        <w:t>”) in substantially the form of Annex I hereto, relating to such sale in accordance with Section 3 hereof. Certain terms used herein are defined in Section 20 hereof.</w:t>
      </w:r>
    </w:p>
    <w:p>
      <w:pPr>
        <w:spacing w:after="0" w:line="73" w:lineRule="exact"/>
        <w:rPr>
          <w:rFonts w:ascii="Arial" w:cs="Arial" w:eastAsia="Arial" w:hAnsi="Arial"/>
          <w:sz w:val="17"/>
          <w:szCs w:val="17"/>
          <w:color w:val="auto"/>
        </w:rPr>
      </w:pPr>
    </w:p>
    <w:p>
      <w:pPr>
        <w:ind w:right="100" w:firstLine="464"/>
        <w:spacing w:after="0" w:line="30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Partnership represents and warrants to, and agrees with, each Manager at the Execution Time and on each such time the following representations and warranties are repeated or deemed to be made pursuant to this Agreement, as set forth below.</w:t>
      </w:r>
    </w:p>
    <w:p>
      <w:pPr>
        <w:spacing w:after="0" w:line="38" w:lineRule="exact"/>
        <w:rPr>
          <w:rFonts w:ascii="Arial" w:cs="Arial" w:eastAsia="Arial" w:hAnsi="Arial"/>
          <w:sz w:val="17"/>
          <w:szCs w:val="17"/>
          <w:color w:val="auto"/>
        </w:rPr>
      </w:pPr>
    </w:p>
    <w:p>
      <w:pPr>
        <w:ind w:left="460" w:right="440" w:firstLine="443"/>
        <w:spacing w:after="0" w:line="308" w:lineRule="auto"/>
        <w:tabs>
          <w:tab w:leader="none" w:pos="1143"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Registration</w:t>
      </w:r>
      <w:r>
        <w:rPr>
          <w:rFonts w:ascii="Arial" w:cs="Arial" w:eastAsia="Arial" w:hAnsi="Arial"/>
          <w:sz w:val="17"/>
          <w:szCs w:val="17"/>
          <w:color w:val="auto"/>
        </w:rPr>
        <w:t>. The Partnership meets the requirements for use of Form S-3 under the Act. The Partnership has prepared and filed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a registration statement (File Number 333-184135) on Form S-3 (including a related Base 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type w:val="continuous"/>
        </w:sectPr>
      </w:pPr>
    </w:p>
    <w:bookmarkStart w:id="6" w:name="page7"/>
    <w:bookmarkEnd w:id="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registration of the offering and sale of Common Units, including the Units, under the Act, and such Registration Statement, including any amendments thereto filed prior to the Execution Time or prior to any such time this representation is repeated or deemed to be made, has become effective. The Partnership has filed with the Commission the Prospectus Supplement relating to the Units in accordance with Rule 424(b). As filed, the Prospectus Supplement contains all information required by the Act and the rules thereunder and, except to the extent the Managers shall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Units, met or will meet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Partnership files a successor registration statement with respect to the Units,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 As used herein, the term “Incorporated Documents” means the documents that at the time are incorporated by reference in the Registration Statement, the Base Prospectus, the Prospectus Supplement or the Prospectus or any amendment or supplement thereto.</w:t>
      </w:r>
    </w:p>
    <w:p>
      <w:pPr>
        <w:spacing w:after="0" w:line="72" w:lineRule="exact"/>
        <w:rPr>
          <w:sz w:val="20"/>
          <w:szCs w:val="20"/>
          <w:color w:val="auto"/>
        </w:rPr>
      </w:pPr>
    </w:p>
    <w:p>
      <w:pPr>
        <w:ind w:firstLine="443"/>
        <w:spacing w:after="0" w:line="257"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On each Effective Date, at the Execution Time, at each Applicable Time,</w:t>
      </w:r>
      <w:r>
        <w:rPr>
          <w:rFonts w:ascii="Arial" w:cs="Arial" w:eastAsia="Arial" w:hAnsi="Arial"/>
          <w:sz w:val="18"/>
          <w:szCs w:val="18"/>
          <w:i w:val="1"/>
          <w:iCs w:val="1"/>
          <w:color w:val="auto"/>
        </w:rPr>
        <w:t xml:space="preserve"> </w:t>
      </w:r>
      <w:r>
        <w:rPr>
          <w:rFonts w:ascii="Arial" w:cs="Arial" w:eastAsia="Arial" w:hAnsi="Arial"/>
          <w:sz w:val="18"/>
          <w:szCs w:val="18"/>
          <w:color w:val="auto"/>
        </w:rPr>
        <w:t>at each Settlement Date and at all times during which a prospectus is required by the Act to be delivered (whether physically, deemed to be delivered pursuant to Rule 153 or through compliance with Rule 172 or any similar rule) in connection with any offer or sale of Units, the Registration Statement complied and will comply in all material respects with the applicable requirements of the Act and the Exchange Act and the respective rules thereunder, and did not and will not contain any untrue statement of a material fact or</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7" w:name="page8"/>
    <w:bookmarkEnd w:id="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omit to state a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Units, the Prospectus (together with any supplement thereto) complied and will comply in all material respects with the applicable requirements of the Act and the Exchange Act and the respective rules thereunder, and did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Partnership makes no representations or warranties as to any statement contained in or omitted from the Registration Statement or the Prospectus (or any supplement thereto) in reliance upon and in conformity with information furnished in writing to the Partnership by any of the Managers specifically for use with respect to the Registration Statement or the Prospectus (or any supplement thereto), which information is specified in Section 19.</w:t>
      </w:r>
    </w:p>
    <w:p>
      <w:pPr>
        <w:spacing w:after="0" w:line="70" w:lineRule="exact"/>
        <w:rPr>
          <w:sz w:val="20"/>
          <w:szCs w:val="20"/>
          <w:color w:val="auto"/>
        </w:rPr>
      </w:pPr>
    </w:p>
    <w:p>
      <w:pPr>
        <w:ind w:right="340" w:firstLine="443"/>
        <w:spacing w:after="0" w:line="264" w:lineRule="auto"/>
        <w:tabs>
          <w:tab w:leader="none" w:pos="683"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Ineligible Issuer</w:t>
      </w:r>
      <w:r>
        <w:rPr>
          <w:rFonts w:ascii="Arial" w:cs="Arial" w:eastAsia="Arial" w:hAnsi="Arial"/>
          <w:sz w:val="18"/>
          <w:szCs w:val="18"/>
          <w:color w:val="auto"/>
        </w:rPr>
        <w:t>. For purposes of each offering of the Units pursuant to transactions under this Agreement that are not firm commitment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underwritings, the Partnership will be an “ineligible issuer” (as defined in Rule 405 of the Act) as of each relevant eligibility determination date for purposes of Rules 164 and 433 under the Act.</w:t>
      </w:r>
    </w:p>
    <w:p>
      <w:pPr>
        <w:spacing w:after="0" w:line="73" w:lineRule="exact"/>
        <w:rPr>
          <w:rFonts w:ascii="Arial" w:cs="Arial" w:eastAsia="Arial" w:hAnsi="Arial"/>
          <w:sz w:val="18"/>
          <w:szCs w:val="18"/>
          <w:color w:val="auto"/>
        </w:rPr>
      </w:pPr>
    </w:p>
    <w:p>
      <w:pPr>
        <w:ind w:right="180" w:firstLine="443"/>
        <w:spacing w:after="0" w:line="291" w:lineRule="auto"/>
        <w:tabs>
          <w:tab w:leader="none" w:pos="693"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No Other Prospectus</w:t>
      </w:r>
      <w:r>
        <w:rPr>
          <w:rFonts w:ascii="Arial" w:cs="Arial" w:eastAsia="Arial" w:hAnsi="Arial"/>
          <w:sz w:val="16"/>
          <w:szCs w:val="16"/>
          <w:color w:val="auto"/>
        </w:rPr>
        <w:t>. Prior to the execution of this Agreement, the Partnership has not, directly or indirectly, offered or sold any Units by</w:t>
      </w:r>
      <w:r>
        <w:rPr>
          <w:rFonts w:ascii="Arial" w:cs="Arial" w:eastAsia="Arial" w:hAnsi="Arial"/>
          <w:sz w:val="16"/>
          <w:szCs w:val="16"/>
          <w:i w:val="1"/>
          <w:iCs w:val="1"/>
          <w:color w:val="auto"/>
        </w:rPr>
        <w:t xml:space="preserve"> </w:t>
      </w:r>
      <w:r>
        <w:rPr>
          <w:rFonts w:ascii="Arial" w:cs="Arial" w:eastAsia="Arial" w:hAnsi="Arial"/>
          <w:sz w:val="16"/>
          <w:szCs w:val="16"/>
          <w:color w:val="auto"/>
        </w:rPr>
        <w:t>means of any “prospectus” (in each case within the meaning of the Act) or used any “prospectus” (in each case within the meaning of the Act) in connection with the offer or sale of Units, and from and after the execution of this Agreement, the Partnership will not, directly or indirectly, offer or sell any Units pursuant to this Agreement by means of any “prospectus” (within the meaning of the Act) or use any “prospectus” (within the meaning of the Act) in connection with any such offer or sale of the Units, other than the Prospectus, as amended or supplemented from time to time in accordance with the provisions of this Agreement; the Partnership has not, directly or indirectly, prepared, used or referred to any Issuer Free Writing Prospectus, as defined in Rule 433, in connection with offers or sales of Units pursuant to this Agreement.</w:t>
      </w:r>
    </w:p>
    <w:p>
      <w:pPr>
        <w:spacing w:after="0" w:line="59" w:lineRule="exact"/>
        <w:rPr>
          <w:rFonts w:ascii="Arial" w:cs="Arial" w:eastAsia="Arial" w:hAnsi="Arial"/>
          <w:sz w:val="16"/>
          <w:szCs w:val="16"/>
          <w:color w:val="auto"/>
        </w:rPr>
      </w:pPr>
    </w:p>
    <w:p>
      <w:pPr>
        <w:ind w:right="20" w:firstLine="443"/>
        <w:spacing w:after="0" w:line="342" w:lineRule="auto"/>
        <w:tabs>
          <w:tab w:leader="none" w:pos="683"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Proceedings under the Act</w:t>
      </w:r>
      <w:r>
        <w:rPr>
          <w:rFonts w:ascii="Arial" w:cs="Arial" w:eastAsia="Arial" w:hAnsi="Arial"/>
          <w:sz w:val="16"/>
          <w:szCs w:val="16"/>
          <w:color w:val="auto"/>
        </w:rPr>
        <w:t>. The Registration Statement is not the subject of a pending proceeding or examination under Section 8(d) or 8(e)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Act, and the Partnership is not the subject of a pending proceeding under Section 8A of the Act in connection with the offering of the Units.</w:t>
      </w:r>
    </w:p>
    <w:p>
      <w:pPr>
        <w:spacing w:after="0" w:line="15" w:lineRule="exact"/>
        <w:rPr>
          <w:rFonts w:ascii="Arial" w:cs="Arial" w:eastAsia="Arial" w:hAnsi="Arial"/>
          <w:sz w:val="16"/>
          <w:szCs w:val="16"/>
          <w:color w:val="auto"/>
        </w:rPr>
      </w:pPr>
    </w:p>
    <w:p>
      <w:pPr>
        <w:ind w:right="180" w:firstLine="443"/>
        <w:spacing w:after="0" w:line="277" w:lineRule="auto"/>
        <w:tabs>
          <w:tab w:leader="none" w:pos="663"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Regulation M</w:t>
      </w:r>
      <w:r>
        <w:rPr>
          <w:rFonts w:ascii="Arial" w:cs="Arial" w:eastAsia="Arial" w:hAnsi="Arial"/>
          <w:sz w:val="18"/>
          <w:szCs w:val="18"/>
          <w:color w:val="auto"/>
        </w:rPr>
        <w:t>. The Common Units are an “actively traded security” exempted from the requirements of Rule 101 of Regulation M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by subsection (c)(1) of such rule.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8" w:name="page9"/>
    <w:bookmarkEnd w:id="8"/>
    <w:p>
      <w:pPr>
        <w:ind w:right="60" w:firstLine="443"/>
        <w:spacing w:after="0" w:line="264" w:lineRule="auto"/>
        <w:tabs>
          <w:tab w:leader="none" w:pos="693"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Stabilization</w:t>
      </w:r>
      <w:r>
        <w:rPr>
          <w:rFonts w:ascii="Arial" w:cs="Arial" w:eastAsia="Arial" w:hAnsi="Arial"/>
          <w:sz w:val="18"/>
          <w:szCs w:val="18"/>
          <w:color w:val="auto"/>
        </w:rPr>
        <w:t>. Except as stated in this Agreement, any Terms Agreement and the Prospectus, the Partnership has not taken, nor will it</w:t>
      </w:r>
      <w:r>
        <w:rPr>
          <w:rFonts w:ascii="Arial" w:cs="Arial" w:eastAsia="Arial" w:hAnsi="Arial"/>
          <w:sz w:val="18"/>
          <w:szCs w:val="18"/>
          <w:i w:val="1"/>
          <w:iCs w:val="1"/>
          <w:color w:val="auto"/>
        </w:rPr>
        <w:t xml:space="preserve"> </w:t>
      </w:r>
      <w:r>
        <w:rPr>
          <w:rFonts w:ascii="Arial" w:cs="Arial" w:eastAsia="Arial" w:hAnsi="Arial"/>
          <w:sz w:val="18"/>
          <w:szCs w:val="18"/>
          <w:color w:val="auto"/>
        </w:rPr>
        <w:t>take, directly or indirectly, any action designed to or that might reasonably be expected to cause or result in stabilization or manipulation of the price of the Common Units to facilitate the sale or resale of the Units.</w:t>
      </w:r>
    </w:p>
    <w:p>
      <w:pPr>
        <w:spacing w:after="0" w:line="73" w:lineRule="exact"/>
        <w:rPr>
          <w:rFonts w:ascii="Arial" w:cs="Arial" w:eastAsia="Arial" w:hAnsi="Arial"/>
          <w:sz w:val="18"/>
          <w:szCs w:val="18"/>
          <w:color w:val="auto"/>
        </w:rPr>
      </w:pPr>
    </w:p>
    <w:p>
      <w:pPr>
        <w:ind w:firstLine="443"/>
        <w:spacing w:after="0" w:line="291" w:lineRule="auto"/>
        <w:tabs>
          <w:tab w:leader="none" w:pos="693"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Other Sales Agency Agreements</w:t>
      </w:r>
      <w:r>
        <w:rPr>
          <w:rFonts w:ascii="Arial" w:cs="Arial" w:eastAsia="Arial" w:hAnsi="Arial"/>
          <w:sz w:val="16"/>
          <w:szCs w:val="16"/>
          <w:color w:val="auto"/>
        </w:rPr>
        <w:t>. Except pursuant to this Agreement, the Partnership has not entered into any other sales agency agreements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similar arrangements with any agent or any other representative in respect of at the market offerings of the Units in accordance with Rule 415(a)</w:t>
      </w:r>
    </w:p>
    <w:p>
      <w:pPr>
        <w:ind w:left="260" w:hanging="256"/>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the Act.</w:t>
      </w:r>
    </w:p>
    <w:p>
      <w:pPr>
        <w:spacing w:after="0" w:line="102" w:lineRule="exact"/>
        <w:rPr>
          <w:rFonts w:ascii="Arial" w:cs="Arial" w:eastAsia="Arial" w:hAnsi="Arial"/>
          <w:sz w:val="18"/>
          <w:szCs w:val="18"/>
          <w:color w:val="auto"/>
        </w:rPr>
      </w:pPr>
    </w:p>
    <w:p>
      <w:pPr>
        <w:ind w:right="620" w:firstLine="443"/>
        <w:spacing w:after="0" w:line="308" w:lineRule="auto"/>
        <w:tabs>
          <w:tab w:leader="none" w:pos="653"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Brokers</w:t>
      </w:r>
      <w:r>
        <w:rPr>
          <w:rFonts w:ascii="Arial" w:cs="Arial" w:eastAsia="Arial" w:hAnsi="Arial"/>
          <w:sz w:val="17"/>
          <w:szCs w:val="17"/>
          <w:color w:val="auto"/>
        </w:rPr>
        <w:t>. Except pursuant to this Agreement, there is no broker, finder or other party that is entitled to receive from the Partnership any</w:t>
      </w:r>
      <w:r>
        <w:rPr>
          <w:rFonts w:ascii="Arial" w:cs="Arial" w:eastAsia="Arial" w:hAnsi="Arial"/>
          <w:sz w:val="17"/>
          <w:szCs w:val="17"/>
          <w:i w:val="1"/>
          <w:iCs w:val="1"/>
          <w:color w:val="auto"/>
        </w:rPr>
        <w:t xml:space="preserve"> </w:t>
      </w:r>
      <w:r>
        <w:rPr>
          <w:rFonts w:ascii="Arial" w:cs="Arial" w:eastAsia="Arial" w:hAnsi="Arial"/>
          <w:sz w:val="17"/>
          <w:szCs w:val="17"/>
          <w:color w:val="auto"/>
        </w:rPr>
        <w:t>brokerage or finder’s fee or other fee or commission as a result of any transactions contemplated by this Agreement.</w:t>
      </w:r>
    </w:p>
    <w:p>
      <w:pPr>
        <w:spacing w:after="0" w:line="38" w:lineRule="exact"/>
        <w:rPr>
          <w:rFonts w:ascii="Arial" w:cs="Arial" w:eastAsia="Arial" w:hAnsi="Arial"/>
          <w:sz w:val="17"/>
          <w:szCs w:val="17"/>
          <w:color w:val="auto"/>
        </w:rPr>
      </w:pPr>
    </w:p>
    <w:p>
      <w:pPr>
        <w:ind w:right="40" w:firstLine="443"/>
        <w:spacing w:after="0" w:line="286" w:lineRule="auto"/>
        <w:tabs>
          <w:tab w:leader="none" w:pos="653"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Formation and Qualification of Certain Entities</w:t>
      </w:r>
      <w:r>
        <w:rPr>
          <w:rFonts w:ascii="Arial" w:cs="Arial" w:eastAsia="Arial" w:hAnsi="Arial"/>
          <w:sz w:val="16"/>
          <w:szCs w:val="16"/>
          <w:color w:val="auto"/>
        </w:rPr>
        <w:t>. Each of the Partnership, PAA GP LLC, a Delaware limited liability company and the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of the Partnership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Plains AAP, L.P., a Delaware limited partnership and the sole member of the General Partner (“</w:t>
      </w:r>
      <w:r>
        <w:rPr>
          <w:rFonts w:ascii="Arial" w:cs="Arial" w:eastAsia="Arial" w:hAnsi="Arial"/>
          <w:sz w:val="16"/>
          <w:szCs w:val="16"/>
          <w:u w:val="single" w:color="auto"/>
          <w:color w:val="auto"/>
        </w:rPr>
        <w:t>Plains AAP</w:t>
      </w:r>
      <w:r>
        <w:rPr>
          <w:rFonts w:ascii="Arial" w:cs="Arial" w:eastAsia="Arial" w:hAnsi="Arial"/>
          <w:sz w:val="16"/>
          <w:szCs w:val="16"/>
          <w:color w:val="auto"/>
        </w:rPr>
        <w:t>”), Plains All American GP LLC, a Delaware limited liability company and the general partner of Plains AAP (“</w:t>
      </w:r>
      <w:r>
        <w:rPr>
          <w:rFonts w:ascii="Arial" w:cs="Arial" w:eastAsia="Arial" w:hAnsi="Arial"/>
          <w:sz w:val="16"/>
          <w:szCs w:val="16"/>
          <w:u w:val="single" w:color="auto"/>
          <w:color w:val="auto"/>
        </w:rPr>
        <w:t>GP LLC</w:t>
      </w:r>
      <w:r>
        <w:rPr>
          <w:rFonts w:ascii="Arial" w:cs="Arial" w:eastAsia="Arial" w:hAnsi="Arial"/>
          <w:sz w:val="16"/>
          <w:szCs w:val="16"/>
          <w:color w:val="auto"/>
        </w:rPr>
        <w:t>” and, collectively with the General Partner and Plains AAP, the “</w:t>
      </w:r>
      <w:r>
        <w:rPr>
          <w:rFonts w:ascii="Arial" w:cs="Arial" w:eastAsia="Arial" w:hAnsi="Arial"/>
          <w:sz w:val="16"/>
          <w:szCs w:val="16"/>
          <w:u w:val="single" w:color="auto"/>
          <w:color w:val="auto"/>
        </w:rPr>
        <w:t>GP Entities</w:t>
      </w:r>
      <w:r>
        <w:rPr>
          <w:rFonts w:ascii="Arial" w:cs="Arial" w:eastAsia="Arial" w:hAnsi="Arial"/>
          <w:sz w:val="16"/>
          <w:szCs w:val="16"/>
          <w:color w:val="auto"/>
        </w:rPr>
        <w:t xml:space="preserve">”), and the subsidiaries of the Partnership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(as updated from time to time with any affirmation of this representation, collectively, the “</w:t>
      </w:r>
      <w:r>
        <w:rPr>
          <w:rFonts w:ascii="Arial" w:cs="Arial" w:eastAsia="Arial" w:hAnsi="Arial"/>
          <w:sz w:val="16"/>
          <w:szCs w:val="16"/>
          <w:u w:val="single" w:color="auto"/>
          <w:color w:val="auto"/>
        </w:rPr>
        <w:t>Material Subsidiaries</w:t>
      </w:r>
      <w:r>
        <w:rPr>
          <w:rFonts w:ascii="Arial" w:cs="Arial" w:eastAsia="Arial" w:hAnsi="Arial"/>
          <w:sz w:val="16"/>
          <w:szCs w:val="16"/>
          <w:color w:val="auto"/>
        </w:rPr>
        <w:t>”)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as disclosed in the Prospectus. Each of the Partnership, the GP Entities and the Material Subsidiaries is duly registered or qualified as a foreign corporation, limited partnership, limited liability company or unlimited liability company, as the case may be, and is in good standing under the laws of each jurisdiction which requires such qualification,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and the Partnership (collectively, the “</w:t>
      </w:r>
      <w:r>
        <w:rPr>
          <w:rFonts w:ascii="Arial" w:cs="Arial" w:eastAsia="Arial" w:hAnsi="Arial"/>
          <w:sz w:val="16"/>
          <w:szCs w:val="16"/>
          <w:u w:val="single" w:color="auto"/>
          <w:color w:val="auto"/>
        </w:rPr>
        <w:t>Plains Entities</w:t>
      </w:r>
      <w:r>
        <w:rPr>
          <w:rFonts w:ascii="Arial" w:cs="Arial" w:eastAsia="Arial" w:hAnsi="Arial"/>
          <w:sz w:val="16"/>
          <w:szCs w:val="16"/>
          <w:color w:val="auto"/>
        </w:rPr>
        <w:t>”), taken as a whole (a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Adverse Effect</w:t>
      </w:r>
      <w:r>
        <w:rPr>
          <w:rFonts w:ascii="Arial" w:cs="Arial" w:eastAsia="Arial" w:hAnsi="Arial"/>
          <w:sz w:val="16"/>
          <w:szCs w:val="16"/>
          <w:color w:val="auto"/>
        </w:rPr>
        <w:t>”), or (ii) subject the limited partners of the Partnership to any material liability or disability.</w:t>
      </w:r>
    </w:p>
    <w:p>
      <w:pPr>
        <w:spacing w:after="0" w:line="63" w:lineRule="exact"/>
        <w:rPr>
          <w:rFonts w:ascii="Arial" w:cs="Arial" w:eastAsia="Arial" w:hAnsi="Arial"/>
          <w:sz w:val="16"/>
          <w:szCs w:val="16"/>
          <w:color w:val="auto"/>
        </w:rPr>
      </w:pPr>
    </w:p>
    <w:p>
      <w:pPr>
        <w:ind w:right="160" w:firstLine="443"/>
        <w:spacing w:after="0" w:line="264" w:lineRule="auto"/>
        <w:tabs>
          <w:tab w:leader="none" w:pos="693"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Each Plains Entity or GP Entity that serves as a general partner of another Plains Entity or GP Entity has full corporate or</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power and authority, as the case may be, to serve as general partner of such Plains Entity or GP Entity, in each case in all material respects, as disclosed in the Prospectus.</w:t>
      </w:r>
    </w:p>
    <w:p>
      <w:pPr>
        <w:spacing w:after="0" w:line="73" w:lineRule="exact"/>
        <w:rPr>
          <w:rFonts w:ascii="Arial" w:cs="Arial" w:eastAsia="Arial" w:hAnsi="Arial"/>
          <w:sz w:val="18"/>
          <w:szCs w:val="18"/>
          <w:color w:val="auto"/>
        </w:rPr>
      </w:pPr>
    </w:p>
    <w:p>
      <w:pPr>
        <w:ind w:right="340" w:firstLine="443"/>
        <w:spacing w:after="0" w:line="277" w:lineRule="auto"/>
        <w:tabs>
          <w:tab w:leader="none" w:pos="653"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Ownership of Interests in the Partnership, the General Partner and Plains AAP</w:t>
      </w:r>
      <w:r>
        <w:rPr>
          <w:rFonts w:ascii="Arial" w:cs="Arial" w:eastAsia="Arial" w:hAnsi="Arial"/>
          <w:sz w:val="18"/>
          <w:szCs w:val="18"/>
          <w:color w:val="auto"/>
        </w:rPr>
        <w:t>. The GP Entities hold the general partner and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as disclosed in the Prospectus; all of such interests have been duly authorized and validly issued in</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their respective limited partnership or limited liability company agreement, as applicable, and all the membership interests in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 are fully paid (to the extent required under the Limited Liability Company Agreement of the General Partner (as the same may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or restated prior to the date of determination, such agreement being referred to herein as the “</w:t>
      </w:r>
      <w:r>
        <w:rPr>
          <w:rFonts w:ascii="Arial" w:cs="Arial" w:eastAsia="Arial" w:hAnsi="Arial"/>
          <w:sz w:val="17"/>
          <w:szCs w:val="17"/>
          <w:u w:val="single" w:color="auto"/>
          <w:color w:val="auto"/>
        </w:rPr>
        <w:t>General Partner LLC Agreement</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nonassessable (except as such nonassessability may be affected by Sections 18-607 and 18-804 of the Delaware Limited Liability Company Act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Delaware LLC Act</w:t>
      </w:r>
      <w:r>
        <w:rPr>
          <w:rFonts w:ascii="Arial" w:cs="Arial" w:eastAsia="Arial" w:hAnsi="Arial"/>
          <w:sz w:val="16"/>
          <w:szCs w:val="16"/>
          <w:color w:val="auto"/>
        </w:rPr>
        <w:t>”)); and such general partner and membership interests held by the GP Entities are owned free and clear of all liens, encumbrances,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interests, equities, charges or claims (“</w:t>
      </w:r>
      <w:r>
        <w:rPr>
          <w:rFonts w:ascii="Arial" w:cs="Arial" w:eastAsia="Arial" w:hAnsi="Arial"/>
          <w:sz w:val="16"/>
          <w:szCs w:val="16"/>
          <w:u w:val="single" w:color="auto"/>
          <w:color w:val="auto"/>
        </w:rPr>
        <w:t>Liens</w:t>
      </w:r>
      <w:r>
        <w:rPr>
          <w:rFonts w:ascii="Arial" w:cs="Arial" w:eastAsia="Arial" w:hAnsi="Arial"/>
          <w:sz w:val="16"/>
          <w:szCs w:val="16"/>
          <w:color w:val="auto"/>
        </w:rPr>
        <w:t>”), except (i) as disclosed in the Prospectus or (ii) such as would not reasonably be expected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in a change of control of the Partnership or reasonably be expected to materially adversely affect the ability of the Plains Entities considered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whole to conduct their businesses as currently conducted and as contemplated by the Prospectus to be conducted.</w:t>
      </w:r>
    </w:p>
    <w:p>
      <w:pPr>
        <w:spacing w:after="0" w:line="103" w:lineRule="exact"/>
        <w:rPr>
          <w:sz w:val="20"/>
          <w:szCs w:val="20"/>
          <w:color w:val="auto"/>
        </w:rPr>
      </w:pPr>
    </w:p>
    <w:p>
      <w:pPr>
        <w:ind w:left="740" w:hanging="297"/>
        <w:spacing w:after="0"/>
        <w:tabs>
          <w:tab w:leader="none" w:pos="740"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Ownership of the Material Subsidiaries</w:t>
      </w:r>
      <w:r>
        <w:rPr>
          <w:rFonts w:ascii="Arial" w:cs="Arial" w:eastAsia="Arial" w:hAnsi="Arial"/>
          <w:sz w:val="16"/>
          <w:szCs w:val="16"/>
          <w:color w:val="auto"/>
        </w:rPr>
        <w:t>. All of the outstanding shares of capital stock or other equity interests of each Material Subsidiary</w:t>
      </w:r>
    </w:p>
    <w:p>
      <w:pPr>
        <w:spacing w:after="0" w:line="46" w:lineRule="exact"/>
        <w:rPr>
          <w:rFonts w:ascii="Arial" w:cs="Arial" w:eastAsia="Arial" w:hAnsi="Arial"/>
          <w:sz w:val="16"/>
          <w:szCs w:val="16"/>
          <w:color w:val="auto"/>
        </w:rPr>
      </w:pPr>
    </w:p>
    <w:p>
      <w:pPr>
        <w:ind w:firstLine="4"/>
        <w:spacing w:after="0" w:line="267"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Execution Date and as the same may be adopted, entered into, amended or restated prior to the date of determination) (the “</w:t>
      </w:r>
      <w:r>
        <w:rPr>
          <w:rFonts w:ascii="Arial" w:cs="Arial" w:eastAsia="Arial" w:hAnsi="Arial"/>
          <w:sz w:val="17"/>
          <w:szCs w:val="17"/>
          <w:u w:val="single" w:color="auto"/>
          <w:color w:val="auto"/>
        </w:rPr>
        <w:t>Organizational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Arial" w:cs="Arial" w:eastAsia="Arial" w:hAnsi="Arial"/>
          <w:sz w:val="17"/>
          <w:szCs w:val="17"/>
          <w:u w:val="single" w:color="auto"/>
          <w:color w:val="auto"/>
        </w:rPr>
        <w:t>Delaware LP Act</w:t>
      </w:r>
      <w:r>
        <w:rPr>
          <w:rFonts w:ascii="Arial" w:cs="Arial" w:eastAsia="Arial" w:hAnsi="Arial"/>
          <w:sz w:val="17"/>
          <w:szCs w:val="17"/>
          <w:color w:val="auto"/>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the Partnership, free and clear of all Liens, except for such Liens as are not, individually or in the aggregate, material to such ownership or as described in the Prospectus.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w:t>
      </w:r>
    </w:p>
    <w:p>
      <w:pPr>
        <w:spacing w:after="0" w:line="73" w:lineRule="exact"/>
        <w:rPr>
          <w:rFonts w:ascii="Arial" w:cs="Arial" w:eastAsia="Arial" w:hAnsi="Arial"/>
          <w:sz w:val="17"/>
          <w:szCs w:val="17"/>
          <w:color w:val="auto"/>
        </w:rPr>
      </w:pPr>
    </w:p>
    <w:p>
      <w:pPr>
        <w:ind w:right="400" w:firstLine="443"/>
        <w:spacing w:after="0" w:line="312" w:lineRule="auto"/>
        <w:tabs>
          <w:tab w:leader="none" w:pos="693"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As of the Execution Date, the issued and outstanding limited partner interests of the Partnership consist of 369,500,148</w:t>
      </w:r>
      <w:r>
        <w:rPr>
          <w:rFonts w:ascii="Arial" w:cs="Arial" w:eastAsia="Arial" w:hAnsi="Arial"/>
          <w:sz w:val="16"/>
          <w:szCs w:val="16"/>
          <w:i w:val="1"/>
          <w:iCs w:val="1"/>
          <w:color w:val="auto"/>
        </w:rPr>
        <w:t xml:space="preserve"> </w:t>
      </w:r>
      <w:r>
        <w:rPr>
          <w:rFonts w:ascii="Arial" w:cs="Arial" w:eastAsia="Arial" w:hAnsi="Arial"/>
          <w:sz w:val="16"/>
          <w:szCs w:val="16"/>
          <w:color w:val="auto"/>
        </w:rPr>
        <w:t>Common Units and the Incentive Distribution Rights (as such capitalized term is defined in the Partnership Agreement). All outstanding Common Units and Incentive Distribution Rights and the limited partner interests represented thereby have been duly authorized and validly issued</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4" w:right="259" w:bottom="1440" w:gutter="0" w:footer="0" w:header="0"/>
        </w:sectPr>
      </w:pPr>
    </w:p>
    <w:bookmarkStart w:id="10" w:name="page11"/>
    <w:bookmarkEnd w:id="10"/>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accordance with the Fourth Amended and Restated Agreement of Limited Partnership of the Partnership, dated as of May 17, 2012 (as amended, the “</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Prospectus.</w:t>
      </w:r>
    </w:p>
    <w:p>
      <w:pPr>
        <w:spacing w:after="0" w:line="63" w:lineRule="exact"/>
        <w:rPr>
          <w:sz w:val="20"/>
          <w:szCs w:val="20"/>
          <w:color w:val="auto"/>
        </w:rPr>
      </w:pPr>
    </w:p>
    <w:p>
      <w:pPr>
        <w:jc w:val="both"/>
        <w:ind w:firstLine="443"/>
        <w:spacing w:after="0" w:line="302" w:lineRule="auto"/>
        <w:tabs>
          <w:tab w:leader="none" w:pos="693"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Duly Authorized and Validly Issued Units</w:t>
      </w:r>
      <w:r>
        <w:rPr>
          <w:rFonts w:ascii="Arial" w:cs="Arial" w:eastAsia="Arial" w:hAnsi="Arial"/>
          <w:sz w:val="16"/>
          <w:szCs w:val="16"/>
          <w:color w:val="auto"/>
        </w:rPr>
        <w:t>. At each Applicable Time and at each Settlement Date, the Units to be sold by the Partnership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limited partner interests represented thereby will be duly authorized in accordance with the Partnership Agreement and, when issued and delivered against payment therefor in accordance with the terms hereof, will be validly issued, fully paid (to the extent required under the Partnership Agreement) and nonassessable (except as such nonassessability may be affected by Sections 17-607 and 17-804 of the Delaware LP Act).</w:t>
      </w:r>
    </w:p>
    <w:p>
      <w:pPr>
        <w:spacing w:after="0" w:line="46" w:lineRule="exact"/>
        <w:rPr>
          <w:rFonts w:ascii="Arial" w:cs="Arial" w:eastAsia="Arial" w:hAnsi="Arial"/>
          <w:sz w:val="16"/>
          <w:szCs w:val="16"/>
          <w:color w:val="auto"/>
        </w:rPr>
      </w:pPr>
    </w:p>
    <w:p>
      <w:pPr>
        <w:ind w:right="100" w:firstLine="443"/>
        <w:spacing w:after="0" w:line="285" w:lineRule="auto"/>
        <w:tabs>
          <w:tab w:leader="none" w:pos="693"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No Preemptive or Other Rights</w:t>
      </w:r>
      <w:r>
        <w:rPr>
          <w:rFonts w:ascii="Arial" w:cs="Arial" w:eastAsia="Arial" w:hAnsi="Arial"/>
          <w:sz w:val="16"/>
          <w:szCs w:val="16"/>
          <w:color w:val="auto"/>
        </w:rPr>
        <w:t>. Except as described in the Prospectus or as provided in the Organizational Documents,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preemptive rights or other rights to subscribe for or to purchase, nor any restriction upon the voting or transfer of, any interests in the Partnership pursuant 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Prospectus and</w:t>
      </w:r>
    </w:p>
    <w:p>
      <w:pPr>
        <w:spacing w:after="0" w:line="2" w:lineRule="exact"/>
        <w:rPr>
          <w:rFonts w:ascii="Arial" w:cs="Arial" w:eastAsia="Arial" w:hAnsi="Arial"/>
          <w:sz w:val="16"/>
          <w:szCs w:val="16"/>
          <w:color w:val="auto"/>
        </w:rPr>
      </w:pPr>
    </w:p>
    <w:p>
      <w:pPr>
        <w:ind w:right="240" w:firstLine="4"/>
        <w:spacing w:after="0" w:line="261"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awards issued pursuant to the Partnership’s long-term incentive plans, there are no outstanding rights to purchase any Common Units or other equity interests in the Partnership.</w:t>
      </w:r>
    </w:p>
    <w:p>
      <w:pPr>
        <w:spacing w:after="0" w:line="75" w:lineRule="exact"/>
        <w:rPr>
          <w:rFonts w:ascii="Arial" w:cs="Arial" w:eastAsia="Arial" w:hAnsi="Arial"/>
          <w:sz w:val="18"/>
          <w:szCs w:val="18"/>
          <w:color w:val="auto"/>
        </w:rPr>
      </w:pPr>
    </w:p>
    <w:p>
      <w:pPr>
        <w:ind w:right="20" w:firstLine="443"/>
        <w:spacing w:after="0" w:line="257" w:lineRule="auto"/>
        <w:tabs>
          <w:tab w:leader="none" w:pos="693"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power and authority to issue, sell and deliver the Units, in accordance with and upon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in this Agreement, the Partnership Agreement, the Registration Statement and the Prospectus. At each Settlement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w:t>
      </w:r>
    </w:p>
    <w:p>
      <w:pPr>
        <w:spacing w:after="0" w:line="80" w:lineRule="exact"/>
        <w:rPr>
          <w:rFonts w:ascii="Arial" w:cs="Arial" w:eastAsia="Arial" w:hAnsi="Arial"/>
          <w:sz w:val="18"/>
          <w:szCs w:val="18"/>
          <w:color w:val="auto"/>
        </w:rPr>
      </w:pPr>
    </w:p>
    <w:p>
      <w:pPr>
        <w:ind w:right="100" w:firstLine="443"/>
        <w:spacing w:after="0" w:line="277" w:lineRule="auto"/>
        <w:tabs>
          <w:tab w:leader="none" w:pos="663"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 delivered by or</w:t>
      </w:r>
      <w:r>
        <w:rPr>
          <w:rFonts w:ascii="Arial" w:cs="Arial" w:eastAsia="Arial" w:hAnsi="Arial"/>
          <w:sz w:val="18"/>
          <w:szCs w:val="18"/>
          <w:i w:val="1"/>
          <w:iCs w:val="1"/>
          <w:color w:val="auto"/>
        </w:rPr>
        <w:t xml:space="preserve"> </w:t>
      </w:r>
      <w:r>
        <w:rPr>
          <w:rFonts w:ascii="Arial" w:cs="Arial" w:eastAsia="Arial" w:hAnsi="Arial"/>
          <w:sz w:val="18"/>
          <w:szCs w:val="18"/>
          <w:color w:val="auto"/>
        </w:rPr>
        <w:t>on behalf of the Partnership.</w:t>
      </w:r>
    </w:p>
    <w:p>
      <w:pPr>
        <w:spacing w:after="0" w:line="62" w:lineRule="exact"/>
        <w:rPr>
          <w:rFonts w:ascii="Arial" w:cs="Arial" w:eastAsia="Arial" w:hAnsi="Arial"/>
          <w:sz w:val="18"/>
          <w:szCs w:val="18"/>
          <w:color w:val="auto"/>
        </w:rPr>
      </w:pPr>
    </w:p>
    <w:p>
      <w:pPr>
        <w:ind w:right="60" w:firstLine="443"/>
        <w:spacing w:after="0" w:line="259" w:lineRule="auto"/>
        <w:tabs>
          <w:tab w:leader="none" w:pos="673"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Authorization, Execution and Enforceability of the Operating Agreements</w:t>
      </w:r>
      <w:r>
        <w:rPr>
          <w:rFonts w:ascii="Arial" w:cs="Arial" w:eastAsia="Arial" w:hAnsi="Arial"/>
          <w:sz w:val="18"/>
          <w:szCs w:val="18"/>
          <w:color w:val="auto"/>
        </w:rPr>
        <w:t>. The partnership agreement or limited liability company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each such</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1" w:name="page12"/>
    <w:bookmarkEnd w:id="11"/>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73" w:lineRule="exact"/>
        <w:rPr>
          <w:sz w:val="20"/>
          <w:szCs w:val="20"/>
          <w:color w:val="auto"/>
        </w:rPr>
      </w:pPr>
    </w:p>
    <w:p>
      <w:pPr>
        <w:ind w:right="20" w:firstLine="443"/>
        <w:spacing w:after="0" w:line="291" w:lineRule="auto"/>
        <w:tabs>
          <w:tab w:leader="none" w:pos="653"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No Consents</w:t>
      </w:r>
      <w:r>
        <w:rPr>
          <w:rFonts w:ascii="Arial" w:cs="Arial" w:eastAsia="Arial" w:hAnsi="Arial"/>
          <w:sz w:val="16"/>
          <w:szCs w:val="16"/>
          <w:color w:val="auto"/>
        </w:rPr>
        <w:t>. No consent, approval, authorization, filing with or order of any court or governmental agency or body having jurisdiction over</w:t>
      </w:r>
      <w:r>
        <w:rPr>
          <w:rFonts w:ascii="Arial" w:cs="Arial" w:eastAsia="Arial" w:hAnsi="Arial"/>
          <w:sz w:val="16"/>
          <w:szCs w:val="16"/>
          <w:i w:val="1"/>
          <w:iCs w:val="1"/>
          <w:color w:val="auto"/>
        </w:rPr>
        <w:t xml:space="preserve"> </w:t>
      </w:r>
      <w:r>
        <w:rPr>
          <w:rFonts w:ascii="Arial" w:cs="Arial" w:eastAsia="Arial" w:hAnsi="Arial"/>
          <w:sz w:val="16"/>
          <w:szCs w:val="16"/>
          <w:color w:val="auto"/>
        </w:rPr>
        <w:t>any of the Plains Entities or the GP Entities or any of their respective properties is required in connection with the offering, issuance and sale by the Partnership of the Units, the execution delivery and performance of, or the consummation by the Partnership of the transactions contemplated by this Agreement, except (i) such as have been obtained under the Act, (ii) such as may be required under the blue sky laws of any jurisdiction or the by-laws and rules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in connection with the purchase and distribution of the Units in the manner contemplated herein and in the Prospectus and (iii) such that the failure to obtain or make would not reasonably be expected to have a Material Adverse Effect or materially impair the ability of the Partnership to consummate the transactions contemplated by this Agreement.</w:t>
      </w:r>
    </w:p>
    <w:p>
      <w:pPr>
        <w:spacing w:after="0" w:line="59" w:lineRule="exact"/>
        <w:rPr>
          <w:rFonts w:ascii="Arial" w:cs="Arial" w:eastAsia="Arial" w:hAnsi="Arial"/>
          <w:sz w:val="16"/>
          <w:szCs w:val="16"/>
          <w:color w:val="auto"/>
        </w:rPr>
      </w:pPr>
    </w:p>
    <w:p>
      <w:pPr>
        <w:ind w:right="60" w:firstLine="443"/>
        <w:spacing w:after="0" w:line="288" w:lineRule="auto"/>
        <w:tabs>
          <w:tab w:leader="none" w:pos="693"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None of the offering, issuance and sale by the Partnership of the Units, the execution, delivery and performance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by the Partnership, or the consummation of the transactions contemplated by this Agreement (i) conflicts or will conflict with or constitutes or will constitute a violation of the Organizational Documents of the Partnership, any of the GP Entities or any of the Material Subsidiaries,</w:t>
      </w:r>
    </w:p>
    <w:p>
      <w:pPr>
        <w:ind w:right="100" w:firstLine="4"/>
        <w:spacing w:after="0" w:line="268"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(iii)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w:t>
      </w:r>
    </w:p>
    <w:p>
      <w:pPr>
        <w:spacing w:after="0" w:line="73" w:lineRule="exact"/>
        <w:rPr>
          <w:rFonts w:ascii="Arial" w:cs="Arial" w:eastAsia="Arial" w:hAnsi="Arial"/>
          <w:sz w:val="17"/>
          <w:szCs w:val="17"/>
          <w:color w:val="auto"/>
        </w:rPr>
      </w:pPr>
    </w:p>
    <w:p>
      <w:pPr>
        <w:ind w:firstLine="443"/>
        <w:spacing w:after="0" w:line="257" w:lineRule="auto"/>
        <w:tabs>
          <w:tab w:leader="none" w:pos="693"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(including the related notes and supporting schedules) and other financial information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or incorporated by reference in the Registration Statement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2" w:name="page13"/>
    <w:bookmarkEnd w:id="1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to the extent disclosed therein. The summary and selected historical financial information included or incorporated by reference in the Registration Statement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and the Prospectus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and the Prospectus are reasonable, and the adjustments used therein are appropriate to give effect to the transactions or circumstances referred to therein. No other financial statements or schedules of the Partnership are required by the Act or the Exchange Act to be included in the Registration Statement or the Prospectus.</w:t>
      </w:r>
    </w:p>
    <w:p>
      <w:pPr>
        <w:spacing w:after="0" w:line="70" w:lineRule="exact"/>
        <w:rPr>
          <w:sz w:val="20"/>
          <w:szCs w:val="20"/>
          <w:color w:val="auto"/>
        </w:rPr>
      </w:pPr>
    </w:p>
    <w:p>
      <w:pPr>
        <w:ind w:right="40" w:firstLine="443"/>
        <w:spacing w:after="0" w:line="293" w:lineRule="auto"/>
        <w:tabs>
          <w:tab w:leader="none" w:pos="733"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No Legal Actions</w:t>
      </w:r>
      <w:r>
        <w:rPr>
          <w:rFonts w:ascii="Arial" w:cs="Arial" w:eastAsia="Arial" w:hAnsi="Arial"/>
          <w:sz w:val="16"/>
          <w:szCs w:val="16"/>
          <w:color w:val="auto"/>
        </w:rPr>
        <w:t>. Except as described in the Prospectus, there is (i) no action, suit or proceeding before or by any court,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in the case of each of clauses (i) and (ii) that would reasonably be expected, individually or in the aggregate, to have a Material Adverse Effect or prevent or result in the suspension of the offering and issuance of the Units.</w:t>
      </w:r>
    </w:p>
    <w:p>
      <w:pPr>
        <w:spacing w:after="0" w:line="56" w:lineRule="exact"/>
        <w:rPr>
          <w:rFonts w:ascii="Arial" w:cs="Arial" w:eastAsia="Arial" w:hAnsi="Arial"/>
          <w:sz w:val="16"/>
          <w:szCs w:val="16"/>
          <w:color w:val="auto"/>
        </w:rPr>
      </w:pPr>
    </w:p>
    <w:p>
      <w:pPr>
        <w:ind w:right="60" w:firstLine="443"/>
        <w:spacing w:after="0" w:line="271" w:lineRule="auto"/>
        <w:tabs>
          <w:tab w:leader="none" w:pos="693"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No Default</w:t>
      </w:r>
      <w:r>
        <w:rPr>
          <w:rFonts w:ascii="Arial" w:cs="Arial" w:eastAsia="Arial" w:hAnsi="Arial"/>
          <w:sz w:val="17"/>
          <w:szCs w:val="17"/>
          <w:color w:val="auto"/>
        </w:rPr>
        <w:t>. (i) None of the Partnership, the GP Entities or the Material Subsidiaries is in violation of its Organizational Documents in any</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and (iii) would, if continued, reasonably be expected to have a Material Adverse Effect or materially impair the ability of the Partnership to perform its obligations under this Agreement.</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3" w:name="page14"/>
    <w:bookmarkEnd w:id="13"/>
    <w:p>
      <w:pPr>
        <w:ind w:right="80" w:firstLine="443"/>
        <w:spacing w:after="0" w:line="259" w:lineRule="auto"/>
        <w:tabs>
          <w:tab w:leader="none" w:pos="693"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Registered Public Accounting Firm</w:t>
      </w:r>
      <w:r>
        <w:rPr>
          <w:rFonts w:ascii="Arial" w:cs="Arial" w:eastAsia="Arial" w:hAnsi="Arial"/>
          <w:sz w:val="18"/>
          <w:szCs w:val="18"/>
          <w:color w:val="auto"/>
        </w:rPr>
        <w:t>. PricewaterhouseCoopers LLP (the “</w:t>
      </w:r>
      <w:r>
        <w:rPr>
          <w:rFonts w:ascii="Arial" w:cs="Arial" w:eastAsia="Arial" w:hAnsi="Arial"/>
          <w:sz w:val="18"/>
          <w:szCs w:val="18"/>
          <w:u w:val="single" w:color="auto"/>
          <w:color w:val="auto"/>
        </w:rPr>
        <w:t>Accountants</w:t>
      </w:r>
      <w:r>
        <w:rPr>
          <w:rFonts w:ascii="Arial" w:cs="Arial" w:eastAsia="Arial" w:hAnsi="Arial"/>
          <w:sz w:val="18"/>
          <w:szCs w:val="18"/>
          <w:color w:val="auto"/>
        </w:rPr>
        <w:t>”), which has certified the audited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or incorporated by reference in the Registration Statement and the Prospectus (and any amendment or supplement thereto), is an independent registered public accounting firm with respect to the GP Entities and the Partnership and its consolidated subsidiaries as required by the Act and the Public Company Accounting Oversight Board.</w:t>
      </w:r>
    </w:p>
    <w:p>
      <w:pPr>
        <w:spacing w:after="0" w:line="78" w:lineRule="exact"/>
        <w:rPr>
          <w:rFonts w:ascii="Arial" w:cs="Arial" w:eastAsia="Arial" w:hAnsi="Arial"/>
          <w:sz w:val="18"/>
          <w:szCs w:val="18"/>
          <w:color w:val="auto"/>
        </w:rPr>
      </w:pPr>
    </w:p>
    <w:p>
      <w:pPr>
        <w:ind w:right="160" w:firstLine="443"/>
        <w:spacing w:after="0" w:line="284" w:lineRule="auto"/>
        <w:tabs>
          <w:tab w:leader="none" w:pos="683"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No Material Adverse Changes</w:t>
      </w:r>
      <w:r>
        <w:rPr>
          <w:rFonts w:ascii="Arial" w:cs="Arial" w:eastAsia="Arial" w:hAnsi="Arial"/>
          <w:sz w:val="16"/>
          <w:szCs w:val="16"/>
          <w:color w:val="auto"/>
        </w:rPr>
        <w:t>. None of the Plains Entities or the GP Entities has sustained, since the date of the latest audited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included in the Registration Statement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and the Prospectus and other than as would not reasonably be expected to have a Material Adverse Effect. Except as disclosed in the Prospectus, subsequent to the respective dates as of which information is given in the Registration Statement and the Prospectus,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and the Prospectus or</w:t>
      </w:r>
    </w:p>
    <w:p>
      <w:pPr>
        <w:spacing w:after="0" w:line="1" w:lineRule="exact"/>
        <w:rPr>
          <w:rFonts w:ascii="Arial" w:cs="Arial" w:eastAsia="Arial" w:hAnsi="Arial"/>
          <w:sz w:val="16"/>
          <w:szCs w:val="16"/>
          <w:color w:val="auto"/>
        </w:rPr>
      </w:pPr>
    </w:p>
    <w:p>
      <w:pPr>
        <w:ind w:right="40" w:firstLine="4"/>
        <w:spacing w:after="0" w:line="254"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declared, paid or made on the security interests of any of the Plains Entities or the GP Entities, in each case other than as set forth in the Registration Statement and the Prospectus.</w:t>
      </w:r>
    </w:p>
    <w:p>
      <w:pPr>
        <w:spacing w:after="0" w:line="81" w:lineRule="exact"/>
        <w:rPr>
          <w:rFonts w:ascii="Arial" w:cs="Arial" w:eastAsia="Arial" w:hAnsi="Arial"/>
          <w:sz w:val="18"/>
          <w:szCs w:val="18"/>
          <w:color w:val="auto"/>
        </w:rPr>
      </w:pPr>
    </w:p>
    <w:p>
      <w:pPr>
        <w:ind w:right="100" w:firstLine="443"/>
        <w:spacing w:after="0" w:line="297" w:lineRule="auto"/>
        <w:tabs>
          <w:tab w:leader="none" w:pos="763"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Required Disclosures and Descriptions</w:t>
      </w:r>
      <w:r>
        <w:rPr>
          <w:rFonts w:ascii="Arial" w:cs="Arial" w:eastAsia="Arial" w:hAnsi="Arial"/>
          <w:sz w:val="16"/>
          <w:szCs w:val="16"/>
          <w:color w:val="auto"/>
        </w:rPr>
        <w:t>. There are no legal or governmental proceedings pending or, to the knowledge of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threatened, against any of the Plains Entities or the GP Entities, or to which any of the Plains Entities or the GP Entities is a party, or to which any of their respective properties is subject, that are required to be described in the Registration Statement or the Prospectus but are not described as required, and there are no agreements, contracts, indentures, leases or other instruments that are required to be described in the Registration Statement or the Prospectus or to be filed as an exhibit to the Registration Statement that are not described or filed as required by the Act or the Exchange Act.</w:t>
      </w:r>
    </w:p>
    <w:p>
      <w:pPr>
        <w:spacing w:after="0" w:line="50" w:lineRule="exact"/>
        <w:rPr>
          <w:rFonts w:ascii="Arial" w:cs="Arial" w:eastAsia="Arial" w:hAnsi="Arial"/>
          <w:sz w:val="16"/>
          <w:szCs w:val="16"/>
          <w:color w:val="auto"/>
        </w:rPr>
      </w:pPr>
    </w:p>
    <w:p>
      <w:pPr>
        <w:ind w:firstLine="443"/>
        <w:spacing w:after="0" w:line="255" w:lineRule="auto"/>
        <w:tabs>
          <w:tab w:leader="none" w:pos="783"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Title to Properties</w:t>
      </w:r>
      <w:r>
        <w:rPr>
          <w:rFonts w:ascii="Arial" w:cs="Arial" w:eastAsia="Arial" w:hAnsi="Arial"/>
          <w:sz w:val="18"/>
          <w:szCs w:val="18"/>
          <w:color w:val="auto"/>
        </w:rPr>
        <w:t>. The Plains Entities, directly or indirectly, have good and indefeasible title to all real property and good title to all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described in the Prospectus as being owned by them, free and clear of all Liens except (i) as provided in the Third Amended and Restated Credit Agreement dated August 19, 2011, as amended, among Plains Marketing, L.P., Bank of America, N.A., as administrative agent thereunder, and the lenders from time to time party thereto, described in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Prospectus.</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4" w:name="page15"/>
    <w:bookmarkEnd w:id="14"/>
    <w:p>
      <w:pPr>
        <w:ind w:right="60" w:firstLine="443"/>
        <w:spacing w:after="0" w:line="255" w:lineRule="auto"/>
        <w:tabs>
          <w:tab w:leader="none" w:pos="76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Permits</w:t>
      </w:r>
      <w:r>
        <w:rPr>
          <w:rFonts w:ascii="Arial" w:cs="Arial" w:eastAsia="Arial" w:hAnsi="Arial"/>
          <w:sz w:val="18"/>
          <w:szCs w:val="18"/>
          <w:color w:val="auto"/>
        </w:rPr>
        <w:t>. Each of the Plains Entities, directly or indirectly, has such permits, consents, licenses, franchises, certificates and authorizations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authorities (“</w:t>
      </w:r>
      <w:r>
        <w:rPr>
          <w:rFonts w:ascii="Arial" w:cs="Arial" w:eastAsia="Arial" w:hAnsi="Arial"/>
          <w:sz w:val="18"/>
          <w:szCs w:val="18"/>
          <w:u w:val="single" w:color="auto"/>
          <w:color w:val="auto"/>
        </w:rPr>
        <w:t>Permits</w:t>
      </w:r>
      <w:r>
        <w:rPr>
          <w:rFonts w:ascii="Arial" w:cs="Arial" w:eastAsia="Arial" w:hAnsi="Arial"/>
          <w:sz w:val="18"/>
          <w:szCs w:val="18"/>
          <w:color w:val="auto"/>
        </w:rPr>
        <w:t>”) as are necessary to own its properties and to conduct its business in the manner described in the Prospectus, subject to such qualifications as may be set forth in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Prospectus.</w:t>
      </w:r>
    </w:p>
    <w:p>
      <w:pPr>
        <w:spacing w:after="0" w:line="81" w:lineRule="exact"/>
        <w:rPr>
          <w:rFonts w:ascii="Arial" w:cs="Arial" w:eastAsia="Arial" w:hAnsi="Arial"/>
          <w:sz w:val="18"/>
          <w:szCs w:val="18"/>
          <w:color w:val="auto"/>
        </w:rPr>
      </w:pPr>
    </w:p>
    <w:p>
      <w:pPr>
        <w:ind w:left="780" w:hanging="337"/>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Rights-of-Way</w:t>
      </w:r>
      <w:r>
        <w:rPr>
          <w:rFonts w:ascii="Arial" w:cs="Arial" w:eastAsia="Arial" w:hAnsi="Arial"/>
          <w:sz w:val="16"/>
          <w:szCs w:val="16"/>
          <w:color w:val="auto"/>
        </w:rPr>
        <w:t>. Each of the Plains Entities, directly or indirectly, has such consents, easements, rights-of-way or licenses from any person</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rights-of-way</w:t>
      </w:r>
      <w:r>
        <w:rPr>
          <w:rFonts w:ascii="Arial" w:cs="Arial" w:eastAsia="Arial" w:hAnsi="Arial"/>
          <w:sz w:val="17"/>
          <w:szCs w:val="17"/>
          <w:color w:val="auto"/>
        </w:rPr>
        <w:t>”) as are necessary to conduct its business in the manner described in the Prospectus, subject to such qualifications as may be set forth in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Prospectus.</w:t>
      </w:r>
    </w:p>
    <w:p>
      <w:pPr>
        <w:spacing w:after="0" w:line="73" w:lineRule="exact"/>
        <w:rPr>
          <w:sz w:val="20"/>
          <w:szCs w:val="20"/>
          <w:color w:val="auto"/>
        </w:rPr>
      </w:pPr>
    </w:p>
    <w:p>
      <w:pPr>
        <w:ind w:right="20" w:firstLine="443"/>
        <w:spacing w:after="0" w:line="273" w:lineRule="auto"/>
        <w:tabs>
          <w:tab w:leader="none" w:pos="763"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Investment Company</w:t>
      </w:r>
      <w:r>
        <w:rPr>
          <w:rFonts w:ascii="Arial" w:cs="Arial" w:eastAsia="Arial" w:hAnsi="Arial"/>
          <w:sz w:val="17"/>
          <w:szCs w:val="17"/>
          <w:color w:val="auto"/>
        </w:rPr>
        <w:t>. None of the Plains Entities is now, and after sale of the Units to be sold by the Partnership hereunder and application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net proceeds from such sale as described in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70" w:lineRule="exact"/>
        <w:rPr>
          <w:rFonts w:ascii="Arial" w:cs="Arial" w:eastAsia="Arial" w:hAnsi="Arial"/>
          <w:sz w:val="17"/>
          <w:szCs w:val="17"/>
          <w:color w:val="auto"/>
        </w:rPr>
      </w:pPr>
    </w:p>
    <w:p>
      <w:pPr>
        <w:ind w:right="260" w:firstLine="443"/>
        <w:spacing w:after="0" w:line="255"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Environmental Compliance</w:t>
      </w:r>
      <w:r>
        <w:rPr>
          <w:rFonts w:ascii="Arial" w:cs="Arial" w:eastAsia="Arial" w:hAnsi="Arial"/>
          <w:sz w:val="18"/>
          <w:szCs w:val="18"/>
          <w:color w:val="auto"/>
        </w:rPr>
        <w:t>. Except as described in the Prospectus, none of the Plains Entities, directly or indirectly, has violated any</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8"/>
          <w:szCs w:val="18"/>
          <w:u w:val="single" w:color="auto"/>
          <w:color w:val="auto"/>
        </w:rPr>
        <w:t>Environmental Laws</w:t>
      </w:r>
      <w:r>
        <w:rPr>
          <w:rFonts w:ascii="Arial" w:cs="Arial" w:eastAsia="Arial" w:hAnsi="Arial"/>
          <w:sz w:val="18"/>
          <w:szCs w:val="18"/>
          <w:color w:val="auto"/>
        </w:rPr>
        <w:t>”), or lacks any permits, licenses or other approvals required of them under applicable Environmental Laws to own, lease or operate their properties and conduct their business as described in the Prospectus or is violating any terms and conditions of any such permit, license or approval, which in each case would reasonably be expected to have a Material Adverse Effect.</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15" w:name="page16"/>
    <w:bookmarkEnd w:id="15"/>
    <w:p>
      <w:pPr>
        <w:ind w:right="240" w:firstLine="443"/>
        <w:spacing w:after="0" w:line="277" w:lineRule="auto"/>
        <w:tabs>
          <w:tab w:leader="none" w:pos="78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Labor Disputes</w:t>
      </w:r>
      <w:r>
        <w:rPr>
          <w:rFonts w:ascii="Arial" w:cs="Arial" w:eastAsia="Arial" w:hAnsi="Arial"/>
          <w:sz w:val="18"/>
          <w:szCs w:val="18"/>
          <w:color w:val="auto"/>
        </w:rPr>
        <w:t>. No labor dispute with the employees of any of the Plains Entities or the GP Entities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is imminent, that would reasonably be expected to have a Material Adverse Effect.</w:t>
      </w:r>
    </w:p>
    <w:p>
      <w:pPr>
        <w:spacing w:after="0" w:line="62" w:lineRule="exact"/>
        <w:rPr>
          <w:rFonts w:ascii="Arial" w:cs="Arial" w:eastAsia="Arial" w:hAnsi="Arial"/>
          <w:sz w:val="18"/>
          <w:szCs w:val="18"/>
          <w:color w:val="auto"/>
        </w:rPr>
      </w:pPr>
    </w:p>
    <w:p>
      <w:pPr>
        <w:jc w:val="both"/>
        <w:ind w:firstLine="443"/>
        <w:spacing w:after="0" w:line="302" w:lineRule="auto"/>
        <w:tabs>
          <w:tab w:leader="none" w:pos="78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Partnership maintains or is entitled to the benefits of insurance covering its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such losses and risks as are reasonably adequate to protect it and its businesses in a manner consistent with other businesses similarly situated. All such insurance is outstanding and duly in force on the Execution Date and will be outstanding and duly in force on each applicable Settlement Date, except for such insurance for which the failure to be outstanding and duly in force would not reasonably be expected to have a Material Adverse Effect.</w:t>
      </w:r>
    </w:p>
    <w:p>
      <w:pPr>
        <w:spacing w:after="0" w:line="46" w:lineRule="exact"/>
        <w:rPr>
          <w:rFonts w:ascii="Arial" w:cs="Arial" w:eastAsia="Arial" w:hAnsi="Arial"/>
          <w:sz w:val="16"/>
          <w:szCs w:val="16"/>
          <w:color w:val="auto"/>
        </w:rPr>
      </w:pPr>
    </w:p>
    <w:p>
      <w:pPr>
        <w:ind w:firstLine="443"/>
        <w:spacing w:after="0" w:line="255" w:lineRule="auto"/>
        <w:tabs>
          <w:tab w:leader="none" w:pos="70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Distribution Restrictions</w:t>
      </w:r>
      <w:r>
        <w:rPr>
          <w:rFonts w:ascii="Arial" w:cs="Arial" w:eastAsia="Arial" w:hAnsi="Arial"/>
          <w:sz w:val="18"/>
          <w:szCs w:val="18"/>
          <w:color w:val="auto"/>
        </w:rPr>
        <w:t>. No Subsidiary is currently prohibited, directly or indirectly, from making any distributions to the Partnership or</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Prospectus,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85" w:lineRule="exact"/>
        <w:rPr>
          <w:rFonts w:ascii="Arial" w:cs="Arial" w:eastAsia="Arial" w:hAnsi="Arial"/>
          <w:sz w:val="18"/>
          <w:szCs w:val="18"/>
          <w:color w:val="auto"/>
        </w:rPr>
      </w:pPr>
    </w:p>
    <w:p>
      <w:pPr>
        <w:ind w:right="160" w:firstLine="443"/>
        <w:spacing w:after="0" w:line="264" w:lineRule="auto"/>
        <w:tabs>
          <w:tab w:leader="none" w:pos="70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Plains Entities or the GP Entities has distributed and, prior to the latest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 will not distribute, any prospectus (as defined under the Act) in connection with the offering and sale of the Units other than the Prospectus or other materials, if any, permitted by the Act, including Rule 134 under the Act.</w:t>
      </w:r>
    </w:p>
    <w:p>
      <w:pPr>
        <w:spacing w:after="0" w:line="73" w:lineRule="exact"/>
        <w:rPr>
          <w:rFonts w:ascii="Arial" w:cs="Arial" w:eastAsia="Arial" w:hAnsi="Arial"/>
          <w:sz w:val="18"/>
          <w:szCs w:val="18"/>
          <w:color w:val="auto"/>
        </w:rPr>
      </w:pPr>
    </w:p>
    <w:p>
      <w:pPr>
        <w:ind w:firstLine="443"/>
        <w:spacing w:after="0" w:line="342" w:lineRule="auto"/>
        <w:tabs>
          <w:tab w:leader="none" w:pos="78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NYSE Listing of Common Units</w:t>
      </w:r>
      <w:r>
        <w:rPr>
          <w:rFonts w:ascii="Arial" w:cs="Arial" w:eastAsia="Arial" w:hAnsi="Arial"/>
          <w:sz w:val="16"/>
          <w:szCs w:val="16"/>
          <w:color w:val="auto"/>
        </w:rPr>
        <w:t>. The Common Units are listed on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and prior to each Settlement</w:t>
      </w:r>
      <w:r>
        <w:rPr>
          <w:rFonts w:ascii="Arial" w:cs="Arial" w:eastAsia="Arial" w:hAnsi="Arial"/>
          <w:sz w:val="16"/>
          <w:szCs w:val="16"/>
          <w:i w:val="1"/>
          <w:iCs w:val="1"/>
          <w:color w:val="auto"/>
        </w:rPr>
        <w:t xml:space="preserve"> </w:t>
      </w:r>
      <w:r>
        <w:rPr>
          <w:rFonts w:ascii="Arial" w:cs="Arial" w:eastAsia="Arial" w:hAnsi="Arial"/>
          <w:sz w:val="16"/>
          <w:szCs w:val="16"/>
          <w:color w:val="auto"/>
        </w:rPr>
        <w:t>Date, the Units to be issued on such Settlement Date will be approved for listing on the NYSE subject only to official notice of issuance.</w:t>
      </w:r>
    </w:p>
    <w:p>
      <w:pPr>
        <w:spacing w:after="0" w:line="15" w:lineRule="exact"/>
        <w:rPr>
          <w:rFonts w:ascii="Arial" w:cs="Arial" w:eastAsia="Arial" w:hAnsi="Arial"/>
          <w:sz w:val="16"/>
          <w:szCs w:val="16"/>
          <w:color w:val="auto"/>
        </w:rPr>
      </w:pPr>
    </w:p>
    <w:p>
      <w:pPr>
        <w:ind w:right="40" w:firstLine="443"/>
        <w:spacing w:after="0" w:line="297" w:lineRule="auto"/>
        <w:tabs>
          <w:tab w:leader="none" w:pos="70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Books and Records; Accounting Controls</w:t>
      </w:r>
      <w:r>
        <w:rPr>
          <w:rFonts w:ascii="Arial" w:cs="Arial" w:eastAsia="Arial" w:hAnsi="Arial"/>
          <w:sz w:val="16"/>
          <w:szCs w:val="16"/>
          <w:color w:val="auto"/>
        </w:rPr>
        <w:t>. The Partnership maintains a system of internal accounting controls sufficient to provide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50" w:lineRule="exact"/>
        <w:rPr>
          <w:rFonts w:ascii="Arial" w:cs="Arial" w:eastAsia="Arial" w:hAnsi="Arial"/>
          <w:sz w:val="16"/>
          <w:szCs w:val="16"/>
          <w:color w:val="auto"/>
        </w:rPr>
      </w:pPr>
    </w:p>
    <w:p>
      <w:pPr>
        <w:ind w:right="180" w:firstLine="443"/>
        <w:spacing w:after="0" w:line="264" w:lineRule="auto"/>
        <w:tabs>
          <w:tab w:leader="none" w:pos="88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the directors and officers of GP LLC in their capacities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are in compliance in all material respects with all applicable and effective provisions of the Sarbanes-Oxley Act of 2002 and the rules and regulations promulgated thereunder.</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6" w:name="page17"/>
    <w:bookmarkEnd w:id="16"/>
    <w:p>
      <w:pPr>
        <w:ind w:firstLine="443"/>
        <w:spacing w:after="0" w:line="293" w:lineRule="auto"/>
        <w:tabs>
          <w:tab w:leader="none" w:pos="783"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Controls</w:t>
      </w:r>
      <w:r>
        <w:rPr>
          <w:rFonts w:ascii="Arial" w:cs="Arial" w:eastAsia="Arial" w:hAnsi="Arial"/>
          <w:sz w:val="16"/>
          <w:szCs w:val="16"/>
          <w:color w:val="auto"/>
        </w:rPr>
        <w:t>. The Partnership maintains disclosure controls and procedures (to the extent required by and as such term is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56" w:lineRule="exact"/>
        <w:rPr>
          <w:rFonts w:ascii="Arial" w:cs="Arial" w:eastAsia="Arial" w:hAnsi="Arial"/>
          <w:sz w:val="16"/>
          <w:szCs w:val="16"/>
          <w:color w:val="auto"/>
        </w:rPr>
      </w:pPr>
    </w:p>
    <w:p>
      <w:pPr>
        <w:ind w:firstLine="443"/>
        <w:spacing w:after="0" w:line="257" w:lineRule="auto"/>
        <w:tabs>
          <w:tab w:leader="none" w:pos="78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No Deficiency in Internal Controls</w:t>
      </w:r>
      <w:r>
        <w:rPr>
          <w:rFonts w:ascii="Arial" w:cs="Arial" w:eastAsia="Arial" w:hAnsi="Arial"/>
          <w:sz w:val="18"/>
          <w:szCs w:val="18"/>
          <w:color w:val="auto"/>
        </w:rPr>
        <w:t>. Based on the evaluation of its disclosure controls and procedures conducted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 and filing of the Partnership’s most recently-filed Annual Report on Form 10-K,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80" w:lineRule="exact"/>
        <w:rPr>
          <w:rFonts w:ascii="Arial" w:cs="Arial" w:eastAsia="Arial" w:hAnsi="Arial"/>
          <w:sz w:val="18"/>
          <w:szCs w:val="18"/>
          <w:color w:val="auto"/>
        </w:rPr>
      </w:pPr>
    </w:p>
    <w:p>
      <w:pPr>
        <w:jc w:val="both"/>
        <w:ind w:right="20" w:firstLine="443"/>
        <w:spacing w:after="0" w:line="312" w:lineRule="auto"/>
        <w:tabs>
          <w:tab w:leader="none" w:pos="783"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FCPA</w:t>
      </w:r>
      <w:r>
        <w:rPr>
          <w:rFonts w:ascii="Arial" w:cs="Arial" w:eastAsia="Arial" w:hAnsi="Arial"/>
          <w:sz w:val="16"/>
          <w:szCs w:val="16"/>
          <w:color w:val="auto"/>
        </w:rPr>
        <w:t>. None of the Plains Entities or the GP Entities nor, to the knowledge of the Partnership, any director, officer, agent or employee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38" w:lineRule="exact"/>
        <w:rPr>
          <w:rFonts w:ascii="Arial" w:cs="Arial" w:eastAsia="Arial" w:hAnsi="Arial"/>
          <w:sz w:val="16"/>
          <w:szCs w:val="16"/>
          <w:color w:val="auto"/>
        </w:rPr>
      </w:pPr>
    </w:p>
    <w:p>
      <w:pPr>
        <w:ind w:right="200" w:firstLine="443"/>
        <w:spacing w:after="0" w:line="264" w:lineRule="auto"/>
        <w:tabs>
          <w:tab w:leader="none" w:pos="78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Money Laundering Laws</w:t>
      </w:r>
      <w:r>
        <w:rPr>
          <w:rFonts w:ascii="Arial" w:cs="Arial" w:eastAsia="Arial" w:hAnsi="Arial"/>
          <w:sz w:val="18"/>
          <w:szCs w:val="18"/>
          <w:color w:val="auto"/>
        </w:rPr>
        <w:t>. No action, suit or proceeding by or before any court or governmental agency, authority or body or any arbitrator</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the Plains Entities or the GP Entities that involve allegations of money laundering is pending or, to the knowledge of the Partnership, threatened.</w:t>
      </w:r>
    </w:p>
    <w:p>
      <w:pPr>
        <w:spacing w:after="0" w:line="73" w:lineRule="exact"/>
        <w:rPr>
          <w:rFonts w:ascii="Arial" w:cs="Arial" w:eastAsia="Arial" w:hAnsi="Arial"/>
          <w:sz w:val="18"/>
          <w:szCs w:val="18"/>
          <w:color w:val="auto"/>
        </w:rPr>
      </w:pPr>
    </w:p>
    <w:p>
      <w:pPr>
        <w:ind w:right="80" w:firstLine="443"/>
        <w:spacing w:after="0" w:line="264" w:lineRule="auto"/>
        <w:tabs>
          <w:tab w:leader="none" w:pos="72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or the GP Entities nor, to the knowledge of the Partnership, any director, officer or employee of the Plains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or the GP Entities (in their capacity as director, officer or employee) has received notice that it is subject to any sanctions administered by the Office of Foreign Assets Control of the U.S. Treasury Department.</w:t>
      </w:r>
    </w:p>
    <w:p>
      <w:pPr>
        <w:spacing w:after="0" w:line="73" w:lineRule="exact"/>
        <w:rPr>
          <w:rFonts w:ascii="Arial" w:cs="Arial" w:eastAsia="Arial" w:hAnsi="Arial"/>
          <w:sz w:val="18"/>
          <w:szCs w:val="18"/>
          <w:color w:val="auto"/>
        </w:rPr>
      </w:pPr>
    </w:p>
    <w:p>
      <w:pPr>
        <w:ind w:right="40" w:firstLine="443"/>
        <w:spacing w:after="0" w:line="264" w:lineRule="auto"/>
        <w:tabs>
          <w:tab w:leader="none" w:pos="7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Except as disclosed in the Registration Statement and the Prospectus, the Partnership does not intend to use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sale of the Units hereunder to repay any outstanding debt owed to any lender known to the Partnership to be an affiliate of any of the Managers.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7" w:name="page18"/>
    <w:bookmarkEnd w:id="17"/>
    <w:p>
      <w:pPr>
        <w:jc w:val="both"/>
        <w:ind w:left="460" w:right="420" w:firstLine="443"/>
        <w:spacing w:after="0" w:line="264" w:lineRule="auto"/>
        <w:tabs>
          <w:tab w:leader="none" w:pos="116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XBRL</w:t>
      </w:r>
      <w:r>
        <w:rPr>
          <w:rFonts w:ascii="Arial" w:cs="Arial" w:eastAsia="Arial" w:hAnsi="Arial"/>
          <w:sz w:val="18"/>
          <w:szCs w:val="18"/>
          <w:color w:val="auto"/>
        </w:rPr>
        <w:t>. The interactive data in eXtensible Business Reporting Language incorporated by reference in the Registration Statement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The applicable statements made in any certificate signed by any officer of the Partnership and delivered to any Manager in connection with this Agreement or any Terms Agreement shall be deemed a representation and warranty by the Partnership, as to matters covered thereby, to such Manager.</w:t>
      </w:r>
    </w:p>
    <w:p>
      <w:pPr>
        <w:spacing w:after="0" w:line="16"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Sale and Delivery of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420" w:firstLine="443"/>
        <w:spacing w:after="0" w:line="312" w:lineRule="auto"/>
        <w:tabs>
          <w:tab w:leader="none" w:pos="1143"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Sale of Offered Units by the Managers, as Sales Agents</w:t>
      </w:r>
      <w:r>
        <w:rPr>
          <w:rFonts w:ascii="Arial" w:cs="Arial" w:eastAsia="Arial" w:hAnsi="Arial"/>
          <w:sz w:val="16"/>
          <w:szCs w:val="16"/>
          <w:color w:val="auto"/>
        </w:rPr>
        <w:t>. Subject to the terms and conditions and in reliance upon the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herein set forth, the Partnership agrees to issue and sell Units from time to time through the Managers, acting as sales agents, and each Manager agrees to use its reasonable efforts to sell, as sales agent for the Partnership, the Units on the following terms.</w:t>
      </w:r>
    </w:p>
    <w:p>
      <w:pPr>
        <w:spacing w:after="0" w:line="38" w:lineRule="exact"/>
        <w:rPr>
          <w:rFonts w:ascii="Arial" w:cs="Arial" w:eastAsia="Arial" w:hAnsi="Arial"/>
          <w:sz w:val="16"/>
          <w:szCs w:val="16"/>
          <w:color w:val="auto"/>
        </w:rPr>
      </w:pPr>
    </w:p>
    <w:p>
      <w:pPr>
        <w:ind w:left="920" w:firstLine="421"/>
        <w:spacing w:after="0" w:line="270" w:lineRule="auto"/>
        <w:tabs>
          <w:tab w:leader="none" w:pos="1555" w:val="left"/>
        </w:tabs>
        <w:numPr>
          <w:ilvl w:val="3"/>
          <w:numId w:val="22"/>
        </w:numPr>
        <w:rPr>
          <w:rFonts w:ascii="Arial" w:cs="Arial" w:eastAsia="Arial" w:hAnsi="Arial"/>
          <w:sz w:val="17"/>
          <w:szCs w:val="17"/>
          <w:color w:val="auto"/>
        </w:rPr>
      </w:pPr>
      <w:r>
        <w:rPr>
          <w:rFonts w:ascii="Arial" w:cs="Arial" w:eastAsia="Arial" w:hAnsi="Arial"/>
          <w:sz w:val="17"/>
          <w:szCs w:val="17"/>
          <w:color w:val="auto"/>
        </w:rPr>
        <w:t>The Units are to be sold by one of the Managers on a daily basis or otherwise as shall be agreed to by the Partnership and such Manager on any day that (A) is a trading day for the NYSE (other than a day on which the NYSE is scheduled to close prior to its regular weekday closing time), (B) the Partnership has instructed such Manager by telephone (confirmed promptly by electronic mail) to make such sales and (C) the Partnership has satisfied its obligations under Section 6 hereof. The Partnership will designate the maximum amount of the Units to be sold by such Manager daily as agreed to by such Manager (in any event not in excess of the amount available for issuance under the Prospectus and the currently effective Registration Statement) and the minimum price per Unit at which such Units may be sold. Subject to the terms and conditions hereof, such Manager shall use its reasonable efforts to sell on a particular day all of the Units designated for the sale by the Partnership on such day. The gross sales price of the Units sold under this Section 3(a) shall be the market price for the Units sold by such Manager under this Section 3(a) on the NYSE at the time of sale of such Units. For the avoidance of doubt, the Partnership shall submit instructions to sell Units to only one Manager, if any, on any single trading day.</w:t>
      </w:r>
    </w:p>
    <w:p>
      <w:pPr>
        <w:spacing w:after="0" w:line="69" w:lineRule="exact"/>
        <w:rPr>
          <w:rFonts w:ascii="Arial" w:cs="Arial" w:eastAsia="Arial" w:hAnsi="Arial"/>
          <w:sz w:val="17"/>
          <w:szCs w:val="17"/>
          <w:color w:val="auto"/>
        </w:rPr>
      </w:pPr>
    </w:p>
    <w:p>
      <w:pPr>
        <w:ind w:left="1600" w:hanging="259"/>
        <w:spacing w:after="0"/>
        <w:tabs>
          <w:tab w:leader="none" w:pos="1600" w:val="left"/>
        </w:tabs>
        <w:numPr>
          <w:ilvl w:val="3"/>
          <w:numId w:val="22"/>
        </w:numPr>
        <w:rPr>
          <w:rFonts w:ascii="Arial" w:cs="Arial" w:eastAsia="Arial" w:hAnsi="Arial"/>
          <w:sz w:val="16"/>
          <w:szCs w:val="16"/>
          <w:color w:val="auto"/>
        </w:rPr>
      </w:pPr>
      <w:r>
        <w:rPr>
          <w:rFonts w:ascii="Arial" w:cs="Arial" w:eastAsia="Arial" w:hAnsi="Arial"/>
          <w:sz w:val="16"/>
          <w:szCs w:val="16"/>
          <w:color w:val="auto"/>
        </w:rPr>
        <w:t>The Partnership acknowledges and agrees that (A) there can be no assurance that any Manager will be successful in selling the Units,</w:t>
      </w:r>
    </w:p>
    <w:p>
      <w:pPr>
        <w:spacing w:after="0" w:line="46" w:lineRule="exact"/>
        <w:rPr>
          <w:rFonts w:ascii="Arial" w:cs="Arial" w:eastAsia="Arial" w:hAnsi="Arial"/>
          <w:sz w:val="16"/>
          <w:szCs w:val="16"/>
          <w:color w:val="auto"/>
        </w:rPr>
      </w:pPr>
    </w:p>
    <w:p>
      <w:pPr>
        <w:ind w:left="920" w:right="60" w:firstLine="1"/>
        <w:spacing w:after="0" w:line="295" w:lineRule="auto"/>
        <w:tabs>
          <w:tab w:leader="none" w:pos="1205" w:val="left"/>
        </w:tabs>
        <w:numPr>
          <w:ilvl w:val="2"/>
          <w:numId w:val="22"/>
        </w:numPr>
        <w:rPr>
          <w:rFonts w:ascii="Arial" w:cs="Arial" w:eastAsia="Arial" w:hAnsi="Arial"/>
          <w:sz w:val="16"/>
          <w:szCs w:val="16"/>
          <w:color w:val="auto"/>
        </w:rPr>
      </w:pPr>
      <w:r>
        <w:rPr>
          <w:rFonts w:ascii="Arial" w:cs="Arial" w:eastAsia="Arial" w:hAnsi="Arial"/>
          <w:sz w:val="16"/>
          <w:szCs w:val="16"/>
          <w:color w:val="auto"/>
        </w:rPr>
        <w:t>no Manager will incur any liability or obligation to the Partnership or any other person or entity if such Manager does not sell Units for any reason other than a failure by such Manager to use its reasonable efforts consistent with its normal trading and sales practices and applicable law and regulations to sell such Units as required under this Agreement, and (C) each Manager shall be under no obligation to purchase Units on a principal basis pursuant to this Agreement, except as otherwise specifically agreed by such Manager and the Partnership.</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8" w:name="page19"/>
    <w:bookmarkEnd w:id="18"/>
    <w:p>
      <w:pPr>
        <w:ind w:right="20" w:firstLine="421"/>
        <w:spacing w:after="0" w:line="284" w:lineRule="auto"/>
        <w:tabs>
          <w:tab w:leader="none" w:pos="735" w:val="left"/>
        </w:tabs>
        <w:numPr>
          <w:ilvl w:val="1"/>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Partnership shall not authorize the issuance and sale of, and the relevant Manager shall not be obligated to use its reasonable efforts to sell, any Units at a price lower than the minimum price therefor designated from time to time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of GP LLC, a duly authorized committee thereof, or any individual to whom such authority has been duly and properly delegated by the Board or a duly authorized committee thereof, and notified to such Manager in writing. The Partnership or any Manager may, upon notice to the other party hereto by telephone (confirmed promptly by electronic mail), suspend or terminate the offering of the Units with respect to which such Manager is acting as sales agent for any reason and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suspension or termination shall not affect or impair the parties’ respective obligations with respect to the Units sold hereunder prior to the giving of such notice. During any such period of suspension, the Partnership shall not be obligated to deliver (or cause to be delivered) any of the documents referred to in Sections 4(l), (m), (n),</w:t>
      </w:r>
    </w:p>
    <w:p>
      <w:pPr>
        <w:spacing w:after="0" w:line="1" w:lineRule="exact"/>
        <w:rPr>
          <w:rFonts w:ascii="Arial" w:cs="Arial" w:eastAsia="Arial" w:hAnsi="Arial"/>
          <w:sz w:val="16"/>
          <w:szCs w:val="16"/>
          <w:color w:val="auto"/>
        </w:rPr>
      </w:pPr>
    </w:p>
    <w:p>
      <w:pPr>
        <w:ind w:right="80" w:firstLine="1"/>
        <w:spacing w:after="0" w:line="270"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or (q), be deemed to affirm any of the representations or warranties contained in this Agreement pursuant to Section 3(a)(viii) or Section 4(v) hereof, or be obligated to conduct any due diligence session as referred to in Section 4(r) until the termination of the suspension and the recommencement of the offering of the Units pursuant to this Agreement (which recommencement shall constitute a Representation Date, as defined in Section 4(l)). For the avoidance of doubt, any period during which the Partnership has not provided instructions with respect to the sale of Units pursuant to Section 3(a)(i) hereof, or any period during which such instruction provided thereunder has been properly revoked by the Partnership, shall not be deemed a suspension of the program under this Agreement.</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(iv) Each Manager hereby covenants and agrees not to make any sales of the Units on behalf of the Partnership pursuant to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3(a), other than (A) by means of ordinary brokers’ transactions between members of the NYSE that qualify for delivery of a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NYSE in accordance with Rule 153 (such transactions are hereinafter referred to as “</w:t>
      </w:r>
      <w:r>
        <w:rPr>
          <w:rFonts w:ascii="Arial" w:cs="Arial" w:eastAsia="Arial" w:hAnsi="Arial"/>
          <w:sz w:val="16"/>
          <w:szCs w:val="16"/>
          <w:u w:val="single" w:color="auto"/>
          <w:color w:val="auto"/>
        </w:rPr>
        <w:t>Continuous Offerings</w:t>
      </w:r>
      <w:r>
        <w:rPr>
          <w:rFonts w:ascii="Arial" w:cs="Arial" w:eastAsia="Arial" w:hAnsi="Arial"/>
          <w:sz w:val="16"/>
          <w:szCs w:val="16"/>
          <w:color w:val="auto"/>
        </w:rPr>
        <w:t>”) and (B) such other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Units on behalf of the Partnership in its capacity as agent of the Partnership as shall be agreed by the Partnership and such Manager pursuant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 Terms Agreement.</w:t>
      </w:r>
    </w:p>
    <w:p>
      <w:pPr>
        <w:spacing w:after="0" w:line="103" w:lineRule="exact"/>
        <w:rPr>
          <w:sz w:val="20"/>
          <w:szCs w:val="20"/>
          <w:color w:val="auto"/>
        </w:rPr>
      </w:pPr>
    </w:p>
    <w:p>
      <w:pPr>
        <w:jc w:val="both"/>
        <w:ind w:right="120" w:firstLine="421"/>
        <w:spacing w:after="0" w:line="291" w:lineRule="auto"/>
        <w:tabs>
          <w:tab w:leader="none" w:pos="675"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compensation to each Manager for sales of the Units with respect to which such Manager acts as sales agent under this Agreement shall be up to 2.0% of the gross sales price of the Units sold pursuant to this Section 3(a) and payable as described in the succeeding subsection</w:t>
      </w:r>
    </w:p>
    <w:p>
      <w:pPr>
        <w:ind w:firstLine="1"/>
        <w:spacing w:after="0" w:line="273" w:lineRule="auto"/>
        <w:tabs>
          <w:tab w:leader="none" w:pos="305"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below. The foregoing rate of compensation shall not apply when such Manager acts as principal, in which case the Partnership may sell Units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Arial" w:cs="Arial" w:eastAsia="Arial" w:hAnsi="Arial"/>
          <w:sz w:val="17"/>
          <w:szCs w:val="17"/>
          <w:u w:val="single" w:color="auto"/>
          <w:color w:val="auto"/>
        </w:rPr>
        <w:t>Transaction Fees</w:t>
      </w:r>
      <w:r>
        <w:rPr>
          <w:rFonts w:ascii="Arial" w:cs="Arial" w:eastAsia="Arial" w:hAnsi="Arial"/>
          <w:sz w:val="17"/>
          <w:szCs w:val="17"/>
          <w:color w:val="auto"/>
        </w:rPr>
        <w:t>”), shall constitute the net proceeds due to the Partnership for such Units (the “</w:t>
      </w:r>
      <w:r>
        <w:rPr>
          <w:rFonts w:ascii="Arial" w:cs="Arial" w:eastAsia="Arial" w:hAnsi="Arial"/>
          <w:sz w:val="17"/>
          <w:szCs w:val="17"/>
          <w:u w:val="single" w:color="auto"/>
          <w:color w:val="auto"/>
        </w:rPr>
        <w:t>Net Proceeds</w:t>
      </w:r>
      <w:r>
        <w:rPr>
          <w:rFonts w:ascii="Arial" w:cs="Arial" w:eastAsia="Arial" w:hAnsi="Arial"/>
          <w:sz w:val="17"/>
          <w:szCs w:val="17"/>
          <w:color w:val="auto"/>
        </w:rPr>
        <w:t>”).</w:t>
      </w:r>
    </w:p>
    <w:p>
      <w:pPr>
        <w:spacing w:after="0" w:line="1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1160" w:top="274" w:right="239" w:bottom="1440" w:gutter="0" w:footer="0" w:header="0"/>
        </w:sectPr>
      </w:pPr>
    </w:p>
    <w:bookmarkStart w:id="19" w:name="page20"/>
    <w:bookmarkEnd w:id="19"/>
    <w:p>
      <w:pPr>
        <w:jc w:val="both"/>
        <w:ind w:left="460" w:right="20" w:firstLine="421"/>
        <w:spacing w:after="0" w:line="297" w:lineRule="auto"/>
        <w:tabs>
          <w:tab w:leader="none" w:pos="1185" w:val="left"/>
        </w:tabs>
        <w:numPr>
          <w:ilvl w:val="1"/>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Manager shall provide written confirmation (which may be by facsimile or electronic mail) to the Partnership following the close of trading on the NYSE each day in which the Units with respect to which such Manager is acting as sales agent are sold under this Section 3(a), setting forth the number of the Units sold on such day, the aggregate gross sales proceeds and the Net Proceeds to the Partnership, and the compensation payable by the Partnership to such Manager with respect to such sales. Such compensation shall be set forth and invoiced in periodic statements from such Manager to the Partnership, with payment to be made by the Partnership promptly after its receipt thereof.</w:t>
      </w:r>
    </w:p>
    <w:p>
      <w:pPr>
        <w:spacing w:after="0" w:line="50" w:lineRule="exact"/>
        <w:rPr>
          <w:rFonts w:ascii="Arial" w:cs="Arial" w:eastAsia="Arial" w:hAnsi="Arial"/>
          <w:sz w:val="16"/>
          <w:szCs w:val="16"/>
          <w:color w:val="auto"/>
        </w:rPr>
      </w:pPr>
    </w:p>
    <w:p>
      <w:pPr>
        <w:ind w:left="460" w:firstLine="421"/>
        <w:spacing w:after="0" w:line="287" w:lineRule="auto"/>
        <w:tabs>
          <w:tab w:leader="none" w:pos="1235" w:val="left"/>
        </w:tabs>
        <w:numPr>
          <w:ilvl w:val="1"/>
          <w:numId w:val="27"/>
        </w:numPr>
        <w:rPr>
          <w:rFonts w:ascii="Arial" w:cs="Arial" w:eastAsia="Arial" w:hAnsi="Arial"/>
          <w:sz w:val="16"/>
          <w:szCs w:val="16"/>
          <w:color w:val="auto"/>
        </w:rPr>
      </w:pPr>
      <w:r>
        <w:rPr>
          <w:rFonts w:ascii="Arial" w:cs="Arial" w:eastAsia="Arial" w:hAnsi="Arial"/>
          <w:sz w:val="16"/>
          <w:szCs w:val="16"/>
          <w:color w:val="auto"/>
        </w:rPr>
        <w:t>Settlement for sales of the Units pursuant to this Section 3(a) will occur on the third business day following the date on which such sales are made (each such day, a “</w:t>
      </w:r>
      <w:r>
        <w:rPr>
          <w:rFonts w:ascii="Arial" w:cs="Arial" w:eastAsia="Arial" w:hAnsi="Arial"/>
          <w:sz w:val="16"/>
          <w:szCs w:val="16"/>
          <w:u w:val="single" w:color="auto"/>
          <w:color w:val="auto"/>
        </w:rPr>
        <w:t>Settlement Date</w:t>
      </w:r>
      <w:r>
        <w:rPr>
          <w:rFonts w:ascii="Arial" w:cs="Arial" w:eastAsia="Arial" w:hAnsi="Arial"/>
          <w:sz w:val="16"/>
          <w:szCs w:val="16"/>
          <w:color w:val="auto"/>
        </w:rPr>
        <w:t>”). On each Settlement Date, the Units sold through a Manager for settlement on such date shall be issued and delivered by or on behalf of the Partnership to such Manager against payment of the aggregate gross sales proceeds less any Transaction Fees for the sale of such Units. Settlement for all such Units shall be effected by free delivery of the Units to such Manager’s or such Manager’s designee’s account at The Depository Trust &amp; Clearing Corporation (“</w:t>
      </w:r>
      <w:r>
        <w:rPr>
          <w:rFonts w:ascii="Arial" w:cs="Arial" w:eastAsia="Arial" w:hAnsi="Arial"/>
          <w:sz w:val="16"/>
          <w:szCs w:val="16"/>
          <w:u w:val="single" w:color="auto"/>
          <w:color w:val="auto"/>
        </w:rPr>
        <w:t>DTC</w:t>
      </w:r>
      <w:r>
        <w:rPr>
          <w:rFonts w:ascii="Arial" w:cs="Arial" w:eastAsia="Arial" w:hAnsi="Arial"/>
          <w:sz w:val="16"/>
          <w:szCs w:val="16"/>
          <w:color w:val="auto"/>
        </w:rPr>
        <w:t>”) in return for payments in same day funds delivered to the Partnership by federal funds wire transfer to the account designated by the Partnership. If the Partnership or its transfer agent shall default on the obligation to deliver the Units on any Settlement Date, the Partnership shall (A) indemnify and hold such Manager harmless against any loss, claim or damage arising from or as a result of such default by the Partnership and (B) pay such Manager any commission to which it would otherwise be entitled absent such default. If a Manager breaches this Agreement by failing to deliver the aggregate gross sales proceeds less any Transaction Fees to the Partnership on any Settlement Date for the Units delivered by the Partnership, such Manager will pay the Partnership interest based on the effective overnight federal funds rate on such unpaid amount less any compensation due to such Manager.</w:t>
      </w:r>
    </w:p>
    <w:p>
      <w:pPr>
        <w:spacing w:after="0" w:line="64" w:lineRule="exact"/>
        <w:rPr>
          <w:rFonts w:ascii="Arial" w:cs="Arial" w:eastAsia="Arial" w:hAnsi="Arial"/>
          <w:sz w:val="16"/>
          <w:szCs w:val="16"/>
          <w:color w:val="auto"/>
        </w:rPr>
      </w:pPr>
    </w:p>
    <w:p>
      <w:pPr>
        <w:ind w:left="460" w:firstLine="421"/>
        <w:spacing w:after="0" w:line="255" w:lineRule="auto"/>
        <w:tabs>
          <w:tab w:leader="none" w:pos="12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At each Applicable Time, Settlement Date, and Representation Date (as defined in Section 4(l) hereof), the Partnership shall be deemed to have affirmed each representation and warranty contained in this Agreement as if such representation and warranty were made as of such date, but modified to incorporate the disclosures contained in the Registration Statement and the Prospectus, in each case as amended or supplemented as of such date. Any obligation of any Manager to use its reasonable efforts to sell the Units on behalf of the Partnership shall be subject to the continuing accuracy of the representations and warranties of the Partnership herein (as modified in the manner described above), to the performance by the Partnership of its obligations hereunder and to the continuing satisfaction of the additional conditions specified in Section 6 hereof.</w:t>
      </w:r>
    </w:p>
    <w:p>
      <w:pPr>
        <w:spacing w:after="0" w:line="81" w:lineRule="exact"/>
        <w:rPr>
          <w:rFonts w:ascii="Arial" w:cs="Arial" w:eastAsia="Arial" w:hAnsi="Arial"/>
          <w:sz w:val="18"/>
          <w:szCs w:val="18"/>
          <w:color w:val="auto"/>
        </w:rPr>
      </w:pPr>
    </w:p>
    <w:p>
      <w:pPr>
        <w:ind w:right="240" w:firstLine="443"/>
        <w:spacing w:after="0" w:line="277" w:lineRule="auto"/>
        <w:tabs>
          <w:tab w:leader="none" w:pos="69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Sale of Offered Units by a Manager, as Principal</w:t>
      </w:r>
      <w:r>
        <w:rPr>
          <w:rFonts w:ascii="Arial" w:cs="Arial" w:eastAsia="Arial" w:hAnsi="Arial"/>
          <w:sz w:val="18"/>
          <w:szCs w:val="18"/>
          <w:color w:val="auto"/>
        </w:rPr>
        <w:t>. If the Partnership wishes to issue and sell the Units pursuant to this Agreement but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as set forth in Section 3(a) hereof (each, a “</w:t>
      </w:r>
      <w:r>
        <w:rPr>
          <w:rFonts w:ascii="Arial" w:cs="Arial" w:eastAsia="Arial" w:hAnsi="Arial"/>
          <w:sz w:val="18"/>
          <w:szCs w:val="18"/>
          <w:u w:val="single" w:color="auto"/>
          <w:color w:val="auto"/>
        </w:rPr>
        <w:t>Placement</w:t>
      </w:r>
      <w:r>
        <w:rPr>
          <w:rFonts w:ascii="Arial" w:cs="Arial" w:eastAsia="Arial" w:hAnsi="Arial"/>
          <w:sz w:val="18"/>
          <w:szCs w:val="18"/>
          <w:color w:val="auto"/>
        </w:rPr>
        <w:t>”), it will notify a Manager of the proposed terms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74" w:right="279" w:bottom="1440" w:gutter="0" w:footer="0" w:header="0"/>
        </w:sectPr>
      </w:pPr>
    </w:p>
    <w:bookmarkStart w:id="20" w:name="page21"/>
    <w:bookmarkEnd w:id="20"/>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Placement. If such Manager, acting as principal, wishes to accept such proposed terms (which it may decline to do for any reason in its sole discretion) or, following discussions with the Partnership wishes to accept amended terms, such Manager and the Partnership will enter into a Terms Agreement setting forth the terms of such Placement. The terms set forth in a Terms Agreement will not be binding on the Partnership or such Manager unless and until the Partnership and such Manager have each executed such Terms Agreement accepting all of the terms of such Terms Agreement. In the event of a conflict between the terms of this Agreement and the terms of a Terms Agreement, the terms of such Terms Agreement will control.</w:t>
      </w:r>
    </w:p>
    <w:p>
      <w:pPr>
        <w:spacing w:after="0" w:line="50" w:lineRule="exact"/>
        <w:rPr>
          <w:sz w:val="20"/>
          <w:szCs w:val="20"/>
          <w:color w:val="auto"/>
        </w:rPr>
      </w:pPr>
    </w:p>
    <w:p>
      <w:pPr>
        <w:ind w:firstLine="443"/>
        <w:spacing w:after="0" w:line="289" w:lineRule="auto"/>
        <w:tabs>
          <w:tab w:leader="none" w:pos="683"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Terms Agreement</w:t>
      </w:r>
      <w:r>
        <w:rPr>
          <w:rFonts w:ascii="Arial" w:cs="Arial" w:eastAsia="Arial" w:hAnsi="Arial"/>
          <w:sz w:val="16"/>
          <w:szCs w:val="16"/>
          <w:color w:val="auto"/>
        </w:rPr>
        <w:t>. Each sale of the Units to a Manager shall be made in accordance with the terms of this Agreement and, if applicable, a</w:t>
      </w:r>
      <w:r>
        <w:rPr>
          <w:rFonts w:ascii="Arial" w:cs="Arial" w:eastAsia="Arial" w:hAnsi="Arial"/>
          <w:sz w:val="16"/>
          <w:szCs w:val="16"/>
          <w:i w:val="1"/>
          <w:iCs w:val="1"/>
          <w:color w:val="auto"/>
        </w:rPr>
        <w:t xml:space="preserve"> </w:t>
      </w:r>
      <w:r>
        <w:rPr>
          <w:rFonts w:ascii="Arial" w:cs="Arial" w:eastAsia="Arial" w:hAnsi="Arial"/>
          <w:sz w:val="16"/>
          <w:szCs w:val="16"/>
          <w:color w:val="auto"/>
        </w:rPr>
        <w:t>Terms Agreement, which will provide for the sale of such Units to, and the purchase thereof by, such Manager. A Terms Agreement may also specify certain provisions relating to the reoffering of such Units by such Manager. The commitment of such Manager to purchase the Units pursuant to any Terms Agreement shall be deemed to have been made on the basis of the representations and warranties of the Partnership herein contained and shall be subject to the terms and conditions herein set forth. Each Terms Agreement shall specify the number of the Units to be purchased by such Manager pursuant thereto, the price to be paid to the Partnership for such Units, any provisions relating to rights of, and default by, underwriters acting together with such Manager in the reoffering of the Units, and the time and date (each such time and date being referred to herein as a “</w:t>
      </w:r>
      <w:r>
        <w:rPr>
          <w:rFonts w:ascii="Arial" w:cs="Arial" w:eastAsia="Arial" w:hAnsi="Arial"/>
          <w:sz w:val="16"/>
          <w:szCs w:val="16"/>
          <w:u w:val="single" w:color="auto"/>
          <w:color w:val="auto"/>
        </w:rPr>
        <w:t>Time of Delivery</w:t>
      </w:r>
      <w:r>
        <w:rPr>
          <w:rFonts w:ascii="Arial" w:cs="Arial" w:eastAsia="Arial" w:hAnsi="Arial"/>
          <w:sz w:val="16"/>
          <w:szCs w:val="16"/>
          <w:color w:val="auto"/>
        </w:rPr>
        <w:t>”) and place of delivery of and payment for such Units. Such Terms Agreement shall also specify any requirements for opinions of counsel, accountants’ letters and officers’ certificates pursuant to Section 6 hereof and any other information or documents required by such Manager.</w:t>
      </w:r>
    </w:p>
    <w:p>
      <w:pPr>
        <w:spacing w:after="0" w:line="58" w:lineRule="exact"/>
        <w:rPr>
          <w:rFonts w:ascii="Arial" w:cs="Arial" w:eastAsia="Arial" w:hAnsi="Arial"/>
          <w:sz w:val="16"/>
          <w:szCs w:val="16"/>
          <w:color w:val="auto"/>
        </w:rPr>
      </w:pPr>
    </w:p>
    <w:p>
      <w:pPr>
        <w:ind w:right="140" w:firstLine="443"/>
        <w:spacing w:after="0" w:line="302" w:lineRule="auto"/>
        <w:tabs>
          <w:tab w:leader="none" w:pos="693"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Limitations on Number and Amount of Offered Units Sold</w:t>
      </w:r>
      <w:r>
        <w:rPr>
          <w:rFonts w:ascii="Arial" w:cs="Arial" w:eastAsia="Arial" w:hAnsi="Arial"/>
          <w:sz w:val="16"/>
          <w:szCs w:val="16"/>
          <w:color w:val="auto"/>
        </w:rPr>
        <w:t>. Under no circumstances shall the number and aggregate amount of the Units sold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this Agreement and any Terms Agreement exceed (i) the aggregate amount set forth in Section 1, (ii) the number of Common Units available for issuance under the currently effective Registration Statement or (iii) the number and aggregate amount of the Units, if any, authorized to be issued and sold under this Agreement by the Board, or a duly authorized committee thereof, and notified to each Manager in writing.</w:t>
      </w:r>
    </w:p>
    <w:p>
      <w:pPr>
        <w:spacing w:after="0" w:line="46" w:lineRule="exact"/>
        <w:rPr>
          <w:rFonts w:ascii="Arial" w:cs="Arial" w:eastAsia="Arial" w:hAnsi="Arial"/>
          <w:sz w:val="16"/>
          <w:szCs w:val="16"/>
          <w:color w:val="auto"/>
        </w:rPr>
      </w:pPr>
    </w:p>
    <w:p>
      <w:pPr>
        <w:ind w:right="280" w:firstLine="443"/>
        <w:spacing w:after="0" w:line="312" w:lineRule="auto"/>
        <w:tabs>
          <w:tab w:leader="none" w:pos="683"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Regulation M</w:t>
      </w:r>
      <w:r>
        <w:rPr>
          <w:rFonts w:ascii="Arial" w:cs="Arial" w:eastAsia="Arial" w:hAnsi="Arial"/>
          <w:sz w:val="16"/>
          <w:szCs w:val="16"/>
          <w:color w:val="auto"/>
        </w:rPr>
        <w:t>. If either party has reason to believe that the exemptive provisions set forth in Rule 101(c)(1) of Regulation M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are not satisfied with respect to the Units, it shall promptly notify the other party and sales of the Units under this Agreement and any Terms Agreement shall be suspended until that or other exemptive provisions have been satisfied in the judgment of each party.</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Agreements</w:t>
      </w:r>
      <w:r>
        <w:rPr>
          <w:rFonts w:ascii="Arial" w:cs="Arial" w:eastAsia="Arial" w:hAnsi="Arial"/>
          <w:sz w:val="18"/>
          <w:szCs w:val="18"/>
          <w:color w:val="auto"/>
        </w:rPr>
        <w:t>. The Partnership agrees with each Manager that:</w:t>
      </w:r>
    </w:p>
    <w:p>
      <w:pPr>
        <w:spacing w:after="0" w:line="117" w:lineRule="exact"/>
        <w:rPr>
          <w:sz w:val="20"/>
          <w:szCs w:val="20"/>
          <w:color w:val="auto"/>
        </w:rPr>
      </w:pPr>
    </w:p>
    <w:p>
      <w:pPr>
        <w:ind w:right="160" w:firstLine="443"/>
        <w:spacing w:after="0" w:line="264" w:lineRule="auto"/>
        <w:tabs>
          <w:tab w:leader="none" w:pos="68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Filing of Amendment or Supplement</w:t>
      </w:r>
      <w:r>
        <w:rPr>
          <w:rFonts w:ascii="Arial" w:cs="Arial" w:eastAsia="Arial" w:hAnsi="Arial"/>
          <w:sz w:val="18"/>
          <w:szCs w:val="18"/>
          <w:color w:val="auto"/>
        </w:rPr>
        <w:t>. During any period when the delivery of a prospectus relating to the Units is required (including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such requirement may be satisfied pursuant to Rule 172) to be delivered under the Act, the Partnership will advise the Managers promptly of any amendment or supplement to the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4" w:right="259" w:bottom="1440" w:gutter="0" w:footer="0" w:header="0"/>
        </w:sectPr>
      </w:pPr>
    </w:p>
    <w:bookmarkStart w:id="21" w:name="page22"/>
    <w:bookmarkEnd w:id="2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or the Prospectus which is proposed to be filed (other than any amendment or supplement which does not relate to the sale of the Units and not including any reports or documents and any preliminary or definitive proxy or information statement required to be filed by the Partnership with the Commission in order to comply with the Exchange Act) and to provide the Managers reasonable opportunity to review the same.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relating to the Units shall have been filed with the Commission, (ii) when, during any period when the delivery of a prospectus (whether physically, deemed to be delivered pursuant to Rule 153,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relating to the Units,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efforts to have such amendment or new registration statement declared effective as soon as practicable.</w:t>
      </w:r>
    </w:p>
    <w:p>
      <w:pPr>
        <w:spacing w:after="0" w:line="60" w:lineRule="exact"/>
        <w:rPr>
          <w:sz w:val="20"/>
          <w:szCs w:val="20"/>
          <w:color w:val="auto"/>
        </w:rPr>
      </w:pPr>
    </w:p>
    <w:p>
      <w:pPr>
        <w:ind w:right="220" w:firstLine="443"/>
        <w:spacing w:after="0" w:line="312" w:lineRule="auto"/>
        <w:tabs>
          <w:tab w:leader="none" w:pos="693"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Notice of Ineligibility</w:t>
      </w:r>
      <w:r>
        <w:rPr>
          <w:rFonts w:ascii="Arial" w:cs="Arial" w:eastAsia="Arial" w:hAnsi="Arial"/>
          <w:sz w:val="16"/>
          <w:szCs w:val="16"/>
          <w:color w:val="auto"/>
        </w:rPr>
        <w:t>. If at any time when Units remain unsold by the Managers, the Partnership receives from the Commission a notice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ceases to be eligible to use Form S-3, the Partnership will promptly notify the Managers, and the Partnership will not give any Manager instructions to sell Units under this Agreement until such time as the Partnership is again eligible to use Form S-3 for such purpose.</w:t>
      </w:r>
    </w:p>
    <w:p>
      <w:pPr>
        <w:spacing w:after="0" w:line="38" w:lineRule="exact"/>
        <w:rPr>
          <w:rFonts w:ascii="Arial" w:cs="Arial" w:eastAsia="Arial" w:hAnsi="Arial"/>
          <w:sz w:val="16"/>
          <w:szCs w:val="16"/>
          <w:color w:val="auto"/>
        </w:rPr>
      </w:pPr>
    </w:p>
    <w:p>
      <w:pPr>
        <w:ind w:right="200" w:firstLine="443"/>
        <w:spacing w:after="0" w:line="259" w:lineRule="auto"/>
        <w:tabs>
          <w:tab w:leader="none" w:pos="683"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Notice of Material Changes</w:t>
      </w:r>
      <w:r>
        <w:rPr>
          <w:rFonts w:ascii="Arial" w:cs="Arial" w:eastAsia="Arial" w:hAnsi="Arial"/>
          <w:sz w:val="18"/>
          <w:szCs w:val="18"/>
          <w:color w:val="auto"/>
        </w:rPr>
        <w:t>. If, at any time on or after an Applicable Time but prior to the related Settlement Date or Time of Delivery, any</w:t>
      </w:r>
      <w:r>
        <w:rPr>
          <w:rFonts w:ascii="Arial" w:cs="Arial" w:eastAsia="Arial" w:hAnsi="Arial"/>
          <w:sz w:val="18"/>
          <w:szCs w:val="18"/>
          <w:i w:val="1"/>
          <w:iCs w:val="1"/>
          <w:color w:val="auto"/>
        </w:rPr>
        <w:t xml:space="preserve"> </w:t>
      </w:r>
      <w:r>
        <w:rPr>
          <w:rFonts w:ascii="Arial" w:cs="Arial" w:eastAsia="Arial" w:hAnsi="Arial"/>
          <w:sz w:val="18"/>
          <w:szCs w:val="18"/>
          <w:color w:val="auto"/>
        </w:rPr>
        <w:t>event occurs as a result of which the Prospectus as then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Managers so that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74" w:right="279" w:bottom="1440" w:gutter="0" w:footer="0" w:header="0"/>
        </w:sectPr>
      </w:pPr>
    </w:p>
    <w:bookmarkStart w:id="22" w:name="page23"/>
    <w:bookmarkEnd w:id="22"/>
    <w:p>
      <w:pPr>
        <w:ind w:right="6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use of the Prospectus may cease until it is amended or supplemented; (ii) amend or supplement the Prospectus to correct such statement or omission; and (iii) supply any amendment or supplement to each Manager in such quantities as such Manager may reasonably request.</w:t>
      </w:r>
    </w:p>
    <w:p>
      <w:pPr>
        <w:spacing w:after="0" w:line="16" w:lineRule="exact"/>
        <w:rPr>
          <w:sz w:val="20"/>
          <w:szCs w:val="20"/>
          <w:color w:val="auto"/>
        </w:rPr>
      </w:pPr>
    </w:p>
    <w:p>
      <w:pPr>
        <w:ind w:firstLine="443"/>
        <w:spacing w:after="0" w:line="288" w:lineRule="auto"/>
        <w:tabs>
          <w:tab w:leader="none" w:pos="69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Material Misstatements or Omissions in Prospectus</w:t>
      </w:r>
      <w:r>
        <w:rPr>
          <w:rFonts w:ascii="Arial" w:cs="Arial" w:eastAsia="Arial" w:hAnsi="Arial"/>
          <w:sz w:val="16"/>
          <w:szCs w:val="16"/>
          <w:color w:val="auto"/>
        </w:rPr>
        <w:t>. During any period when the delivery of a prospectus relating to the Units is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in circumstances where such requirement may be satisfied pursuant to Rule 172)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second sentence of paragraph (a) of this Section 4, an amendment or supplement or new registration statement which will correct such statement or omission or effect such compliance, (iii) use its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61" w:lineRule="exact"/>
        <w:rPr>
          <w:rFonts w:ascii="Arial" w:cs="Arial" w:eastAsia="Arial" w:hAnsi="Arial"/>
          <w:sz w:val="16"/>
          <w:szCs w:val="16"/>
          <w:color w:val="auto"/>
        </w:rPr>
      </w:pPr>
    </w:p>
    <w:p>
      <w:pPr>
        <w:ind w:right="140" w:firstLine="443"/>
        <w:spacing w:after="0" w:line="259" w:lineRule="auto"/>
        <w:tabs>
          <w:tab w:leader="none" w:pos="68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Reports to Security Holders</w:t>
      </w:r>
      <w:r>
        <w:rPr>
          <w:rFonts w:ascii="Arial" w:cs="Arial" w:eastAsia="Arial" w:hAnsi="Arial"/>
          <w:sz w:val="18"/>
          <w:szCs w:val="18"/>
          <w:color w:val="auto"/>
        </w:rPr>
        <w:t>. In accordance with Section 11(a) of the Act and Rule 158, the Partnership will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78" w:lineRule="exact"/>
        <w:rPr>
          <w:rFonts w:ascii="Arial" w:cs="Arial" w:eastAsia="Arial" w:hAnsi="Arial"/>
          <w:sz w:val="18"/>
          <w:szCs w:val="18"/>
          <w:color w:val="auto"/>
        </w:rPr>
      </w:pPr>
    </w:p>
    <w:p>
      <w:pPr>
        <w:ind w:right="160" w:firstLine="443"/>
        <w:spacing w:after="0" w:line="302" w:lineRule="auto"/>
        <w:tabs>
          <w:tab w:leader="none" w:pos="66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Signed Copies of Registration Statement</w:t>
      </w:r>
      <w:r>
        <w:rPr>
          <w:rFonts w:ascii="Arial" w:cs="Arial" w:eastAsia="Arial" w:hAnsi="Arial"/>
          <w:sz w:val="16"/>
          <w:szCs w:val="16"/>
          <w:color w:val="auto"/>
        </w:rPr>
        <w:t>. The Partnership will make available to each Manager, without charge, signed copies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so long as delivery of a prospectus by such Manager or a dealer may be required by the Act (including in circumstances where such requirement may be satisfied pursuant to Rule 172), as many copies of the Prospectus and any amendments or supplement thereto as such Manager may reasonably request. The Partnership will pay the expenses of printing or other production of all documents relating to the offering.</w:t>
      </w:r>
    </w:p>
    <w:p>
      <w:pPr>
        <w:spacing w:after="0" w:line="46" w:lineRule="exact"/>
        <w:rPr>
          <w:rFonts w:ascii="Arial" w:cs="Arial" w:eastAsia="Arial" w:hAnsi="Arial"/>
          <w:sz w:val="16"/>
          <w:szCs w:val="16"/>
          <w:color w:val="auto"/>
        </w:rPr>
      </w:pPr>
    </w:p>
    <w:p>
      <w:pPr>
        <w:ind w:right="40" w:firstLine="443"/>
        <w:spacing w:after="0" w:line="302" w:lineRule="auto"/>
        <w:tabs>
          <w:tab w:leader="none" w:pos="69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Qualification</w:t>
      </w:r>
      <w:r>
        <w:rPr>
          <w:rFonts w:ascii="Arial" w:cs="Arial" w:eastAsia="Arial" w:hAnsi="Arial"/>
          <w:sz w:val="16"/>
          <w:szCs w:val="16"/>
          <w:color w:val="auto"/>
        </w:rPr>
        <w:t>. The Partnership will arrange, if necessary, for the qualification of the Units for sale under the laws of such jurisdictions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Managers may designate and will maintain such qualifications in effect so long as required for the distribution of the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Partnership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23" w:name="page24"/>
    <w:bookmarkEnd w:id="23"/>
    <w:p>
      <w:pPr>
        <w:jc w:val="both"/>
        <w:ind w:right="120" w:firstLine="443"/>
        <w:spacing w:after="0" w:line="291" w:lineRule="auto"/>
        <w:tabs>
          <w:tab w:leader="none" w:pos="693"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Issuer Free Writing Prospectus</w:t>
      </w:r>
      <w:r>
        <w:rPr>
          <w:rFonts w:ascii="Arial" w:cs="Arial" w:eastAsia="Arial" w:hAnsi="Arial"/>
          <w:sz w:val="16"/>
          <w:szCs w:val="16"/>
          <w:color w:val="auto"/>
        </w:rPr>
        <w:t>. Each of the Partnership and the Managers agree that it has not made and will not make any offer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Units that would constitute an Issuer Free Writing Prospectus or that would otherwise constitute a “free writing prospectus” (as defined in Rule</w:t>
      </w:r>
    </w:p>
    <w:p>
      <w:pPr>
        <w:ind w:left="380" w:hanging="376"/>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required to be filed by the Partnership with the Commission or retained by the Partnership under Rule 433.</w:t>
      </w:r>
    </w:p>
    <w:p>
      <w:pPr>
        <w:spacing w:after="0" w:line="102" w:lineRule="exact"/>
        <w:rPr>
          <w:rFonts w:ascii="Arial" w:cs="Arial" w:eastAsia="Arial" w:hAnsi="Arial"/>
          <w:sz w:val="18"/>
          <w:szCs w:val="18"/>
          <w:color w:val="auto"/>
        </w:rPr>
      </w:pPr>
    </w:p>
    <w:p>
      <w:pPr>
        <w:ind w:right="20" w:firstLine="443"/>
        <w:spacing w:after="0" w:line="285" w:lineRule="auto"/>
        <w:tabs>
          <w:tab w:leader="none" w:pos="653"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Limitations on Sale of Common Units</w:t>
      </w:r>
      <w:r>
        <w:rPr>
          <w:rFonts w:ascii="Arial" w:cs="Arial" w:eastAsia="Arial" w:hAnsi="Arial"/>
          <w:sz w:val="16"/>
          <w:szCs w:val="16"/>
          <w:color w:val="auto"/>
        </w:rPr>
        <w:t>. At any time that sales of the Units have been made but not settled or at any time the Partnership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with any Manager any instructions to sell the Units but such instructions have not been fulfilled or cancelled, the Partnership will not, without giving such Manager at least three Business Days prior written notice specifying the nature of the proposed transaction and the date of such proposed transaction,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pari passu with Common Units, or publicly announce an intention to effect any such transaction, or (ii) grant any options or warrants to purchase Common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 the Partnership may issue the Units pursuant to this Agreement or any Terms Agreement; (B) the Partnership may file a registration statement on Form S-8 or issue and sell Common Units or securities convertible into or exchangeable for Common Units pursuant to any long-term incentive plan, employee unit option plan, unit ownership plan or dividend reinvestment plan of the Partnership (or adopted by a GP Entity) in effect at the Applicable Time; and (C) the Partnership may issue or deliver Common Units issuable upon the conversion, vesting or exercise of securities (including long-term incentive plan awards, options and warrants) outstanding at the Applicable Time. In the event that notice of a proposed sale is provided by the Partnership pursuant to this Section 4(i), such Manager may (and shall if requested by the Partnership) suspend activity under this program for such period of time as may be requested by the Partnership or as may be deemed appropriate by such Manager.</w:t>
      </w:r>
    </w:p>
    <w:p>
      <w:pPr>
        <w:spacing w:after="0" w:line="67" w:lineRule="exact"/>
        <w:rPr>
          <w:rFonts w:ascii="Arial" w:cs="Arial" w:eastAsia="Arial" w:hAnsi="Arial"/>
          <w:sz w:val="16"/>
          <w:szCs w:val="16"/>
          <w:color w:val="auto"/>
        </w:rPr>
      </w:pPr>
    </w:p>
    <w:p>
      <w:pPr>
        <w:ind w:left="660" w:hanging="217"/>
        <w:spacing w:after="0"/>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Market Stabilization</w:t>
      </w:r>
      <w:r>
        <w:rPr>
          <w:rFonts w:ascii="Arial" w:cs="Arial" w:eastAsia="Arial" w:hAnsi="Arial"/>
          <w:sz w:val="16"/>
          <w:szCs w:val="16"/>
          <w:color w:val="auto"/>
        </w:rPr>
        <w:t>. Except as stated in this Agreement, any Terms Agreement and the Prospectus, the Partnership has not taken, nor will it</w:t>
      </w:r>
    </w:p>
    <w:p>
      <w:pPr>
        <w:spacing w:after="0" w:line="46"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(i) take, directly or indirectly, any action designed to or that might reasonably be expected to cause or result in stabilization or manipulation of the price of the Common Units to facilitate the sale or resale of the Units or (ii) sell, bid for, purchase or pay any person any compensation for soliciting purchases of the Units.</w:t>
      </w:r>
    </w:p>
    <w:p>
      <w:pPr>
        <w:spacing w:after="0" w:line="82" w:lineRule="exact"/>
        <w:rPr>
          <w:rFonts w:ascii="Arial" w:cs="Arial" w:eastAsia="Arial" w:hAnsi="Arial"/>
          <w:sz w:val="16"/>
          <w:szCs w:val="16"/>
          <w:color w:val="auto"/>
        </w:rPr>
      </w:pPr>
    </w:p>
    <w:p>
      <w:pPr>
        <w:ind w:firstLine="443"/>
        <w:spacing w:after="0" w:line="286" w:lineRule="auto"/>
        <w:tabs>
          <w:tab w:leader="none" w:pos="693" w:val="left"/>
        </w:tabs>
        <w:numPr>
          <w:ilvl w:val="1"/>
          <w:numId w:val="34"/>
        </w:numPr>
        <w:rPr>
          <w:rFonts w:ascii="Arial" w:cs="Arial" w:eastAsia="Arial" w:hAnsi="Arial"/>
          <w:sz w:val="17"/>
          <w:szCs w:val="17"/>
          <w:color w:val="auto"/>
        </w:rPr>
      </w:pPr>
      <w:r>
        <w:rPr>
          <w:rFonts w:ascii="Arial" w:cs="Arial" w:eastAsia="Arial" w:hAnsi="Arial"/>
          <w:sz w:val="17"/>
          <w:szCs w:val="17"/>
          <w:i w:val="1"/>
          <w:iCs w:val="1"/>
          <w:color w:val="auto"/>
        </w:rPr>
        <w:t>Notifications to Managers</w:t>
      </w:r>
      <w:r>
        <w:rPr>
          <w:rFonts w:ascii="Arial" w:cs="Arial" w:eastAsia="Arial" w:hAnsi="Arial"/>
          <w:sz w:val="17"/>
          <w:szCs w:val="17"/>
          <w:color w:val="auto"/>
        </w:rPr>
        <w:t>. The Partnership will, at any time during the term of this Agreement, as supplemented from time to time, advise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Managers immediately after it shall have received notice or obtain knowledge thereof, of any information or fact that would alter or affect any opinion, certificate, letter and other document which has been previously provided to the Managers pursuant to Section 6 herein.</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74" w:right="259" w:bottom="1440" w:gutter="0" w:footer="0" w:header="0"/>
        </w:sectPr>
      </w:pPr>
    </w:p>
    <w:bookmarkStart w:id="24" w:name="page25"/>
    <w:bookmarkEnd w:id="24"/>
    <w:p>
      <w:pPr>
        <w:ind w:firstLine="443"/>
        <w:spacing w:after="0" w:line="284" w:lineRule="auto"/>
        <w:tabs>
          <w:tab w:leader="none" w:pos="653"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Certificates</w:t>
      </w:r>
      <w:r>
        <w:rPr>
          <w:rFonts w:ascii="Arial" w:cs="Arial" w:eastAsia="Arial" w:hAnsi="Arial"/>
          <w:sz w:val="16"/>
          <w:szCs w:val="16"/>
          <w:color w:val="auto"/>
        </w:rPr>
        <w:t>. Upon commencement of the offering of the Units under this Agreement (and upon the recommencement of the offering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clauses (ii) and (iv) below, any prospectus supplement filed pursuant to Rule 424(b) pursuant to Section 4(bb) hereof or a prospectus supplement relating solely to the offering of securities other than the Units), (ii) there is filed with the Commission any document incorporated by reference into the Prospectus (other than a Current Report on Form 8-K, unless any Manager shall otherwise reasonably request), (iii) the Units are delivered to any Manager as principal at the Time of Delivery pursuant to a Terms Agreement, or</w:t>
      </w:r>
    </w:p>
    <w:p>
      <w:pPr>
        <w:spacing w:after="0" w:line="2" w:lineRule="exact"/>
        <w:rPr>
          <w:rFonts w:ascii="Arial" w:cs="Arial" w:eastAsia="Arial" w:hAnsi="Arial"/>
          <w:sz w:val="16"/>
          <w:szCs w:val="16"/>
          <w:color w:val="auto"/>
        </w:rPr>
      </w:pPr>
    </w:p>
    <w:p>
      <w:pPr>
        <w:ind w:right="20" w:firstLine="4"/>
        <w:spacing w:after="0" w:line="286" w:lineRule="auto"/>
        <w:tabs>
          <w:tab w:leader="none" w:pos="3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otherwise as any Manager may reasonably request and upon reasonable advance notice to the Partnership (such commencement or recommencement date and each such date referred to in subsection (i), (ii), (iii) and (iv) herein, each a “</w:t>
      </w:r>
      <w:r>
        <w:rPr>
          <w:rFonts w:ascii="Arial" w:cs="Arial" w:eastAsia="Arial" w:hAnsi="Arial"/>
          <w:sz w:val="16"/>
          <w:szCs w:val="16"/>
          <w:u w:val="single" w:color="auto"/>
          <w:color w:val="auto"/>
        </w:rPr>
        <w:t>Representation Date</w:t>
      </w:r>
      <w:r>
        <w:rPr>
          <w:rFonts w:ascii="Arial" w:cs="Arial" w:eastAsia="Arial" w:hAnsi="Arial"/>
          <w:sz w:val="16"/>
          <w:szCs w:val="16"/>
          <w:color w:val="auto"/>
        </w:rPr>
        <w:t>”), the Partnership shall furnish or cause to be furnished to the Managers (or, in the case of subclause (iii) above, the relevant Manager party to the Terms Agreement) forthwith a certificate dated and delivered on the Representation Date, in form satisfactory to the Managers (or, in the case of subclause (iii) above, the relevant Manager party to the Terms Agreement) to the effect that the statements contained in the certificate referred to in Section 6(b) hereof which were last furnished to the Managers (or, in the case of subclause (iii) above, the relevant Manager party to the Terms Agreement)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contained in the Registration Statement and the Prospectus, in each case as amended or supplemented as of such date) or, in lieu of such certificate, a certificate of the same tenor as the certificate referred to in said Section 6(b), modified as described immediately above to the time of delivery of such certificate.</w:t>
      </w:r>
    </w:p>
    <w:p>
      <w:pPr>
        <w:spacing w:after="0" w:line="62" w:lineRule="exact"/>
        <w:rPr>
          <w:rFonts w:ascii="Arial" w:cs="Arial" w:eastAsia="Arial" w:hAnsi="Arial"/>
          <w:sz w:val="16"/>
          <w:szCs w:val="16"/>
          <w:color w:val="auto"/>
        </w:rPr>
      </w:pPr>
    </w:p>
    <w:p>
      <w:pPr>
        <w:ind w:right="80" w:firstLine="443"/>
        <w:spacing w:after="0" w:line="255" w:lineRule="auto"/>
        <w:tabs>
          <w:tab w:leader="none" w:pos="743"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Opinion of Partnership Counsel</w:t>
      </w:r>
      <w:r>
        <w:rPr>
          <w:rFonts w:ascii="Arial" w:cs="Arial" w:eastAsia="Arial" w:hAnsi="Arial"/>
          <w:sz w:val="18"/>
          <w:szCs w:val="18"/>
          <w:color w:val="auto"/>
        </w:rPr>
        <w:t>. At each Representation Date, the Partnership shall furnish or cause to be furnished forthwith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Managers (or, in the case of a Representation Date of the type described in Section 4(l)(iii), the relevant Manager party to the Terms Agreement) a written opinion of Vinson &amp; Elkins L.L.P., counsel for the Partnership (“</w:t>
      </w:r>
      <w:r>
        <w:rPr>
          <w:rFonts w:ascii="Arial" w:cs="Arial" w:eastAsia="Arial" w:hAnsi="Arial"/>
          <w:sz w:val="18"/>
          <w:szCs w:val="18"/>
          <w:u w:val="single" w:color="auto"/>
          <w:color w:val="auto"/>
        </w:rPr>
        <w:t>Partnership Counsel</w:t>
      </w:r>
      <w:r>
        <w:rPr>
          <w:rFonts w:ascii="Arial" w:cs="Arial" w:eastAsia="Arial" w:hAnsi="Arial"/>
          <w:sz w:val="18"/>
          <w:szCs w:val="18"/>
          <w:color w:val="auto"/>
        </w:rPr>
        <w:t>”), or other counsel satisfactory to the Managers, dated as of the Representation Date, in form and substance satisfactory to the Managers (or, in the case of a Representation Date of the type described in Section 4(l)(iii), the relevant Manager party to the Terms Agreement), of the same tenor as the opinion referred to in Section 6(c) hereof, but modified as necessary to relate to the Registration Statement and the Prospectus, in each case as amended and supplemented to the time of delivery of such opinion.</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700" w:top="274" w:right="279" w:bottom="1440" w:gutter="0" w:footer="0" w:header="0"/>
        </w:sectPr>
      </w:pPr>
    </w:p>
    <w:bookmarkStart w:id="25" w:name="page26"/>
    <w:bookmarkEnd w:id="25"/>
    <w:p>
      <w:pPr>
        <w:ind w:firstLine="443"/>
        <w:spacing w:after="0" w:line="273" w:lineRule="auto"/>
        <w:tabs>
          <w:tab w:leader="none" w:pos="693"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 of General Counsel</w:t>
      </w:r>
      <w:r>
        <w:rPr>
          <w:rFonts w:ascii="Arial" w:cs="Arial" w:eastAsia="Arial" w:hAnsi="Arial"/>
          <w:sz w:val="17"/>
          <w:szCs w:val="17"/>
          <w:color w:val="auto"/>
        </w:rPr>
        <w:t>. At each Representation Date, the Partnership shall furnish or cause to be furnished forthwith to the Managers</w:t>
      </w:r>
      <w:r>
        <w:rPr>
          <w:rFonts w:ascii="Arial" w:cs="Arial" w:eastAsia="Arial" w:hAnsi="Arial"/>
          <w:sz w:val="17"/>
          <w:szCs w:val="17"/>
          <w:i w:val="1"/>
          <w:iCs w:val="1"/>
          <w:color w:val="auto"/>
        </w:rPr>
        <w:t xml:space="preserve"> </w:t>
      </w:r>
      <w:r>
        <w:rPr>
          <w:rFonts w:ascii="Arial" w:cs="Arial" w:eastAsia="Arial" w:hAnsi="Arial"/>
          <w:sz w:val="17"/>
          <w:szCs w:val="17"/>
          <w:color w:val="auto"/>
        </w:rPr>
        <w:t>(or, in the case of a Representation Date of the type described in Section 4(l)(iii), the relevant Manager party to the Terms Agreement) a written opinion of the general counsel for GP LLC (“</w:t>
      </w:r>
      <w:r>
        <w:rPr>
          <w:rFonts w:ascii="Arial" w:cs="Arial" w:eastAsia="Arial" w:hAnsi="Arial"/>
          <w:sz w:val="17"/>
          <w:szCs w:val="17"/>
          <w:u w:val="single" w:color="auto"/>
          <w:color w:val="auto"/>
        </w:rPr>
        <w:t>General Counsel</w:t>
      </w:r>
      <w:r>
        <w:rPr>
          <w:rFonts w:ascii="Arial" w:cs="Arial" w:eastAsia="Arial" w:hAnsi="Arial"/>
          <w:sz w:val="17"/>
          <w:szCs w:val="17"/>
          <w:color w:val="auto"/>
        </w:rPr>
        <w:t>”), dated as of the Representation Date, in form and substance satisfactory to the Managers (or, in the case of a Representation Date of the type described in Section 4(l)(iii), the relevant Manager party to the Terms Agreement), of the same tenor as the opinion referred to in Section 6(d) hereof, but modified as necessary to relate to the Registration Statement and the Prospectus, in each case, as amended and supplemented to the time of delivery of such opinion.</w:t>
      </w:r>
    </w:p>
    <w:p>
      <w:pPr>
        <w:spacing w:after="0" w:line="70" w:lineRule="exact"/>
        <w:rPr>
          <w:rFonts w:ascii="Arial" w:cs="Arial" w:eastAsia="Arial" w:hAnsi="Arial"/>
          <w:sz w:val="17"/>
          <w:szCs w:val="17"/>
          <w:color w:val="auto"/>
        </w:rPr>
      </w:pPr>
    </w:p>
    <w:p>
      <w:pPr>
        <w:ind w:firstLine="443"/>
        <w:spacing w:after="0" w:line="273" w:lineRule="auto"/>
        <w:tabs>
          <w:tab w:leader="none" w:pos="693"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Opinion of Canadian Counsel</w:t>
      </w:r>
      <w:r>
        <w:rPr>
          <w:rFonts w:ascii="Arial" w:cs="Arial" w:eastAsia="Arial" w:hAnsi="Arial"/>
          <w:sz w:val="17"/>
          <w:szCs w:val="17"/>
          <w:color w:val="auto"/>
        </w:rPr>
        <w:t>. At each Representation Date, the Partnership shall furnish or cause to be furnished forthwith to the Managers</w:t>
      </w:r>
      <w:r>
        <w:rPr>
          <w:rFonts w:ascii="Arial" w:cs="Arial" w:eastAsia="Arial" w:hAnsi="Arial"/>
          <w:sz w:val="17"/>
          <w:szCs w:val="17"/>
          <w:i w:val="1"/>
          <w:iCs w:val="1"/>
          <w:color w:val="auto"/>
        </w:rPr>
        <w:t xml:space="preserve"> </w:t>
      </w:r>
      <w:r>
        <w:rPr>
          <w:rFonts w:ascii="Arial" w:cs="Arial" w:eastAsia="Arial" w:hAnsi="Arial"/>
          <w:sz w:val="17"/>
          <w:szCs w:val="17"/>
          <w:color w:val="auto"/>
        </w:rPr>
        <w:t>(or, in the case of a Representation Date of the type described in Section 4(l)(iii), the relevant Manager party to the Terms Agreement) a written opinion of special internal Canadian counsel for the Partnership (“</w:t>
      </w:r>
      <w:r>
        <w:rPr>
          <w:rFonts w:ascii="Arial" w:cs="Arial" w:eastAsia="Arial" w:hAnsi="Arial"/>
          <w:sz w:val="17"/>
          <w:szCs w:val="17"/>
          <w:u w:val="single" w:color="auto"/>
          <w:color w:val="auto"/>
        </w:rPr>
        <w:t>Canadian Counsel</w:t>
      </w:r>
      <w:r>
        <w:rPr>
          <w:rFonts w:ascii="Arial" w:cs="Arial" w:eastAsia="Arial" w:hAnsi="Arial"/>
          <w:sz w:val="17"/>
          <w:szCs w:val="17"/>
          <w:color w:val="auto"/>
        </w:rPr>
        <w:t>”), dated as of the Representation Date, in form and substance satisfactory to the Managers (or, in the case of a Representation Date of the type described in Section 4(l)(iii), the relevant Manager party to the Terms Agreement), of the same tenor as the opinion referred to in Section 6(e) hereof, but modified as necessary to relate to the Registration Statement and the Prospectus, in each case as amended and supplemented to the time of delivery of such opinion.</w:t>
      </w:r>
    </w:p>
    <w:p>
      <w:pPr>
        <w:spacing w:after="0" w:line="70" w:lineRule="exact"/>
        <w:rPr>
          <w:rFonts w:ascii="Arial" w:cs="Arial" w:eastAsia="Arial" w:hAnsi="Arial"/>
          <w:sz w:val="17"/>
          <w:szCs w:val="17"/>
          <w:color w:val="auto"/>
        </w:rPr>
      </w:pPr>
    </w:p>
    <w:p>
      <w:pPr>
        <w:ind w:right="20" w:firstLine="443"/>
        <w:spacing w:after="0" w:line="257" w:lineRule="auto"/>
        <w:tabs>
          <w:tab w:leader="none" w:pos="69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Opinion of Managers’ Counsel</w:t>
      </w:r>
      <w:r>
        <w:rPr>
          <w:rFonts w:ascii="Arial" w:cs="Arial" w:eastAsia="Arial" w:hAnsi="Arial"/>
          <w:sz w:val="18"/>
          <w:szCs w:val="18"/>
          <w:color w:val="auto"/>
        </w:rPr>
        <w:t>. At each Representation Date, Baker Botts L.L.P., counsel for the Managers (“</w:t>
      </w:r>
      <w:r>
        <w:rPr>
          <w:rFonts w:ascii="Arial" w:cs="Arial" w:eastAsia="Arial" w:hAnsi="Arial"/>
          <w:sz w:val="18"/>
          <w:szCs w:val="18"/>
          <w:u w:val="single" w:color="auto"/>
          <w:color w:val="auto"/>
        </w:rPr>
        <w:t>Managers’ Counsel</w:t>
      </w:r>
      <w:r>
        <w:rPr>
          <w:rFonts w:ascii="Arial" w:cs="Arial" w:eastAsia="Arial" w:hAnsi="Arial"/>
          <w:sz w:val="18"/>
          <w:szCs w:val="18"/>
          <w:color w:val="auto"/>
        </w:rPr>
        <w:t>”),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a written opinion, dated as of the Representation Date, in form and substance satisfactory to the Managers (or, in the case of a Representation Date of the type described in Section 4(l)(iii), the relevant Manager party to the Terms Agreement), of the same tenor as the opinion referred to in Section 6(f) hereof, but modified as necessary to relate to the Registration Statement and the Prospectus, in each case, as amended and supplemented to the time of delivery of such opinion.</w:t>
      </w:r>
    </w:p>
    <w:p>
      <w:pPr>
        <w:spacing w:after="0" w:line="80" w:lineRule="exact"/>
        <w:rPr>
          <w:rFonts w:ascii="Arial" w:cs="Arial" w:eastAsia="Arial" w:hAnsi="Arial"/>
          <w:sz w:val="18"/>
          <w:szCs w:val="18"/>
          <w:color w:val="auto"/>
        </w:rPr>
      </w:pPr>
    </w:p>
    <w:p>
      <w:pPr>
        <w:ind w:right="80" w:firstLine="443"/>
        <w:spacing w:after="0" w:line="269" w:lineRule="auto"/>
        <w:tabs>
          <w:tab w:leader="none" w:pos="693"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Letter of Independent Accountants</w:t>
      </w:r>
      <w:r>
        <w:rPr>
          <w:rFonts w:ascii="Arial" w:cs="Arial" w:eastAsia="Arial" w:hAnsi="Arial"/>
          <w:sz w:val="17"/>
          <w:szCs w:val="17"/>
          <w:color w:val="auto"/>
        </w:rPr>
        <w:t>. Upon commencement of the offering of the Units under this Agreement (and upon the recommencement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offering of the Units under this Agreement following the termination of a suspension of sales hereunder), and each time that (i) the Registration Statement or the Prospectus shall be amended or supplemented to include additional or amended financial information, (ii) the Units are delivered to any Manager as principal at the Time of Delivery pursuant to a Terms Agreement, (iii) the Partnership files a Quarterly Report on Form 10-Q or an Annual Report on Form 10-K, or (iv) at any Manager’s request and upon reasonable advance notice to the Partnership, there is filed with the Commission any document which contains financial information (other than a Quarterly Report on Form 10-Q or an Annual Report on Form 10-K) incorporated by reference into the Prospectus, the Partnership shall cause the Accountants, or other independent accountants satisfactory to the Managers or, in the case of subclause (ii) above, the relevant Manager party to the Terms Agreement forthwith, to furnish, as promptly as practicable after such date, the Managers or, in the case of subclause (ii) above, the relevant Manager party to the Terms Agreement a letter, dated the date of commencement or recommencement, effectiveness of such amendment, the date of filing of such supplement or other document with the Commission, or the Time of Delivery, as the case may be, in form satisfactory to the</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26" w:name="page27"/>
    <w:bookmarkEnd w:id="26"/>
    <w:p>
      <w:pPr>
        <w:ind w:right="460"/>
        <w:spacing w:after="0" w:line="3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Managers or, in the case of subclause (ii) above, such Manager, of the same tenor as the letter referred to in Section 6(g) hereof but modified to incorporate the disclosures contained in the Registration Statement and the Prospectus, in each case as amended or supplemented as of such date.</w:t>
      </w:r>
    </w:p>
    <w:p>
      <w:pPr>
        <w:spacing w:after="0" w:line="1" w:lineRule="exact"/>
        <w:rPr>
          <w:sz w:val="20"/>
          <w:szCs w:val="20"/>
          <w:color w:val="auto"/>
        </w:rPr>
      </w:pPr>
    </w:p>
    <w:p>
      <w:pPr>
        <w:ind w:firstLine="443"/>
        <w:spacing w:after="0" w:line="255" w:lineRule="auto"/>
        <w:tabs>
          <w:tab w:leader="none" w:pos="66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Due Diligence</w:t>
      </w:r>
      <w:r>
        <w:rPr>
          <w:rFonts w:ascii="Arial" w:cs="Arial" w:eastAsia="Arial" w:hAnsi="Arial"/>
          <w:sz w:val="18"/>
          <w:szCs w:val="18"/>
          <w:color w:val="auto"/>
        </w:rPr>
        <w:t>. At each Representation Date, if reasonably requested by the Managers, the Partnership will conduct a due diligence session, in</w:t>
      </w:r>
      <w:r>
        <w:rPr>
          <w:rFonts w:ascii="Arial" w:cs="Arial" w:eastAsia="Arial" w:hAnsi="Arial"/>
          <w:sz w:val="18"/>
          <w:szCs w:val="18"/>
          <w:i w:val="1"/>
          <w:iCs w:val="1"/>
          <w:color w:val="auto"/>
        </w:rPr>
        <w:t xml:space="preserve"> </w:t>
      </w:r>
      <w:r>
        <w:rPr>
          <w:rFonts w:ascii="Arial" w:cs="Arial" w:eastAsia="Arial" w:hAnsi="Arial"/>
          <w:sz w:val="18"/>
          <w:szCs w:val="18"/>
          <w:color w:val="auto"/>
        </w:rPr>
        <w:t>form and substance satisfactory to such Manager,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Partnership’s agents during regular business hours and at the Partnership’s principal offices, and timely furnishing or causing to be furnished such certificates, letters and opinions from the Partnership, its officers and its agents, as the Managers may reasonably request.</w:t>
      </w:r>
    </w:p>
    <w:p>
      <w:pPr>
        <w:spacing w:after="0" w:line="81" w:lineRule="exact"/>
        <w:rPr>
          <w:rFonts w:ascii="Arial" w:cs="Arial" w:eastAsia="Arial" w:hAnsi="Arial"/>
          <w:sz w:val="18"/>
          <w:szCs w:val="18"/>
          <w:color w:val="auto"/>
        </w:rPr>
      </w:pPr>
    </w:p>
    <w:p>
      <w:pPr>
        <w:ind w:right="380" w:firstLine="443"/>
        <w:spacing w:after="0" w:line="308" w:lineRule="auto"/>
        <w:tabs>
          <w:tab w:leader="none" w:pos="673"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Managers Trading</w:t>
      </w:r>
      <w:r>
        <w:rPr>
          <w:rFonts w:ascii="Arial" w:cs="Arial" w:eastAsia="Arial" w:hAnsi="Arial"/>
          <w:sz w:val="17"/>
          <w:szCs w:val="17"/>
          <w:color w:val="auto"/>
        </w:rPr>
        <w:t>. The Partnership consents to each Manager trading in the Common Units for such Manager’s own account and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of its clients at the same time as sales of the Units occur pursuant to this Agreement or pursuant to a Terms Agreement.</w:t>
      </w:r>
    </w:p>
    <w:p>
      <w:pPr>
        <w:spacing w:after="0" w:line="38" w:lineRule="exact"/>
        <w:rPr>
          <w:rFonts w:ascii="Arial" w:cs="Arial" w:eastAsia="Arial" w:hAnsi="Arial"/>
          <w:sz w:val="17"/>
          <w:szCs w:val="17"/>
          <w:color w:val="auto"/>
        </w:rPr>
      </w:pPr>
    </w:p>
    <w:p>
      <w:pPr>
        <w:ind w:right="60" w:firstLine="443"/>
        <w:spacing w:after="0" w:line="259" w:lineRule="auto"/>
        <w:tabs>
          <w:tab w:leader="none" w:pos="65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Disclosures in Periodic Reports</w:t>
      </w:r>
      <w:r>
        <w:rPr>
          <w:rFonts w:ascii="Arial" w:cs="Arial" w:eastAsia="Arial" w:hAnsi="Arial"/>
          <w:sz w:val="18"/>
          <w:szCs w:val="18"/>
          <w:color w:val="auto"/>
        </w:rPr>
        <w:t>. The Partnership will disclose in its Annual Reports on Form 10-K, Quarterly Reports on Form 10-Q,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filings made by the Partnership where the Commission may require the Partnership to disclose such information, the number of Units sold to or through the Managers under this Agreement, the Net Proceeds to the Partnership and the compensation paid by the Partnership with respect to sales of Units pursuant to this Agreement during the relevant quarter.</w:t>
      </w:r>
    </w:p>
    <w:p>
      <w:pPr>
        <w:spacing w:after="0" w:line="78" w:lineRule="exact"/>
        <w:rPr>
          <w:rFonts w:ascii="Arial" w:cs="Arial" w:eastAsia="Arial" w:hAnsi="Arial"/>
          <w:sz w:val="18"/>
          <w:szCs w:val="18"/>
          <w:color w:val="auto"/>
        </w:rPr>
      </w:pPr>
    </w:p>
    <w:p>
      <w:pPr>
        <w:ind w:right="100" w:firstLine="443"/>
        <w:spacing w:after="0" w:line="286" w:lineRule="auto"/>
        <w:tabs>
          <w:tab w:leader="none" w:pos="693"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Failure of Certain Conditions</w:t>
      </w:r>
      <w:r>
        <w:rPr>
          <w:rFonts w:ascii="Arial" w:cs="Arial" w:eastAsia="Arial" w:hAnsi="Arial"/>
          <w:sz w:val="17"/>
          <w:szCs w:val="17"/>
          <w:color w:val="auto"/>
        </w:rPr>
        <w:t>. If to the knowledge of the Partnership, the conditions set forth in Sections 6(a) or 6(h) hereof shall not be true</w:t>
      </w:r>
      <w:r>
        <w:rPr>
          <w:rFonts w:ascii="Arial" w:cs="Arial" w:eastAsia="Arial" w:hAnsi="Arial"/>
          <w:sz w:val="17"/>
          <w:szCs w:val="17"/>
          <w:i w:val="1"/>
          <w:iCs w:val="1"/>
          <w:color w:val="auto"/>
        </w:rPr>
        <w:t xml:space="preserve"> </w:t>
      </w:r>
      <w:r>
        <w:rPr>
          <w:rFonts w:ascii="Arial" w:cs="Arial" w:eastAsia="Arial" w:hAnsi="Arial"/>
          <w:sz w:val="17"/>
          <w:szCs w:val="17"/>
          <w:color w:val="auto"/>
        </w:rPr>
        <w:t>and correct on the applicable Settlement Date, the Partnership will offer to any person who has agreed to purchase Units from the Partnership as the result of an offer to purchase solicited by any Manager the right to refuse to purchase and pay for such Units.</w:t>
      </w:r>
    </w:p>
    <w:p>
      <w:pPr>
        <w:spacing w:after="0" w:line="57" w:lineRule="exact"/>
        <w:rPr>
          <w:rFonts w:ascii="Arial" w:cs="Arial" w:eastAsia="Arial" w:hAnsi="Arial"/>
          <w:sz w:val="17"/>
          <w:szCs w:val="17"/>
          <w:color w:val="auto"/>
        </w:rPr>
      </w:pPr>
    </w:p>
    <w:p>
      <w:pPr>
        <w:jc w:val="both"/>
        <w:ind w:right="240" w:firstLine="443"/>
        <w:spacing w:after="0" w:line="297" w:lineRule="auto"/>
        <w:tabs>
          <w:tab w:leader="none" w:pos="693"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Affirmation of Representations and Warranties</w:t>
      </w:r>
      <w:r>
        <w:rPr>
          <w:rFonts w:ascii="Arial" w:cs="Arial" w:eastAsia="Arial" w:hAnsi="Arial"/>
          <w:sz w:val="16"/>
          <w:szCs w:val="16"/>
          <w:color w:val="auto"/>
        </w:rPr>
        <w:t>. At each Applicable Time, Settlement Date, Representation Date, upon each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by the Partnership of a Terms Agreement, and at each Time of Delivery, the Partnership shall be deemed to have made an affirmation to the Managers that the representations and warranties of the Partnership contained in or made pursuant to this Agreement are true and correct as of such date, as though made at and as of such date (except that such representations and warranties shall be deemed modified to incorporate the disclosures contained in the Registration Statement and the Prospectus, in each case as amended or supplemented as of such date).</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74" w:right="279" w:bottom="1440" w:gutter="0" w:footer="0" w:header="0"/>
        </w:sectPr>
      </w:pPr>
    </w:p>
    <w:bookmarkStart w:id="27" w:name="page28"/>
    <w:bookmarkEnd w:id="27"/>
    <w:p>
      <w:pPr>
        <w:ind w:left="420" w:right="80" w:firstLine="443"/>
        <w:spacing w:after="0" w:line="312" w:lineRule="auto"/>
        <w:tabs>
          <w:tab w:leader="none" w:pos="115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Partnership Authority</w:t>
      </w:r>
      <w:r>
        <w:rPr>
          <w:rFonts w:ascii="Arial" w:cs="Arial" w:eastAsia="Arial" w:hAnsi="Arial"/>
          <w:sz w:val="16"/>
          <w:szCs w:val="16"/>
          <w:color w:val="auto"/>
        </w:rPr>
        <w:t>. The Partnership shall ensure prior to instructing any Manager to sell Units that (i) the Partnership shall have obtained</w:t>
      </w:r>
      <w:r>
        <w:rPr>
          <w:rFonts w:ascii="Arial" w:cs="Arial" w:eastAsia="Arial" w:hAnsi="Arial"/>
          <w:sz w:val="16"/>
          <w:szCs w:val="16"/>
          <w:i w:val="1"/>
          <w:iCs w:val="1"/>
          <w:color w:val="auto"/>
        </w:rPr>
        <w:t xml:space="preserve"> </w:t>
      </w:r>
      <w:r>
        <w:rPr>
          <w:rFonts w:ascii="Arial" w:cs="Arial" w:eastAsia="Arial" w:hAnsi="Arial"/>
          <w:sz w:val="16"/>
          <w:szCs w:val="16"/>
          <w:color w:val="auto"/>
        </w:rPr>
        <w:t>all necessary partnership authority for the offer and sale of such Units, (ii) there are at all times sufficient Common Units to provide for the issuance, free of any preemptive rights, of the maximum aggregate number of Units authorized for issuance pursuant to the terms of this Agreement.</w:t>
      </w:r>
    </w:p>
    <w:p>
      <w:pPr>
        <w:spacing w:after="0" w:line="38" w:lineRule="exact"/>
        <w:rPr>
          <w:rFonts w:ascii="Arial" w:cs="Arial" w:eastAsia="Arial" w:hAnsi="Arial"/>
          <w:sz w:val="16"/>
          <w:szCs w:val="16"/>
          <w:color w:val="auto"/>
        </w:rPr>
      </w:pPr>
    </w:p>
    <w:p>
      <w:pPr>
        <w:ind w:left="420" w:right="320" w:firstLine="443"/>
        <w:spacing w:after="0" w:line="277" w:lineRule="auto"/>
        <w:tabs>
          <w:tab w:leader="none" w:pos="1113"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NYSE Listing</w:t>
      </w:r>
      <w:r>
        <w:rPr>
          <w:rFonts w:ascii="Arial" w:cs="Arial" w:eastAsia="Arial" w:hAnsi="Arial"/>
          <w:sz w:val="18"/>
          <w:szCs w:val="18"/>
          <w:color w:val="auto"/>
        </w:rPr>
        <w:t>. The Partnership will use its reasonable efforts to effect the listing of the Units for trading on the NYSE, subject to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and to maintain such listing.</w:t>
      </w:r>
    </w:p>
    <w:p>
      <w:pPr>
        <w:spacing w:after="0" w:line="62" w:lineRule="exact"/>
        <w:rPr>
          <w:rFonts w:ascii="Arial" w:cs="Arial" w:eastAsia="Arial" w:hAnsi="Arial"/>
          <w:sz w:val="18"/>
          <w:szCs w:val="18"/>
          <w:color w:val="auto"/>
        </w:rPr>
      </w:pPr>
    </w:p>
    <w:p>
      <w:pPr>
        <w:ind w:left="420" w:firstLine="443"/>
        <w:spacing w:after="0" w:line="286" w:lineRule="auto"/>
        <w:tabs>
          <w:tab w:leader="none" w:pos="1113"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Exchange Act Filings</w:t>
      </w:r>
      <w:r>
        <w:rPr>
          <w:rFonts w:ascii="Arial" w:cs="Arial" w:eastAsia="Arial" w:hAnsi="Arial"/>
          <w:sz w:val="17"/>
          <w:szCs w:val="17"/>
          <w:color w:val="auto"/>
        </w:rPr>
        <w:t>. During any period when the delivery of a prospectus relating to the Units is required (including in circumstances where</w:t>
      </w:r>
      <w:r>
        <w:rPr>
          <w:rFonts w:ascii="Arial" w:cs="Arial" w:eastAsia="Arial" w:hAnsi="Arial"/>
          <w:sz w:val="17"/>
          <w:szCs w:val="17"/>
          <w:i w:val="1"/>
          <w:iCs w:val="1"/>
          <w:color w:val="auto"/>
        </w:rPr>
        <w:t xml:space="preserve"> </w:t>
      </w:r>
      <w:r>
        <w:rPr>
          <w:rFonts w:ascii="Arial" w:cs="Arial" w:eastAsia="Arial" w:hAnsi="Arial"/>
          <w:sz w:val="17"/>
          <w:szCs w:val="17"/>
          <w:color w:val="auto"/>
        </w:rPr>
        <w:t>such requirement may be satisfied pursuant to Rule 172) to be delivered under the Act, the Partnership will file all documents required to be filed with the Commission pursuant to the Exchange Act within the time periods required by the Exchange Act and the regulations thereunder.</w:t>
      </w:r>
    </w:p>
    <w:p>
      <w:pPr>
        <w:spacing w:after="0" w:line="57" w:lineRule="exact"/>
        <w:rPr>
          <w:rFonts w:ascii="Arial" w:cs="Arial" w:eastAsia="Arial" w:hAnsi="Arial"/>
          <w:sz w:val="17"/>
          <w:szCs w:val="17"/>
          <w:color w:val="auto"/>
        </w:rPr>
      </w:pPr>
    </w:p>
    <w:p>
      <w:pPr>
        <w:ind w:left="420" w:right="360" w:firstLine="443"/>
        <w:spacing w:after="0" w:line="277" w:lineRule="auto"/>
        <w:tabs>
          <w:tab w:leader="none" w:pos="1103"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Partnership shall cooperate with the Managers and use its reasonable efforts to permit the Units to be eligible for clearance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through the facilities of DTC.</w:t>
      </w:r>
    </w:p>
    <w:p>
      <w:pPr>
        <w:spacing w:after="0" w:line="62" w:lineRule="exact"/>
        <w:rPr>
          <w:sz w:val="20"/>
          <w:szCs w:val="20"/>
          <w:color w:val="auto"/>
        </w:rPr>
      </w:pPr>
    </w:p>
    <w:p>
      <w:pPr>
        <w:ind w:left="420" w:right="900" w:firstLine="443"/>
        <w:spacing w:after="0" w:line="308" w:lineRule="auto"/>
        <w:tabs>
          <w:tab w:leader="none" w:pos="1183"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Partnership will apply the Net Proceeds from the sale of the Units in the manner set forth in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w:t>
      </w:r>
    </w:p>
    <w:p>
      <w:pPr>
        <w:spacing w:after="0" w:line="38" w:lineRule="exact"/>
        <w:rPr>
          <w:rFonts w:ascii="Arial" w:cs="Arial" w:eastAsia="Arial" w:hAnsi="Arial"/>
          <w:sz w:val="17"/>
          <w:szCs w:val="17"/>
          <w:color w:val="auto"/>
        </w:rPr>
      </w:pPr>
    </w:p>
    <w:p>
      <w:pPr>
        <w:ind w:left="420" w:firstLine="443"/>
        <w:spacing w:after="0" w:line="277" w:lineRule="auto"/>
        <w:tabs>
          <w:tab w:leader="none" w:pos="1203"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Rule 424 Filings</w:t>
      </w:r>
      <w:r>
        <w:rPr>
          <w:rFonts w:ascii="Arial" w:cs="Arial" w:eastAsia="Arial" w:hAnsi="Arial"/>
          <w:sz w:val="18"/>
          <w:szCs w:val="18"/>
          <w:color w:val="auto"/>
        </w:rPr>
        <w:t>. The Partnership will make all filings with respect to the Units required to be filed by the Commission pursuant to Rule 424</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applicable time period prescribed for such filing by Rule 424.</w:t>
      </w:r>
    </w:p>
    <w:p>
      <w:pPr>
        <w:spacing w:after="0" w:line="62" w:lineRule="exact"/>
        <w:rPr>
          <w:rFonts w:ascii="Arial" w:cs="Arial" w:eastAsia="Arial" w:hAnsi="Arial"/>
          <w:sz w:val="18"/>
          <w:szCs w:val="18"/>
          <w:color w:val="auto"/>
        </w:rPr>
      </w:pPr>
    </w:p>
    <w:p>
      <w:pPr>
        <w:ind w:left="-40" w:right="100" w:firstLine="464"/>
        <w:spacing w:after="0" w:line="287" w:lineRule="auto"/>
        <w:tabs>
          <w:tab w:leader="none" w:pos="59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Partnership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each amendment or supplement to either of them, as may, in each case, be reasonably requested for use in connection with the offering and sale of the Units; (iii) the preparation, printing, authentication, issuance and delivery of certificates for the Units, including any stamp or transfer taxes in connection with the original issuance and sale of the Units; (iv) the printing (or reproduction) and delivery of this Agreement, any blue sky memorandum and all other agreements or documents printed (or reproduced) and delivered in connection with the offering of the Units; (v) the registration of the Units under the Exchange Act and the listing of the Units on the NYSE; (vi) any registration or qualification of the Units for offer and sale under the securities or blue sky laws of the several states (including filing fees and the reasonable fees and expenses of Managers’ Counsel relating to such registration and qualification); (vii) any filings required to be made with FINRA (including filing fees and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80" w:top="274" w:right="259" w:bottom="1440" w:gutter="0" w:footer="0" w:header="0"/>
        </w:sectPr>
      </w:pPr>
    </w:p>
    <w:bookmarkStart w:id="28" w:name="page29"/>
    <w:bookmarkEnd w:id="2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fees and expenses of Managers’ Counsel relating to such filings); (viii) the transportation and other expenses incurred by or on behalf of Partnership representatives in connection with presentations to prospective purchasers of the Units; (ix) the fees and expenses of the Partnership’s accountants and the fees and expenses of counsel (including local and special counsel) for the Partnership and the reasonable fees and expenses of counsel for the Managers; and (x) all other costs and expenses incident to the performance by the Partnership of its obligations hereunder. It is understood, however, that except as provided in Sections 3(a)(v) and 7 hereof, each Manager will pay all of its own out-of-pocket costs and expenses incurred in connection with entering into this Agreement and the transactions contemplated by this Agreement.</w:t>
      </w:r>
    </w:p>
    <w:p>
      <w:pPr>
        <w:spacing w:after="0" w:line="70" w:lineRule="exact"/>
        <w:rPr>
          <w:sz w:val="20"/>
          <w:szCs w:val="20"/>
          <w:color w:val="auto"/>
        </w:rPr>
      </w:pPr>
    </w:p>
    <w:p>
      <w:pPr>
        <w:ind w:left="640" w:hanging="176"/>
        <w:spacing w:after="0"/>
        <w:tabs>
          <w:tab w:leader="none" w:pos="64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Managers</w:t>
      </w:r>
      <w:r>
        <w:rPr>
          <w:rFonts w:ascii="Arial" w:cs="Arial" w:eastAsia="Arial" w:hAnsi="Arial"/>
          <w:sz w:val="16"/>
          <w:szCs w:val="16"/>
          <w:color w:val="auto"/>
        </w:rPr>
        <w:t>. The obligations of each Manager under this Agreement and any Terms Agreement shall be subject to</w:t>
      </w:r>
    </w:p>
    <w:p>
      <w:pPr>
        <w:spacing w:after="0" w:line="46" w:lineRule="exact"/>
        <w:rPr>
          <w:rFonts w:ascii="Arial" w:cs="Arial" w:eastAsia="Arial" w:hAnsi="Arial"/>
          <w:sz w:val="16"/>
          <w:szCs w:val="16"/>
          <w:color w:val="auto"/>
        </w:rPr>
      </w:pPr>
    </w:p>
    <w:p>
      <w:pPr>
        <w:ind w:right="80" w:firstLine="8"/>
        <w:spacing w:after="0" w:line="255"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on the part of the Partnership contained herein as of the Execution Time, each Representation Date, and as of each Applicable Time, Settlement Date and Time of Delivery, (ii) to the performance by the Partnership of its obligations hereunder and (iii) the following additional conditions:</w:t>
      </w:r>
    </w:p>
    <w:p>
      <w:pPr>
        <w:spacing w:after="0" w:line="82" w:lineRule="exact"/>
        <w:rPr>
          <w:rFonts w:ascii="Arial" w:cs="Arial" w:eastAsia="Arial" w:hAnsi="Arial"/>
          <w:sz w:val="18"/>
          <w:szCs w:val="18"/>
          <w:color w:val="auto"/>
        </w:rPr>
      </w:pPr>
    </w:p>
    <w:p>
      <w:pPr>
        <w:ind w:left="460" w:right="60" w:firstLine="443"/>
        <w:spacing w:after="0" w:line="257" w:lineRule="auto"/>
        <w:tabs>
          <w:tab w:leader="none" w:pos="1143"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Prospectus, and any supplement thereto, required by Rule 424 to be filed with the Commission have been filed in the manner and within the time period required by Rule 424(b) with respect to any sale of Units;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80" w:lineRule="exact"/>
        <w:rPr>
          <w:rFonts w:ascii="Arial" w:cs="Arial" w:eastAsia="Arial" w:hAnsi="Arial"/>
          <w:sz w:val="18"/>
          <w:szCs w:val="18"/>
          <w:color w:val="auto"/>
        </w:rPr>
      </w:pPr>
    </w:p>
    <w:p>
      <w:pPr>
        <w:ind w:left="460" w:right="60" w:firstLine="443"/>
        <w:spacing w:after="0" w:line="276" w:lineRule="auto"/>
        <w:tabs>
          <w:tab w:leader="none" w:pos="1153"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Partnership shall have furnished or caused to be furnished to the Managers (or, in the case of a Representation Date of the type described in Section 4(l)(iii), the relevant Manager party to the Terms Agreement), on every date specified in Section 4(l) hereof, a certificate of the Partnership, signed on behalf of the Partnership by any two of the Chief Executive Officer, any President, any Executive Vice President, any Senior Vice President or any Vice President of GP LLC, dated as of such date, to the effect that the signers of such certificate have carefully examined the Registration Statement and the Prospectus and any supplements or amendments thereto and this Agreement and that:</w:t>
      </w:r>
    </w:p>
    <w:p>
      <w:pPr>
        <w:spacing w:after="0" w:line="64" w:lineRule="exact"/>
        <w:rPr>
          <w:rFonts w:ascii="Arial" w:cs="Arial" w:eastAsia="Arial" w:hAnsi="Arial"/>
          <w:sz w:val="17"/>
          <w:szCs w:val="17"/>
          <w:color w:val="auto"/>
        </w:rPr>
      </w:pPr>
    </w:p>
    <w:p>
      <w:pPr>
        <w:ind w:left="920" w:right="120" w:firstLine="421"/>
        <w:spacing w:after="0" w:line="276" w:lineRule="auto"/>
        <w:tabs>
          <w:tab w:leader="none" w:pos="1555" w:val="left"/>
        </w:tabs>
        <w:numPr>
          <w:ilvl w:val="3"/>
          <w:numId w:val="43"/>
        </w:numPr>
        <w:rPr>
          <w:rFonts w:ascii="Arial" w:cs="Arial" w:eastAsia="Arial" w:hAnsi="Arial"/>
          <w:sz w:val="17"/>
          <w:szCs w:val="17"/>
          <w:color w:val="auto"/>
        </w:rPr>
      </w:pPr>
      <w:r>
        <w:rPr>
          <w:rFonts w:ascii="Arial" w:cs="Arial" w:eastAsia="Arial" w:hAnsi="Arial"/>
          <w:sz w:val="17"/>
          <w:szCs w:val="17"/>
          <w:color w:val="auto"/>
        </w:rPr>
        <w:t>subject to modification to incorporate the disclosures contained in the Registration Statement and the Prospectus, in each case as amended or supplemented as of such date, the representations and warranties of the Partnership in this Agreement are true and correct on and as of such date with the same effect as if made on such date; and the Partnership has complied in all material respects (except with respect to agreements and conditions that are qualified by materiality, which shall be true and correct in all respects) with all the agreements and satisfied all the conditions on its part to be performed or satisfied at or prior to such date;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 w:name="page30"/>
    <w:bookmarkEnd w:id="29"/>
    <w:p>
      <w:pPr>
        <w:ind w:left="460" w:right="540" w:firstLine="421"/>
        <w:spacing w:after="0" w:line="277" w:lineRule="auto"/>
        <w:tabs>
          <w:tab w:leader="none" w:pos="1145"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stop order suspending the effectiveness of the Registration Statement or any notice objecting to its use has been issued and no proceedings for that purpose have been instituted or, to the Partnership’s knowledge, threatened; and</w:t>
      </w:r>
    </w:p>
    <w:p>
      <w:pPr>
        <w:spacing w:after="0" w:line="62" w:lineRule="exact"/>
        <w:rPr>
          <w:rFonts w:ascii="Arial" w:cs="Arial" w:eastAsia="Arial" w:hAnsi="Arial"/>
          <w:sz w:val="18"/>
          <w:szCs w:val="18"/>
          <w:color w:val="auto"/>
        </w:rPr>
      </w:pPr>
    </w:p>
    <w:p>
      <w:pPr>
        <w:ind w:left="460" w:firstLine="421"/>
        <w:spacing w:after="0" w:line="297" w:lineRule="auto"/>
        <w:tabs>
          <w:tab w:leader="none" w:pos="1195" w:val="left"/>
        </w:tabs>
        <w:numPr>
          <w:ilvl w:val="1"/>
          <w:numId w:val="44"/>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Prospectus, there has not been any change, or any development involving a prospective change, in the partnership interests, capital stock, or long-term debt of the Partnership or any of its subsidiaries that would reasonably be expected to cause a Material Adverse Effect, or any change in the general affairs, management, financial position, results of operations, cash flows or working capital of the Partnership and its subsidiaries, whether or not arising from transactions in the ordinary course of business, that would reasonably be expected to cause a Material Adverse Effect, other than as set forth in or contemplated by the Prospectus.</w:t>
      </w:r>
    </w:p>
    <w:p>
      <w:pPr>
        <w:spacing w:after="0" w:line="50" w:lineRule="exact"/>
        <w:rPr>
          <w:rFonts w:ascii="Arial" w:cs="Arial" w:eastAsia="Arial" w:hAnsi="Arial"/>
          <w:sz w:val="16"/>
          <w:szCs w:val="16"/>
          <w:color w:val="auto"/>
        </w:rPr>
      </w:pPr>
    </w:p>
    <w:p>
      <w:pPr>
        <w:ind w:right="140" w:firstLine="443"/>
        <w:spacing w:after="0" w:line="279" w:lineRule="auto"/>
        <w:tabs>
          <w:tab w:leader="none" w:pos="68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Partnership shall have requested and caused the Partnership Counsel to furnish to the Managers (or, in the case of a Representation Date of the type described in Section 4(l)(iii), the relevant Manager party to the Terms Agreement), on every date specified in Section 4(m) hereof, its opinion, dated as of such date and addressed to the Managers (or, in the case of a Representation Date of the type described in Section 4(l)(iii), the relevant Manager party to the Terms Agreement), in the form set forth in Annex II hereto.</w:t>
      </w:r>
    </w:p>
    <w:p>
      <w:pPr>
        <w:spacing w:after="0" w:line="63" w:lineRule="exact"/>
        <w:rPr>
          <w:rFonts w:ascii="Arial" w:cs="Arial" w:eastAsia="Arial" w:hAnsi="Arial"/>
          <w:sz w:val="17"/>
          <w:szCs w:val="17"/>
          <w:color w:val="auto"/>
        </w:rPr>
      </w:pPr>
    </w:p>
    <w:p>
      <w:pPr>
        <w:jc w:val="both"/>
        <w:ind w:right="80" w:firstLine="443"/>
        <w:spacing w:after="0" w:line="259" w:lineRule="auto"/>
        <w:tabs>
          <w:tab w:leader="none" w:pos="6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Partnership shall have furnished to the Managers (or, in the case of a Representation Date of the type described in Section 4(l)(iii), the relevant Manager party to the Terms Agreement), on every date specified in Section 4(n) hereof, an opinion of the General Counsel, dated as of such date and addressed to the Managers (or, in the case of a Representation Date of the type described in Section 4(l)(iii), the relevant Manager party to the Terms Agreement), in the form set forth in Annex III hereto.</w:t>
      </w:r>
    </w:p>
    <w:p>
      <w:pPr>
        <w:spacing w:after="0" w:line="78" w:lineRule="exact"/>
        <w:rPr>
          <w:rFonts w:ascii="Arial" w:cs="Arial" w:eastAsia="Arial" w:hAnsi="Arial"/>
          <w:sz w:val="18"/>
          <w:szCs w:val="18"/>
          <w:color w:val="auto"/>
        </w:rPr>
      </w:pPr>
    </w:p>
    <w:p>
      <w:pPr>
        <w:ind w:right="60" w:firstLine="443"/>
        <w:spacing w:after="0" w:line="259" w:lineRule="auto"/>
        <w:tabs>
          <w:tab w:leader="none" w:pos="6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Partnership shall have furnished to the Managers (or, in the case of a Representation Date of the type described in Section 4(l)(iii), the relevant Manager party to the Terms Agreement), on every date specified in Section 4(o) hereof, an opinion of Canadian Counsel, dated as of such date and addressed to the Managers (or, in the case of a Representation Date of the type described in Section 4(l)(iii), the relevant Manager party to the Terms Agreement), in the form set forth in Annex IV hereto.</w:t>
      </w:r>
    </w:p>
    <w:p>
      <w:pPr>
        <w:spacing w:after="0" w:line="78" w:lineRule="exact"/>
        <w:rPr>
          <w:rFonts w:ascii="Arial" w:cs="Arial" w:eastAsia="Arial" w:hAnsi="Arial"/>
          <w:sz w:val="18"/>
          <w:szCs w:val="18"/>
          <w:color w:val="auto"/>
        </w:rPr>
      </w:pPr>
    </w:p>
    <w:p>
      <w:pPr>
        <w:ind w:right="40" w:firstLine="443"/>
        <w:spacing w:after="0" w:line="272" w:lineRule="auto"/>
        <w:tabs>
          <w:tab w:leader="none" w:pos="66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Managers (or, in the case of a Representation Date of the type described in Section 4(l)(iii), the relevant Manager party to the Terms Agreement) shall have received from Managers’ Counsel on every date specified in Section 4(p) hereof, such opinion or opinions, dated as of such date and addressed to the Managers (or, in the case of a Representation Date of the type described in Section 4(l)(iii), the relevant Manager party to the Terms Agreement), with respect to the issuance and sale of the Units, the Registration Statement, the Prospectus (together with any supplement thereto) and other related matters as the Managers (or, in the case of a Representation Date of the type described in Section 4(l)(iii), the relevant Manager party to the Terms Agreement) may reasonably require, and the Partnership shall have furnished to such counsel such documents as they request for the purpose of enabling them to pass upon such matters.</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74" w:right="239" w:bottom="1440" w:gutter="0" w:footer="0" w:header="0"/>
        </w:sectPr>
      </w:pPr>
    </w:p>
    <w:bookmarkStart w:id="30" w:name="page31"/>
    <w:bookmarkEnd w:id="30"/>
    <w:p>
      <w:pPr>
        <w:ind w:firstLine="443"/>
        <w:spacing w:after="0" w:line="270" w:lineRule="auto"/>
        <w:tabs>
          <w:tab w:leader="none" w:pos="693" w:val="left"/>
        </w:tabs>
        <w:numPr>
          <w:ilvl w:val="0"/>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Partnership shall have requested and caused the Accountants to have furnished to the Managers or, in the case of Section 4(q)(ii), the relevant Manager party to the Terms Agreement, on every date specified in Section 4(q) hereof and to the extent reasonably requested by the Managers or, in the case of Section 4(q)(ii), the relevant Manager party to the Terms Agreement, with advance notice to the Partnership in connection with any offering of the Units, letters (which may refer to letters previously delivered to the Managers or, in the case of Section 4(q)(ii), the relevant Manager party to the Terms Agreement) containing statements and information of the type ordinarily included in accountants’ “comfort letters” to underwriters with respect to the financial statements and certain financial information contained in the Registration Statement and the Prospectus, dated as of such date, in form and substance satisfactory to the Managers or, in the case of Section 4(q)(ii), the relevant Manager party to the Terms Agreement;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cut-off date for the procedures performed by such accountants and described in such letters shall be a date not more than five days</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date of such letter.</w:t>
      </w:r>
    </w:p>
    <w:p>
      <w:pPr>
        <w:spacing w:after="0" w:line="73" w:lineRule="exact"/>
        <w:rPr>
          <w:rFonts w:ascii="Arial" w:cs="Arial" w:eastAsia="Arial" w:hAnsi="Arial"/>
          <w:sz w:val="17"/>
          <w:szCs w:val="17"/>
          <w:color w:val="auto"/>
        </w:rPr>
      </w:pPr>
    </w:p>
    <w:p>
      <w:pPr>
        <w:ind w:right="20" w:firstLine="443"/>
        <w:spacing w:after="0" w:line="290" w:lineRule="auto"/>
        <w:tabs>
          <w:tab w:leader="none" w:pos="693"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and the Prospectus, there shall not have occurred (i) any change, or any development involving a prospective change that would reasonably be expected to have a Material Adverse Effect, not contemplated by the Prospectus, which in a Manager’s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any Manager and its counsel, requires the making of any addition to or change in the Prospectus in order to state a material fact required by the Act or any other law to be stated therein or necessary in order to make the statements therein, in the light of the circumstances under which they were made, not misleading, if amending or supplementing the Prospectus to reflect such event or development would, in a Manager’s opinion, materially adversely affect the market for the Units.</w:t>
      </w:r>
    </w:p>
    <w:p>
      <w:pPr>
        <w:spacing w:after="0" w:line="58" w:lineRule="exact"/>
        <w:rPr>
          <w:rFonts w:ascii="Arial" w:cs="Arial" w:eastAsia="Arial" w:hAnsi="Arial"/>
          <w:sz w:val="16"/>
          <w:szCs w:val="16"/>
          <w:color w:val="auto"/>
        </w:rPr>
      </w:pPr>
    </w:p>
    <w:p>
      <w:pPr>
        <w:ind w:right="760" w:firstLine="443"/>
        <w:spacing w:after="0" w:line="277" w:lineRule="auto"/>
        <w:tabs>
          <w:tab w:leader="none" w:pos="6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and reasonableness of the terms and arrangements under this Agreement.</w:t>
      </w:r>
    </w:p>
    <w:p>
      <w:pPr>
        <w:spacing w:after="0" w:line="62" w:lineRule="exact"/>
        <w:rPr>
          <w:rFonts w:ascii="Arial" w:cs="Arial" w:eastAsia="Arial" w:hAnsi="Arial"/>
          <w:sz w:val="18"/>
          <w:szCs w:val="18"/>
          <w:color w:val="auto"/>
        </w:rPr>
      </w:pPr>
    </w:p>
    <w:p>
      <w:pPr>
        <w:ind w:right="220" w:firstLine="443"/>
        <w:spacing w:after="0" w:line="277" w:lineRule="auto"/>
        <w:tabs>
          <w:tab w:leader="none" w:pos="6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Units shall have been listed and admitted and authorized for trading on the NYSE, and satisfactory evidence of such actions shall have been provided to the Managers.</w:t>
      </w:r>
    </w:p>
    <w:p>
      <w:pPr>
        <w:spacing w:after="0" w:line="62" w:lineRule="exact"/>
        <w:rPr>
          <w:rFonts w:ascii="Arial" w:cs="Arial" w:eastAsia="Arial" w:hAnsi="Arial"/>
          <w:sz w:val="18"/>
          <w:szCs w:val="18"/>
          <w:color w:val="auto"/>
        </w:rPr>
      </w:pPr>
    </w:p>
    <w:p>
      <w:pPr>
        <w:ind w:right="680" w:firstLine="443"/>
        <w:spacing w:after="0" w:line="277" w:lineRule="auto"/>
        <w:tabs>
          <w:tab w:leader="none" w:pos="6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each Settlement Date and Time of Delivery, as applicable, the Partnership shall have furnished to the Managers such further information, certificates and documents as the Managers may reasonably request.</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700" w:top="274" w:right="319" w:bottom="1440" w:gutter="0" w:footer="0" w:header="0"/>
        </w:sectPr>
      </w:pPr>
    </w:p>
    <w:bookmarkStart w:id="31" w:name="page32"/>
    <w:bookmarkEnd w:id="31"/>
    <w:p>
      <w:pPr>
        <w:ind w:right="1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of the conditions specified in this Section 6 shall not have been fulfilled when and as provided in this Agreement, or if any of the opinions and certificates mentioned in this Section 6 or elsewhere in this Agreement shall not be reasonably satisfactory in form and substance to any Manager, this Agreement, as it relates to such Manager, and all obligations of such Manager hereunder may be canceled at, or at any time prior to, any Settlement Date or Time of Delivery, as applicable, by such Manager. Notice of such cancellation shall be given to the Partnership in writing or by telephone or facsimile confirmed in writing.</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documents required to be delivered to the Managers by this Section 6 shall be delivered at the office of Managers’ Counsel, at Baker Botts LLP, One Shell Plaza, 910 Louisiana Street, Houston, Texas 77002, on each such date as provided in this Agreement.</w:t>
      </w:r>
    </w:p>
    <w:p>
      <w:pPr>
        <w:spacing w:after="0" w:line="62"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443"/>
        <w:spacing w:after="0" w:line="268" w:lineRule="auto"/>
        <w:tabs>
          <w:tab w:leader="none" w:pos="1143"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The Partnership agrees to indemnify and hold harmless each Manager, the directors, officers, employees and agents of each Manager, each affiliate of any Manager who has participated in the distribution of the Units, each broker-dealer affiliate of any Manager and each other affiliate of any Manager within the meaning of Rule 405 under the Act, and each person who controls any Manager within the meaning of Section 15 of the Act or Section 20 of the Exchange Act against any and all losses, claims, damages, liabilities or expenses, joint or several, to which they or any of them may become subject under the Act, the Exchange Act or otherwise, insofar as such losses, claims, damages, liabilities or expenses arise out of, or are based upon any untrue statement or alleged untrue statement of a material fact contained in the Registration Statement or the Prospectus, or in any amendment thereof or supplement thereto, or arise out of or are based upon the omission or alleged omission to state therein a material fact required to be stated therein or necessary to make the statements therein (in the case of the Prospectus,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Partnership will not be liable in any such case to the extent that any such loss, claim, damage or liability arises out of or is based upon any such untrue statement or alleged untrue statement or omission or alleged omission made in reliance upon and in conformity with written information furnished to the Partnership by any Manager specifically for use therein, which information is specified in Section 19. The foregoing indemnity will be in addition to any liability that the Partnership may otherwise have.</w:t>
      </w:r>
    </w:p>
    <w:p>
      <w:pPr>
        <w:spacing w:after="0" w:line="77" w:lineRule="exact"/>
        <w:rPr>
          <w:rFonts w:ascii="Arial" w:cs="Arial" w:eastAsia="Arial" w:hAnsi="Arial"/>
          <w:sz w:val="17"/>
          <w:szCs w:val="17"/>
          <w:color w:val="auto"/>
        </w:rPr>
      </w:pPr>
    </w:p>
    <w:p>
      <w:pPr>
        <w:ind w:left="460" w:firstLine="443"/>
        <w:spacing w:after="0" w:line="272" w:lineRule="auto"/>
        <w:tabs>
          <w:tab w:leader="none" w:pos="1153"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any action, suit or proceeding shall be brought against any Manager, the directors, officers, employees and agents of any Manager or any person controlling any Manager in respect of which indemnity may be sought against the Partnership, such Manager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Manager or any such director, officer, employee, agent or controlling person shall have the right to employ separate counsel in any such action, suit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2" w:name="page33"/>
    <w:bookmarkEnd w:id="32"/>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proceeding and to participate in (but not control) the defense thereof, but the fees and expenses of such counsel shall be at the expense of such Manager or such director, officer, employee, agent or controlling person unless (i) the Partnership has agreed in writing to pay such fees and expenses,</w:t>
      </w:r>
    </w:p>
    <w:p>
      <w:pPr>
        <w:ind w:right="40" w:firstLine="4"/>
        <w:spacing w:after="0" w:line="288" w:lineRule="auto"/>
        <w:tabs>
          <w:tab w:leader="none" w:pos="2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60" w:lineRule="exact"/>
        <w:rPr>
          <w:rFonts w:ascii="Arial" w:cs="Arial" w:eastAsia="Arial" w:hAnsi="Arial"/>
          <w:sz w:val="16"/>
          <w:szCs w:val="16"/>
          <w:color w:val="auto"/>
        </w:rPr>
      </w:pPr>
    </w:p>
    <w:p>
      <w:pPr>
        <w:ind w:firstLine="443"/>
        <w:spacing w:after="0" w:line="287" w:lineRule="auto"/>
        <w:tabs>
          <w:tab w:leader="none" w:pos="683" w:val="left"/>
        </w:tabs>
        <w:numPr>
          <w:ilvl w:val="1"/>
          <w:numId w:val="48"/>
        </w:numPr>
        <w:rPr>
          <w:rFonts w:ascii="Arial" w:cs="Arial" w:eastAsia="Arial" w:hAnsi="Arial"/>
          <w:sz w:val="16"/>
          <w:szCs w:val="16"/>
          <w:color w:val="auto"/>
        </w:rPr>
      </w:pPr>
      <w:r>
        <w:rPr>
          <w:rFonts w:ascii="Arial" w:cs="Arial" w:eastAsia="Arial" w:hAnsi="Arial"/>
          <w:sz w:val="16"/>
          <w:szCs w:val="16"/>
          <w:color w:val="auto"/>
        </w:rPr>
        <w:t>Each Manager, severally and not jointly, agrees to indemnify and hold harmless the Partnership, GP LLC’s directors and the officers who sign the Registration Statement, and any person who controls the Partnership within the meaning of Section 15 of the Act or Section 20 of the Exchange Act, to the same extent as the foregoing indemnity from the Partnership to each Manager, but only with respect to information furnished in writing by or on behalf of such Manager expressly for use in the Registration Statement or the Prospectus, or any amendment or supplement thereto, which information is specified in Section 19. If any action, suit or proceeding shall be brought against the Partnership, any of such directors and officers or any such controlling person based on the Registration Statement or the Prospectus, or any amendment or supplement thereto, and in respect of which indemnity may be sought against a Manager pursuant to this paragraph (c), such Manager shall have the rights and duties given to the Partnership by paragraph (b) above (except that if the Partnership shall have assumed the defense thereof such Manager shall not be required to do so, but may employ separate counsel therein and participate in (but not control) the defense thereof, but the fees and expenses of such counsel shall be at such Manager’s expense), and the Partnership, any of such directors and officers and any such controlling person shall have the rights and duties given to the Managers by paragraph (b) above. The foregoing indemnity agreement shall be in addition to any liability that each Manager may otherwise have.</w:t>
      </w:r>
    </w:p>
    <w:p>
      <w:pPr>
        <w:spacing w:after="0" w:line="64" w:lineRule="exact"/>
        <w:rPr>
          <w:rFonts w:ascii="Arial" w:cs="Arial" w:eastAsia="Arial" w:hAnsi="Arial"/>
          <w:sz w:val="16"/>
          <w:szCs w:val="16"/>
          <w:color w:val="auto"/>
        </w:rPr>
      </w:pPr>
    </w:p>
    <w:p>
      <w:pPr>
        <w:ind w:right="100" w:firstLine="443"/>
        <w:spacing w:after="0" w:line="273" w:lineRule="auto"/>
        <w:tabs>
          <w:tab w:leader="none" w:pos="693" w:val="left"/>
        </w:tabs>
        <w:numPr>
          <w:ilvl w:val="1"/>
          <w:numId w:val="48"/>
        </w:numPr>
        <w:rPr>
          <w:rFonts w:ascii="Arial" w:cs="Arial" w:eastAsia="Arial" w:hAnsi="Arial"/>
          <w:sz w:val="17"/>
          <w:szCs w:val="17"/>
          <w:color w:val="auto"/>
        </w:rPr>
      </w:pPr>
      <w:r>
        <w:rPr>
          <w:rFonts w:ascii="Arial" w:cs="Arial" w:eastAsia="Arial" w:hAnsi="Arial"/>
          <w:sz w:val="17"/>
          <w:szCs w:val="17"/>
          <w:color w:val="auto"/>
        </w:rPr>
        <w:t>In the event that the indemnification provided for in this Section 7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Managers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700" w:top="274" w:right="259" w:bottom="1440" w:gutter="0" w:footer="0" w:header="0"/>
        </w:sectPr>
      </w:pPr>
    </w:p>
    <w:bookmarkStart w:id="33" w:name="page34"/>
    <w:bookmarkEnd w:id="3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Partnership on the one hand and the Managers on the other in connection with the statements or omissions that resulted in such losses, claims, damages, liabilities or expenses, as well as any other relevant equitable considerations. The relative benefits received by the Partnership on the one hand and the Managers on the other shall be deemed to be in the same relative proportions as the total net proceeds from the offering (before deducting expenses) received by the Partnership bear to the total discounts and commissions received by the Managers, in each case as determined by this Agreement or any applicable Terms Agreement. The relative fault of the Partnership on the one hand and the Managers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Managers on the other hand, and the parties’ relative intent, knowledge, access to information and opportunity to correct or prevent such statement or omission.</w:t>
      </w:r>
    </w:p>
    <w:p>
      <w:pPr>
        <w:spacing w:after="0" w:line="58" w:lineRule="exact"/>
        <w:rPr>
          <w:sz w:val="20"/>
          <w:szCs w:val="20"/>
          <w:color w:val="auto"/>
        </w:rPr>
      </w:pPr>
    </w:p>
    <w:p>
      <w:pPr>
        <w:ind w:right="40" w:firstLine="443"/>
        <w:spacing w:after="0" w:line="288" w:lineRule="auto"/>
        <w:tabs>
          <w:tab w:leader="none" w:pos="683"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Partnership and the Managers agree that it would not be just and equitable if contribution pursuant to this Section 7 were determined by a pro rata allocation or by any other method of allocation that does not take account of the equitable considerations referred to in paragraph (d) above. The amount paid or payable by an indemnified party as a result of the losses, claims, damages, liabilities and expenses referred to in paragraph</w:t>
      </w:r>
    </w:p>
    <w:p>
      <w:pPr>
        <w:ind w:right="100" w:firstLine="4"/>
        <w:spacing w:after="0" w:line="270"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7, no Manager shall be required to contribute any amount in excess of the amount by which the total price of the Units distributed to the public pursuant to this Agreement exceeds the amount of damages that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70" w:lineRule="exact"/>
        <w:rPr>
          <w:rFonts w:ascii="Arial" w:cs="Arial" w:eastAsia="Arial" w:hAnsi="Arial"/>
          <w:sz w:val="17"/>
          <w:szCs w:val="17"/>
          <w:color w:val="auto"/>
        </w:rPr>
      </w:pPr>
    </w:p>
    <w:p>
      <w:pPr>
        <w:ind w:firstLine="443"/>
        <w:spacing w:after="0" w:line="285" w:lineRule="auto"/>
        <w:tabs>
          <w:tab w:leader="none" w:pos="663"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w:t>
      </w:r>
    </w:p>
    <w:p>
      <w:pPr>
        <w:spacing w:after="0" w:line="2" w:lineRule="exact"/>
        <w:rPr>
          <w:rFonts w:ascii="Arial" w:cs="Arial" w:eastAsia="Arial" w:hAnsi="Arial"/>
          <w:sz w:val="16"/>
          <w:szCs w:val="16"/>
          <w:color w:val="auto"/>
        </w:rPr>
      </w:pPr>
    </w:p>
    <w:p>
      <w:pPr>
        <w:ind w:right="20" w:firstLine="4"/>
        <w:spacing w:after="0" w:line="277" w:lineRule="auto"/>
        <w:tabs>
          <w:tab w:leader="none" w:pos="265" w:val="left"/>
        </w:tabs>
        <w:numPr>
          <w:ilvl w:val="0"/>
          <w:numId w:val="51"/>
        </w:numPr>
        <w:rPr>
          <w:rFonts w:ascii="Arial" w:cs="Arial" w:eastAsia="Arial" w:hAnsi="Arial"/>
          <w:sz w:val="17"/>
          <w:szCs w:val="17"/>
          <w:color w:val="auto"/>
        </w:rPr>
      </w:pPr>
      <w:r>
        <w:rPr>
          <w:rFonts w:ascii="Arial" w:cs="Arial" w:eastAsia="Arial" w:hAnsi="Arial"/>
          <w:sz w:val="17"/>
          <w:szCs w:val="17"/>
          <w:color w:val="auto"/>
        </w:rPr>
        <w:t>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700" w:top="274" w:right="259" w:bottom="1440" w:gutter="0" w:footer="0" w:header="0"/>
        </w:sectPr>
      </w:pPr>
    </w:p>
    <w:bookmarkStart w:id="34" w:name="page35"/>
    <w:bookmarkEnd w:id="34"/>
    <w:p>
      <w:pPr>
        <w:ind w:left="460" w:firstLine="443"/>
        <w:spacing w:after="0" w:line="273" w:lineRule="auto"/>
        <w:tabs>
          <w:tab w:leader="none" w:pos="1153" w:val="left"/>
        </w:tabs>
        <w:numPr>
          <w:ilvl w:val="0"/>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covenants, representations and warranties of the Partnership set forth in this Agreement shall remain operative and in full force and effect, regardless of (i) any investigation made by or on behalf of any Manager or any person controlling any Manager, the Partnership or any of GP LLC’s directors or officers or any person controlling the Partnership, (ii) acceptance of any Units and payment therefore in accordance with the terms of this Agreement, and (iii) any termination of this Agreement.</w:t>
      </w:r>
    </w:p>
    <w:p>
      <w:pPr>
        <w:spacing w:after="0" w:line="178"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A successor to any Manager or any person controlling any Manager, or to the Partnership or any of GP LLC’s directors or officers or any person controlling the Partnership shall be entitled to the benefits of the indemnity, contribution and reimbursement agreements contained in this Section 7.</w:t>
      </w:r>
    </w:p>
    <w:p>
      <w:pPr>
        <w:spacing w:after="0" w:line="16"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73" w:lineRule="auto"/>
        <w:tabs>
          <w:tab w:leader="none" w:pos="1143"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Partnership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any Manager for the Partnership, then Section 4(v) shall remain in full force and effect, (ii) with respect to any pending sale, through such Manager for the Partnership, the obligations of the Partnership, including in respect of compensation of the Managers, shall remain in full force and effect notwithstanding the termination and (iii) the provisions of Sections 5, 7, 9, 10, 11, 12, 13 and 15 hereof shall remain in full force and effect notwithstanding such termination.</w:t>
      </w:r>
    </w:p>
    <w:p>
      <w:pPr>
        <w:spacing w:after="0" w:line="70" w:lineRule="exact"/>
        <w:rPr>
          <w:rFonts w:ascii="Arial" w:cs="Arial" w:eastAsia="Arial" w:hAnsi="Arial"/>
          <w:sz w:val="17"/>
          <w:szCs w:val="17"/>
          <w:color w:val="auto"/>
        </w:rPr>
      </w:pPr>
    </w:p>
    <w:p>
      <w:pPr>
        <w:ind w:left="460" w:right="60" w:firstLine="443"/>
        <w:spacing w:after="0" w:line="279" w:lineRule="auto"/>
        <w:tabs>
          <w:tab w:leader="none" w:pos="1153" w:val="left"/>
        </w:tabs>
        <w:numPr>
          <w:ilvl w:val="1"/>
          <w:numId w:val="53"/>
        </w:numPr>
        <w:rPr>
          <w:rFonts w:ascii="Arial" w:cs="Arial" w:eastAsia="Arial" w:hAnsi="Arial"/>
          <w:sz w:val="17"/>
          <w:szCs w:val="17"/>
          <w:color w:val="auto"/>
        </w:rPr>
      </w:pPr>
      <w:r>
        <w:rPr>
          <w:rFonts w:ascii="Arial" w:cs="Arial" w:eastAsia="Arial" w:hAnsi="Arial"/>
          <w:sz w:val="17"/>
          <w:szCs w:val="17"/>
          <w:color w:val="auto"/>
        </w:rPr>
        <w:t>Each Manager shall have the right, by giving written notice as hereinafter specified, to terminate its own obligations under the provisions hereof relating to the solicitation of offers to purchase the Units in its sole discretion at any time. Subject to Section 8(a)(iii), any such termination shall have no effect on the obligations of any other Manager under this Agreement and shall be without liability of any party to any other party except that the provisions of Sections 5, 7, 9, 10, 11, 12, 13 and 15 hereof shall remain in full force and effect notwithstanding such termination.</w:t>
      </w:r>
    </w:p>
    <w:p>
      <w:pPr>
        <w:spacing w:after="0" w:line="63" w:lineRule="exact"/>
        <w:rPr>
          <w:rFonts w:ascii="Arial" w:cs="Arial" w:eastAsia="Arial" w:hAnsi="Arial"/>
          <w:sz w:val="17"/>
          <w:szCs w:val="17"/>
          <w:color w:val="auto"/>
        </w:rPr>
      </w:pPr>
    </w:p>
    <w:p>
      <w:pPr>
        <w:ind w:left="460" w:firstLine="443"/>
        <w:spacing w:after="0" w:line="286" w:lineRule="auto"/>
        <w:tabs>
          <w:tab w:leader="none" w:pos="1143"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until the earlier of (i) its termination pursuant to Section 8(a) above or the termination of all Managers’ obligations pursuant to Section 8(b) above or otherwise by mutual agreement of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termination by mutual agreement shall in all cases be deemed to provide that Sections 5, 7 and 9 shall remain in full force and effect.</w:t>
      </w:r>
    </w:p>
    <w:p>
      <w:pPr>
        <w:spacing w:after="0" w:line="57" w:lineRule="exact"/>
        <w:rPr>
          <w:rFonts w:ascii="Arial" w:cs="Arial" w:eastAsia="Arial" w:hAnsi="Arial"/>
          <w:sz w:val="17"/>
          <w:szCs w:val="17"/>
          <w:color w:val="auto"/>
        </w:rPr>
      </w:pPr>
    </w:p>
    <w:p>
      <w:pPr>
        <w:ind w:left="460" w:right="140" w:firstLine="443"/>
        <w:spacing w:after="0" w:line="259" w:lineRule="auto"/>
        <w:tabs>
          <w:tab w:leader="none" w:pos="11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shall not be effective until the close of business on the date of receipt of such notice by any Manager or the Partnership, as the case may be. If such termination shall occur prior to the Settlement Date or Time of Delivery for any sale of the Units, such sale shall settle in accordance with the provisions of Section 3(a)(vii) 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5" w:name="page36"/>
    <w:bookmarkEnd w:id="35"/>
    <w:p>
      <w:pPr>
        <w:ind w:left="460" w:firstLine="443"/>
        <w:spacing w:after="0" w:line="253" w:lineRule="auto"/>
        <w:tabs>
          <w:tab w:leader="none" w:pos="1143"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purchase of Units by any Manager pursuant to a Terms Agreement, the obligations of such Manager pursuant to such Terms Agreement shall be subject to termination, in the absolute discretion of such Manager, by notice given to the Partnership prior to the Time of Delivery relating to such Units, if at any time prior to such delivery and payment (i) trading in the Common Units shall have been suspended by the Commission or the NYSE or trading in securities generally on the New York Stock Exchange, the NYSE MKT LLC or the Nasdaq National Market shall have been suspended or limited or minimum prices shall have been established,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such Manager, impractical or inadvisable to proceed with the offering or delivery of the Units as contemplated by the Prospectus (exclusive of any amendment or supplement thereto).</w:t>
      </w:r>
    </w:p>
    <w:p>
      <w:pPr>
        <w:spacing w:after="0" w:line="89" w:lineRule="exact"/>
        <w:rPr>
          <w:rFonts w:ascii="Arial" w:cs="Arial" w:eastAsia="Arial" w:hAnsi="Arial"/>
          <w:sz w:val="18"/>
          <w:szCs w:val="18"/>
          <w:color w:val="auto"/>
        </w:rPr>
      </w:pPr>
    </w:p>
    <w:p>
      <w:pPr>
        <w:jc w:val="both"/>
        <w:ind w:right="420" w:firstLine="464"/>
        <w:spacing w:after="0" w:line="259" w:lineRule="auto"/>
        <w:tabs>
          <w:tab w:leader="none" w:pos="63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Partnership or its officers and of each Manager set forth in or made pursuant to this Agreement will remain in full force and effect, regardless of any investigation made by the Managers or the Partnership or any of the officers, directors, employees, agents or controlling persons referred to in Section 7 hereof, and will survive delivery of and payment for the Units.</w:t>
      </w:r>
    </w:p>
    <w:p>
      <w:pPr>
        <w:spacing w:after="0" w:line="78" w:lineRule="exact"/>
        <w:rPr>
          <w:rFonts w:ascii="Arial" w:cs="Arial" w:eastAsia="Arial" w:hAnsi="Arial"/>
          <w:sz w:val="18"/>
          <w:szCs w:val="18"/>
          <w:color w:val="auto"/>
        </w:rPr>
      </w:pPr>
    </w:p>
    <w:p>
      <w:pPr>
        <w:jc w:val="both"/>
        <w:ind w:right="120" w:firstLine="464"/>
        <w:spacing w:after="0" w:line="264" w:lineRule="auto"/>
        <w:tabs>
          <w:tab w:leader="none" w:pos="72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Partnership, will be mailed, delivered or telefaxed to (713) 646-4313 and confirmed to it at 333 Clay St., Suite 1600, Houston, Texas 77002, Attention: General Counsel; or, if sent to each Manager, will be mailed, delivered or telefaxed to:</w:t>
      </w:r>
    </w:p>
    <w:p>
      <w:pPr>
        <w:sectPr>
          <w:pgSz w:w="11900" w:h="16838" w:orient="portrait"/>
          <w:cols w:equalWidth="0" w:num="1">
            <w:col w:w="11380"/>
          </w:cols>
          <w:pgMar w:left="240" w:top="274" w:right="27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Attn: Syndicate Registration</w:t>
      </w:r>
    </w:p>
    <w:p>
      <w:pPr>
        <w:spacing w:after="0" w:line="138"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7"/>
          <w:szCs w:val="17"/>
          <w:color w:val="auto"/>
        </w:rPr>
        <w:t>BB&amp;T Capital Markets, a division of BB&amp;T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901 East Byrd Street, Ste.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 23219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Reid Burford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(Facsimile: (212) 702-1205)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Jonathan Hough (Facsimile: (713) 236-0696)</w:t>
      </w:r>
    </w:p>
    <w:p>
      <w:pPr>
        <w:spacing w:after="0" w:line="138"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Deutsche Bank Securities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Attention: Special Equities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(212) 622-6002</w:t>
      </w:r>
    </w:p>
    <w:p>
      <w:pPr>
        <w:spacing w:after="0" w:line="157"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274" w:right="27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-215900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Syndicate Department (facsimile: (646) 855-3073), with a copy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ECM Legal (facsimile: (212) 230-8730)</w:t>
      </w:r>
    </w:p>
    <w:p>
      <w:pPr>
        <w:spacing w:after="0" w:line="116" w:lineRule="exact"/>
        <w:rPr>
          <w:sz w:val="20"/>
          <w:szCs w:val="20"/>
          <w:color w:val="auto"/>
        </w:rPr>
      </w:pPr>
    </w:p>
    <w:p>
      <w:pPr>
        <w:sectPr>
          <w:pgSz w:w="11900" w:h="16838" w:orient="portrait"/>
          <w:cols w:equalWidth="0" w:num="2">
            <w:col w:w="5340" w:space="720"/>
            <w:col w:w="5360"/>
          </w:cols>
          <w:pgMar w:left="240" w:top="274" w:right="239" w:bottom="1440" w:gutter="0" w:footer="0" w:header="0"/>
        </w:sectPr>
      </w:pPr>
    </w:p>
    <w:p>
      <w:pPr>
        <w:spacing w:after="0"/>
        <w:rPr>
          <w:sz w:val="20"/>
          <w:szCs w:val="20"/>
          <w:color w:val="auto"/>
        </w:rPr>
      </w:pPr>
      <w:r>
        <w:rPr>
          <w:rFonts w:ascii="Arial" w:cs="Arial" w:eastAsia="Arial" w:hAnsi="Arial"/>
          <w:sz w:val="16"/>
          <w:szCs w:val="16"/>
          <w:color w:val="auto"/>
        </w:rPr>
        <w:t>Mitsubishi UFJ Securities (USA),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1633 Broadway, 29th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Capital Markets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(646) 434-3455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Mizuho Securities USA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320 Park Avenue, 12th Floor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34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Raymond James &amp; Associates,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880 Carillon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Petersburg, Florida 33716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16"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World Financial Center,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Michael Goldberg, Syndicate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(212) 428-6260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Robert W. Baird &amp; Co.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8000 Maryland Avenue Ste.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Curtis Goot</w:t>
      </w:r>
    </w:p>
    <w:p>
      <w:pPr>
        <w:spacing w:after="0" w:line="548"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Scotia Capital (USA)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250 Vesey Street, 24th Floor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SG Americas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1221 Avenue of the Americas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Legal Department</w:t>
      </w:r>
    </w:p>
    <w:p>
      <w:pPr>
        <w:spacing w:after="0" w:line="128"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Geoff Fennel and Valerie Williams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Tudor, Pickering, Holt &amp; Co.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1111 Bagby Street, Ste. 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332"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10171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Syndicate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713-3371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USCA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1330 Post Oak Blvd., Suite 900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589"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74"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16" w:lineRule="exact"/>
        <w:rPr>
          <w:sz w:val="20"/>
          <w:szCs w:val="20"/>
          <w:color w:val="auto"/>
        </w:rPr>
      </w:pPr>
    </w:p>
    <w:p>
      <w:pPr>
        <w:ind w:right="40" w:firstLine="464"/>
        <w:spacing w:after="0" w:line="264"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will inure to the benefit of and be binding upon each Manager and the Partnership and their respective successors and assigns and the directors, officers, employees, affiliates and controlling persons referred to in Section 12 hereof, and no other person will have any right or obligation hereunder.</w:t>
      </w:r>
    </w:p>
    <w:p>
      <w:pPr>
        <w:spacing w:after="0" w:line="73" w:lineRule="exact"/>
        <w:rPr>
          <w:rFonts w:ascii="Arial" w:cs="Arial" w:eastAsia="Arial" w:hAnsi="Arial"/>
          <w:sz w:val="18"/>
          <w:szCs w:val="18"/>
          <w:color w:val="auto"/>
        </w:rPr>
      </w:pPr>
    </w:p>
    <w:p>
      <w:pPr>
        <w:ind w:right="60" w:firstLine="464"/>
        <w:spacing w:after="0" w:line="279" w:lineRule="auto"/>
        <w:tabs>
          <w:tab w:leader="none" w:pos="72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Parties in Interest</w:t>
      </w:r>
      <w:r>
        <w:rPr>
          <w:rFonts w:ascii="Arial" w:cs="Arial" w:eastAsia="Arial" w:hAnsi="Arial"/>
          <w:sz w:val="17"/>
          <w:szCs w:val="17"/>
          <w:color w:val="auto"/>
        </w:rPr>
        <w:t>. The Agreement herein set forth has been and is made solely for the benefit of the Managers and the Partnership and to the extent provided in Section 7 of this Agreement the directors, officers, employees, affiliates and controlling persons referred to in such section, and their respective successors, assigns, heirs, personal representatives and executors and administrators. No other person, partnership, association or corporation (including a purchaser, as such purchaser, from any Manager) shall acquire or have any right under or by virtue of this Agreement.</w:t>
      </w:r>
    </w:p>
    <w:p>
      <w:pPr>
        <w:spacing w:after="0" w:line="63" w:lineRule="exact"/>
        <w:rPr>
          <w:rFonts w:ascii="Arial" w:cs="Arial" w:eastAsia="Arial" w:hAnsi="Arial"/>
          <w:sz w:val="17"/>
          <w:szCs w:val="17"/>
          <w:color w:val="auto"/>
        </w:rPr>
      </w:pPr>
    </w:p>
    <w:p>
      <w:pPr>
        <w:ind w:right="20" w:firstLine="464"/>
        <w:spacing w:after="0" w:line="271" w:lineRule="auto"/>
        <w:tabs>
          <w:tab w:leader="none" w:pos="72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Partnership hereby acknowledges that (a) the purchase and sale of the Units pursuant to this Agreement is an arm’s-length commercial transaction between the Partnership, on the one hand, and each Manager and any affiliate through which it may be acting, on the other, (b) each Manager is acting solely as sales agent and/or principal in connection with the purchase and sale of the Partnership’s securities and not as a fiduciary of the Partnership and (c) the Partnership’s engagement of each Manager in connection with the offering and the process leading up to the offering is as independent contractor and not in any other capacity. Furthermore, the Partnership agrees that it is solely responsible for making its own judgments in connection with the offering (irrespective of whether any Manager has advised or is currently advising the Partnership on related or other matters). The Partnership agrees that it will not claim that any Manager has rendered advisory services of any nature or respect, or owe an agency, fiduciary or similar duty to the Partnership, in connection with such transaction or the process leading thereto.</w:t>
      </w:r>
    </w:p>
    <w:p>
      <w:pPr>
        <w:spacing w:after="0" w:line="70" w:lineRule="exact"/>
        <w:rPr>
          <w:rFonts w:ascii="Arial" w:cs="Arial" w:eastAsia="Arial" w:hAnsi="Arial"/>
          <w:sz w:val="17"/>
          <w:szCs w:val="17"/>
          <w:color w:val="auto"/>
        </w:rPr>
      </w:pPr>
    </w:p>
    <w:p>
      <w:pPr>
        <w:ind w:right="280" w:firstLine="464"/>
        <w:spacing w:after="0" w:line="277" w:lineRule="auto"/>
        <w:tabs>
          <w:tab w:leader="none" w:pos="72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any Terms Agreement supersede all prior agreements and understandings (whether written or oral) between the Partnership and any Manager with respect to the subject matter hereof.</w:t>
      </w:r>
    </w:p>
    <w:p>
      <w:pPr>
        <w:spacing w:after="0" w:line="62" w:lineRule="exact"/>
        <w:rPr>
          <w:rFonts w:ascii="Arial" w:cs="Arial" w:eastAsia="Arial" w:hAnsi="Arial"/>
          <w:sz w:val="18"/>
          <w:szCs w:val="18"/>
          <w:color w:val="auto"/>
        </w:rPr>
      </w:pPr>
    </w:p>
    <w:p>
      <w:pPr>
        <w:ind w:right="300" w:firstLine="464"/>
        <w:spacing w:after="0" w:line="277" w:lineRule="auto"/>
        <w:tabs>
          <w:tab w:leader="none" w:pos="72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Terms Agreement will be governed by and construed in accordance with the laws of the State of New York applicable to contracts made and to be performed within the State of New York.</w:t>
      </w:r>
    </w:p>
    <w:p>
      <w:pPr>
        <w:spacing w:after="0" w:line="62" w:lineRule="exact"/>
        <w:rPr>
          <w:rFonts w:ascii="Arial" w:cs="Arial" w:eastAsia="Arial" w:hAnsi="Arial"/>
          <w:sz w:val="18"/>
          <w:szCs w:val="18"/>
          <w:color w:val="auto"/>
        </w:rPr>
      </w:pPr>
    </w:p>
    <w:p>
      <w:pPr>
        <w:ind w:firstLine="464"/>
        <w:spacing w:after="0" w:line="308" w:lineRule="auto"/>
        <w:tabs>
          <w:tab w:leader="none" w:pos="72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Partnership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8" w:name="page39"/>
    <w:bookmarkEnd w:id="38"/>
    <w:p>
      <w:pPr>
        <w:ind w:right="20" w:firstLine="464"/>
        <w:spacing w:after="0" w:line="277" w:lineRule="auto"/>
        <w:tabs>
          <w:tab w:leader="none" w:pos="72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section headings used in this Agreement and any Terms Agreement are for convenience only and shall not affect the construction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02" w:lineRule="exact"/>
        <w:rPr>
          <w:rFonts w:ascii="Arial" w:cs="Arial" w:eastAsia="Arial" w:hAnsi="Arial"/>
          <w:sz w:val="16"/>
          <w:szCs w:val="16"/>
          <w:color w:val="auto"/>
        </w:rPr>
      </w:pPr>
    </w:p>
    <w:p>
      <w:pPr>
        <w:ind w:firstLine="464"/>
        <w:spacing w:after="0" w:line="342" w:lineRule="auto"/>
        <w:tabs>
          <w:tab w:leader="none" w:pos="72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each Manager</w:t>
      </w:r>
      <w:r>
        <w:rPr>
          <w:rFonts w:ascii="Arial" w:cs="Arial" w:eastAsia="Arial" w:hAnsi="Arial"/>
          <w:sz w:val="16"/>
          <w:szCs w:val="16"/>
          <w:color w:val="auto"/>
        </w:rPr>
        <w:t>. The Partnership acknowledges that the following statements set forth in the Prospectus constitute the only information furnished by or on behalf of each Manager as such information is referred to in Sections 1(b), 7(a) and 7(c) hereof: the name of each Manager.</w:t>
      </w:r>
    </w:p>
    <w:p>
      <w:pPr>
        <w:spacing w:after="0" w:line="15" w:lineRule="exact"/>
        <w:rPr>
          <w:rFonts w:ascii="Arial" w:cs="Arial" w:eastAsia="Arial" w:hAnsi="Arial"/>
          <w:sz w:val="16"/>
          <w:szCs w:val="16"/>
          <w:color w:val="auto"/>
        </w:rPr>
      </w:pPr>
    </w:p>
    <w:p>
      <w:pPr>
        <w:ind w:right="100" w:firstLine="464"/>
        <w:spacing w:after="0" w:line="277" w:lineRule="auto"/>
        <w:tabs>
          <w:tab w:leader="none" w:pos="72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Adjustments for Unit Splits</w:t>
      </w:r>
      <w:r>
        <w:rPr>
          <w:rFonts w:ascii="Arial" w:cs="Arial" w:eastAsia="Arial" w:hAnsi="Arial"/>
          <w:sz w:val="18"/>
          <w:szCs w:val="18"/>
          <w:color w:val="auto"/>
        </w:rPr>
        <w:t>. The parties acknowledge and agree that all unit related numbers contained in this Agreement shall be adjusted to take into account any unit split effected with respect to the Units.</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and any Terms Agreement, shall have the meanings indicated.</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129" w:lineRule="exact"/>
        <w:rPr>
          <w:sz w:val="20"/>
          <w:szCs w:val="20"/>
          <w:color w:val="auto"/>
        </w:rPr>
      </w:pPr>
    </w:p>
    <w:p>
      <w:pPr>
        <w:ind w:left="460" w:right="5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with respect to any Units, the time of sale of such Units pursuant to this Agreement or any relevant Terms Agreement.</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base prospectus referred to in Section 2(a) hereof contained in the Registration Statement at the Execution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w:t>
      </w:r>
    </w:p>
    <w:p>
      <w:pPr>
        <w:spacing w:after="0" w:line="103" w:lineRule="exact"/>
        <w:rPr>
          <w:sz w:val="20"/>
          <w:szCs w:val="20"/>
          <w:color w:val="auto"/>
        </w:rPr>
      </w:pPr>
    </w:p>
    <w:p>
      <w:pPr>
        <w:ind w:left="460" w:right="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117" w:lineRule="exact"/>
        <w:rPr>
          <w:sz w:val="20"/>
          <w:szCs w:val="20"/>
          <w:color w:val="auto"/>
        </w:rPr>
      </w:pPr>
    </w:p>
    <w:p>
      <w:pPr>
        <w:ind w:left="460" w:right="2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62" w:lineRule="exact"/>
        <w:rPr>
          <w:sz w:val="20"/>
          <w:szCs w:val="20"/>
          <w:color w:val="auto"/>
        </w:rPr>
      </w:pPr>
    </w:p>
    <w:p>
      <w:pPr>
        <w:ind w:left="460" w:right="3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4" w:right="29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Base Prospectus, as supplemented by the Prospectus Supplement.</w:t>
      </w:r>
    </w:p>
    <w:p>
      <w:pPr>
        <w:spacing w:after="0" w:line="117" w:lineRule="exact"/>
        <w:rPr>
          <w:sz w:val="20"/>
          <w:szCs w:val="20"/>
          <w:color w:val="auto"/>
        </w:rPr>
      </w:pPr>
    </w:p>
    <w:p>
      <w:pPr>
        <w:ind w:right="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the most recent prospectus supplement relating to the Units that was first filed pursuant to Rule 424(b) at or prior to the Execution Time.</w:t>
      </w:r>
    </w:p>
    <w:p>
      <w:pPr>
        <w:spacing w:after="0" w:line="62" w:lineRule="exact"/>
        <w:rPr>
          <w:sz w:val="20"/>
          <w:szCs w:val="20"/>
          <w:color w:val="auto"/>
        </w:rPr>
      </w:pPr>
    </w:p>
    <w:p>
      <w:pPr>
        <w:ind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the registration statement referred to in Section 2(a) hereof,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80" w:lineRule="exact"/>
        <w:rPr>
          <w:sz w:val="20"/>
          <w:szCs w:val="20"/>
          <w:color w:val="auto"/>
        </w:rPr>
      </w:pPr>
    </w:p>
    <w:p>
      <w:pPr>
        <w:ind w:right="3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163</w:t>
      </w:r>
      <w:r>
        <w:rPr>
          <w:rFonts w:ascii="Arial" w:cs="Arial" w:eastAsia="Arial" w:hAnsi="Arial"/>
          <w:sz w:val="18"/>
          <w:szCs w:val="18"/>
          <w:color w:val="auto"/>
        </w:rPr>
        <w:t>”, “</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and similar references to rules refer to such rules under the Act, unless otherwise stated.</w:t>
      </w:r>
    </w:p>
    <w:p>
      <w:pPr>
        <w:spacing w:after="0" w:line="62" w:lineRule="exact"/>
        <w:rPr>
          <w:sz w:val="20"/>
          <w:szCs w:val="20"/>
          <w:color w:val="auto"/>
        </w:rPr>
      </w:pPr>
    </w:p>
    <w:p>
      <w:pPr>
        <w:ind w:right="2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hereof.</w:t>
      </w:r>
    </w:p>
    <w:p>
      <w:pPr>
        <w:spacing w:after="0" w:line="1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74" w:right="259" w:bottom="1440" w:gutter="0" w:footer="0" w:header="0"/>
        </w:sectPr>
      </w:pPr>
    </w:p>
    <w:bookmarkStart w:id="40" w:name="page41"/>
    <w:bookmarkEnd w:id="4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Partnership and the Managers.</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PAA GP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AAP, L.P.,</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Chris Herbold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Accounting and Chief</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Accounting Officer</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Equity Distribution Agreement</w:t>
      </w:r>
    </w:p>
    <w:p>
      <w:pPr>
        <w:sectPr>
          <w:pgSz w:w="11900" w:h="16838" w:orient="portrait"/>
          <w:cols w:equalWidth="0" w:num="1">
            <w:col w:w="11280"/>
          </w:cols>
          <w:pgMar w:left="240" w:top="274" w:right="37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 confirmed and accepted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680" w:type="dxa"/>
            <w:vAlign w:val="bottom"/>
          </w:tcPr>
          <w:p>
            <w:pPr>
              <w:spacing w:after="0"/>
              <w:rPr>
                <w:sz w:val="20"/>
                <w:szCs w:val="20"/>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Barclays Capital Inc.</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By: /s/ James Jackson</w:t>
            </w:r>
          </w:p>
        </w:tc>
        <w:tc>
          <w:tcPr>
            <w:tcW w:w="168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By:  /s/ Victoria Hale</w:t>
            </w:r>
          </w:p>
        </w:tc>
      </w:tr>
      <w:tr>
        <w:trPr>
          <w:trHeight w:val="20"/>
        </w:trPr>
        <w:tc>
          <w:tcPr>
            <w:tcW w:w="3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Name: James Jackson</w:t>
            </w:r>
          </w:p>
        </w:tc>
        <w:tc>
          <w:tcPr>
            <w:tcW w:w="1680" w:type="dxa"/>
            <w:vAlign w:val="bottom"/>
          </w:tcPr>
          <w:p>
            <w:pPr>
              <w:spacing w:after="0"/>
              <w:rPr>
                <w:sz w:val="19"/>
                <w:szCs w:val="19"/>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Name: Victoria Hale</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1680" w:type="dxa"/>
            <w:vAlign w:val="bottom"/>
          </w:tcPr>
          <w:p>
            <w:pPr>
              <w:spacing w:after="0"/>
              <w:rPr>
                <w:sz w:val="20"/>
                <w:szCs w:val="20"/>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Title: Vice President</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BB&amp;T Capital Markets, a division of BB&amp;T</w:t>
            </w:r>
          </w:p>
        </w:tc>
        <w:tc>
          <w:tcPr>
            <w:tcW w:w="168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BMO Capital Markets Corp.</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Securities, LLC</w:t>
            </w: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0" w:type="dxa"/>
            <w:vAlign w:val="bottom"/>
          </w:tcPr>
          <w:p>
            <w:pPr>
              <w:spacing w:after="0"/>
              <w:rPr>
                <w:sz w:val="20"/>
                <w:szCs w:val="20"/>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By: /s/ Michael L. Essex</w:t>
            </w:r>
          </w:p>
        </w:tc>
        <w:tc>
          <w:tcPr>
            <w:tcW w:w="168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By:  /s/ Lori Begley</w:t>
            </w:r>
          </w:p>
        </w:tc>
      </w:tr>
      <w:tr>
        <w:trPr>
          <w:trHeight w:val="20"/>
        </w:trPr>
        <w:tc>
          <w:tcPr>
            <w:tcW w:w="3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Name: Michael L. Essex</w:t>
            </w:r>
          </w:p>
        </w:tc>
        <w:tc>
          <w:tcPr>
            <w:tcW w:w="1680" w:type="dxa"/>
            <w:vAlign w:val="bottom"/>
          </w:tcPr>
          <w:p>
            <w:pPr>
              <w:spacing w:after="0"/>
              <w:rPr>
                <w:sz w:val="19"/>
                <w:szCs w:val="19"/>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Name: Lori Begley</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680" w:type="dxa"/>
            <w:vAlign w:val="bottom"/>
          </w:tcPr>
          <w:p>
            <w:pPr>
              <w:spacing w:after="0"/>
              <w:rPr>
                <w:sz w:val="20"/>
                <w:szCs w:val="20"/>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Title: Managing Director</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68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J.P. Morgan Securities LLC</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By: /s/ Gregory Sommer</w:t>
            </w:r>
          </w:p>
        </w:tc>
        <w:tc>
          <w:tcPr>
            <w:tcW w:w="168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By:  /s/ Sanjeet Dewal</w:t>
            </w:r>
          </w:p>
        </w:tc>
      </w:tr>
      <w:tr>
        <w:trPr>
          <w:trHeight w:val="20"/>
        </w:trPr>
        <w:tc>
          <w:tcPr>
            <w:tcW w:w="3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Name: Gregory Sommer</w:t>
            </w:r>
          </w:p>
        </w:tc>
        <w:tc>
          <w:tcPr>
            <w:tcW w:w="1680" w:type="dxa"/>
            <w:vAlign w:val="bottom"/>
          </w:tcPr>
          <w:p>
            <w:pPr>
              <w:spacing w:after="0"/>
              <w:rPr>
                <w:sz w:val="19"/>
                <w:szCs w:val="19"/>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Name: Sanjeet Dewal</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680" w:type="dxa"/>
            <w:vAlign w:val="bottom"/>
          </w:tcPr>
          <w:p>
            <w:pPr>
              <w:spacing w:after="0"/>
              <w:rPr>
                <w:sz w:val="20"/>
                <w:szCs w:val="20"/>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Title: Executive Director</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68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3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Incorporation</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By: /s/ Peter C. Bowden</w:t>
            </w:r>
          </w:p>
        </w:tc>
        <w:tc>
          <w:tcPr>
            <w:tcW w:w="168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By:  /s/ Mark Sooby</w:t>
            </w:r>
          </w:p>
        </w:tc>
      </w:tr>
      <w:tr>
        <w:trPr>
          <w:trHeight w:val="20"/>
        </w:trPr>
        <w:tc>
          <w:tcPr>
            <w:tcW w:w="3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Name: Peter C. Bowden</w:t>
            </w:r>
          </w:p>
        </w:tc>
        <w:tc>
          <w:tcPr>
            <w:tcW w:w="1680" w:type="dxa"/>
            <w:vAlign w:val="bottom"/>
          </w:tcPr>
          <w:p>
            <w:pPr>
              <w:spacing w:after="0"/>
              <w:rPr>
                <w:sz w:val="19"/>
                <w:szCs w:val="19"/>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Name: Mark Sooby</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680" w:type="dxa"/>
            <w:vAlign w:val="bottom"/>
          </w:tcPr>
          <w:p>
            <w:pPr>
              <w:spacing w:after="0"/>
              <w:rPr>
                <w:sz w:val="20"/>
                <w:szCs w:val="20"/>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Title: Managing Director</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168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Mizuho Securities USA Inc.</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By: /s/ David McMillan</w:t>
            </w:r>
          </w:p>
        </w:tc>
        <w:tc>
          <w:tcPr>
            <w:tcW w:w="168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By:  /s/ Michelle Petropoulos</w:t>
            </w:r>
          </w:p>
        </w:tc>
      </w:tr>
      <w:tr>
        <w:trPr>
          <w:trHeight w:val="20"/>
        </w:trPr>
        <w:tc>
          <w:tcPr>
            <w:tcW w:w="3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Name: David McMillan</w:t>
            </w:r>
          </w:p>
        </w:tc>
        <w:tc>
          <w:tcPr>
            <w:tcW w:w="1680" w:type="dxa"/>
            <w:vAlign w:val="bottom"/>
          </w:tcPr>
          <w:p>
            <w:pPr>
              <w:spacing w:after="0"/>
              <w:rPr>
                <w:sz w:val="19"/>
                <w:szCs w:val="19"/>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Name: Michelle Petropoulos</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680" w:type="dxa"/>
            <w:vAlign w:val="bottom"/>
          </w:tcPr>
          <w:p>
            <w:pPr>
              <w:spacing w:after="0"/>
              <w:rPr>
                <w:sz w:val="18"/>
                <w:szCs w:val="18"/>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Title: Managing Director</w:t>
            </w:r>
          </w:p>
        </w:tc>
      </w:tr>
      <w:tr>
        <w:trPr>
          <w:trHeight w:val="230"/>
        </w:trPr>
        <w:tc>
          <w:tcPr>
            <w:tcW w:w="380" w:type="dxa"/>
            <w:vAlign w:val="bottom"/>
          </w:tcPr>
          <w:p>
            <w:pPr>
              <w:spacing w:after="0"/>
              <w:rPr>
                <w:sz w:val="20"/>
                <w:szCs w:val="20"/>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Head of Equity Capital Markets</w:t>
            </w: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840" w:type="dxa"/>
            <w:vAlign w:val="bottom"/>
            <w:gridSpan w:val="3"/>
          </w:tcPr>
          <w:p>
            <w:pPr>
              <w:ind w:left="360"/>
              <w:spacing w:after="0"/>
              <w:rPr>
                <w:sz w:val="20"/>
                <w:szCs w:val="20"/>
                <w:color w:val="auto"/>
              </w:rPr>
            </w:pPr>
            <w:r>
              <w:rPr>
                <w:rFonts w:ascii="Arial" w:cs="Arial" w:eastAsia="Arial" w:hAnsi="Arial"/>
                <w:sz w:val="18"/>
                <w:szCs w:val="18"/>
                <w:i w:val="1"/>
                <w:iCs w:val="1"/>
                <w:color w:val="auto"/>
              </w:rPr>
              <w:t>Signature Page to Equity Distribution Agreement</w:t>
            </w:r>
          </w:p>
        </w:tc>
      </w:tr>
    </w:tbl>
    <w:p>
      <w:pPr>
        <w:sectPr>
          <w:pgSz w:w="11900" w:h="16838" w:orient="portrait"/>
          <w:cols w:equalWidth="0" w:num="1">
            <w:col w:w="11420"/>
          </w:cols>
          <w:pgMar w:left="240" w:top="274" w:right="2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880" w:type="dxa"/>
            <w:vAlign w:val="bottom"/>
          </w:tcPr>
          <w:p>
            <w:pPr>
              <w:spacing w:after="0"/>
              <w:rPr>
                <w:sz w:val="20"/>
                <w:szCs w:val="20"/>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Raymond James &amp; Associates, Inc.</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By: /s/ John Sartorius</w:t>
            </w:r>
          </w:p>
        </w:tc>
        <w:tc>
          <w:tcPr>
            <w:tcW w:w="188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By:  /s/ W. Bryant Patrick</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Name: John Sartorius</w:t>
            </w:r>
          </w:p>
        </w:tc>
        <w:tc>
          <w:tcPr>
            <w:tcW w:w="1880" w:type="dxa"/>
            <w:vAlign w:val="bottom"/>
          </w:tcPr>
          <w:p>
            <w:pPr>
              <w:spacing w:after="0"/>
              <w:rPr>
                <w:sz w:val="19"/>
                <w:szCs w:val="19"/>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Name: W. Bryant Patrick</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1880" w:type="dxa"/>
            <w:vAlign w:val="bottom"/>
          </w:tcPr>
          <w:p>
            <w:pPr>
              <w:spacing w:after="0"/>
              <w:rPr>
                <w:sz w:val="20"/>
                <w:szCs w:val="20"/>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Title: Vice President</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88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Robert W. Baird &amp; Co. Incorporated</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By: /s/ Brett Pancamo</w:t>
            </w:r>
          </w:p>
        </w:tc>
        <w:tc>
          <w:tcPr>
            <w:tcW w:w="188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By:  /s/ Gary R. Placek</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Name: Brett Pancamo</w:t>
            </w:r>
          </w:p>
        </w:tc>
        <w:tc>
          <w:tcPr>
            <w:tcW w:w="1880" w:type="dxa"/>
            <w:vAlign w:val="bottom"/>
          </w:tcPr>
          <w:p>
            <w:pPr>
              <w:spacing w:after="0"/>
              <w:rPr>
                <w:sz w:val="19"/>
                <w:szCs w:val="19"/>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Name: Gary R. Placek</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880" w:type="dxa"/>
            <w:vAlign w:val="bottom"/>
          </w:tcPr>
          <w:p>
            <w:pPr>
              <w:spacing w:after="0"/>
              <w:rPr>
                <w:sz w:val="20"/>
                <w:szCs w:val="20"/>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Title: Managing Director</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188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SG Americas Securities, LLC</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By: /s/ Josh Weismer</w:t>
            </w:r>
          </w:p>
        </w:tc>
        <w:tc>
          <w:tcPr>
            <w:tcW w:w="188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By:  /s/ Thomas Droumenq</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Name: Josh Weismer</w:t>
            </w:r>
          </w:p>
        </w:tc>
        <w:tc>
          <w:tcPr>
            <w:tcW w:w="1880" w:type="dxa"/>
            <w:vAlign w:val="bottom"/>
          </w:tcPr>
          <w:p>
            <w:pPr>
              <w:spacing w:after="0"/>
              <w:rPr>
                <w:sz w:val="19"/>
                <w:szCs w:val="19"/>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Name: Thomas Droumenq</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880" w:type="dxa"/>
            <w:vAlign w:val="bottom"/>
          </w:tcPr>
          <w:p>
            <w:pPr>
              <w:spacing w:after="0"/>
              <w:rPr>
                <w:sz w:val="20"/>
                <w:szCs w:val="20"/>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Title: Managing Director</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88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Tudor, Pickering, Holt &amp; Co. Securities, Inc.</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By: /s/ John M.H. Williams, II</w:t>
            </w:r>
          </w:p>
        </w:tc>
        <w:tc>
          <w:tcPr>
            <w:tcW w:w="188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By:  /s/ Alexandra Pruner</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Name: John M.H. Williams, II</w:t>
            </w:r>
          </w:p>
        </w:tc>
        <w:tc>
          <w:tcPr>
            <w:tcW w:w="1880" w:type="dxa"/>
            <w:vAlign w:val="bottom"/>
          </w:tcPr>
          <w:p>
            <w:pPr>
              <w:spacing w:after="0"/>
              <w:rPr>
                <w:sz w:val="19"/>
                <w:szCs w:val="19"/>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Name: Alexandra Pruner</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880" w:type="dxa"/>
            <w:vAlign w:val="bottom"/>
          </w:tcPr>
          <w:p>
            <w:pPr>
              <w:spacing w:after="0"/>
              <w:rPr>
                <w:sz w:val="20"/>
                <w:szCs w:val="20"/>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Title: Chief Financial Officer</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188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USCA Securities LLC</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By: /s/ Bimal Amin</w:t>
            </w:r>
          </w:p>
        </w:tc>
        <w:tc>
          <w:tcPr>
            <w:tcW w:w="188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By:  /s/ David M. King</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Name: Bimal Amin</w:t>
            </w:r>
          </w:p>
        </w:tc>
        <w:tc>
          <w:tcPr>
            <w:tcW w:w="1880" w:type="dxa"/>
            <w:vAlign w:val="bottom"/>
          </w:tcPr>
          <w:p>
            <w:pPr>
              <w:spacing w:after="0"/>
              <w:rPr>
                <w:sz w:val="19"/>
                <w:szCs w:val="19"/>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Name: David M. King</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1880" w:type="dxa"/>
            <w:vAlign w:val="bottom"/>
          </w:tcPr>
          <w:p>
            <w:pPr>
              <w:spacing w:after="0"/>
              <w:rPr>
                <w:sz w:val="20"/>
                <w:szCs w:val="20"/>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Title: Managing Partner</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By: /s/ Andy Lam</w:t>
            </w: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Name: Andy Lam</w:t>
            </w:r>
          </w:p>
        </w:tc>
        <w:tc>
          <w:tcPr>
            <w:tcW w:w="1880" w:type="dxa"/>
            <w:vAlign w:val="bottom"/>
          </w:tcPr>
          <w:p>
            <w:pPr>
              <w:spacing w:after="0"/>
              <w:rPr>
                <w:sz w:val="19"/>
                <w:szCs w:val="19"/>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Wells Fargo Securities, LLC</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Title: Associate Director</w:t>
            </w:r>
          </w:p>
        </w:tc>
        <w:tc>
          <w:tcPr>
            <w:tcW w:w="1880" w:type="dxa"/>
            <w:vAlign w:val="bottom"/>
          </w:tcPr>
          <w:p>
            <w:pPr>
              <w:spacing w:after="0"/>
              <w:rPr>
                <w:sz w:val="20"/>
                <w:szCs w:val="20"/>
                <w:color w:val="auto"/>
              </w:rPr>
            </w:pPr>
          </w:p>
        </w:tc>
        <w:tc>
          <w:tcPr>
            <w:tcW w:w="6280" w:type="dxa"/>
            <w:vAlign w:val="bottom"/>
            <w:gridSpan w:val="2"/>
            <w:vMerge w:val="restart"/>
          </w:tcPr>
          <w:p>
            <w:pPr>
              <w:ind w:left="1020"/>
              <w:spacing w:after="0"/>
              <w:rPr>
                <w:sz w:val="20"/>
                <w:szCs w:val="20"/>
                <w:color w:val="auto"/>
              </w:rPr>
            </w:pPr>
            <w:r>
              <w:rPr>
                <w:rFonts w:ascii="Arial" w:cs="Arial" w:eastAsia="Arial" w:hAnsi="Arial"/>
                <w:sz w:val="18"/>
                <w:szCs w:val="18"/>
                <w:color w:val="auto"/>
              </w:rPr>
              <w:t>By:  /s/ Gregory M. Ogborn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Name: Gregory M. Ogborn</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Title: Vice President</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160" w:type="dxa"/>
            <w:vAlign w:val="bottom"/>
            <w:gridSpan w:val="3"/>
          </w:tcPr>
          <w:p>
            <w:pPr>
              <w:ind w:left="680"/>
              <w:spacing w:after="0"/>
              <w:rPr>
                <w:sz w:val="20"/>
                <w:szCs w:val="20"/>
                <w:color w:val="auto"/>
              </w:rPr>
            </w:pPr>
            <w:r>
              <w:rPr>
                <w:rFonts w:ascii="Arial" w:cs="Arial" w:eastAsia="Arial" w:hAnsi="Arial"/>
                <w:sz w:val="18"/>
                <w:szCs w:val="18"/>
                <w:i w:val="1"/>
                <w:iCs w:val="1"/>
                <w:color w:val="auto"/>
              </w:rPr>
              <w:t>Signature Page to Equity Distribution Agreement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3" w:name="page44"/>
    <w:bookmarkEnd w:id="4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MATERIAL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Schedule I - 1</w:t>
      </w:r>
    </w:p>
    <w:p>
      <w:pPr>
        <w:sectPr>
          <w:pgSz w:w="11900" w:h="16838" w:orient="portrait"/>
          <w:cols w:equalWidth="0" w:num="1">
            <w:col w:w="10219"/>
          </w:cols>
          <w:pgMar w:left="240" w:top="270" w:right="1440" w:bottom="1440" w:gutter="0" w:footer="0" w:header="0"/>
        </w:sectPr>
      </w:pPr>
    </w:p>
    <w:bookmarkStart w:id="44" w:name="page45"/>
    <w:bookmarkEnd w:id="4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DOMESTIC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Schedule II - 1</w:t>
      </w:r>
    </w:p>
    <w:p>
      <w:pPr>
        <w:sectPr>
          <w:pgSz w:w="11900" w:h="16838" w:orient="portrait"/>
          <w:cols w:equalWidth="0" w:num="1">
            <w:col w:w="10219"/>
          </w:cols>
          <w:pgMar w:left="240" w:top="27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Terms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AGREEMENT</w:t>
      </w:r>
    </w:p>
    <w:p>
      <w:pPr>
        <w:spacing w:after="0" w:line="212" w:lineRule="exact"/>
        <w:rPr>
          <w:sz w:val="20"/>
          <w:szCs w:val="20"/>
          <w:color w:val="auto"/>
        </w:rPr>
      </w:pPr>
    </w:p>
    <w:tbl>
      <w:tblPr>
        <w:tblLayout w:type="fixed"/>
        <w:tblInd w:w="10200" w:type="dxa"/>
        <w:tblCellMar>
          <w:top w:w="0" w:type="dxa"/>
          <w:left w:w="0" w:type="dxa"/>
          <w:bottom w:w="0" w:type="dxa"/>
          <w:right w:w="0" w:type="dxa"/>
        </w:tblCellMar>
      </w:tblPr>
      <w:tr>
        <w:trPr>
          <w:trHeight w:val="207"/>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960" w:hanging="95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-10160</wp:posOffset>
            </wp:positionV>
            <wp:extent cx="571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Plains All American Pipeline,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proposes, subject to the terms and conditions stated herein and in the Equity Distribution Agreement, dated August 22, 2014 (the “</w:t>
      </w:r>
      <w:r>
        <w:rPr>
          <w:rFonts w:ascii="Arial" w:cs="Arial" w:eastAsia="Arial" w:hAnsi="Arial"/>
          <w:sz w:val="16"/>
          <w:szCs w:val="16"/>
          <w:u w:val="single" w:color="auto"/>
          <w:color w:val="auto"/>
        </w:rPr>
        <w:t>Equity Distribution Agreement</w:t>
      </w:r>
      <w:r>
        <w:rPr>
          <w:rFonts w:ascii="Arial" w:cs="Arial" w:eastAsia="Arial" w:hAnsi="Arial"/>
          <w:sz w:val="16"/>
          <w:szCs w:val="16"/>
          <w:color w:val="auto"/>
        </w:rPr>
        <w:t>”), among the Partnership and with Citigroup Global Markets Inc., Barclays Capital Inc., BB&amp;T Capital Markets, a division of BB&amp;T Securities, LLC, BMO Capital Markets Corp., Deutsche Bank Securities Inc., J.P. Morgan Securities LLC, Jefferies LLC, Merrill Lynch, Pierce, Fenner &amp; Smith Incorporated, Mitsubishi UFJ Securities (USA), Inc., Mizuho Securities USA Inc., Morgan Stanley &amp; Co. LLC, Raymond James &amp; Associates, Inc., RBC Capital Markets, LLC, Robert W. Baird &amp; Co. Incorporated, Scotia Capital (USA) Inc., SG Americas Securities, LLC, SunTrust Robinson Humphrey, Inc., Tudor, Pickering, Holt &amp; Co. Securities, Inc., UBS Securities LLC, USCA</w:t>
      </w:r>
    </w:p>
    <w:p>
      <w:pPr>
        <w:spacing w:after="0" w:line="5"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Securities LLC, and Wells Fargo Securities, LLC to issue and sell to [</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Manager</w:t>
      </w:r>
      <w:r>
        <w:rPr>
          <w:rFonts w:ascii="Arial" w:cs="Arial" w:eastAsia="Arial" w:hAnsi="Arial"/>
          <w:sz w:val="16"/>
          <w:szCs w:val="16"/>
          <w:color w:val="auto"/>
        </w:rPr>
        <w:t xml:space="preserve">”) the securities specified in the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w:t>
      </w:r>
    </w:p>
    <w:p>
      <w:pPr>
        <w:spacing w:after="0" w:line="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Units</w:t>
      </w:r>
      <w:r>
        <w:rPr>
          <w:rFonts w:ascii="Arial" w:cs="Arial" w:eastAsia="Arial" w:hAnsi="Arial"/>
          <w:sz w:val="18"/>
          <w:szCs w:val="18"/>
          <w:color w:val="auto"/>
        </w:rPr>
        <w:t xml:space="preserve">”) [, and solely for the purpose of covering over-allotments, to grant to the Manager the option to purchase the additional securities specified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Additional Units</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w:t>
      </w:r>
    </w:p>
    <w:p>
      <w:pPr>
        <w:spacing w:after="0" w:line="18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Manager shall have the right to purchase from the Partnership all or a portion of the Additional Units as may be necessary to cover over-allotments made in connection with the offering of the Purchased Units, at the same purchase price per Common Unit to be paid by the Manager to the Partnership for the Purchased Units. This option may be exercised by the Manager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Arial" w:cs="Arial" w:eastAsia="Arial" w:hAnsi="Arial"/>
          <w:sz w:val="17"/>
          <w:szCs w:val="17"/>
          <w:u w:val="single" w:color="auto"/>
          <w:color w:val="auto"/>
        </w:rPr>
        <w:t>Option Closing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Option Closing Date shall not be earlier than the Time of Delivery (as set forth in the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i w:val="1"/>
          <w:iCs w:val="1"/>
          <w:color w:val="auto"/>
        </w:rPr>
        <w:t xml:space="preserve"> </w:t>
      </w:r>
      <w:r>
        <w:rPr>
          <w:rFonts w:ascii="Arial" w:cs="Arial" w:eastAsia="Arial" w:hAnsi="Arial"/>
          <w:sz w:val="17"/>
          <w:szCs w:val="17"/>
          <w:color w:val="auto"/>
        </w:rPr>
        <w:t>hereto) nor earlier than the second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8"/>
          <w:szCs w:val="18"/>
          <w:color w:val="auto"/>
        </w:rPr>
        <w:t>All bracketed language appearing in this paragraph to be included only if the applicable Manager has an over-allotment option.</w:t>
      </w:r>
    </w:p>
    <w:p>
      <w:pPr>
        <w:spacing w:after="0" w:line="22" w:lineRule="exact"/>
        <w:rPr>
          <w:sz w:val="20"/>
          <w:szCs w:val="20"/>
          <w:color w:val="auto"/>
        </w:rPr>
      </w:pPr>
    </w:p>
    <w:p>
      <w:pPr>
        <w:ind w:left="5300" w:right="3660" w:hanging="5292"/>
        <w:spacing w:after="0" w:line="434" w:lineRule="auto"/>
        <w:tabs>
          <w:tab w:leader="none" w:pos="452" w:val="left"/>
        </w:tabs>
        <w:numPr>
          <w:ilvl w:val="0"/>
          <w:numId w:val="60"/>
        </w:numPr>
        <w:rPr>
          <w:rFonts w:ascii="Arial" w:cs="Arial" w:eastAsia="Arial" w:hAnsi="Arial"/>
          <w:sz w:val="15"/>
          <w:szCs w:val="15"/>
          <w:color w:val="auto"/>
        </w:rPr>
      </w:pPr>
      <w:r>
        <w:rPr>
          <w:rFonts w:ascii="Arial" w:cs="Arial" w:eastAsia="Arial" w:hAnsi="Arial"/>
          <w:sz w:val="18"/>
          <w:szCs w:val="18"/>
          <w:color w:val="auto"/>
        </w:rPr>
        <w:t>This bracketed paragraph to be included only if the applicable Manager has an over-allotment option. Annex I - 1</w:t>
      </w:r>
    </w:p>
    <w:p>
      <w:pPr>
        <w:sectPr>
          <w:pgSz w:w="11900" w:h="16838" w:orient="portrait"/>
          <w:cols w:equalWidth="0" w:num="1">
            <w:col w:w="11420"/>
          </w:cols>
          <w:pgMar w:left="240" w:top="270" w:right="239" w:bottom="1440" w:gutter="0" w:footer="0" w:header="0"/>
        </w:sectPr>
      </w:pPr>
    </w:p>
    <w:bookmarkStart w:id="46" w:name="page47"/>
    <w:bookmarkEnd w:id="46"/>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provisions of the Equity Distribution Agreement not specifically related to the solicitation by the Manager, as agent of the Partnership,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r>
        <w:rPr>
          <w:rFonts w:ascii="Arial" w:cs="Arial" w:eastAsia="Arial" w:hAnsi="Arial"/>
          <w:sz w:val="13"/>
          <w:szCs w:val="13"/>
          <w:color w:val="auto"/>
        </w:rPr>
        <w:t>3</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 amendment to the Registration Statement (as defined in the Equity Distribution Agreement), or a supplement to the Prospectus, as the case may be, relating to the Purchased Units [and the Additional Units], in the form heretofore delivered to the Manager is now proposed to be filed with the Securities and Exchange Commission.</w:t>
      </w:r>
      <w:r>
        <w:rPr>
          <w:rFonts w:ascii="Arial" w:cs="Arial" w:eastAsia="Arial" w:hAnsi="Arial"/>
          <w:sz w:val="15"/>
          <w:szCs w:val="15"/>
          <w:color w:val="auto"/>
        </w:rPr>
        <w:t>4</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Subject to the terms and conditions set forth herein and in the Equity Distribution Agreement which are incorporated herein by reference, the Partnership agrees to issue and sell to the Manager and the latter agrees to purchase from the Partnership the number of Purchased Units at the time and place and at the purchase price set forth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5"/>
          <w:szCs w:val="15"/>
          <w:color w:val="auto"/>
        </w:rPr>
      </w:pPr>
      <w:r>
        <w:rPr>
          <w:rFonts w:ascii="Arial" w:cs="Arial" w:eastAsia="Arial" w:hAnsi="Arial"/>
          <w:sz w:val="18"/>
          <w:szCs w:val="18"/>
          <w:color w:val="auto"/>
        </w:rPr>
        <w:t>All bracketed language appearing in this paragraph to be included only if the applicable Manager has an over-allotment option.</w:t>
      </w:r>
    </w:p>
    <w:p>
      <w:pPr>
        <w:spacing w:after="0" w:line="22" w:lineRule="exact"/>
        <w:rPr>
          <w:sz w:val="20"/>
          <w:szCs w:val="20"/>
          <w:color w:val="auto"/>
        </w:rPr>
      </w:pPr>
    </w:p>
    <w:p>
      <w:pPr>
        <w:ind w:left="5300" w:right="1780" w:hanging="5292"/>
        <w:spacing w:after="0" w:line="434" w:lineRule="auto"/>
        <w:tabs>
          <w:tab w:leader="none" w:pos="452" w:val="left"/>
        </w:tabs>
        <w:numPr>
          <w:ilvl w:val="0"/>
          <w:numId w:val="62"/>
        </w:numPr>
        <w:rPr>
          <w:rFonts w:ascii="Arial" w:cs="Arial" w:eastAsia="Arial" w:hAnsi="Arial"/>
          <w:sz w:val="15"/>
          <w:szCs w:val="15"/>
          <w:color w:val="auto"/>
        </w:rPr>
      </w:pPr>
      <w:r>
        <w:rPr>
          <w:rFonts w:ascii="Arial" w:cs="Arial" w:eastAsia="Arial" w:hAnsi="Arial"/>
          <w:sz w:val="18"/>
          <w:szCs w:val="18"/>
          <w:color w:val="auto"/>
        </w:rPr>
        <w:t>All bracketed language appearing in this paragraph to be included only if the applicable Manager has an over-allotment option. Annex I - 2</w:t>
      </w:r>
    </w:p>
    <w:p>
      <w:pPr>
        <w:sectPr>
          <w:pgSz w:w="11900" w:h="16838" w:orient="portrait"/>
          <w:cols w:equalWidth="0" w:num="1">
            <w:col w:w="11380"/>
          </w:cols>
          <w:pgMar w:left="240" w:top="274" w:right="279" w:bottom="1440" w:gutter="0" w:footer="0" w:header="0"/>
        </w:sectPr>
      </w:pPr>
    </w:p>
    <w:bookmarkStart w:id="47" w:name="page48"/>
    <w:bookmarkEnd w:id="47"/>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Partnership.</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PLAINS ALL AMERICAN PIPELINE, L.P.</w:t>
      </w:r>
    </w:p>
    <w:p>
      <w:pPr>
        <w:sectPr>
          <w:pgSz w:w="11900" w:h="16838" w:orient="portrait"/>
          <w:cols w:equalWidth="0" w:num="1">
            <w:col w:w="11320"/>
          </w:cols>
          <w:pgMar w:left="240" w:top="274" w:right="339" w:bottom="1440" w:gutter="0" w:footer="0" w:header="0"/>
        </w:sect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PAA GP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its General Partner</w:t>
      </w:r>
    </w:p>
    <w:p>
      <w:pPr>
        <w:spacing w:after="0" w:line="200" w:lineRule="exact"/>
        <w:rPr>
          <w:sz w:val="20"/>
          <w:szCs w:val="20"/>
          <w:color w:val="auto"/>
        </w:rPr>
      </w:pPr>
    </w:p>
    <w:p>
      <w:pPr>
        <w:sectPr>
          <w:pgSz w:w="11900" w:h="16838" w:orient="portrait"/>
          <w:cols w:equalWidth="0" w:num="2">
            <w:col w:w="7120" w:space="320"/>
            <w:col w:w="3880"/>
          </w:cols>
          <w:pgMar w:left="240" w:top="274" w:right="339" w:bottom="1440" w:gutter="0" w:footer="0" w:header="0"/>
          <w:type w:val="continuous"/>
        </w:sectPr>
      </w:pPr>
    </w:p>
    <w:p>
      <w:pPr>
        <w:spacing w:after="0" w:line="3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PLAINS AAP,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7120" w:space="320"/>
            <w:col w:w="3880"/>
          </w:cols>
          <w:pgMar w:left="240" w:top="274" w:right="339" w:bottom="1440" w:gutter="0" w:footer="0" w:header="0"/>
          <w:type w:val="continuous"/>
        </w:sectPr>
      </w:pPr>
    </w:p>
    <w:p>
      <w:pPr>
        <w:spacing w:after="0" w:line="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1140"/>
        <w:spacing w:after="0" w:line="277" w:lineRule="auto"/>
        <w:rPr>
          <w:sz w:val="20"/>
          <w:szCs w:val="20"/>
          <w:color w:val="auto"/>
        </w:rPr>
      </w:pPr>
      <w:r>
        <w:rPr>
          <w:rFonts w:ascii="Arial" w:cs="Arial" w:eastAsia="Arial" w:hAnsi="Arial"/>
          <w:sz w:val="18"/>
          <w:szCs w:val="18"/>
          <w:color w:val="auto"/>
        </w:rPr>
        <w:t>PLAINS ALL AMERICAN GP LLC, its General Partner</w:t>
      </w:r>
    </w:p>
    <w:p>
      <w:pPr>
        <w:spacing w:after="0" w:line="170" w:lineRule="exact"/>
        <w:rPr>
          <w:sz w:val="20"/>
          <w:szCs w:val="20"/>
          <w:color w:val="auto"/>
        </w:rPr>
      </w:pPr>
    </w:p>
    <w:p>
      <w:pPr>
        <w:sectPr>
          <w:pgSz w:w="11900" w:h="16838" w:orient="portrait"/>
          <w:cols w:equalWidth="0" w:num="2">
            <w:col w:w="7120" w:space="320"/>
            <w:col w:w="3880"/>
          </w:cols>
          <w:pgMar w:left="240" w:top="274" w:right="339" w:bottom="1440" w:gutter="0" w:footer="0" w:header="0"/>
          <w:type w:val="continuous"/>
        </w:sect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60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Annex I - 3</w:t>
      </w:r>
    </w:p>
    <w:p>
      <w:pPr>
        <w:sectPr>
          <w:pgSz w:w="11900" w:h="16838" w:orient="portrait"/>
          <w:cols w:equalWidth="0" w:num="1">
            <w:col w:w="11320"/>
          </w:cols>
          <w:pgMar w:left="240" w:top="274"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Schedule I to the Terms Agreement</w:t>
            </w:r>
          </w:p>
        </w:tc>
      </w:tr>
      <w:tr>
        <w:trPr>
          <w:trHeight w:val="465"/>
        </w:trPr>
        <w:tc>
          <w:tcPr>
            <w:tcW w:w="5320" w:type="dxa"/>
            <w:vAlign w:val="bottom"/>
          </w:tcPr>
          <w:p>
            <w:pPr>
              <w:spacing w:after="0"/>
              <w:rPr>
                <w:sz w:val="20"/>
                <w:szCs w:val="20"/>
                <w:color w:val="auto"/>
              </w:rPr>
            </w:pPr>
            <w:r>
              <w:rPr>
                <w:rFonts w:ascii="Arial" w:cs="Arial" w:eastAsia="Arial" w:hAnsi="Arial"/>
                <w:sz w:val="18"/>
                <w:szCs w:val="18"/>
                <w:color w:val="auto"/>
              </w:rPr>
              <w:t>Title of Purchased Units [and Additional Units]:</w:t>
            </w:r>
          </w:p>
        </w:tc>
        <w:tc>
          <w:tcPr>
            <w:tcW w:w="6100" w:type="dxa"/>
            <w:vAlign w:val="bottom"/>
            <w:gridSpan w:val="3"/>
          </w:tcPr>
          <w:p>
            <w:pPr>
              <w:ind w:left="740"/>
              <w:spacing w:after="0"/>
              <w:rPr>
                <w:sz w:val="20"/>
                <w:szCs w:val="20"/>
                <w:color w:val="auto"/>
              </w:rPr>
            </w:pPr>
            <w:r>
              <w:rPr>
                <w:rFonts w:ascii="Arial" w:cs="Arial" w:eastAsia="Arial" w:hAnsi="Arial"/>
                <w:sz w:val="18"/>
                <w:szCs w:val="18"/>
                <w:color w:val="auto"/>
              </w:rPr>
              <w:t>Common Units representing limited partner interests in Plains All</w:t>
            </w:r>
          </w:p>
        </w:tc>
      </w:tr>
      <w:tr>
        <w:trPr>
          <w:trHeight w:val="230"/>
        </w:trPr>
        <w:tc>
          <w:tcPr>
            <w:tcW w:w="5320" w:type="dxa"/>
            <w:vAlign w:val="bottom"/>
          </w:tcPr>
          <w:p>
            <w:pPr>
              <w:spacing w:after="0"/>
              <w:rPr>
                <w:sz w:val="20"/>
                <w:szCs w:val="20"/>
                <w:color w:val="auto"/>
              </w:rPr>
            </w:pPr>
          </w:p>
        </w:tc>
        <w:tc>
          <w:tcPr>
            <w:tcW w:w="6100" w:type="dxa"/>
            <w:vAlign w:val="bottom"/>
            <w:gridSpan w:val="3"/>
          </w:tcPr>
          <w:p>
            <w:pPr>
              <w:ind w:left="740"/>
              <w:spacing w:after="0"/>
              <w:rPr>
                <w:sz w:val="20"/>
                <w:szCs w:val="20"/>
                <w:color w:val="auto"/>
              </w:rPr>
            </w:pPr>
            <w:r>
              <w:rPr>
                <w:rFonts w:ascii="Arial" w:cs="Arial" w:eastAsia="Arial" w:hAnsi="Arial"/>
                <w:sz w:val="18"/>
                <w:szCs w:val="18"/>
                <w:color w:val="auto"/>
              </w:rPr>
              <w:t>American Pipeline, L.P.</w:t>
            </w: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Number of Units of Purchased Units:</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2230"/>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[Number of Units of Additional Units:]</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2230"/>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[Price to Public:]</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2130"/>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Purchase Price by the Manager:</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2130"/>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Method of and Specified Funds for Payment of Purchase Price:</w:t>
            </w: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320" w:type="dxa"/>
            <w:vAlign w:val="bottom"/>
            <w:gridSpan w:val="2"/>
          </w:tcPr>
          <w:p>
            <w:pPr>
              <w:ind w:left="360"/>
              <w:spacing w:after="0"/>
              <w:rPr>
                <w:sz w:val="20"/>
                <w:szCs w:val="20"/>
                <w:color w:val="auto"/>
              </w:rPr>
            </w:pPr>
            <w:r>
              <w:rPr>
                <w:rFonts w:ascii="Arial" w:cs="Arial" w:eastAsia="Arial" w:hAnsi="Arial"/>
                <w:sz w:val="18"/>
                <w:szCs w:val="18"/>
                <w:color w:val="auto"/>
                <w:w w:val="90"/>
              </w:rPr>
              <w:t>By wire transfer to a bank account specified by the Partnership in same day funds.</w:t>
            </w:r>
          </w:p>
        </w:tc>
        <w:tc>
          <w:tcPr>
            <w:tcW w:w="24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Method of Delivery:</w:t>
            </w: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11420" w:type="dxa"/>
            <w:vAlign w:val="bottom"/>
            <w:gridSpan w:val="4"/>
          </w:tcPr>
          <w:p>
            <w:pPr>
              <w:ind w:left="360"/>
              <w:spacing w:after="0"/>
              <w:rPr>
                <w:sz w:val="20"/>
                <w:szCs w:val="20"/>
                <w:color w:val="auto"/>
              </w:rPr>
            </w:pPr>
            <w:r>
              <w:rPr>
                <w:rFonts w:ascii="Arial" w:cs="Arial" w:eastAsia="Arial" w:hAnsi="Arial"/>
                <w:sz w:val="18"/>
                <w:szCs w:val="18"/>
                <w:color w:val="auto"/>
              </w:rPr>
              <w:t>Free delivery of the Units to the Manager’s account at The Depository Trust Company in return for payment of the purchase price.</w:t>
            </w: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Time of Delivery:</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2230"/>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Closing Location:</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2230"/>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Documents to be Delivered:</w:t>
      </w:r>
    </w:p>
    <w:p>
      <w:pPr>
        <w:spacing w:after="0" w:line="117"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The following documents referred to in the Equity Distribution Agreement shall be delivered as a condition to the closing at the Time of Delivery [and on any Option Closing Date]:</w:t>
      </w:r>
    </w:p>
    <w:p>
      <w:pPr>
        <w:spacing w:after="0" w:line="7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officers’ certificate referred to in Section 4(l).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opinion referred to in Section 4(m).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opinion referred to in Section 4(n).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opinion referred to in Section 4(o).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opinion referred to in Section 4(p).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accountants’ letter referred to in Section 4(q).</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other documents as the Manager shall reasonably request.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- 4</w:t>
      </w:r>
    </w:p>
    <w:p>
      <w:pPr>
        <w:sectPr>
          <w:pgSz w:w="11900" w:h="16838" w:orient="portrait"/>
          <w:cols w:equalWidth="0" w:num="1">
            <w:col w:w="11420"/>
          </w:cols>
          <w:pgMar w:left="240" w:top="25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Vinson &amp; Elkins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Counsel for the Partnership</w:t>
      </w:r>
    </w:p>
    <w:p>
      <w:pPr>
        <w:spacing w:after="0" w:line="211" w:lineRule="exact"/>
        <w:rPr>
          <w:sz w:val="20"/>
          <w:szCs w:val="20"/>
          <w:color w:val="auto"/>
        </w:rPr>
      </w:pPr>
    </w:p>
    <w:p>
      <w:pPr>
        <w:ind w:firstLine="464"/>
        <w:spacing w:after="0" w:line="272" w:lineRule="auto"/>
        <w:tabs>
          <w:tab w:leader="none" w:pos="67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Registration Statement was declared effective under the Act on [ ]; any required filing of the Base Prospectus and the Prospectus, and any supplements thereto, pursuant to Rule 424(b) has been made in the manner and within the time period required by Rule 424(b); to the knowledge of such counsel, no stop order suspending the effectiveness of the Registration Statement or any notice objecting to its use has been issued, no proceedings for that purpose have been instituted or threatened by the Commission, and the Registration Statement and the Prospectus (other than the financial statements and the notes and the schedules thereto and the other financial information included or incorporated by reference in the Registration Statement or the Prospectus, as to which such counsel need express no opinion) appear on their face to comply as to form in all material respects with the applicable requirements of the Act and the Exchange Act and the respective rules thereunder.</w:t>
      </w:r>
    </w:p>
    <w:p>
      <w:pPr>
        <w:spacing w:after="0" w:line="69" w:lineRule="exact"/>
        <w:rPr>
          <w:rFonts w:ascii="Arial" w:cs="Arial" w:eastAsia="Arial" w:hAnsi="Arial"/>
          <w:sz w:val="17"/>
          <w:szCs w:val="17"/>
          <w:color w:val="auto"/>
        </w:rPr>
      </w:pPr>
    </w:p>
    <w:p>
      <w:pPr>
        <w:ind w:right="40" w:firstLine="464"/>
        <w:spacing w:after="0" w:line="259" w:lineRule="auto"/>
        <w:tabs>
          <w:tab w:leader="none" w:pos="7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the Partnership, the GP Entities and the subsidiaries listed on Schedule II hereto (the “</w:t>
      </w:r>
      <w:r>
        <w:rPr>
          <w:rFonts w:ascii="Arial" w:cs="Arial" w:eastAsia="Arial" w:hAnsi="Arial"/>
          <w:sz w:val="18"/>
          <w:szCs w:val="18"/>
          <w:u w:val="single" w:color="auto"/>
          <w:color w:val="auto"/>
        </w:rPr>
        <w:t>Domestic Subsidiaries</w:t>
      </w:r>
      <w:r>
        <w:rPr>
          <w:rFonts w:ascii="Arial" w:cs="Arial" w:eastAsia="Arial" w:hAnsi="Arial"/>
          <w:sz w:val="18"/>
          <w:szCs w:val="18"/>
          <w:color w:val="auto"/>
        </w:rPr>
        <w:t>”)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78" w:lineRule="exact"/>
        <w:rPr>
          <w:rFonts w:ascii="Arial" w:cs="Arial" w:eastAsia="Arial" w:hAnsi="Arial"/>
          <w:sz w:val="18"/>
          <w:szCs w:val="18"/>
          <w:color w:val="auto"/>
        </w:rPr>
      </w:pPr>
    </w:p>
    <w:p>
      <w:pPr>
        <w:ind w:right="20" w:firstLine="464"/>
        <w:spacing w:after="0" w:line="264" w:lineRule="auto"/>
        <w:tabs>
          <w:tab w:leader="none" w:pos="7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Domestic Subsidiary or GP Entity that serves as a general partner of another Domestic Subsidiary, the Partnership or GP Entity has full corporate or limited liability company power and authority, as the case may be, to serve as general partner of such Domestic Subsidiary, the Partnership or GP Entity, in each case in all material respects.</w:t>
      </w:r>
    </w:p>
    <w:p>
      <w:pPr>
        <w:spacing w:after="0" w:line="73" w:lineRule="exact"/>
        <w:rPr>
          <w:rFonts w:ascii="Arial" w:cs="Arial" w:eastAsia="Arial" w:hAnsi="Arial"/>
          <w:sz w:val="18"/>
          <w:szCs w:val="18"/>
          <w:color w:val="auto"/>
        </w:rPr>
      </w:pPr>
    </w:p>
    <w:p>
      <w:pPr>
        <w:ind w:right="480" w:firstLine="464"/>
        <w:spacing w:after="0" w:line="279" w:lineRule="auto"/>
        <w:tabs>
          <w:tab w:leader="none" w:pos="76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GP Entities hold the general partner and membership interests as described in the Registration Statement and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63" w:lineRule="exact"/>
        <w:rPr>
          <w:rFonts w:ascii="Arial" w:cs="Arial" w:eastAsia="Arial" w:hAnsi="Arial"/>
          <w:sz w:val="17"/>
          <w:szCs w:val="17"/>
          <w:color w:val="auto"/>
        </w:rPr>
      </w:pPr>
    </w:p>
    <w:p>
      <w:pPr>
        <w:ind w:right="120" w:firstLine="464"/>
        <w:spacing w:after="0" w:line="272" w:lineRule="auto"/>
        <w:tabs>
          <w:tab w:leader="none" w:pos="711"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- 1</w:t>
      </w:r>
    </w:p>
    <w:p>
      <w:pPr>
        <w:sectPr>
          <w:pgSz w:w="11900" w:h="16838" w:orient="portrait"/>
          <w:cols w:equalWidth="0" w:num="1">
            <w:col w:w="11420"/>
          </w:cols>
          <w:pgMar w:left="240" w:top="270" w:right="239" w:bottom="1440" w:gutter="0" w:footer="0" w:header="0"/>
        </w:sectPr>
      </w:pPr>
    </w:p>
    <w:bookmarkStart w:id="50" w:name="page51"/>
    <w:bookmarkEnd w:id="50"/>
    <w:p>
      <w:pPr>
        <w:ind w:right="1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of such state’s limited partnership or limited liability company statute, as applicable) and (b)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w:t>
      </w:r>
    </w:p>
    <w:p>
      <w:pPr>
        <w:spacing w:after="0" w:line="2" w:lineRule="exact"/>
        <w:rPr>
          <w:sz w:val="20"/>
          <w:szCs w:val="20"/>
          <w:color w:val="auto"/>
        </w:rPr>
      </w:pPr>
    </w:p>
    <w:p>
      <w:pPr>
        <w:ind w:right="80" w:firstLine="8"/>
        <w:spacing w:after="0" w:line="290" w:lineRule="auto"/>
        <w:tabs>
          <w:tab w:leader="none" w:pos="285" w:val="left"/>
        </w:tabs>
        <w:numPr>
          <w:ilvl w:val="0"/>
          <w:numId w:val="65"/>
        </w:numPr>
        <w:rPr>
          <w:rFonts w:ascii="Arial" w:cs="Arial" w:eastAsia="Arial" w:hAnsi="Arial"/>
          <w:sz w:val="17"/>
          <w:szCs w:val="17"/>
          <w:color w:val="auto"/>
        </w:rPr>
      </w:pPr>
      <w:r>
        <w:rPr>
          <w:rFonts w:ascii="Arial" w:cs="Arial" w:eastAsia="Arial" w:hAnsi="Arial"/>
          <w:sz w:val="17"/>
          <w:szCs w:val="17"/>
          <w:color w:val="auto"/>
        </w:rPr>
        <w:t>otherwise known to such counsel, without independent investigation, other than those created by or arising under the corporate, limited liability company or partnership laws of the jurisdiction of formation or incorporation of the respective Domestic Subsidiary, as the case may be.</w:t>
      </w:r>
    </w:p>
    <w:p>
      <w:pPr>
        <w:spacing w:after="0" w:line="53" w:lineRule="exact"/>
        <w:rPr>
          <w:rFonts w:ascii="Arial" w:cs="Arial" w:eastAsia="Arial" w:hAnsi="Arial"/>
          <w:sz w:val="17"/>
          <w:szCs w:val="17"/>
          <w:color w:val="auto"/>
        </w:rPr>
      </w:pPr>
    </w:p>
    <w:p>
      <w:pPr>
        <w:ind w:firstLine="464"/>
        <w:spacing w:after="0" w:line="255" w:lineRule="auto"/>
        <w:tabs>
          <w:tab w:leader="none" w:pos="761"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w:t>
      </w:r>
    </w:p>
    <w:p>
      <w:pPr>
        <w:spacing w:after="0" w:line="81" w:lineRule="exact"/>
        <w:rPr>
          <w:rFonts w:ascii="Arial" w:cs="Arial" w:eastAsia="Arial" w:hAnsi="Arial"/>
          <w:sz w:val="18"/>
          <w:szCs w:val="18"/>
          <w:color w:val="auto"/>
        </w:rPr>
      </w:pPr>
    </w:p>
    <w:p>
      <w:pPr>
        <w:ind w:right="120" w:firstLine="464"/>
        <w:spacing w:after="0" w:line="259" w:lineRule="auto"/>
        <w:tabs>
          <w:tab w:leader="none" w:pos="811"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Units to be issued and sold pursuant to this Agreement and the limited partner interests represented thereby have been duly authorized by the Partnership Agreement and, when issued and delivered against payment therefor as provided in this Agreement and any Terms Agreement, will be validly issued, fully paid (to the extent required under the Partnership Agreement) and nonassessable (except as such nonassessability may be affected by Sections 17-607 and 17-804 of the Delaware LP Act).</w:t>
      </w:r>
    </w:p>
    <w:p>
      <w:pPr>
        <w:spacing w:after="0" w:line="78" w:lineRule="exact"/>
        <w:rPr>
          <w:rFonts w:ascii="Arial" w:cs="Arial" w:eastAsia="Arial" w:hAnsi="Arial"/>
          <w:sz w:val="18"/>
          <w:szCs w:val="18"/>
          <w:color w:val="auto"/>
        </w:rPr>
      </w:pPr>
    </w:p>
    <w:p>
      <w:pPr>
        <w:ind w:right="60" w:firstLine="464"/>
        <w:spacing w:after="0" w:line="272" w:lineRule="auto"/>
        <w:tabs>
          <w:tab w:leader="none" w:pos="861" w:val="left"/>
        </w:tabs>
        <w:numPr>
          <w:ilvl w:val="1"/>
          <w:numId w:val="65"/>
        </w:numPr>
        <w:rPr>
          <w:rFonts w:ascii="Arial" w:cs="Arial" w:eastAsia="Arial" w:hAnsi="Arial"/>
          <w:sz w:val="17"/>
          <w:szCs w:val="17"/>
          <w:color w:val="auto"/>
        </w:rPr>
      </w:pPr>
      <w:r>
        <w:rPr>
          <w:rFonts w:ascii="Arial" w:cs="Arial" w:eastAsia="Arial" w:hAnsi="Arial"/>
          <w:sz w:val="17"/>
          <w:szCs w:val="17"/>
          <w:color w:val="auto"/>
        </w:rPr>
        <w:t>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The Partnership has all requisite power and authority to issue, sell and deliver the Units, in accordance with and upon the terms and conditions set forth in this Agreement, the Partnership Agreement, the Registration Statement and the Prospectus.</w:t>
      </w:r>
    </w:p>
    <w:p>
      <w:pPr>
        <w:spacing w:after="0" w:line="69" w:lineRule="exact"/>
        <w:rPr>
          <w:rFonts w:ascii="Arial" w:cs="Arial" w:eastAsia="Arial" w:hAnsi="Arial"/>
          <w:sz w:val="17"/>
          <w:szCs w:val="17"/>
          <w:color w:val="auto"/>
        </w:rPr>
      </w:pPr>
    </w:p>
    <w:p>
      <w:pPr>
        <w:ind w:left="760" w:hanging="296"/>
        <w:spacing w:after="0"/>
        <w:tabs>
          <w:tab w:leader="none" w:pos="7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This Agreement and any applicable Terms Agreement has been duly authorized and validly executed and delivered by the Partnership.</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 - 2</w:t>
      </w:r>
    </w:p>
    <w:p>
      <w:pPr>
        <w:sectPr>
          <w:pgSz w:w="11900" w:h="16838" w:orient="portrait"/>
          <w:cols w:equalWidth="0" w:num="1">
            <w:col w:w="11420"/>
          </w:cols>
          <w:pgMar w:left="240" w:top="274" w:right="239" w:bottom="1440" w:gutter="0" w:footer="0" w:header="0"/>
        </w:sectPr>
      </w:pPr>
    </w:p>
    <w:bookmarkStart w:id="51" w:name="page52"/>
    <w:bookmarkEnd w:id="51"/>
    <w:p>
      <w:pPr>
        <w:ind w:left="-8" w:right="160" w:firstLine="464"/>
        <w:spacing w:after="0" w:line="255" w:lineRule="auto"/>
        <w:tabs>
          <w:tab w:leader="none" w:pos="703"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or before each applicable Representation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81" w:lineRule="exact"/>
        <w:rPr>
          <w:rFonts w:ascii="Arial" w:cs="Arial" w:eastAsia="Arial" w:hAnsi="Arial"/>
          <w:sz w:val="18"/>
          <w:szCs w:val="18"/>
          <w:color w:val="auto"/>
        </w:rPr>
      </w:pPr>
    </w:p>
    <w:p>
      <w:pPr>
        <w:ind w:left="-8" w:right="80" w:firstLine="464"/>
        <w:spacing w:after="0" w:line="283" w:lineRule="auto"/>
        <w:tabs>
          <w:tab w:leader="none" w:pos="753"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None of the offering, issuance and sale by the Partnership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any Incorporated Document, the Second Amended and Restated Credit Agreement dated September 26, 2013 (as amended, the “</w:t>
      </w:r>
      <w:r>
        <w:rPr>
          <w:rFonts w:ascii="Arial" w:cs="Arial" w:eastAsia="Arial" w:hAnsi="Arial"/>
          <w:sz w:val="16"/>
          <w:szCs w:val="16"/>
          <w:u w:val="single" w:color="auto"/>
          <w:color w:val="auto"/>
        </w:rPr>
        <w:t>Plains AAP Facility</w:t>
      </w:r>
      <w:r>
        <w:rPr>
          <w:rFonts w:ascii="Arial" w:cs="Arial" w:eastAsia="Arial" w:hAnsi="Arial"/>
          <w:sz w:val="16"/>
          <w:szCs w:val="16"/>
          <w:color w:val="auto"/>
        </w:rPr>
        <w:t>”), by and among Plains AAP, the lenders party thereto and Citibank, N.A., as Administrative Agent, (C) results or will result in any violation of the Delaware LP Act, the Delaware LLC Act,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w:t>
      </w:r>
    </w:p>
    <w:p>
      <w:pPr>
        <w:spacing w:after="0" w:line="6" w:lineRule="exact"/>
        <w:rPr>
          <w:rFonts w:ascii="Arial" w:cs="Arial" w:eastAsia="Arial" w:hAnsi="Arial"/>
          <w:sz w:val="16"/>
          <w:szCs w:val="16"/>
          <w:color w:val="auto"/>
        </w:rPr>
      </w:pPr>
    </w:p>
    <w:p>
      <w:pPr>
        <w:ind w:left="-8" w:right="260" w:firstLine="8"/>
        <w:spacing w:after="0" w:line="255" w:lineRule="auto"/>
        <w:tabs>
          <w:tab w:leader="none" w:pos="28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would reasonably be expected to have a Material Adverse Effect or materially impair the ability of the Partnership to consummate the transactions contemplated by this Agreement, it being understood that such counsel need not express an opinion in clause (C) of this paragraph (xi) with respect to any securities or other anti-fraud law.</w:t>
      </w:r>
    </w:p>
    <w:p>
      <w:pPr>
        <w:spacing w:after="0" w:line="82" w:lineRule="exact"/>
        <w:rPr>
          <w:rFonts w:ascii="Arial" w:cs="Arial" w:eastAsia="Arial" w:hAnsi="Arial"/>
          <w:sz w:val="18"/>
          <w:szCs w:val="18"/>
          <w:color w:val="auto"/>
        </w:rPr>
      </w:pPr>
    </w:p>
    <w:p>
      <w:pPr>
        <w:ind w:left="-8" w:firstLine="464"/>
        <w:spacing w:after="0" w:line="254" w:lineRule="auto"/>
        <w:tabs>
          <w:tab w:leader="none" w:pos="803"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offer and sale of the Units in the manner contemplated herein and in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w:t>
      </w:r>
    </w:p>
    <w:p>
      <w:pPr>
        <w:spacing w:after="0" w:line="84" w:lineRule="exact"/>
        <w:rPr>
          <w:rFonts w:ascii="Arial" w:cs="Arial" w:eastAsia="Arial" w:hAnsi="Arial"/>
          <w:sz w:val="18"/>
          <w:szCs w:val="18"/>
          <w:color w:val="auto"/>
        </w:rPr>
      </w:pPr>
    </w:p>
    <w:p>
      <w:pPr>
        <w:ind w:left="-8" w:right="160" w:firstLine="464"/>
        <w:spacing w:after="0" w:line="259" w:lineRule="auto"/>
        <w:tabs>
          <w:tab w:leader="none" w:pos="85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statements in the Registration Statement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the Common Units and the Incentive Distribution Rights conform in all material respects to the descriptions thereof contained in the Registration Statement and the Prospectus.</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Annex II - 3</w:t>
      </w:r>
    </w:p>
    <w:p>
      <w:pPr>
        <w:sectPr>
          <w:pgSz w:w="11900" w:h="16838" w:orient="portrait"/>
          <w:cols w:equalWidth="0" w:num="1">
            <w:col w:w="11372"/>
          </w:cols>
          <w:pgMar w:left="248" w:top="274" w:right="279" w:bottom="1440" w:gutter="0" w:footer="0" w:header="0"/>
        </w:sectPr>
      </w:pPr>
    </w:p>
    <w:bookmarkStart w:id="52" w:name="page53"/>
    <w:bookmarkEnd w:id="52"/>
    <w:p>
      <w:pPr>
        <w:ind w:right="320" w:firstLine="464"/>
        <w:spacing w:after="0" w:line="277" w:lineRule="auto"/>
        <w:tabs>
          <w:tab w:leader="none" w:pos="851"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opinion of Vinson &amp; Elkins L.L.P. that is filed as Exhibit 8.1 to the Registration Statement is confirmed, and the Managers may rely upon such opinion as if it were addressed to the Managers.</w:t>
      </w:r>
    </w:p>
    <w:p>
      <w:pPr>
        <w:spacing w:after="0" w:line="62" w:lineRule="exact"/>
        <w:rPr>
          <w:rFonts w:ascii="Arial" w:cs="Arial" w:eastAsia="Arial" w:hAnsi="Arial"/>
          <w:sz w:val="18"/>
          <w:szCs w:val="18"/>
          <w:color w:val="auto"/>
        </w:rPr>
      </w:pPr>
    </w:p>
    <w:p>
      <w:pPr>
        <w:ind w:right="320" w:firstLine="464"/>
        <w:spacing w:after="0" w:line="342" w:lineRule="auto"/>
        <w:tabs>
          <w:tab w:leader="none" w:pos="801"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None of the Plains Entities is now and, after giving effect to the offering and sale of the Units and the application of the net proceeds thereof as described in the Prospectus, none of the Plains Entities will be, an “investment company” as such term is defined in the Investment Company Act.</w:t>
      </w:r>
    </w:p>
    <w:p>
      <w:pPr>
        <w:spacing w:after="0" w:line="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such counsel shall state that they have participated in conferences with officers and other representatives of the Partnership and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(except to the extent specified in opinion (xiii) above), on the basis of the foregoing, no facts have come to the attention of such counsel that lead them to believe that:</w:t>
      </w:r>
    </w:p>
    <w:p>
      <w:pPr>
        <w:spacing w:after="0" w:line="85" w:lineRule="exact"/>
        <w:rPr>
          <w:sz w:val="20"/>
          <w:szCs w:val="20"/>
          <w:color w:val="auto"/>
        </w:rPr>
      </w:pPr>
    </w:p>
    <w:p>
      <w:pPr>
        <w:ind w:firstLine="921"/>
        <w:spacing w:after="0" w:line="277" w:lineRule="auto"/>
        <w:tabs>
          <w:tab w:leader="none" w:pos="12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 or</w:t>
      </w:r>
    </w:p>
    <w:p>
      <w:pPr>
        <w:spacing w:after="0" w:line="62" w:lineRule="exact"/>
        <w:rPr>
          <w:rFonts w:ascii="Arial" w:cs="Arial" w:eastAsia="Arial" w:hAnsi="Arial"/>
          <w:sz w:val="18"/>
          <w:szCs w:val="18"/>
          <w:color w:val="auto"/>
        </w:rPr>
      </w:pPr>
    </w:p>
    <w:p>
      <w:pPr>
        <w:ind w:right="120" w:firstLine="921"/>
        <w:spacing w:after="0" w:line="342" w:lineRule="auto"/>
        <w:tabs>
          <w:tab w:leader="none" w:pos="1198"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information included or incorporated by reference in the Registration Statement and the Prospectus.</w:t>
      </w:r>
    </w:p>
    <w:p>
      <w:pPr>
        <w:spacing w:after="0" w:line="16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rendering such opinion, such counsel may (A) rely in respect of matters of fact upon certificates of officers and employees of GP LLC and the Partnership,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- 4</w:t>
      </w:r>
    </w:p>
    <w:p>
      <w:pPr>
        <w:sectPr>
          <w:pgSz w:w="11900" w:h="16838" w:orient="portrait"/>
          <w:cols w:equalWidth="0" w:num="1">
            <w:col w:w="11420"/>
          </w:cols>
          <w:pgMar w:left="240" w:top="27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GP LLC</w:t>
      </w:r>
    </w:p>
    <w:p>
      <w:pPr>
        <w:spacing w:after="0" w:line="211" w:lineRule="exact"/>
        <w:rPr>
          <w:sz w:val="20"/>
          <w:szCs w:val="20"/>
          <w:color w:val="auto"/>
        </w:rPr>
      </w:pPr>
    </w:p>
    <w:p>
      <w:pPr>
        <w:ind w:right="40" w:firstLine="464"/>
        <w:spacing w:after="0" w:line="270" w:lineRule="auto"/>
        <w:tabs>
          <w:tab w:leader="none" w:pos="671"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Units, the execution, delivery and performance by the Partnership of this Agreement,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or the Plains AAP Facility)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w:t>
      </w:r>
    </w:p>
    <w:p>
      <w:pPr>
        <w:spacing w:after="0" w:line="69" w:lineRule="exact"/>
        <w:rPr>
          <w:rFonts w:ascii="Arial" w:cs="Arial" w:eastAsia="Arial" w:hAnsi="Arial"/>
          <w:sz w:val="17"/>
          <w:szCs w:val="17"/>
          <w:color w:val="auto"/>
        </w:rPr>
      </w:pPr>
    </w:p>
    <w:p>
      <w:pPr>
        <w:jc w:val="both"/>
        <w:ind w:right="560" w:firstLine="464"/>
        <w:spacing w:after="0" w:line="342" w:lineRule="auto"/>
        <w:tabs>
          <w:tab w:leader="none" w:pos="721"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the knowledge of such counsel, there is no legal or governmental proceeding pending or threatened to which the Partnership or any of the Subsidiaries is a party or to which any of their respective properties is subject that is required to be disclosed in the Prospectus and is not so disclosed.</w:t>
      </w:r>
    </w:p>
    <w:p>
      <w:pPr>
        <w:spacing w:after="0" w:line="15" w:lineRule="exact"/>
        <w:rPr>
          <w:rFonts w:ascii="Arial" w:cs="Arial" w:eastAsia="Arial" w:hAnsi="Arial"/>
          <w:sz w:val="16"/>
          <w:szCs w:val="16"/>
          <w:color w:val="auto"/>
        </w:rPr>
      </w:pPr>
    </w:p>
    <w:p>
      <w:pPr>
        <w:ind w:right="120" w:firstLine="464"/>
        <w:spacing w:after="0" w:line="342" w:lineRule="auto"/>
        <w:tabs>
          <w:tab w:leader="none" w:pos="771"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the knowledge of such counsel, except as described in the Prospectus or as have been issued pursuant to compensation plans adopted or administered by the General Partner, there are no outstanding options or warrants to purchase any Common Units or other equity interests in the Partnership.</w:t>
      </w:r>
    </w:p>
    <w:p>
      <w:pPr>
        <w:spacing w:after="0" w:line="15" w:lineRule="exact"/>
        <w:rPr>
          <w:rFonts w:ascii="Arial" w:cs="Arial" w:eastAsia="Arial" w:hAnsi="Arial"/>
          <w:sz w:val="16"/>
          <w:szCs w:val="16"/>
          <w:color w:val="auto"/>
        </w:rPr>
      </w:pPr>
    </w:p>
    <w:p>
      <w:pPr>
        <w:ind w:firstLine="464"/>
        <w:spacing w:after="0" w:line="264" w:lineRule="auto"/>
        <w:tabs>
          <w:tab w:leader="none" w:pos="7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the Partnership or any of the Subsidiaries is a party or are bound that are required to be described in the Registration Statement or the Prospectus or to be filed as exhibits to the Registration Statement or to the Incorporated Documents that are not described or filed as required.</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such counsel shall state that he has participated in conferences with officers and other representatives of GP LLC and the Partnership,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on the basis of the foregoing, no facts have come to the attention of such counsel that lead him to believe that: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III - 1</w:t>
      </w:r>
    </w:p>
    <w:p>
      <w:pPr>
        <w:sectPr>
          <w:pgSz w:w="11900" w:h="16838" w:orient="portrait"/>
          <w:cols w:equalWidth="0" w:num="1">
            <w:col w:w="11420"/>
          </w:cols>
          <w:pgMar w:left="240" w:top="270" w:right="239" w:bottom="1440" w:gutter="0" w:footer="0" w:header="0"/>
        </w:sectPr>
      </w:pPr>
    </w:p>
    <w:bookmarkStart w:id="54" w:name="page55"/>
    <w:bookmarkEnd w:id="54"/>
    <w:p>
      <w:pPr>
        <w:ind w:firstLine="921"/>
        <w:spacing w:after="0" w:line="277" w:lineRule="auto"/>
        <w:tabs>
          <w:tab w:leader="none" w:pos="1208"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as of the most recent Effective Date, contained an untrue statement of a material fact or omitted to state a material fact required to be stated therein or necessary to make the statements therein not misleading; or</w:t>
      </w:r>
    </w:p>
    <w:p>
      <w:pPr>
        <w:spacing w:after="0" w:line="62" w:lineRule="exact"/>
        <w:rPr>
          <w:rFonts w:ascii="Arial" w:cs="Arial" w:eastAsia="Arial" w:hAnsi="Arial"/>
          <w:sz w:val="18"/>
          <w:szCs w:val="18"/>
          <w:color w:val="auto"/>
        </w:rPr>
      </w:pPr>
    </w:p>
    <w:p>
      <w:pPr>
        <w:ind w:right="120" w:firstLine="921"/>
        <w:spacing w:after="0" w:line="342" w:lineRule="auto"/>
        <w:tabs>
          <w:tab w:leader="none" w:pos="11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or statistical information included or incorporated by reference in the Registration Statement and the Prospectus.</w:t>
      </w:r>
    </w:p>
    <w:p>
      <w:pPr>
        <w:spacing w:after="0" w:line="16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GP LLC and the Partnership, to the extent he deems appropriate, and upon information obtained from public officials or public records,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the DGCL and the laws of the State of Texas and (D) state that he expresses no opinion with respect to either federal or state securities laws in clause (B) of paragraph (i) above or state or local taxes or tax statutes.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- 2</w:t>
      </w:r>
    </w:p>
    <w:p>
      <w:pPr>
        <w:sectPr>
          <w:pgSz w:w="11900" w:h="16838" w:orient="portrait"/>
          <w:cols w:equalWidth="0" w:num="1">
            <w:col w:w="11420"/>
          </w:cols>
          <w:pgMar w:left="240" w:top="27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Canadian Counsel</w:t>
      </w:r>
    </w:p>
    <w:p>
      <w:pPr>
        <w:spacing w:after="0" w:line="103" w:lineRule="exact"/>
        <w:rPr>
          <w:sz w:val="20"/>
          <w:szCs w:val="20"/>
          <w:color w:val="auto"/>
        </w:rPr>
      </w:pPr>
    </w:p>
    <w:p>
      <w:pPr>
        <w:ind w:left="-20" w:right="60" w:firstLine="464"/>
        <w:spacing w:after="0" w:line="276" w:lineRule="auto"/>
        <w:tabs>
          <w:tab w:leader="none" w:pos="651" w:val="left"/>
        </w:tabs>
        <w:numPr>
          <w:ilvl w:val="0"/>
          <w:numId w:val="72"/>
        </w:numPr>
        <w:rPr>
          <w:rFonts w:ascii="Arial" w:cs="Arial" w:eastAsia="Arial" w:hAnsi="Arial"/>
          <w:sz w:val="17"/>
          <w:szCs w:val="17"/>
          <w:color w:val="auto"/>
        </w:rPr>
      </w:pPr>
      <w:r>
        <w:rPr>
          <w:rFonts w:ascii="Arial" w:cs="Arial" w:eastAsia="Arial" w:hAnsi="Arial"/>
          <w:sz w:val="17"/>
          <w:szCs w:val="17"/>
          <w:color w:val="auto"/>
        </w:rPr>
        <w:t>Plains Midstream Canada ULC, a British Columbia unlimited liability company (“</w:t>
      </w:r>
      <w:r>
        <w:rPr>
          <w:rFonts w:ascii="Arial" w:cs="Arial" w:eastAsia="Arial" w:hAnsi="Arial"/>
          <w:sz w:val="17"/>
          <w:szCs w:val="17"/>
          <w:u w:val="single" w:color="auto"/>
          <w:color w:val="auto"/>
        </w:rPr>
        <w:t>Plains Midstream Canada</w:t>
      </w:r>
      <w:r>
        <w:rPr>
          <w:rFonts w:ascii="Arial" w:cs="Arial" w:eastAsia="Arial" w:hAnsi="Arial"/>
          <w:sz w:val="17"/>
          <w:szCs w:val="17"/>
          <w:color w:val="auto"/>
        </w:rPr>
        <w:t>”) has been duly amalgamated and is validly existing as an unlimited liability company under the laws of British Columbia, with all necessary corporate power and authority to own or lease its properties, in all material respects as described in the Prospectus, and to conduct its business as currently conducted and as proposed in the Prospectus to be conducted. Plains Midstream Canada is duly registered extraprovincially for the transaction of business under the laws of the provinces of Alberta, Manitoba, New Brunswick, Nova Scotia, Ontario, Quebec and Saskatchewan.</w:t>
      </w:r>
    </w:p>
    <w:p>
      <w:pPr>
        <w:spacing w:after="0" w:line="64" w:lineRule="exact"/>
        <w:rPr>
          <w:rFonts w:ascii="Arial" w:cs="Arial" w:eastAsia="Arial" w:hAnsi="Arial"/>
          <w:sz w:val="17"/>
          <w:szCs w:val="17"/>
          <w:color w:val="auto"/>
        </w:rPr>
      </w:pPr>
    </w:p>
    <w:p>
      <w:pPr>
        <w:ind w:left="-20" w:right="140" w:firstLine="464"/>
        <w:spacing w:after="0" w:line="286" w:lineRule="auto"/>
        <w:tabs>
          <w:tab w:leader="none" w:pos="701" w:val="left"/>
        </w:tabs>
        <w:numPr>
          <w:ilvl w:val="0"/>
          <w:numId w:val="72"/>
        </w:numPr>
        <w:rPr>
          <w:rFonts w:ascii="Arial" w:cs="Arial" w:eastAsia="Arial" w:hAnsi="Arial"/>
          <w:sz w:val="17"/>
          <w:szCs w:val="17"/>
          <w:color w:val="auto"/>
        </w:rPr>
      </w:pPr>
      <w:r>
        <w:rPr>
          <w:rFonts w:ascii="Arial" w:cs="Arial" w:eastAsia="Arial" w:hAnsi="Arial"/>
          <w:sz w:val="17"/>
          <w:szCs w:val="17"/>
          <w:color w:val="auto"/>
        </w:rPr>
        <w:t>Plains Midstream Canada is the registered holder of 100% of the issued and outstanding capital stock of Aurora Pipeline Company Ltd., a corporation incorporated under the laws of Canada (“</w:t>
      </w:r>
      <w:r>
        <w:rPr>
          <w:rFonts w:ascii="Arial" w:cs="Arial" w:eastAsia="Arial" w:hAnsi="Arial"/>
          <w:sz w:val="17"/>
          <w:szCs w:val="17"/>
          <w:u w:val="single" w:color="auto"/>
          <w:color w:val="auto"/>
        </w:rPr>
        <w:t>Aurora</w:t>
      </w:r>
      <w:r>
        <w:rPr>
          <w:rFonts w:ascii="Arial" w:cs="Arial" w:eastAsia="Arial" w:hAnsi="Arial"/>
          <w:sz w:val="17"/>
          <w:szCs w:val="17"/>
          <w:color w:val="auto"/>
        </w:rPr>
        <w:t>”); such share capital has been duly authorized and validly issued in accordance with the Aurora Articles of Continuance, as fully paid and nonassessable shares (except as such nonassessability may be affected by the laws of Canada).</w:t>
      </w:r>
    </w:p>
    <w:p>
      <w:pPr>
        <w:spacing w:after="0" w:line="57" w:lineRule="exact"/>
        <w:rPr>
          <w:rFonts w:ascii="Arial" w:cs="Arial" w:eastAsia="Arial" w:hAnsi="Arial"/>
          <w:sz w:val="17"/>
          <w:szCs w:val="17"/>
          <w:color w:val="auto"/>
        </w:rPr>
      </w:pPr>
    </w:p>
    <w:p>
      <w:pPr>
        <w:ind w:left="-20" w:right="420" w:firstLine="464"/>
        <w:spacing w:after="0" w:line="302" w:lineRule="auto"/>
        <w:tabs>
          <w:tab w:leader="none" w:pos="751" w:val="left"/>
        </w:tabs>
        <w:numPr>
          <w:ilvl w:val="0"/>
          <w:numId w:val="72"/>
        </w:numPr>
        <w:rPr>
          <w:rFonts w:ascii="Arial" w:cs="Arial" w:eastAsia="Arial" w:hAnsi="Arial"/>
          <w:sz w:val="16"/>
          <w:szCs w:val="16"/>
          <w:color w:val="auto"/>
        </w:rPr>
      </w:pPr>
      <w:r>
        <w:rPr>
          <w:rFonts w:ascii="Arial" w:cs="Arial" w:eastAsia="Arial" w:hAnsi="Arial"/>
          <w:sz w:val="16"/>
          <w:szCs w:val="16"/>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46" w:lineRule="exact"/>
        <w:rPr>
          <w:rFonts w:ascii="Arial" w:cs="Arial" w:eastAsia="Arial" w:hAnsi="Arial"/>
          <w:sz w:val="16"/>
          <w:szCs w:val="16"/>
          <w:color w:val="auto"/>
        </w:rPr>
      </w:pPr>
    </w:p>
    <w:p>
      <w:pPr>
        <w:ind w:left="-20" w:right="40" w:firstLine="464"/>
        <w:spacing w:after="0" w:line="264" w:lineRule="auto"/>
        <w:tabs>
          <w:tab w:leader="none" w:pos="7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Partnership of the Units.</w:t>
      </w:r>
    </w:p>
    <w:p>
      <w:pPr>
        <w:spacing w:after="0" w:line="73" w:lineRule="exact"/>
        <w:rPr>
          <w:rFonts w:ascii="Arial" w:cs="Arial" w:eastAsia="Arial" w:hAnsi="Arial"/>
          <w:sz w:val="18"/>
          <w:szCs w:val="18"/>
          <w:color w:val="auto"/>
        </w:rPr>
      </w:pPr>
    </w:p>
    <w:p>
      <w:pPr>
        <w:ind w:left="-20" w:right="20" w:firstLine="464"/>
        <w:spacing w:after="0" w:line="255" w:lineRule="auto"/>
        <w:tabs>
          <w:tab w:leader="none" w:pos="6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None of the offering, issuance and sale by the Partnership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85" w:lineRule="exact"/>
        <w:rPr>
          <w:rFonts w:ascii="Arial" w:cs="Arial" w:eastAsia="Arial" w:hAnsi="Arial"/>
          <w:sz w:val="18"/>
          <w:szCs w:val="18"/>
          <w:color w:val="auto"/>
        </w:rPr>
      </w:pPr>
    </w:p>
    <w:p>
      <w:pPr>
        <w:jc w:val="both"/>
        <w:ind w:left="-20" w:firstLine="464"/>
        <w:spacing w:after="0" w:line="279" w:lineRule="auto"/>
        <w:tabs>
          <w:tab w:leader="none" w:pos="74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Prospectus to be conducted, subject to such qualifications as may be set forth in the Prospectus, and except for such Permits which, if not obtained would not reasonably be expected to, individually or in the aggregate, materially adversely affect the operations conducted by Plains Midstream Canada.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IV - 1</w:t>
      </w:r>
    </w:p>
    <w:p>
      <w:pPr>
        <w:sectPr>
          <w:pgSz w:w="11900" w:h="16838" w:orient="portrait"/>
          <w:cols w:equalWidth="0" w:num="1">
            <w:col w:w="11400"/>
          </w:cols>
          <w:pgMar w:left="260" w:top="27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6621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621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August 22,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acted as counsel for Plains All American Pipeline, L.P., a Delaware limited partnership (the “Partnership”), with respect to certain legal matters in connection with the registration by the Partnership with the Securities and Exchange Commission (the “Commission”) under the Securities Act of 1933, as amended (the “Securities Act”), of the offer and sale by the Partnership of common units representing limited partner interests in the Partnership having an aggregate offering price of up to $900,000,000 (the “Units”). We have participated in the preparation of a Prospectus Supplement dated August 22, 2014 (the “Prospectus Supplement”) and the Prospectus dated October 23, 2012 (the “Prospectus”) forming part of the Registration Statement on Form S-3 (No. 333-184135) (the “Registration Statement”) to which this opinion is an exhibit. The Prospectus Supplement has been filed pursuant to Rule 424(b) promulgated under the Securities Act.</w:t>
      </w:r>
    </w:p>
    <w:p>
      <w:pPr>
        <w:spacing w:after="0" w:line="18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rendering the opinions set forth below, we have examined and relied upon (i) the Delaware Revised Uniform Partnership Act (the “Delaware LP Act”), (ii) the Registration Statement, the Prospectus Supplement and the Prospectus; (iii) the Fourth Amended and Restated Agreement of Limited Partnership of the Partnership, dated as of May 17, 2012, as amended (iv) the Certificate of Limited Partnership of the Partnership, (v) an Equity Distribution Agreement, dated August 22, 2014 relating to the offering and sale of the Units (the “Equity Distribution Agreement”), a copy of which is being filed with the Commission as an exhibit to the Partnership’s Current Report on Form 8-K on or about the date hereof, (vi) certain resolutions adopted by the board of directors of Plains All American GP LLC, the general partner of Plains AAP, L.P., which is the sole member of PAA GP LLC, the general partner of the Partnership, approving and authorizing, among other things, the Registration Statement and other matters relating to the offering of the Units, and (vii) such other certificates, statutes and other instruments and documents as we consider appropriate for purposes of the opinions hereafter expressed.</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Based upon and subject to the foregoing and the assumptions, limitations and qualifications set forth herein, we are of the opinion that the Units are duly and validly authorized for issuance and, upon payment and delivery of the Units in accordance with the Equity Distribution Agreement, the Prospectus Supplement and the Prospectus, will be validly issued, fully paid and non-assessable.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131" w:lineRule="exact"/>
        <w:rPr>
          <w:sz w:val="20"/>
          <w:szCs w:val="20"/>
          <w:color w:val="auto"/>
        </w:rPr>
      </w:pPr>
    </w:p>
    <w:p>
      <w:pPr>
        <w:ind w:left="900" w:right="1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Units will conform to the specimens thereof examined by us and will have been duly countersigned by a transfer agent and duly registered by a registrar of the Units.</w:t>
      </w:r>
    </w:p>
    <w:p>
      <w:pPr>
        <w:spacing w:after="0" w:line="75"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92"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5796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August 22,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We have acted as counsel for Plains All American Pipeline, L.P.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a Delaware limited partnership, with respect to certain legal matters in connection with the offer and sale of common units representing limited partner interests in the Partnership. We have also participated in the preparation of a Prospectus Supplement dated on or about the date hereof (the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and the Prospectus dated October 23, 2012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forming part of the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w:t>
      </w:r>
    </w:p>
    <w:p>
      <w:pPr>
        <w:spacing w:after="0" w:line="17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hereby confirm that all statements of legal conclusions contained in the discussion in the Prospectus under the caption “Material U.S. Federal Income Tax Consequences,” as updated by the discussion in the Prospectus Supplement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Vinson &amp; Elkins LLP Attorneys at Law</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Abu Dhabi Austin Beijing Dallas Dubai Hong Kong Houston London Moscow</w:t>
      </w:r>
    </w:p>
    <w:p>
      <w:pPr>
        <w:spacing w:after="0"/>
        <w:rPr>
          <w:sz w:val="20"/>
          <w:szCs w:val="20"/>
          <w:color w:val="auto"/>
        </w:rPr>
      </w:pPr>
      <w:r>
        <w:rPr>
          <w:rFonts w:ascii="Arial" w:cs="Arial" w:eastAsia="Arial" w:hAnsi="Arial"/>
          <w:sz w:val="14"/>
          <w:szCs w:val="14"/>
          <w:color w:val="auto"/>
        </w:rPr>
        <w:t>New York Palo Alto Riyadh San Francisco Shanghai Tokyo Washington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1001 Fannin Street, Suite 2500</w:t>
      </w:r>
    </w:p>
    <w:p>
      <w:pPr>
        <w:spacing w:after="0" w:line="221" w:lineRule="auto"/>
        <w:rPr>
          <w:sz w:val="20"/>
          <w:szCs w:val="20"/>
          <w:color w:val="auto"/>
        </w:rPr>
      </w:pPr>
      <w:r>
        <w:rPr>
          <w:rFonts w:ascii="Arial" w:cs="Arial" w:eastAsia="Arial" w:hAnsi="Arial"/>
          <w:sz w:val="14"/>
          <w:szCs w:val="14"/>
          <w:color w:val="auto"/>
        </w:rPr>
        <w:t>Houston, TX 77002-6760</w:t>
      </w: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+1.713.758.2222</w:t>
      </w:r>
      <w:r>
        <w:rPr>
          <w:rFonts w:ascii="Arial" w:cs="Arial" w:eastAsia="Arial" w:hAnsi="Arial"/>
          <w:sz w:val="12"/>
          <w:szCs w:val="12"/>
          <w:b w:val="1"/>
          <w:bCs w:val="1"/>
          <w:color w:val="auto"/>
        </w:rPr>
        <w:t xml:space="preserve"> Fax </w:t>
      </w:r>
      <w:r>
        <w:rPr>
          <w:rFonts w:ascii="Arial" w:cs="Arial" w:eastAsia="Arial" w:hAnsi="Arial"/>
          <w:sz w:val="12"/>
          <w:szCs w:val="12"/>
          <w:color w:val="auto"/>
        </w:rPr>
        <w:t>+1.713.758.2346</w:t>
      </w:r>
      <w:r>
        <w:rPr>
          <w:rFonts w:ascii="Arial" w:cs="Arial" w:eastAsia="Arial" w:hAnsi="Arial"/>
          <w:sz w:val="12"/>
          <w:szCs w:val="12"/>
          <w:b w:val="1"/>
          <w:bCs w:val="1"/>
          <w:color w:val="auto"/>
        </w:rPr>
        <w:t xml:space="preserve"> www.velaw.com</w:t>
      </w:r>
    </w:p>
    <w:p>
      <w:pPr>
        <w:sectPr>
          <w:pgSz w:w="11900" w:h="16838" w:orient="portrait"/>
          <w:cols w:equalWidth="0" w:num="2">
            <w:col w:w="5340" w:space="720"/>
            <w:col w:w="5360"/>
          </w:cols>
          <w:pgMar w:left="240" w:top="121" w:right="239" w:bottom="1440" w:gutter="0" w:footer="0" w:header="0"/>
          <w:type w:val="continuous"/>
        </w:sectPr>
      </w:pPr>
    </w:p>
    <w:bookmarkStart w:id="58" w:name="page59"/>
    <w:bookmarkEnd w:id="58"/>
    <w:p>
      <w:pPr>
        <w:ind w:right="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3751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437515" cy="171450"/>
                    </a:xfrm>
                    <a:prstGeom prst="rect">
                      <a:avLst/>
                    </a:prstGeom>
                    <a:noFill/>
                  </pic:spPr>
                </pic:pic>
              </a:graphicData>
            </a:graphic>
          </wp:anchor>
        </w:drawing>
        <w:t>No opinion is expressed as to any matter not discussed in the Prospectus under the caption “Material U.S. Federal Income Tax Consequences” or in the Prospectus Supplement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opinion is rendered to you as of the effective date of the Registration Statement, and we undertake no obligation to update this opinion subsequent to the date hereof. This opinion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pursuant to the Registration Statement.</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and the Prospectus Supplement. In giving such consent, we do not admit that we are within the category of persons whose consent is required under Section 7 of the Securities Act of 1933, as amended</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Vinson &amp; Elkins L.L.P.</w:t>
      </w:r>
    </w:p>
    <w:sectPr>
      <w:pgSz w:w="11900" w:h="16838" w:orient="portrait"/>
      <w:cols w:equalWidth="0" w:num="1">
        <w:col w:w="11400"/>
      </w:cols>
      <w:pgMar w:left="240" w:top="7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lowerLetter"/>
      <w:start w:val="4"/>
    </w:lvl>
  </w:abstractNum>
  <w:abstractNum w:abstractNumId="2">
    <w:nsid w:val="5C482A97"/>
    <w:multiLevelType w:val="hybridMultilevel"/>
    <w:lvl w:ilvl="0">
      <w:lvlJc w:val="left"/>
      <w:lvlText w:val="%1."/>
      <w:numFmt w:val="decimal"/>
      <w:start w:val="1"/>
    </w:lvl>
    <w:lvl w:ilvl="1">
      <w:lvlJc w:val="left"/>
      <w:lvlText w:val="(%2)"/>
      <w:numFmt w:val="lowerLetter"/>
      <w:start w:val="1"/>
    </w:lvl>
  </w:abstractNum>
  <w:abstractNum w:abstractNumId="3">
    <w:nsid w:val="2463B9EA"/>
    <w:multiLevelType w:val="hybridMultilevel"/>
    <w:lvl w:ilvl="0">
      <w:lvlJc w:val="left"/>
      <w:lvlText w:val="(%1)"/>
      <w:numFmt w:val="lowerLetter"/>
      <w:start w:val="2"/>
    </w:lvl>
  </w:abstractNum>
  <w:abstractNum w:abstractNumId="4">
    <w:nsid w:val="5E884ADC"/>
    <w:multiLevelType w:val="hybridMultilevel"/>
    <w:lvl w:ilvl="0">
      <w:lvlJc w:val="left"/>
      <w:lvlText w:val="(%1)"/>
      <w:numFmt w:val="lowerLetter"/>
      <w:start w:val="3"/>
    </w:lvl>
  </w:abstractNum>
  <w:abstractNum w:abstractNumId="5">
    <w:nsid w:val="51EAD36B"/>
    <w:multiLevelType w:val="hybridMultilevel"/>
    <w:lvl w:ilvl="0">
      <w:lvlJc w:val="left"/>
      <w:lvlText w:val="%1"/>
      <w:numFmt w:val="decimal"/>
      <w:start w:val="1"/>
    </w:lvl>
    <w:lvl w:ilvl="1">
      <w:lvlJc w:val="left"/>
      <w:lvlText w:val="(%2)"/>
      <w:numFmt w:val="lowerLetter"/>
      <w:start w:val="7"/>
    </w:lvl>
  </w:abstractNum>
  <w:abstractNum w:abstractNumId="6">
    <w:nsid w:val="2D517796"/>
    <w:multiLevelType w:val="hybridMultilevel"/>
    <w:lvl w:ilvl="0">
      <w:lvlJc w:val="left"/>
      <w:lvlText w:val="(%1)"/>
      <w:numFmt w:val="decimal"/>
      <w:start w:val="4"/>
    </w:lvl>
    <w:lvl w:ilvl="1">
      <w:lvlJc w:val="left"/>
      <w:lvlText w:val="(%2)"/>
      <w:numFmt w:val="lowerLetter"/>
      <w:start w:val="9"/>
    </w:lvl>
  </w:abstractNum>
  <w:abstractNum w:abstractNumId="7">
    <w:nsid w:val="580BD78F"/>
    <w:multiLevelType w:val="hybridMultilevel"/>
    <w:lvl w:ilvl="0">
      <w:lvlJc w:val="left"/>
      <w:lvlText w:val="%1"/>
      <w:numFmt w:val="lowerLetter"/>
      <w:start w:val="1"/>
    </w:lvl>
    <w:lvl w:ilvl="1">
      <w:lvlJc w:val="left"/>
      <w:lvlText w:val="(%2)"/>
      <w:numFmt w:val="lowerLetter"/>
      <w:start w:val="13"/>
    </w:lvl>
  </w:abstractNum>
  <w:abstractNum w:abstractNumId="8">
    <w:nsid w:val="153EA438"/>
    <w:multiLevelType w:val="hybridMultilevel"/>
    <w:lvl w:ilvl="0">
      <w:lvlJc w:val="left"/>
      <w:lvlText w:val="(%1)"/>
      <w:numFmt w:val="lowerLetter"/>
      <w:start w:val="1"/>
    </w:lvl>
    <w:lvl w:ilvl="1">
      <w:lvlJc w:val="left"/>
      <w:lvlText w:val="(%2)"/>
      <w:numFmt w:val="lowerLetter"/>
      <w:start w:val="14"/>
    </w:lvl>
  </w:abstractNum>
  <w:abstractNum w:abstractNumId="9">
    <w:nsid w:val="3855585C"/>
    <w:multiLevelType w:val="hybridMultilevel"/>
    <w:lvl w:ilvl="0">
      <w:lvlJc w:val="left"/>
      <w:lvlText w:val="%1"/>
      <w:numFmt w:val="lowerLetter"/>
      <w:start w:val="1"/>
    </w:lvl>
    <w:lvl w:ilvl="1">
      <w:lvlJc w:val="left"/>
      <w:lvlText w:val="(%2)"/>
      <w:numFmt w:val="lowerLetter"/>
      <w:start w:val="15"/>
    </w:lvl>
  </w:abstractNum>
  <w:abstractNum w:abstractNumId="10">
    <w:nsid w:val="70A64E2A"/>
    <w:multiLevelType w:val="hybridMultilevel"/>
    <w:lvl w:ilvl="0">
      <w:lvlJc w:val="left"/>
      <w:lvlText w:val="(%1)"/>
      <w:numFmt w:val="lowerLetter"/>
      <w:start w:val="35"/>
    </w:lvl>
    <w:lvl w:ilvl="1">
      <w:lvlJc w:val="left"/>
      <w:lvlText w:val="(%2)"/>
      <w:numFmt w:val="lowerLetter"/>
      <w:start w:val="17"/>
    </w:lvl>
  </w:abstractNum>
  <w:abstractNum w:abstractNumId="11">
    <w:nsid w:val="6A2342EC"/>
    <w:multiLevelType w:val="hybridMultilevel"/>
    <w:lvl w:ilvl="0">
      <w:lvlJc w:val="left"/>
      <w:lvlText w:val="%1"/>
      <w:numFmt w:val="lowerLetter"/>
      <w:start w:val="1"/>
    </w:lvl>
    <w:lvl w:ilvl="1">
      <w:lvlJc w:val="left"/>
      <w:lvlText w:val="(%2)"/>
      <w:numFmt w:val="lowerLetter"/>
      <w:start w:val="20"/>
    </w:lvl>
  </w:abstractNum>
  <w:abstractNum w:abstractNumId="12">
    <w:nsid w:val="2A487CB0"/>
    <w:multiLevelType w:val="hybridMultilevel"/>
    <w:lvl w:ilvl="0">
      <w:lvlJc w:val="left"/>
      <w:lvlText w:val="(%1)"/>
      <w:numFmt w:val="lowerLetter"/>
      <w:start w:val="35"/>
    </w:lvl>
    <w:lvl w:ilvl="1">
      <w:lvlJc w:val="left"/>
      <w:lvlText w:val="(%2)"/>
      <w:numFmt w:val="lowerLetter"/>
      <w:start w:val="22"/>
    </w:lvl>
  </w:abstractNum>
  <w:abstractNum w:abstractNumId="13">
    <w:nsid w:val="1D4ED43B"/>
    <w:multiLevelType w:val="hybridMultilevel"/>
    <w:lvl w:ilvl="0">
      <w:lvlJc w:val="left"/>
      <w:lvlText w:val="(%1)"/>
      <w:numFmt w:val="lowerLetter"/>
      <w:start w:val="23"/>
    </w:lvl>
  </w:abstractNum>
  <w:abstractNum w:abstractNumId="14">
    <w:nsid w:val="725A06FB"/>
    <w:multiLevelType w:val="hybridMultilevel"/>
    <w:lvl w:ilvl="0">
      <w:lvlJc w:val="left"/>
      <w:lvlText w:val="%1"/>
      <w:numFmt w:val="lowerLetter"/>
      <w:start w:val="1"/>
    </w:lvl>
    <w:lvl w:ilvl="1">
      <w:lvlJc w:val="left"/>
      <w:lvlText w:val="(%2)"/>
      <w:numFmt w:val="lowerLetter"/>
      <w:start w:val="25"/>
    </w:lvl>
  </w:abstractNum>
  <w:abstractNum w:abstractNumId="15">
    <w:nsid w:val="2CD89A32"/>
    <w:multiLevelType w:val="hybridMultilevel"/>
    <w:lvl w:ilvl="0">
      <w:lvlJc w:val="left"/>
      <w:lvlText w:val="(%1)"/>
      <w:numFmt w:val="lowerLetter"/>
      <w:start w:val="61"/>
    </w:lvl>
    <w:lvl w:ilvl="1">
      <w:lvlJc w:val="left"/>
      <w:lvlText w:val="(%2)"/>
      <w:numFmt w:val="lowerLetter"/>
      <w:start w:val="27"/>
    </w:lvl>
  </w:abstractNum>
  <w:abstractNum w:abstractNumId="16">
    <w:nsid w:val="57E4CCAF"/>
    <w:multiLevelType w:val="hybridMultilevel"/>
    <w:lvl w:ilvl="0">
      <w:lvlJc w:val="left"/>
      <w:lvlText w:val="(%1)"/>
      <w:numFmt w:val="lowerLetter"/>
      <w:start w:val="29"/>
    </w:lvl>
  </w:abstractNum>
  <w:abstractNum w:abstractNumId="17">
    <w:nsid w:val="7A6D8D3C"/>
    <w:multiLevelType w:val="hybridMultilevel"/>
    <w:lvl w:ilvl="0">
      <w:lvlJc w:val="left"/>
      <w:lvlText w:val="(%1)"/>
      <w:numFmt w:val="lowerLetter"/>
      <w:start w:val="31"/>
    </w:lvl>
  </w:abstractNum>
  <w:abstractNum w:abstractNumId="18">
    <w:nsid w:val="4B588F54"/>
    <w:multiLevelType w:val="hybridMultilevel"/>
    <w:lvl w:ilvl="0">
      <w:lvlJc w:val="left"/>
      <w:lvlText w:val="(%1)"/>
      <w:numFmt w:val="lowerLetter"/>
      <w:start w:val="33"/>
    </w:lvl>
  </w:abstractNum>
  <w:abstractNum w:abstractNumId="19">
    <w:nsid w:val="542289EC"/>
    <w:multiLevelType w:val="hybridMultilevel"/>
    <w:lvl w:ilvl="0">
      <w:lvlJc w:val="left"/>
      <w:lvlText w:val="(%1)"/>
      <w:numFmt w:val="lowerLetter"/>
      <w:start w:val="40"/>
    </w:lvl>
  </w:abstractNum>
  <w:abstractNum w:abstractNumId="20">
    <w:nsid w:val="6DE91B18"/>
    <w:multiLevelType w:val="hybridMultilevel"/>
    <w:lvl w:ilvl="0">
      <w:lvlJc w:val="left"/>
      <w:lvlText w:val="(%1)"/>
      <w:numFmt w:val="lowerLetter"/>
      <w:start w:val="46"/>
    </w:lvl>
  </w:abstractNum>
  <w:abstractNum w:abstractNumId="21">
    <w:nsid w:val="38437FDB"/>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22">
    <w:nsid w:val="7644A45C"/>
    <w:multiLevelType w:val="hybridMultilevel"/>
    <w:lvl w:ilvl="0">
      <w:lvlJc w:val="left"/>
      <w:lvlText w:val="%1"/>
      <w:numFmt w:val="lowerLetter"/>
      <w:start w:val="1"/>
    </w:lvl>
    <w:lvl w:ilvl="1">
      <w:lvlJc w:val="left"/>
      <w:lvlText w:val="(%2)"/>
      <w:numFmt w:val="lowerLetter"/>
      <w:start w:val="61"/>
    </w:lvl>
  </w:abstractNum>
  <w:abstractNum w:abstractNumId="23">
    <w:nsid w:val="32FFF902"/>
    <w:multiLevelType w:val="hybridMultilevel"/>
    <w:lvl w:ilvl="0">
      <w:lvlJc w:val="left"/>
      <w:lvlText w:val="(%1)"/>
      <w:numFmt w:val="lowerLetter"/>
      <w:start w:val="15"/>
    </w:lvl>
    <w:lvl w:ilvl="1">
      <w:lvlJc w:val="left"/>
      <w:lvlText w:val="%2"/>
      <w:numFmt w:val="lowerLetter"/>
      <w:start w:val="1"/>
    </w:lvl>
  </w:abstractNum>
  <w:abstractNum w:abstractNumId="24">
    <w:nsid w:val="684A481A"/>
    <w:multiLevelType w:val="hybridMultilevel"/>
    <w:lvl w:ilvl="0">
      <w:lvlJc w:val="left"/>
      <w:lvlText w:val="%1"/>
      <w:numFmt w:val="lowerRoman"/>
      <w:start w:val="1"/>
    </w:lvl>
    <w:lvl w:ilvl="1">
      <w:lvlJc w:val="left"/>
      <w:lvlText w:val="(%2)"/>
      <w:numFmt w:val="lowerRoman"/>
      <w:start w:val="5"/>
    </w:lvl>
  </w:abstractNum>
  <w:abstractNum w:abstractNumId="25">
    <w:nsid w:val="579478FE"/>
    <w:multiLevelType w:val="hybridMultilevel"/>
    <w:lvl w:ilvl="0">
      <w:lvlJc w:val="left"/>
      <w:lvlText w:val="(%1)"/>
      <w:numFmt w:val="lowerRoman"/>
      <w:start w:val="6"/>
    </w:lvl>
    <w:lvl w:ilvl="1">
      <w:lvlJc w:val="left"/>
      <w:lvlText w:val="%2"/>
      <w:numFmt w:val="lowerRoman"/>
      <w:start w:val="1"/>
    </w:lvl>
  </w:abstractNum>
  <w:abstractNum w:abstractNumId="26">
    <w:nsid w:val="749ABB43"/>
    <w:multiLevelType w:val="hybridMultilevel"/>
    <w:lvl w:ilvl="0">
      <w:lvlJc w:val="left"/>
      <w:lvlText w:val="%1"/>
      <w:numFmt w:val="lowerLetter"/>
      <w:start w:val="1"/>
    </w:lvl>
    <w:lvl w:ilvl="1">
      <w:lvlJc w:val="left"/>
      <w:lvlText w:val="(%2)"/>
      <w:numFmt w:val="lowerRoman"/>
      <w:start w:val="6"/>
    </w:lvl>
  </w:abstractNum>
  <w:abstractNum w:abstractNumId="27">
    <w:nsid w:val="3DC240FB"/>
    <w:multiLevelType w:val="hybridMultilevel"/>
    <w:lvl w:ilvl="0">
      <w:lvlJc w:val="left"/>
      <w:lvlText w:val="(%1)"/>
      <w:numFmt w:val="lowerLetter"/>
      <w:start w:val="2"/>
    </w:lvl>
    <w:lvl w:ilvl="1">
      <w:lvlJc w:val="left"/>
      <w:lvlText w:val="%2"/>
      <w:numFmt w:val="lowerRoman"/>
      <w:start w:val="1"/>
    </w:lvl>
  </w:abstractNum>
  <w:abstractNum w:abstractNumId="28">
    <w:nsid w:val="1BA026FA"/>
    <w:multiLevelType w:val="hybridMultilevel"/>
    <w:lvl w:ilvl="0">
      <w:lvlJc w:val="left"/>
      <w:lvlText w:val="(%1)"/>
      <w:numFmt w:val="lowerLetter"/>
      <w:start w:val="3"/>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1)"/>
      <w:numFmt w:val="lowerLetter"/>
      <w:start w:val="2"/>
    </w:lvl>
  </w:abstractNum>
  <w:abstractNum w:abstractNumId="31">
    <w:nsid w:val="12E685FB"/>
    <w:multiLevelType w:val="hybridMultilevel"/>
    <w:lvl w:ilvl="0">
      <w:lvlJc w:val="left"/>
      <w:lvlText w:val="(%1)"/>
      <w:numFmt w:val="lowerLetter"/>
      <w:start w:val="4"/>
    </w:lvl>
  </w:abstractNum>
  <w:abstractNum w:abstractNumId="32">
    <w:nsid w:val="70C6A529"/>
    <w:multiLevelType w:val="hybridMultilevel"/>
    <w:lvl w:ilvl="0">
      <w:lvlJc w:val="left"/>
      <w:lvlText w:val="%1"/>
      <w:numFmt w:val="decimal"/>
      <w:start w:val="1"/>
    </w:lvl>
    <w:lvl w:ilvl="1">
      <w:lvlJc w:val="left"/>
      <w:lvlText w:val="(%2)"/>
      <w:numFmt w:val="lowerLetter"/>
      <w:start w:val="8"/>
    </w:lvl>
  </w:abstractNum>
  <w:abstractNum w:abstractNumId="33">
    <w:nsid w:val="520EEDD1"/>
    <w:multiLevelType w:val="hybridMultilevel"/>
    <w:lvl w:ilvl="0">
      <w:lvlJc w:val="left"/>
      <w:lvlText w:val="%1)"/>
      <w:numFmt w:val="decimal"/>
      <w:start w:val="405"/>
    </w:lvl>
    <w:lvl w:ilvl="1">
      <w:lvlJc w:val="left"/>
      <w:lvlText w:val="(%2)"/>
      <w:numFmt w:val="lowerLetter"/>
      <w:start w:val="9"/>
    </w:lvl>
  </w:abstractNum>
  <w:abstractNum w:abstractNumId="34">
    <w:nsid w:val="374A3FE6"/>
    <w:multiLevelType w:val="hybridMultilevel"/>
    <w:lvl w:ilvl="0">
      <w:lvlJc w:val="left"/>
      <w:lvlText w:val="%1"/>
      <w:numFmt w:val="lowerRoman"/>
      <w:start w:val="1"/>
    </w:lvl>
    <w:lvl w:ilvl="1">
      <w:lvlJc w:val="left"/>
      <w:lvlText w:val="(%2)"/>
      <w:numFmt w:val="lowerLetter"/>
      <w:start w:val="12"/>
    </w:lvl>
  </w:abstractNum>
  <w:abstractNum w:abstractNumId="35">
    <w:nsid w:val="4F4EF005"/>
    <w:multiLevelType w:val="hybridMultilevel"/>
    <w:lvl w:ilvl="0">
      <w:lvlJc w:val="left"/>
      <w:lvlText w:val="(%1)"/>
      <w:numFmt w:val="lowerRoman"/>
      <w:start w:val="4"/>
    </w:lvl>
    <w:lvl w:ilvl="1">
      <w:lvlJc w:val="left"/>
      <w:lvlText w:val="(%2)"/>
      <w:numFmt w:val="lowerLetter"/>
      <w:start w:val="13"/>
    </w:lvl>
  </w:abstractNum>
  <w:abstractNum w:abstractNumId="36">
    <w:nsid w:val="23F9C13C"/>
    <w:multiLevelType w:val="hybridMultilevel"/>
    <w:lvl w:ilvl="0">
      <w:lvlJc w:val="left"/>
      <w:lvlText w:val="(%1)"/>
      <w:numFmt w:val="lowerLetter"/>
      <w:start w:val="14"/>
    </w:lvl>
  </w:abstractNum>
  <w:abstractNum w:abstractNumId="37">
    <w:nsid w:val="649BB77C"/>
    <w:multiLevelType w:val="hybridMultilevel"/>
    <w:lvl w:ilvl="0">
      <w:lvlJc w:val="left"/>
      <w:lvlText w:val="(%1)"/>
      <w:numFmt w:val="lowerLetter"/>
      <w:start w:val="18"/>
    </w:lvl>
  </w:abstractNum>
  <w:abstractNum w:abstractNumId="38">
    <w:nsid w:val="275AC794"/>
    <w:multiLevelType w:val="hybridMultilevel"/>
    <w:lvl w:ilvl="0">
      <w:lvlJc w:val="left"/>
      <w:lvlText w:val="(%1)"/>
      <w:numFmt w:val="lowerLetter"/>
      <w:start w:val="23"/>
    </w:lvl>
  </w:abstractNum>
  <w:abstractNum w:abstractNumId="39">
    <w:nsid w:val="39386575"/>
    <w:multiLevelType w:val="hybridMultilevel"/>
    <w:lvl w:ilvl="0">
      <w:lvlJc w:val="left"/>
      <w:lvlText w:val="%1"/>
      <w:numFmt w:val="decimal"/>
      <w:start w:val="1"/>
    </w:lvl>
    <w:lvl w:ilvl="1">
      <w:lvlJc w:val="left"/>
      <w:lvlText w:val="(%2)"/>
      <w:numFmt w:val="lowerLetter"/>
      <w:start w:val="27"/>
    </w:lvl>
  </w:abstractNum>
  <w:abstractNum w:abstractNumId="40">
    <w:nsid w:val="1CF10FD8"/>
    <w:multiLevelType w:val="hybridMultilevel"/>
    <w:lvl w:ilvl="0">
      <w:lvlJc w:val="left"/>
      <w:lvlText w:val="%1."/>
      <w:numFmt w:val="decimal"/>
      <w:start w:val="5"/>
    </w:lvl>
    <w:lvl w:ilvl="1">
      <w:lvlJc w:val="left"/>
      <w:lvlText w:val="%2"/>
      <w:numFmt w:val="lowerLetter"/>
      <w:start w:val="1"/>
    </w:lvl>
  </w:abstractNum>
  <w:abstractNum w:abstractNumId="41">
    <w:nsid w:val="180115B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42">
    <w:nsid w:val="235BA86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43">
    <w:nsid w:val="47398C89"/>
    <w:multiLevelType w:val="hybridMultilevel"/>
    <w:lvl w:ilvl="0">
      <w:lvlJc w:val="left"/>
      <w:lvlText w:val="%1"/>
      <w:numFmt w:val="lowerLetter"/>
      <w:start w:val="1"/>
    </w:lvl>
    <w:lvl w:ilvl="1">
      <w:lvlJc w:val="left"/>
      <w:lvlText w:val="(%2)"/>
      <w:numFmt w:val="lowerRoman"/>
      <w:start w:val="2"/>
    </w:lvl>
  </w:abstractNum>
  <w:abstractNum w:abstractNumId="44">
    <w:nsid w:val="354FE9F9"/>
    <w:multiLevelType w:val="hybridMultilevel"/>
    <w:lvl w:ilvl="0">
      <w:lvlJc w:val="left"/>
      <w:lvlText w:val="(%1)"/>
      <w:numFmt w:val="lowerLetter"/>
      <w:start w:val="3"/>
    </w:lvl>
    <w:lvl w:ilvl="1">
      <w:lvlJc w:val="left"/>
      <w:lvlText w:val="%2"/>
      <w:numFmt w:val="lowerRoman"/>
      <w:start w:val="1"/>
    </w:lvl>
  </w:abstractNum>
  <w:abstractNum w:abstractNumId="45">
    <w:nsid w:val="15B5AF5C"/>
    <w:multiLevelType w:val="hybridMultilevel"/>
    <w:lvl w:ilvl="0">
      <w:lvlJc w:val="left"/>
      <w:lvlText w:val="(%1)"/>
      <w:numFmt w:val="lowerLetter"/>
      <w:start w:val="7"/>
    </w:lvl>
  </w:abstractNum>
  <w:abstractNum w:abstractNumId="46">
    <w:nsid w:val="741226BB"/>
    <w:multiLevelType w:val="hybridMultilevel"/>
    <w:lvl w:ilvl="0">
      <w:lvlJc w:val="left"/>
      <w:lvlText w:val="%1."/>
      <w:numFmt w:val="decimal"/>
      <w:start w:val="7"/>
    </w:lvl>
    <w:lvl w:ilvl="1">
      <w:lvlJc w:val="left"/>
      <w:lvlText w:val="(%2)"/>
      <w:numFmt w:val="lowerLetter"/>
      <w:start w:val="1"/>
    </w:lvl>
  </w:abstractNum>
  <w:abstractNum w:abstractNumId="47">
    <w:nsid w:val="D34B6A8"/>
    <w:multiLevelType w:val="hybridMultilevel"/>
    <w:lvl w:ilvl="0">
      <w:lvlJc w:val="left"/>
      <w:lvlText w:val="(%1)"/>
      <w:numFmt w:val="lowerLetter"/>
      <w:start w:val="35"/>
    </w:lvl>
    <w:lvl w:ilvl="1">
      <w:lvlJc w:val="left"/>
      <w:lvlText w:val="(%2)"/>
      <w:numFmt w:val="lowerLetter"/>
      <w:start w:val="3"/>
    </w:lvl>
  </w:abstractNum>
  <w:abstractNum w:abstractNumId="48">
    <w:nsid w:val="10233C99"/>
    <w:multiLevelType w:val="hybridMultilevel"/>
    <w:lvl w:ilvl="0">
      <w:lvlJc w:val="left"/>
      <w:lvlText w:val="%1"/>
      <w:numFmt w:val="lowerLetter"/>
      <w:start w:val="1"/>
    </w:lvl>
    <w:lvl w:ilvl="1">
      <w:lvlJc w:val="left"/>
      <w:lvlText w:val="(%2)"/>
      <w:numFmt w:val="lowerLetter"/>
      <w:start w:val="5"/>
    </w:lvl>
  </w:abstractNum>
  <w:abstractNum w:abstractNumId="49">
    <w:nsid w:val="3F6AB60F"/>
    <w:multiLevelType w:val="hybridMultilevel"/>
    <w:lvl w:ilvl="0">
      <w:lvlJc w:val="left"/>
      <w:lvlText w:val="(%1)"/>
      <w:numFmt w:val="lowerLetter"/>
      <w:start w:val="4"/>
    </w:lvl>
    <w:lvl w:ilvl="1">
      <w:lvlJc w:val="left"/>
      <w:lvlText w:val="(%2)"/>
      <w:numFmt w:val="lowerLetter"/>
      <w:start w:val="6"/>
    </w:lvl>
  </w:abstractNum>
  <w:abstractNum w:abstractNumId="50">
    <w:nsid w:val="61574095"/>
    <w:multiLevelType w:val="hybridMultilevel"/>
    <w:lvl w:ilvl="0">
      <w:lvlJc w:val="left"/>
      <w:lvlText w:val="(%1)"/>
      <w:numFmt w:val="lowerLetter"/>
      <w:start w:val="35"/>
    </w:lvl>
    <w:lvl w:ilvl="1">
      <w:lvlJc w:val="left"/>
      <w:lvlText w:val="%2"/>
      <w:numFmt w:val="lowerLetter"/>
      <w:start w:val="1"/>
    </w:lvl>
  </w:abstractNum>
  <w:abstractNum w:abstractNumId="51">
    <w:nsid w:val="7E0C57B1"/>
    <w:multiLevelType w:val="hybridMultilevel"/>
    <w:lvl w:ilvl="0">
      <w:lvlJc w:val="left"/>
      <w:lvlText w:val="(%1)"/>
      <w:numFmt w:val="lowerLetter"/>
      <w:start w:val="7"/>
    </w:lvl>
  </w:abstractNum>
  <w:abstractNum w:abstractNumId="52">
    <w:nsid w:val="77AE35EB"/>
    <w:multiLevelType w:val="hybridMultilevel"/>
    <w:lvl w:ilvl="0">
      <w:lvlJc w:val="left"/>
      <w:lvlText w:val="%1."/>
      <w:numFmt w:val="decimal"/>
      <w:start w:val="8"/>
    </w:lvl>
    <w:lvl w:ilvl="1">
      <w:lvlJc w:val="left"/>
      <w:lvlText w:val="(%2)"/>
      <w:numFmt w:val="lowerLetter"/>
      <w:start w:val="1"/>
    </w:lvl>
  </w:abstractNum>
  <w:abstractNum w:abstractNumId="53">
    <w:nsid w:val="579BE4F1"/>
    <w:multiLevelType w:val="hybridMultilevel"/>
    <w:lvl w:ilvl="0">
      <w:lvlJc w:val="left"/>
      <w:lvlText w:val="%1"/>
      <w:numFmt w:val="decimal"/>
      <w:start w:val="1"/>
    </w:lvl>
    <w:lvl w:ilvl="1">
      <w:lvlJc w:val="left"/>
      <w:lvlText w:val="(%2)"/>
      <w:numFmt w:val="lowerLetter"/>
      <w:start w:val="5"/>
    </w:lvl>
  </w:abstractNum>
  <w:abstractNum w:abstractNumId="54">
    <w:nsid w:val="310C50B3"/>
    <w:multiLevelType w:val="hybridMultilevel"/>
    <w:lvl w:ilvl="0">
      <w:lvlJc w:val="left"/>
      <w:lvlText w:val="%1."/>
      <w:numFmt w:val="decimal"/>
      <w:start w:val="9"/>
    </w:lvl>
    <w:lvl w:ilvl="1">
      <w:lvlJc w:val="left"/>
      <w:lvlText w:val="%2"/>
      <w:numFmt w:val="lowerLetter"/>
      <w:start w:val="1"/>
    </w:lvl>
  </w:abstractNum>
  <w:abstractNum w:abstractNumId="55">
    <w:nsid w:val="5FF87E05"/>
    <w:multiLevelType w:val="hybridMultilevel"/>
    <w:lvl w:ilvl="0">
      <w:lvlJc w:val="left"/>
      <w:lvlText w:val="%1."/>
      <w:numFmt w:val="decimal"/>
      <w:start w:val="11"/>
    </w:lvl>
  </w:abstractNum>
  <w:abstractNum w:abstractNumId="56">
    <w:nsid w:val="2F305DEF"/>
    <w:multiLevelType w:val="hybridMultilevel"/>
    <w:lvl w:ilvl="0">
      <w:lvlJc w:val="left"/>
      <w:lvlText w:val="%1."/>
      <w:numFmt w:val="decimal"/>
      <w:start w:val="17"/>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bullet"/>
      <w:start w:val="1"/>
    </w:lvl>
  </w:abstractNum>
  <w:abstractNum w:abstractNumId="59">
    <w:nsid w:val="4AD084E9"/>
    <w:multiLevelType w:val="hybridMultilevel"/>
    <w:lvl w:ilvl="0">
      <w:lvlJc w:val="left"/>
      <w:lvlText w:val="2"/>
      <w:numFmt w:val="bullet"/>
      <w:start w:val="1"/>
    </w:lvl>
  </w:abstractNum>
  <w:abstractNum w:abstractNumId="60">
    <w:nsid w:val="1F48EAA1"/>
    <w:multiLevelType w:val="hybridMultilevel"/>
    <w:lvl w:ilvl="0">
      <w:lvlJc w:val="left"/>
      <w:lvlText w:val="3"/>
      <w:numFmt w:val="bullet"/>
      <w:start w:val="1"/>
    </w:lvl>
  </w:abstractNum>
  <w:abstractNum w:abstractNumId="61">
    <w:nsid w:val="1381823A"/>
    <w:multiLevelType w:val="hybridMultilevel"/>
    <w:lvl w:ilvl="0">
      <w:lvlJc w:val="left"/>
      <w:lvlText w:val="4"/>
      <w:numFmt w:val="bullet"/>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lowerRoman"/>
      <w:start w:val="1"/>
    </w:lvl>
  </w:abstractNum>
  <w:abstractNum w:abstractNumId="64">
    <w:nsid w:val="6590700B"/>
    <w:multiLevelType w:val="hybridMultilevel"/>
    <w:lvl w:ilvl="0">
      <w:lvlJc w:val="left"/>
      <w:lvlText w:val="(%1)"/>
      <w:numFmt w:val="upperLetter"/>
      <w:start w:val="2"/>
    </w:lvl>
    <w:lvl w:ilvl="1">
      <w:lvlJc w:val="left"/>
      <w:lvlText w:val="(%2)"/>
      <w:numFmt w:val="lowerRoman"/>
      <w:start w:val="6"/>
    </w:lvl>
  </w:abstractNum>
  <w:abstractNum w:abstractNumId="65">
    <w:nsid w:val="15014ACB"/>
    <w:multiLevelType w:val="hybridMultilevel"/>
    <w:lvl w:ilvl="0">
      <w:lvlJc w:val="left"/>
      <w:lvlText w:val="%1"/>
      <w:numFmt w:val="upperLetter"/>
      <w:start w:val="1"/>
    </w:lvl>
    <w:lvl w:ilvl="1">
      <w:lvlJc w:val="left"/>
      <w:lvlText w:val="(%2)"/>
      <w:numFmt w:val="lowerRoman"/>
      <w:start w:val="10"/>
    </w:lvl>
  </w:abstractNum>
  <w:abstractNum w:abstractNumId="66">
    <w:nsid w:val="5F5E7FD0"/>
    <w:multiLevelType w:val="hybridMultilevel"/>
    <w:lvl w:ilvl="0">
      <w:lvlJc w:val="left"/>
      <w:lvlText w:val="(%1)"/>
      <w:numFmt w:val="upperLetter"/>
      <w:start w:val="4"/>
    </w:lvl>
    <w:lvl w:ilvl="1">
      <w:lvlJc w:val="left"/>
      <w:lvlText w:val="(%2)"/>
      <w:numFmt w:val="lowerRoman"/>
      <w:start w:val="12"/>
    </w:lvl>
  </w:abstractNum>
  <w:abstractNum w:abstractNumId="67">
    <w:nsid w:val="98A3148"/>
    <w:multiLevelType w:val="hybridMultilevel"/>
    <w:lvl w:ilvl="0">
      <w:lvlJc w:val="left"/>
      <w:lvlText w:val="(%1)"/>
      <w:numFmt w:val="lowerRoman"/>
      <w:start w:val="14"/>
    </w:lvl>
  </w:abstractNum>
  <w:abstractNum w:abstractNumId="68">
    <w:nsid w:val="799D0247"/>
    <w:multiLevelType w:val="hybridMultilevel"/>
    <w:lvl w:ilvl="0">
      <w:lvlJc w:val="left"/>
      <w:lvlText w:val="(%1)"/>
      <w:numFmt w:val="upperLetter"/>
      <w:start w:val="1"/>
    </w:lvl>
  </w:abstractNum>
  <w:abstractNum w:abstractNumId="69">
    <w:nsid w:val="6B94764"/>
    <w:multiLevelType w:val="hybridMultilevel"/>
    <w:lvl w:ilvl="0">
      <w:lvlJc w:val="left"/>
      <w:lvlText w:val="(%1)"/>
      <w:numFmt w:val="lowerRoman"/>
      <w:start w:val="1"/>
    </w:lvl>
  </w:abstractNum>
  <w:abstractNum w:abstractNumId="70">
    <w:nsid w:val="42C296BD"/>
    <w:multiLevelType w:val="hybridMultilevel"/>
    <w:lvl w:ilvl="0">
      <w:lvlJc w:val="left"/>
      <w:lvlText w:val="(%1)"/>
      <w:numFmt w:val="upperLetter"/>
      <w:start w:val="1"/>
    </w:lvl>
  </w:abstractNum>
  <w:abstractNum w:abstractNumId="71">
    <w:nsid w:val="168E121F"/>
    <w:multiLevelType w:val="hybridMultilevel"/>
    <w:lvl w:ilvl="0">
      <w:lvlJc w:val="left"/>
      <w:lvlText w:val="(%1)"/>
      <w:numFmt w:val="lowerRoman"/>
      <w:start w:val="1"/>
    </w:lvl>
  </w:abstractNum>
  <w:abstractNum w:abstractNumId="72">
    <w:nsid w:val="1EBA5D2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2020-01-28T13:02:44Z</dcterms:created>
  <dcterms:modified xsi:type="dcterms:W3CDTF">2020-01-28T13:02:44Z</dcterms:modified>
</cp:coreProperties>
</file>