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0"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As filed with the Securities and Exchange Commission on September 8, 2021</w:t>
      </w:r>
    </w:p>
    <w:p>
      <w:pPr>
        <w:ind w:left="87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34925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69215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8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UNITED STATES</w:t>
      </w: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56515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86"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Form S-3</w:t>
      </w:r>
    </w:p>
    <w:p>
      <w:pPr>
        <w:spacing w:after="0" w:line="2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REGISTRATION STATEMENT</w:t>
      </w:r>
    </w:p>
    <w:p>
      <w:pPr>
        <w:spacing w:after="0" w:line="3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UNDER</w:t>
      </w:r>
    </w:p>
    <w:p>
      <w:pPr>
        <w:spacing w:after="0" w:line="96"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66675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3"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PLAINS ALL AMERICAN PIPELINE, L.P.</w:t>
      </w:r>
    </w:p>
    <w:p>
      <w:pPr>
        <w:jc w:val="center"/>
        <w:ind w:right="-439"/>
        <w:spacing w:after="0" w:line="213" w:lineRule="auto"/>
        <w:rPr>
          <w:sz w:val="20"/>
          <w:szCs w:val="20"/>
          <w:color w:val="auto"/>
        </w:rPr>
      </w:pPr>
      <w:r>
        <w:rPr>
          <w:rFonts w:ascii="Arial" w:cs="Arial" w:eastAsia="Arial" w:hAnsi="Arial"/>
          <w:sz w:val="25"/>
          <w:szCs w:val="25"/>
          <w:b w:val="1"/>
          <w:bCs w:val="1"/>
          <w:color w:val="auto"/>
        </w:rPr>
        <w:t>PAA FINANCE CORP.</w:t>
      </w:r>
    </w:p>
    <w:tbl>
      <w:tblPr>
        <w:tblLayout w:type="fixed"/>
        <w:tblInd w:w="2040" w:type="dxa"/>
        <w:tblCellMar>
          <w:top w:w="0" w:type="dxa"/>
          <w:left w:w="0" w:type="dxa"/>
          <w:bottom w:w="0" w:type="dxa"/>
          <w:right w:w="0" w:type="dxa"/>
        </w:tblCellMar>
      </w:tblPr>
      <w:tr>
        <w:trPr>
          <w:trHeight w:val="148"/>
        </w:trPr>
        <w:tc>
          <w:tcPr>
            <w:tcW w:w="182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1"/>
              </w:rPr>
              <w:t>Delaware</w:t>
            </w:r>
          </w:p>
        </w:tc>
        <w:tc>
          <w:tcPr>
            <w:tcW w:w="3180" w:type="dxa"/>
            <w:vAlign w:val="bottom"/>
          </w:tcPr>
          <w:p>
            <w:pPr>
              <w:ind w:left="180"/>
              <w:spacing w:after="0"/>
              <w:rPr>
                <w:sz w:val="20"/>
                <w:szCs w:val="20"/>
                <w:color w:val="auto"/>
              </w:rPr>
            </w:pPr>
            <w:r>
              <w:rPr>
                <w:rFonts w:ascii="Arial" w:cs="Arial" w:eastAsia="Arial" w:hAnsi="Arial"/>
                <w:sz w:val="12"/>
                <w:szCs w:val="12"/>
                <w:color w:val="auto"/>
              </w:rPr>
              <w:t>(Exact Name of Registrant as Specified in its Charter)</w:t>
            </w:r>
          </w:p>
        </w:tc>
        <w:tc>
          <w:tcPr>
            <w:tcW w:w="1260" w:type="dxa"/>
            <w:vAlign w:val="bottom"/>
            <w:vMerge w:val="restart"/>
          </w:tcPr>
          <w:p>
            <w:pPr>
              <w:jc w:val="center"/>
              <w:ind w:left="237"/>
              <w:spacing w:after="0"/>
              <w:rPr>
                <w:sz w:val="20"/>
                <w:szCs w:val="20"/>
                <w:color w:val="auto"/>
              </w:rPr>
            </w:pPr>
            <w:r>
              <w:rPr>
                <w:rFonts w:ascii="Arial" w:cs="Arial" w:eastAsia="Arial" w:hAnsi="Arial"/>
                <w:sz w:val="13"/>
                <w:szCs w:val="13"/>
                <w:b w:val="1"/>
                <w:bCs w:val="1"/>
                <w:color w:val="auto"/>
                <w:w w:val="92"/>
              </w:rPr>
              <w:t>76-0582150</w:t>
            </w:r>
          </w:p>
        </w:tc>
        <w:tc>
          <w:tcPr>
            <w:tcW w:w="0" w:type="dxa"/>
            <w:vAlign w:val="bottom"/>
          </w:tcPr>
          <w:p>
            <w:pPr>
              <w:spacing w:after="0"/>
              <w:rPr>
                <w:sz w:val="1"/>
                <w:szCs w:val="1"/>
                <w:color w:val="auto"/>
              </w:rPr>
            </w:pPr>
          </w:p>
        </w:tc>
      </w:tr>
      <w:tr>
        <w:trPr>
          <w:trHeight w:val="24"/>
        </w:trPr>
        <w:tc>
          <w:tcPr>
            <w:tcW w:w="1820" w:type="dxa"/>
            <w:vAlign w:val="bottom"/>
            <w:vMerge w:val="continue"/>
          </w:tcPr>
          <w:p>
            <w:pPr>
              <w:spacing w:after="0"/>
              <w:rPr>
                <w:sz w:val="2"/>
                <w:szCs w:val="2"/>
                <w:color w:val="auto"/>
              </w:rPr>
            </w:pPr>
          </w:p>
        </w:tc>
        <w:tc>
          <w:tcPr>
            <w:tcW w:w="318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820" w:type="dxa"/>
            <w:vAlign w:val="bottom"/>
          </w:tcPr>
          <w:p>
            <w:pPr>
              <w:ind w:left="560"/>
              <w:spacing w:after="0" w:line="142" w:lineRule="exact"/>
              <w:rPr>
                <w:sz w:val="20"/>
                <w:szCs w:val="20"/>
                <w:color w:val="auto"/>
              </w:rPr>
            </w:pPr>
            <w:r>
              <w:rPr>
                <w:rFonts w:ascii="Arial" w:cs="Arial" w:eastAsia="Arial" w:hAnsi="Arial"/>
                <w:sz w:val="13"/>
                <w:szCs w:val="13"/>
                <w:b w:val="1"/>
                <w:bCs w:val="1"/>
                <w:color w:val="auto"/>
              </w:rPr>
              <w:t>Delaware</w:t>
            </w:r>
          </w:p>
        </w:tc>
        <w:tc>
          <w:tcPr>
            <w:tcW w:w="3180" w:type="dxa"/>
            <w:vAlign w:val="bottom"/>
          </w:tcPr>
          <w:p>
            <w:pPr>
              <w:spacing w:after="0"/>
              <w:rPr>
                <w:sz w:val="12"/>
                <w:szCs w:val="12"/>
                <w:color w:val="auto"/>
              </w:rPr>
            </w:pPr>
          </w:p>
        </w:tc>
        <w:tc>
          <w:tcPr>
            <w:tcW w:w="126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rPr>
              <w:t>56-2464313</w:t>
            </w:r>
          </w:p>
        </w:tc>
        <w:tc>
          <w:tcPr>
            <w:tcW w:w="0" w:type="dxa"/>
            <w:vAlign w:val="bottom"/>
          </w:tcPr>
          <w:p>
            <w:pPr>
              <w:spacing w:after="0"/>
              <w:rPr>
                <w:sz w:val="1"/>
                <w:szCs w:val="1"/>
                <w:color w:val="auto"/>
              </w:rPr>
            </w:pPr>
          </w:p>
        </w:tc>
      </w:tr>
      <w:tr>
        <w:trPr>
          <w:trHeight w:val="114"/>
        </w:trPr>
        <w:tc>
          <w:tcPr>
            <w:tcW w:w="1820" w:type="dxa"/>
            <w:vAlign w:val="bottom"/>
          </w:tcPr>
          <w:p>
            <w:pPr>
              <w:jc w:val="center"/>
              <w:ind w:right="137"/>
              <w:spacing w:after="0" w:line="114" w:lineRule="exact"/>
              <w:rPr>
                <w:sz w:val="20"/>
                <w:szCs w:val="20"/>
                <w:color w:val="auto"/>
              </w:rPr>
            </w:pPr>
            <w:r>
              <w:rPr>
                <w:rFonts w:ascii="Arial" w:cs="Arial" w:eastAsia="Arial" w:hAnsi="Arial"/>
                <w:sz w:val="12"/>
                <w:szCs w:val="12"/>
                <w:color w:val="auto"/>
                <w:w w:val="93"/>
              </w:rPr>
              <w:t>(State or Other Jurisdiction</w:t>
            </w:r>
          </w:p>
        </w:tc>
        <w:tc>
          <w:tcPr>
            <w:tcW w:w="3180" w:type="dxa"/>
            <w:vAlign w:val="bottom"/>
          </w:tcPr>
          <w:p>
            <w:pPr>
              <w:spacing w:after="0"/>
              <w:rPr>
                <w:sz w:val="9"/>
                <w:szCs w:val="9"/>
                <w:color w:val="auto"/>
              </w:rPr>
            </w:pPr>
          </w:p>
        </w:tc>
        <w:tc>
          <w:tcPr>
            <w:tcW w:w="1260" w:type="dxa"/>
            <w:vAlign w:val="bottom"/>
          </w:tcPr>
          <w:p>
            <w:pPr>
              <w:jc w:val="center"/>
              <w:ind w:left="237"/>
              <w:spacing w:after="0" w:line="114" w:lineRule="exact"/>
              <w:rPr>
                <w:sz w:val="20"/>
                <w:szCs w:val="20"/>
                <w:color w:val="auto"/>
              </w:rPr>
            </w:pPr>
            <w:r>
              <w:rPr>
                <w:rFonts w:ascii="Arial" w:cs="Arial" w:eastAsia="Arial" w:hAnsi="Arial"/>
                <w:sz w:val="12"/>
                <w:szCs w:val="12"/>
                <w:color w:val="auto"/>
                <w:w w:val="95"/>
              </w:rPr>
              <w:t>(I.R.S. Employer</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17"/>
              <w:spacing w:after="0"/>
              <w:rPr>
                <w:sz w:val="20"/>
                <w:szCs w:val="20"/>
                <w:color w:val="auto"/>
              </w:rPr>
            </w:pPr>
            <w:r>
              <w:rPr>
                <w:rFonts w:ascii="Arial" w:cs="Arial" w:eastAsia="Arial" w:hAnsi="Arial"/>
                <w:sz w:val="12"/>
                <w:szCs w:val="12"/>
                <w:color w:val="auto"/>
                <w:w w:val="94"/>
              </w:rPr>
              <w:t>of Incorporation or Organization)</w:t>
            </w:r>
          </w:p>
        </w:tc>
        <w:tc>
          <w:tcPr>
            <w:tcW w:w="3180" w:type="dxa"/>
            <w:vAlign w:val="bottom"/>
          </w:tcPr>
          <w:p>
            <w:pPr>
              <w:spacing w:after="0"/>
              <w:rPr>
                <w:sz w:val="12"/>
                <w:szCs w:val="12"/>
                <w:color w:val="auto"/>
              </w:rPr>
            </w:pPr>
          </w:p>
        </w:tc>
        <w:tc>
          <w:tcPr>
            <w:tcW w:w="1260" w:type="dxa"/>
            <w:vAlign w:val="bottom"/>
          </w:tcPr>
          <w:p>
            <w:pPr>
              <w:jc w:val="center"/>
              <w:ind w:left="277"/>
              <w:spacing w:after="0"/>
              <w:rPr>
                <w:sz w:val="20"/>
                <w:szCs w:val="20"/>
                <w:color w:val="auto"/>
              </w:rPr>
            </w:pPr>
            <w:r>
              <w:rPr>
                <w:rFonts w:ascii="Arial" w:cs="Arial" w:eastAsia="Arial" w:hAnsi="Arial"/>
                <w:sz w:val="12"/>
                <w:szCs w:val="12"/>
                <w:color w:val="auto"/>
                <w:w w:val="98"/>
              </w:rPr>
              <w:t>Identification No.)</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660"/>
        <w:spacing w:after="0"/>
        <w:rPr>
          <w:sz w:val="20"/>
          <w:szCs w:val="20"/>
          <w:color w:val="auto"/>
        </w:rPr>
      </w:pPr>
      <w:r>
        <w:rPr>
          <w:rFonts w:ascii="Arial" w:cs="Arial" w:eastAsia="Arial" w:hAnsi="Arial"/>
          <w:sz w:val="13"/>
          <w:szCs w:val="13"/>
          <w:b w:val="1"/>
          <w:bCs w:val="1"/>
          <w:color w:val="auto"/>
        </w:rPr>
        <w:t>333 Clay Street, Suite 1600</w:t>
      </w:r>
    </w:p>
    <w:p>
      <w:pPr>
        <w:ind w:left="4780"/>
        <w:spacing w:after="0" w:line="195" w:lineRule="auto"/>
        <w:rPr>
          <w:sz w:val="20"/>
          <w:szCs w:val="20"/>
          <w:color w:val="auto"/>
        </w:rPr>
      </w:pPr>
      <w:r>
        <w:rPr>
          <w:rFonts w:ascii="Arial" w:cs="Arial" w:eastAsia="Arial" w:hAnsi="Arial"/>
          <w:sz w:val="13"/>
          <w:szCs w:val="13"/>
          <w:b w:val="1"/>
          <w:bCs w:val="1"/>
          <w:color w:val="auto"/>
        </w:rPr>
        <w:t>Houston, Texas 77002</w:t>
      </w:r>
    </w:p>
    <w:p>
      <w:pPr>
        <w:ind w:left="4980"/>
        <w:spacing w:after="0" w:line="208" w:lineRule="auto"/>
        <w:rPr>
          <w:sz w:val="20"/>
          <w:szCs w:val="20"/>
          <w:color w:val="auto"/>
        </w:rPr>
      </w:pPr>
      <w:r>
        <w:rPr>
          <w:rFonts w:ascii="Arial" w:cs="Arial" w:eastAsia="Arial" w:hAnsi="Arial"/>
          <w:sz w:val="13"/>
          <w:szCs w:val="13"/>
          <w:b w:val="1"/>
          <w:bCs w:val="1"/>
          <w:color w:val="auto"/>
        </w:rPr>
        <w:t>(713) 646-4100</w:t>
      </w:r>
    </w:p>
    <w:p>
      <w:pPr>
        <w:jc w:val="center"/>
        <w:ind w:right="-439"/>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12700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8" w:lineRule="exact"/>
        <w:rPr>
          <w:sz w:val="24"/>
          <w:szCs w:val="24"/>
          <w:color w:val="auto"/>
        </w:rPr>
      </w:pPr>
    </w:p>
    <w:p>
      <w:pPr>
        <w:ind w:left="4940"/>
        <w:spacing w:after="0"/>
        <w:rPr>
          <w:sz w:val="20"/>
          <w:szCs w:val="20"/>
          <w:color w:val="auto"/>
        </w:rPr>
      </w:pPr>
      <w:r>
        <w:rPr>
          <w:rFonts w:ascii="Arial" w:cs="Arial" w:eastAsia="Arial" w:hAnsi="Arial"/>
          <w:sz w:val="13"/>
          <w:szCs w:val="13"/>
          <w:b w:val="1"/>
          <w:bCs w:val="1"/>
          <w:color w:val="auto"/>
        </w:rPr>
        <w:t>Richard McGee</w:t>
      </w:r>
    </w:p>
    <w:p>
      <w:pPr>
        <w:ind w:left="4480"/>
        <w:spacing w:after="0" w:line="195" w:lineRule="auto"/>
        <w:rPr>
          <w:sz w:val="20"/>
          <w:szCs w:val="20"/>
          <w:color w:val="auto"/>
        </w:rPr>
      </w:pPr>
      <w:r>
        <w:rPr>
          <w:rFonts w:ascii="Arial" w:cs="Arial" w:eastAsia="Arial" w:hAnsi="Arial"/>
          <w:sz w:val="13"/>
          <w:szCs w:val="13"/>
          <w:b w:val="1"/>
          <w:bCs w:val="1"/>
          <w:color w:val="auto"/>
        </w:rPr>
        <w:t>Executive Vice President, General</w:t>
      </w:r>
    </w:p>
    <w:p>
      <w:pPr>
        <w:ind w:left="4760"/>
        <w:spacing w:after="0" w:line="195" w:lineRule="auto"/>
        <w:rPr>
          <w:sz w:val="20"/>
          <w:szCs w:val="20"/>
          <w:color w:val="auto"/>
        </w:rPr>
      </w:pPr>
      <w:r>
        <w:rPr>
          <w:rFonts w:ascii="Arial" w:cs="Arial" w:eastAsia="Arial" w:hAnsi="Arial"/>
          <w:sz w:val="13"/>
          <w:szCs w:val="13"/>
          <w:b w:val="1"/>
          <w:bCs w:val="1"/>
          <w:color w:val="auto"/>
        </w:rPr>
        <w:t>Counsel and Secretary</w:t>
      </w:r>
    </w:p>
    <w:p>
      <w:pPr>
        <w:ind w:left="4660"/>
        <w:spacing w:after="0" w:line="195" w:lineRule="auto"/>
        <w:rPr>
          <w:sz w:val="20"/>
          <w:szCs w:val="20"/>
          <w:color w:val="auto"/>
        </w:rPr>
      </w:pPr>
      <w:r>
        <w:rPr>
          <w:rFonts w:ascii="Arial" w:cs="Arial" w:eastAsia="Arial" w:hAnsi="Arial"/>
          <w:sz w:val="13"/>
          <w:szCs w:val="13"/>
          <w:b w:val="1"/>
          <w:bCs w:val="1"/>
          <w:color w:val="auto"/>
        </w:rPr>
        <w:t>333 Clay Street, Suite 1600</w:t>
      </w:r>
    </w:p>
    <w:p>
      <w:pPr>
        <w:ind w:left="4800"/>
        <w:spacing w:after="0" w:line="195" w:lineRule="auto"/>
        <w:rPr>
          <w:sz w:val="20"/>
          <w:szCs w:val="20"/>
          <w:color w:val="auto"/>
        </w:rPr>
      </w:pPr>
      <w:r>
        <w:rPr>
          <w:rFonts w:ascii="Arial" w:cs="Arial" w:eastAsia="Arial" w:hAnsi="Arial"/>
          <w:sz w:val="13"/>
          <w:szCs w:val="13"/>
          <w:b w:val="1"/>
          <w:bCs w:val="1"/>
          <w:color w:val="auto"/>
        </w:rPr>
        <w:t>Houston, Texas 77002</w:t>
      </w:r>
    </w:p>
    <w:p>
      <w:pPr>
        <w:ind w:left="4980"/>
        <w:spacing w:after="0" w:line="208" w:lineRule="auto"/>
        <w:rPr>
          <w:sz w:val="20"/>
          <w:szCs w:val="20"/>
          <w:color w:val="auto"/>
        </w:rPr>
      </w:pPr>
      <w:r>
        <w:rPr>
          <w:rFonts w:ascii="Arial" w:cs="Arial" w:eastAsia="Arial" w:hAnsi="Arial"/>
          <w:sz w:val="13"/>
          <w:szCs w:val="13"/>
          <w:b w:val="1"/>
          <w:bCs w:val="1"/>
          <w:color w:val="auto"/>
        </w:rPr>
        <w:t>(713) 646-4100</w:t>
      </w:r>
    </w:p>
    <w:p>
      <w:pPr>
        <w:jc w:val="center"/>
        <w:ind w:right="-439"/>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12700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 w:lineRule="exact"/>
        <w:rPr>
          <w:sz w:val="24"/>
          <w:szCs w:val="24"/>
          <w:color w:val="auto"/>
        </w:rPr>
      </w:pPr>
    </w:p>
    <w:p>
      <w:pPr>
        <w:jc w:val="center"/>
        <w:ind w:right="-439"/>
        <w:spacing w:after="0"/>
        <w:rPr>
          <w:sz w:val="20"/>
          <w:szCs w:val="20"/>
          <w:color w:val="auto"/>
        </w:rPr>
      </w:pPr>
      <w:r>
        <w:rPr>
          <w:rFonts w:ascii="Arial" w:cs="Arial" w:eastAsia="Arial" w:hAnsi="Arial"/>
          <w:sz w:val="13"/>
          <w:szCs w:val="13"/>
          <w:i w:val="1"/>
          <w:iCs w:val="1"/>
          <w:color w:val="auto"/>
        </w:rPr>
        <w:t>Copies to:</w:t>
      </w:r>
    </w:p>
    <w:p>
      <w:pPr>
        <w:ind w:left="4920"/>
        <w:spacing w:after="0" w:line="195" w:lineRule="auto"/>
        <w:rPr>
          <w:sz w:val="20"/>
          <w:szCs w:val="20"/>
          <w:color w:val="auto"/>
        </w:rPr>
      </w:pPr>
      <w:r>
        <w:rPr>
          <w:rFonts w:ascii="Arial" w:cs="Arial" w:eastAsia="Arial" w:hAnsi="Arial"/>
          <w:sz w:val="13"/>
          <w:szCs w:val="13"/>
          <w:b w:val="1"/>
          <w:bCs w:val="1"/>
          <w:color w:val="auto"/>
        </w:rPr>
        <w:t>David P. Oelman</w:t>
      </w:r>
    </w:p>
    <w:p>
      <w:pPr>
        <w:ind w:left="5080"/>
        <w:spacing w:after="0" w:line="195" w:lineRule="auto"/>
        <w:rPr>
          <w:sz w:val="20"/>
          <w:szCs w:val="20"/>
          <w:color w:val="auto"/>
        </w:rPr>
      </w:pPr>
      <w:r>
        <w:rPr>
          <w:rFonts w:ascii="Arial" w:cs="Arial" w:eastAsia="Arial" w:hAnsi="Arial"/>
          <w:sz w:val="13"/>
          <w:szCs w:val="13"/>
          <w:b w:val="1"/>
          <w:bCs w:val="1"/>
          <w:color w:val="auto"/>
        </w:rPr>
        <w:t>Alan Beck</w:t>
      </w:r>
    </w:p>
    <w:p>
      <w:pPr>
        <w:ind w:left="4760"/>
        <w:spacing w:after="0" w:line="195" w:lineRule="auto"/>
        <w:rPr>
          <w:sz w:val="20"/>
          <w:szCs w:val="20"/>
          <w:color w:val="auto"/>
        </w:rPr>
      </w:pPr>
      <w:r>
        <w:rPr>
          <w:rFonts w:ascii="Arial" w:cs="Arial" w:eastAsia="Arial" w:hAnsi="Arial"/>
          <w:sz w:val="13"/>
          <w:szCs w:val="13"/>
          <w:b w:val="1"/>
          <w:bCs w:val="1"/>
          <w:color w:val="auto"/>
        </w:rPr>
        <w:t>Vinson &amp; Elkins L.L.P.</w:t>
      </w:r>
    </w:p>
    <w:p>
      <w:pPr>
        <w:ind w:left="4560"/>
        <w:spacing w:after="0" w:line="195" w:lineRule="auto"/>
        <w:rPr>
          <w:sz w:val="20"/>
          <w:szCs w:val="20"/>
          <w:color w:val="auto"/>
        </w:rPr>
      </w:pPr>
      <w:r>
        <w:rPr>
          <w:rFonts w:ascii="Arial" w:cs="Arial" w:eastAsia="Arial" w:hAnsi="Arial"/>
          <w:sz w:val="13"/>
          <w:szCs w:val="13"/>
          <w:b w:val="1"/>
          <w:bCs w:val="1"/>
          <w:color w:val="auto"/>
        </w:rPr>
        <w:t>1001 Fannin Street, Suite 2500</w:t>
      </w:r>
    </w:p>
    <w:p>
      <w:pPr>
        <w:ind w:left="4800"/>
        <w:spacing w:after="0" w:line="195" w:lineRule="auto"/>
        <w:rPr>
          <w:sz w:val="20"/>
          <w:szCs w:val="20"/>
          <w:color w:val="auto"/>
        </w:rPr>
      </w:pPr>
      <w:r>
        <w:rPr>
          <w:rFonts w:ascii="Arial" w:cs="Arial" w:eastAsia="Arial" w:hAnsi="Arial"/>
          <w:sz w:val="13"/>
          <w:szCs w:val="13"/>
          <w:b w:val="1"/>
          <w:bCs w:val="1"/>
          <w:color w:val="auto"/>
        </w:rPr>
        <w:t>Houston, Texas 77002</w:t>
      </w:r>
    </w:p>
    <w:p>
      <w:pPr>
        <w:ind w:left="4980"/>
        <w:spacing w:after="0"/>
        <w:rPr>
          <w:sz w:val="20"/>
          <w:szCs w:val="20"/>
          <w:color w:val="auto"/>
        </w:rPr>
      </w:pPr>
      <w:r>
        <w:rPr>
          <w:rFonts w:ascii="Arial" w:cs="Arial" w:eastAsia="Arial" w:hAnsi="Arial"/>
          <w:sz w:val="13"/>
          <w:szCs w:val="13"/>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27940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1" w:lineRule="exact"/>
        <w:rPr>
          <w:sz w:val="24"/>
          <w:szCs w:val="24"/>
          <w:color w:val="auto"/>
        </w:rPr>
      </w:pPr>
    </w:p>
    <w:p>
      <w:pPr>
        <w:ind w:left="860"/>
        <w:spacing w:after="0"/>
        <w:rPr>
          <w:sz w:val="20"/>
          <w:szCs w:val="20"/>
          <w:color w:val="auto"/>
        </w:rPr>
      </w:pPr>
      <w:r>
        <w:rPr>
          <w:rFonts w:ascii="Arial" w:cs="Arial" w:eastAsia="Arial" w:hAnsi="Arial"/>
          <w:sz w:val="13"/>
          <w:szCs w:val="13"/>
          <w:color w:val="auto"/>
        </w:rPr>
        <w:t>Approximate date of commencement of proposed sale to the public: From time to time after the effective date of this Registration Statement.</w:t>
      </w:r>
    </w:p>
    <w:p>
      <w:pPr>
        <w:ind w:left="860"/>
        <w:spacing w:after="0" w:line="14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ind w:left="500" w:right="520" w:firstLine="360"/>
        <w:spacing w:after="0" w:line="135"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220" w:firstLine="360"/>
        <w:spacing w:after="0" w:line="12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400" w:firstLine="360"/>
        <w:spacing w:after="0" w:line="128"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220" w:firstLine="360"/>
        <w:spacing w:after="0" w:line="135"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380" w:firstLine="360"/>
        <w:spacing w:after="0" w:line="128"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00" w:right="360" w:firstLine="360"/>
        <w:spacing w:after="0" w:line="143" w:lineRule="exact"/>
        <w:rPr>
          <w:sz w:val="20"/>
          <w:szCs w:val="20"/>
          <w:color w:val="auto"/>
        </w:rPr>
      </w:pPr>
      <w:r>
        <w:rPr>
          <w:rFonts w:ascii="Arial" w:cs="Arial" w:eastAsia="Arial" w:hAnsi="Arial"/>
          <w:sz w:val="12"/>
          <w:szCs w:val="12"/>
          <w:color w:val="auto"/>
        </w:rPr>
        <w:t xml:space="preserve">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2"/>
          <w:szCs w:val="12"/>
          <w:color w:val="auto"/>
        </w:rPr>
        <w:t>☐</w:t>
      </w:r>
    </w:p>
    <w:p>
      <w:pPr>
        <w:sectPr>
          <w:pgSz w:w="11900" w:h="16838" w:orient="portrait"/>
          <w:cols w:equalWidth="0" w:num="1">
            <w:col w:w="10280"/>
          </w:cols>
          <w:pgMar w:left="580" w:top="239" w:right="1039" w:bottom="1440" w:gutter="0" w:footer="0" w:header="0"/>
        </w:sectPr>
      </w:pPr>
    </w:p>
    <w:p>
      <w:pPr>
        <w:spacing w:after="0" w:line="1" w:lineRule="exact"/>
        <w:rPr>
          <w:sz w:val="24"/>
          <w:szCs w:val="24"/>
          <w:color w:val="auto"/>
        </w:rPr>
      </w:pPr>
    </w:p>
    <w:p>
      <w:pPr>
        <w:ind w:left="96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jc w:val="center"/>
        <w:ind w:right="620"/>
        <w:spacing w:after="0" w:line="116"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jc w:val="both"/>
        <w:ind w:right="400" w:hanging="3"/>
        <w:spacing w:after="0" w:line="130"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69" w:lineRule="exact"/>
        <w:rPr>
          <w:sz w:val="24"/>
          <w:szCs w:val="24"/>
          <w:color w:val="auto"/>
        </w:rPr>
      </w:pPr>
    </w:p>
    <w:p>
      <w:pPr>
        <w:sectPr>
          <w:pgSz w:w="11900" w:h="16838" w:orient="portrait"/>
          <w:cols w:equalWidth="0" w:num="4">
            <w:col w:w="2880" w:space="720"/>
            <w:col w:w="1640" w:space="720"/>
            <w:col w:w="1600" w:space="720"/>
            <w:col w:w="2000"/>
          </w:cols>
          <w:pgMar w:left="580" w:top="239" w:right="1039" w:bottom="1440" w:gutter="0" w:footer="0" w:header="0"/>
          <w:type w:val="continuous"/>
        </w:sectPr>
      </w:pPr>
    </w:p>
    <w:p>
      <w:pPr>
        <w:ind w:left="500" w:right="240" w:firstLine="360"/>
        <w:spacing w:after="0" w:line="14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ind w:left="4200"/>
        <w:spacing w:after="0"/>
        <w:rPr>
          <w:sz w:val="20"/>
          <w:szCs w:val="20"/>
          <w:color w:val="auto"/>
        </w:rPr>
      </w:pPr>
      <w:r>
        <w:rPr>
          <w:rFonts w:ascii="Arial" w:cs="Arial" w:eastAsia="Arial" w:hAnsi="Arial"/>
          <w:sz w:val="13"/>
          <w:szCs w:val="13"/>
          <w:b w:val="1"/>
          <w:bCs w:val="1"/>
          <w:color w:val="auto"/>
        </w:rPr>
        <w:t>CALCULATION OF REGISTRATION FEE</w:t>
      </w:r>
    </w:p>
    <w:p>
      <w:pPr>
        <w:spacing w:after="0" w:line="35"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5760" w:type="dxa"/>
            <w:vAlign w:val="bottom"/>
            <w:tcBorders>
              <w:top w:val="single" w:sz="8" w:color="auto"/>
              <w:bottom w:val="single" w:sz="8" w:color="auto"/>
            </w:tcBorders>
          </w:tcPr>
          <w:p>
            <w:pPr>
              <w:spacing w:after="0"/>
              <w:rPr>
                <w:sz w:val="3"/>
                <w:szCs w:val="3"/>
                <w:color w:val="auto"/>
              </w:rPr>
            </w:pPr>
          </w:p>
        </w:tc>
        <w:tc>
          <w:tcPr>
            <w:tcW w:w="288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33"/>
        </w:trPr>
        <w:tc>
          <w:tcPr>
            <w:tcW w:w="5760" w:type="dxa"/>
            <w:vAlign w:val="bottom"/>
            <w:tcBorders>
              <w:right w:val="single" w:sz="8" w:color="auto"/>
            </w:tcBorders>
          </w:tcPr>
          <w:p>
            <w:pPr>
              <w:spacing w:after="0"/>
              <w:rPr>
                <w:sz w:val="11"/>
                <w:szCs w:val="11"/>
                <w:color w:val="auto"/>
              </w:rPr>
            </w:pPr>
          </w:p>
        </w:tc>
        <w:tc>
          <w:tcPr>
            <w:tcW w:w="28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7"/>
              </w:rPr>
              <w:t>Amount to be Registered/Proposed</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5760" w:type="dxa"/>
            <w:vAlign w:val="bottom"/>
            <w:tcBorders>
              <w:right w:val="single" w:sz="8" w:color="auto"/>
            </w:tcBorders>
          </w:tcPr>
          <w:p>
            <w:pPr>
              <w:ind w:left="1880"/>
              <w:spacing w:after="0"/>
              <w:rPr>
                <w:sz w:val="20"/>
                <w:szCs w:val="20"/>
                <w:color w:val="auto"/>
              </w:rPr>
            </w:pPr>
            <w:r>
              <w:rPr>
                <w:rFonts w:ascii="Arial" w:cs="Arial" w:eastAsia="Arial" w:hAnsi="Arial"/>
                <w:sz w:val="14"/>
                <w:szCs w:val="14"/>
                <w:b w:val="1"/>
                <w:bCs w:val="1"/>
                <w:color w:val="auto"/>
              </w:rPr>
              <w:t>Title of Each Class of Securities</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Maximum Offering Price Per Unit/Proposed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85"/>
        </w:trPr>
        <w:tc>
          <w:tcPr>
            <w:tcW w:w="5760" w:type="dxa"/>
            <w:vAlign w:val="bottom"/>
            <w:tcBorders>
              <w:right w:val="single" w:sz="8" w:color="auto"/>
            </w:tcBorders>
          </w:tcPr>
          <w:p>
            <w:pPr>
              <w:ind w:left="2340"/>
              <w:spacing w:after="0"/>
              <w:rPr>
                <w:sz w:val="20"/>
                <w:szCs w:val="20"/>
                <w:color w:val="auto"/>
              </w:rPr>
            </w:pPr>
            <w:r>
              <w:rPr>
                <w:rFonts w:ascii="Arial" w:cs="Arial" w:eastAsia="Arial" w:hAnsi="Arial"/>
                <w:sz w:val="14"/>
                <w:szCs w:val="14"/>
                <w:b w:val="1"/>
                <w:bCs w:val="1"/>
                <w:color w:val="auto"/>
              </w:rPr>
              <w:t>to be Registered</w:t>
            </w:r>
          </w:p>
        </w:tc>
        <w:tc>
          <w:tcPr>
            <w:tcW w:w="2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Maximum Aggregate Offering Price(1)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Registration Fee</w:t>
            </w:r>
          </w:p>
        </w:tc>
      </w:tr>
      <w:tr>
        <w:trPr>
          <w:trHeight w:val="142"/>
        </w:trPr>
        <w:tc>
          <w:tcPr>
            <w:tcW w:w="5760" w:type="dxa"/>
            <w:vAlign w:val="bottom"/>
            <w:tcBorders>
              <w:top w:val="single" w:sz="8" w:color="auto"/>
              <w:bottom w:val="single" w:sz="8" w:color="auto"/>
              <w:right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Common units representing limited partner interests</w:t>
            </w:r>
          </w:p>
        </w:tc>
        <w:tc>
          <w:tcPr>
            <w:tcW w:w="2880" w:type="dxa"/>
            <w:vAlign w:val="bottom"/>
            <w:tcBorders>
              <w:top w:val="single" w:sz="8" w:color="auto"/>
              <w:bottom w:val="single" w:sz="8" w:color="auto"/>
              <w:right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7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Preferred units representing limited partner interests</w:t>
            </w:r>
          </w:p>
        </w:tc>
        <w:tc>
          <w:tcPr>
            <w:tcW w:w="2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760" w:type="dxa"/>
            <w:vAlign w:val="bottom"/>
            <w:tcBorders>
              <w:bottom w:val="single" w:sz="8" w:color="auto"/>
              <w:right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Debt Securities</w:t>
            </w:r>
          </w:p>
        </w:tc>
        <w:tc>
          <w:tcPr>
            <w:tcW w:w="2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7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Total</w:t>
            </w:r>
          </w:p>
        </w:tc>
        <w:tc>
          <w:tcPr>
            <w:tcW w:w="28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2"/>
              </w:rPr>
              <w:t>$1,100,000,000(2)(3)(4)</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$ 120,010(5)(6)</w:t>
            </w:r>
          </w:p>
        </w:tc>
        <w:tc>
          <w:tcPr>
            <w:tcW w:w="60" w:type="dxa"/>
            <w:vAlign w:val="bottom"/>
          </w:tcPr>
          <w:p>
            <w:pPr>
              <w:spacing w:after="0"/>
              <w:rPr>
                <w:sz w:val="12"/>
                <w:szCs w:val="12"/>
                <w:color w:val="auto"/>
              </w:rPr>
            </w:pPr>
          </w:p>
        </w:tc>
      </w:tr>
      <w:tr>
        <w:trPr>
          <w:trHeight w:val="21"/>
        </w:trPr>
        <w:tc>
          <w:tcPr>
            <w:tcW w:w="5760" w:type="dxa"/>
            <w:vAlign w:val="bottom"/>
            <w:tcBorders>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3" w:lineRule="exact"/>
        <w:rPr>
          <w:sz w:val="24"/>
          <w:szCs w:val="24"/>
          <w:color w:val="auto"/>
        </w:rPr>
      </w:pPr>
    </w:p>
    <w:p>
      <w:pPr>
        <w:ind w:left="860" w:right="140" w:hanging="368"/>
        <w:spacing w:after="0" w:line="213"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If any debt securities are issued at an original issue discount, then the offering price of those debt securities shall be in an amount that will result in an aggregate initial offering price not to exceed $1,100,000,000, less the dollar amount of any registered securities previously issued.</w:t>
      </w:r>
    </w:p>
    <w:p>
      <w:pPr>
        <w:spacing w:after="0" w:line="1" w:lineRule="exact"/>
        <w:rPr>
          <w:rFonts w:ascii="Arial" w:cs="Arial" w:eastAsia="Arial" w:hAnsi="Arial"/>
          <w:sz w:val="13"/>
          <w:szCs w:val="13"/>
          <w:color w:val="auto"/>
        </w:rPr>
      </w:pPr>
    </w:p>
    <w:p>
      <w:pPr>
        <w:ind w:left="860" w:right="80" w:hanging="368"/>
        <w:spacing w:after="0" w:line="205"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In no event will the aggregate initial offering price of all securities offered from time to time pursuant to the prospectus included as a part of this Registration Statement exceed $1,100,000,000. To the extent applicable, the aggregate amount of common units registered is further limited to that which is permissible under Rule 415(a)(4) of the Securities Act. Any securities registered hereunder may be sold separately or as units with other securities registered hereunder.</w:t>
      </w:r>
    </w:p>
    <w:p>
      <w:pPr>
        <w:spacing w:after="0" w:line="2" w:lineRule="exact"/>
        <w:rPr>
          <w:rFonts w:ascii="Arial" w:cs="Arial" w:eastAsia="Arial" w:hAnsi="Arial"/>
          <w:sz w:val="13"/>
          <w:szCs w:val="13"/>
          <w:color w:val="auto"/>
        </w:rPr>
      </w:pPr>
    </w:p>
    <w:p>
      <w:pPr>
        <w:ind w:left="860" w:right="220" w:hanging="368"/>
        <w:spacing w:after="0" w:line="202"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There are being registered hereunder a presently indeterminate number of common units and preferred units and an indeterminate principal amount of debt securities. This registration statement also covers an indeterminate amount of securities as may be issued in exchange for, or upon conversion or exercise of, as the case may be, the securities registered hereunder.</w:t>
      </w:r>
    </w:p>
    <w:p>
      <w:pPr>
        <w:ind w:left="860" w:hanging="368"/>
        <w:spacing w:after="0" w:line="216"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proposed maximum aggregate offering price for each class of securities to be registered is not specified pursuant to General Instruction, II.D. of Form S-3.</w:t>
      </w:r>
    </w:p>
    <w:p>
      <w:pPr>
        <w:ind w:left="860" w:hanging="368"/>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in accordance with Rule 457(o).</w:t>
      </w:r>
    </w:p>
    <w:p>
      <w:pPr>
        <w:ind w:left="860" w:right="140" w:hanging="368"/>
        <w:spacing w:after="0" w:line="200"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Securities having an aggregate offering price of $1,100,000,000 registered under a registration statement on Form S-3 (File No. 333-227359) filed by the Registrant on September 14, 2018, remain unsold. Pursuant to Rule 457(p) under the Securities Act, the registration fee of $136,950 previously paid with respect to such unsold securities covers the entirety of the total registration fee of $120,010 due in connection with this registration statement. Accordingly, no funds have been wired in connection with the fee associated with the initial filing of this registration statement.</w:t>
      </w:r>
    </w:p>
    <w:p>
      <w:pPr>
        <w:spacing w:after="0" w:line="1" w:lineRule="exact"/>
        <w:rPr>
          <w:sz w:val="24"/>
          <w:szCs w:val="24"/>
          <w:color w:val="auto"/>
        </w:rPr>
      </w:pPr>
    </w:p>
    <w:p>
      <w:pPr>
        <w:ind w:left="500" w:right="280" w:firstLine="360"/>
        <w:spacing w:after="0" w:line="218" w:lineRule="auto"/>
        <w:rPr>
          <w:sz w:val="20"/>
          <w:szCs w:val="20"/>
          <w:color w:val="auto"/>
        </w:rPr>
      </w:pPr>
      <w:r>
        <w:rPr>
          <w:rFonts w:ascii="Arial" w:cs="Arial" w:eastAsia="Arial" w:hAnsi="Arial"/>
          <w:sz w:val="13"/>
          <w:szCs w:val="13"/>
          <w:color w:val="auto"/>
        </w:rPr>
        <w:t>Pursuant to Rule 457(p), the offering of the common units and debt securities covered by Registration Statement No. 333-227359 will be deemed terminated as of the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19050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 w:lineRule="exact"/>
        <w:rPr>
          <w:sz w:val="24"/>
          <w:szCs w:val="24"/>
          <w:color w:val="auto"/>
        </w:rPr>
      </w:pPr>
    </w:p>
    <w:p>
      <w:pPr>
        <w:ind w:left="500" w:right="180" w:firstLine="360"/>
        <w:spacing w:after="0" w:line="304"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51435</wp:posOffset>
            </wp:positionV>
            <wp:extent cx="61893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304165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39" w:right="10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180"/>
          </w:cols>
          <w:pgMar w:left="580" w:top="131" w:right="113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281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616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 may not sell these securities until the registration statement filed with</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 an offer to buy these securities in any state where the offer</w:t>
            </w:r>
          </w:p>
        </w:tc>
      </w:tr>
      <w:tr>
        <w:trPr>
          <w:trHeight w:val="12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F15060"/>
        </w:rPr>
        <w:t>SUBJECT TO COMPLETION, DATED SEPTEMBER 8,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PLAINS ALL AMERICAN PIPELINE,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PAA FINANCE CORP.</w:t>
      </w:r>
    </w:p>
    <w:p>
      <w:pPr>
        <w:spacing w:after="0" w:line="89"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Common Units</w:t>
      </w:r>
    </w:p>
    <w:p>
      <w:pPr>
        <w:ind w:left="3720"/>
        <w:spacing w:after="0" w:line="234" w:lineRule="auto"/>
        <w:rPr>
          <w:sz w:val="20"/>
          <w:szCs w:val="20"/>
          <w:color w:val="auto"/>
        </w:rPr>
      </w:pPr>
      <w:r>
        <w:rPr>
          <w:rFonts w:ascii="Arial" w:cs="Arial" w:eastAsia="Arial" w:hAnsi="Arial"/>
          <w:sz w:val="25"/>
          <w:szCs w:val="25"/>
          <w:b w:val="1"/>
          <w:bCs w:val="1"/>
          <w:color w:val="auto"/>
        </w:rPr>
        <w:t>Preferred Units</w:t>
      </w:r>
    </w:p>
    <w:p>
      <w:pPr>
        <w:ind w:left="3780"/>
        <w:spacing w:after="0"/>
        <w:rPr>
          <w:sz w:val="20"/>
          <w:szCs w:val="20"/>
          <w:color w:val="auto"/>
        </w:rPr>
      </w:pPr>
      <w:r>
        <w:rPr>
          <w:rFonts w:ascii="Arial" w:cs="Arial" w:eastAsia="Arial" w:hAnsi="Arial"/>
          <w:sz w:val="25"/>
          <w:szCs w:val="25"/>
          <w:b w:val="1"/>
          <w:bCs w:val="1"/>
          <w:color w:val="auto"/>
        </w:rPr>
        <w:t>Debt Securities</w:t>
      </w:r>
    </w:p>
    <w:p>
      <w:pPr>
        <w:spacing w:after="0" w:line="125" w:lineRule="exact"/>
        <w:rPr>
          <w:sz w:val="20"/>
          <w:szCs w:val="20"/>
          <w:color w:val="auto"/>
        </w:rPr>
      </w:pPr>
    </w:p>
    <w:p>
      <w:pPr>
        <w:ind w:right="40" w:firstLine="360"/>
        <w:spacing w:after="0" w:line="241" w:lineRule="auto"/>
        <w:rPr>
          <w:sz w:val="20"/>
          <w:szCs w:val="20"/>
          <w:color w:val="auto"/>
        </w:rPr>
      </w:pPr>
      <w:r>
        <w:rPr>
          <w:rFonts w:ascii="Arial" w:cs="Arial" w:eastAsia="Arial" w:hAnsi="Arial"/>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22"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95" w:lineRule="exact"/>
        <w:rPr>
          <w:sz w:val="20"/>
          <w:szCs w:val="20"/>
          <w:color w:val="auto"/>
        </w:rPr>
      </w:pPr>
    </w:p>
    <w:p>
      <w:pPr>
        <w:ind w:right="40" w:firstLine="3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hyperlink w:anchor="page8">
        <w:r>
          <w:rPr>
            <w:rFonts w:ascii="Arial" w:cs="Arial" w:eastAsia="Arial" w:hAnsi="Arial"/>
            <w:sz w:val="22"/>
            <w:szCs w:val="22"/>
            <w:b w:val="1"/>
            <w:bCs w:val="1"/>
            <w:u w:val="single" w:color="auto"/>
            <w:color w:val="0000EE"/>
          </w:rPr>
          <w:t>3</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of this prospectus before you make an investment in our securities.</w:t>
      </w:r>
    </w:p>
    <w:p>
      <w:pPr>
        <w:spacing w:after="0" w:line="126" w:lineRule="exact"/>
        <w:rPr>
          <w:sz w:val="20"/>
          <w:szCs w:val="20"/>
          <w:color w:val="auto"/>
        </w:rPr>
      </w:pPr>
    </w:p>
    <w:p>
      <w:pPr>
        <w:ind w:right="280" w:firstLine="360"/>
        <w:spacing w:after="0" w:line="248" w:lineRule="auto"/>
        <w:rPr>
          <w:sz w:val="20"/>
          <w:szCs w:val="20"/>
          <w:color w:val="auto"/>
        </w:rPr>
      </w:pPr>
      <w:r>
        <w:rPr>
          <w:rFonts w:ascii="Arial" w:cs="Arial" w:eastAsia="Arial" w:hAnsi="Arial"/>
          <w:sz w:val="18"/>
          <w:szCs w:val="18"/>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110" w:lineRule="exact"/>
        <w:rPr>
          <w:sz w:val="20"/>
          <w:szCs w:val="20"/>
          <w:color w:val="auto"/>
        </w:rPr>
      </w:pPr>
    </w:p>
    <w:p>
      <w:pPr>
        <w:jc w:val="both"/>
        <w:ind w:right="260" w:firstLine="36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80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81915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040"/>
          </w:cols>
          <w:pgMar w:left="580" w:top="131" w:right="11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1720" w:type="dxa"/>
            <w:vAlign w:val="bottom"/>
            <w:tcBorders>
              <w:bottom w:val="single" w:sz="8" w:color="0000EE"/>
            </w:tcBorders>
            <w:gridSpan w:val="6"/>
            <w:shd w:val="clear" w:color="auto" w:fill="CCEEFF"/>
          </w:tcPr>
          <w:p>
            <w:pPr>
              <w:spacing w:after="0" w:line="162"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About This Prospectus</w:t>
              </w:r>
            </w:hyperlink>
          </w:p>
        </w:tc>
        <w:tc>
          <w:tcPr>
            <w:tcW w:w="6300" w:type="dxa"/>
            <w:vAlign w:val="bottom"/>
            <w:tcBorders>
              <w:bottom w:val="single" w:sz="8" w:color="CCEEFF"/>
            </w:tcBorders>
            <w:gridSpan w:val="9"/>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62" w:lineRule="exact"/>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w:t>
              </w:r>
            </w:hyperlink>
          </w:p>
        </w:tc>
      </w:tr>
      <w:tr>
        <w:trPr>
          <w:trHeight w:val="216"/>
        </w:trPr>
        <w:tc>
          <w:tcPr>
            <w:tcW w:w="8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20" w:type="dxa"/>
            <w:vAlign w:val="bottom"/>
          </w:tcPr>
          <w:p>
            <w:pPr>
              <w:spacing w:after="0"/>
              <w:rPr>
                <w:sz w:val="18"/>
                <w:szCs w:val="18"/>
                <w:color w:val="auto"/>
              </w:rPr>
            </w:pPr>
          </w:p>
        </w:tc>
        <w:tc>
          <w:tcPr>
            <w:tcW w:w="1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5"/>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80" w:type="dxa"/>
            <w:vAlign w:val="bottom"/>
            <w:gridSpan w:val="4"/>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Plains All American Pipeline, L.P.</w:t>
              </w:r>
            </w:hyperlink>
          </w:p>
        </w:tc>
        <w:tc>
          <w:tcPr>
            <w:tcW w:w="1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8020" w:type="dxa"/>
            <w:vAlign w:val="bottom"/>
            <w:gridSpan w:val="15"/>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80" w:type="dxa"/>
            <w:vAlign w:val="bottom"/>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2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8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2640" w:type="dxa"/>
            <w:vAlign w:val="bottom"/>
            <w:gridSpan w:val="10"/>
            <w:shd w:val="clear" w:color="auto" w:fill="CCEEFF"/>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Description of Our Debt Securities</w:t>
              </w:r>
            </w:hyperlink>
          </w:p>
        </w:tc>
        <w:tc>
          <w:tcPr>
            <w:tcW w:w="5380" w:type="dxa"/>
            <w:vAlign w:val="bottom"/>
            <w:gridSpan w:val="5"/>
            <w:shd w:val="clear" w:color="auto" w:fill="CCEEFF"/>
          </w:tcPr>
          <w:p>
            <w:pPr>
              <w:spacing w:after="0"/>
              <w:rPr>
                <w:sz w:val="19"/>
                <w:szCs w:val="19"/>
                <w:color w:val="auto"/>
              </w:rPr>
            </w:pPr>
          </w:p>
        </w:tc>
        <w:tc>
          <w:tcPr>
            <w:tcW w:w="180" w:type="dxa"/>
            <w:vAlign w:val="bottom"/>
            <w:gridSpan w:val="4"/>
            <w:shd w:val="clear" w:color="auto" w:fill="CCEEFF"/>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6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Description of Our Preferred Units</w:t>
              </w:r>
            </w:hyperlink>
          </w:p>
        </w:tc>
        <w:tc>
          <w:tcPr>
            <w:tcW w:w="5380" w:type="dxa"/>
            <w:vAlign w:val="bottom"/>
            <w:gridSpan w:val="5"/>
          </w:tcPr>
          <w:p>
            <w:pPr>
              <w:spacing w:after="0"/>
              <w:rPr>
                <w:sz w:val="19"/>
                <w:szCs w:val="19"/>
                <w:color w:val="auto"/>
              </w:rPr>
            </w:pPr>
          </w:p>
        </w:tc>
        <w:tc>
          <w:tcPr>
            <w:tcW w:w="180" w:type="dxa"/>
            <w:vAlign w:val="bottom"/>
            <w:tcBorders>
              <w:bottom w:val="single" w:sz="8" w:color="0000EE"/>
            </w:tcBorders>
            <w:gridSpan w:val="4"/>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62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Description of Our Common Units</w:t>
              </w:r>
            </w:hyperlink>
          </w:p>
        </w:tc>
        <w:tc>
          <w:tcPr>
            <w:tcW w:w="540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r>
      <w:tr>
        <w:trPr>
          <w:trHeight w:val="229"/>
        </w:trPr>
        <w:tc>
          <w:tcPr>
            <w:tcW w:w="802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Cash Distribution Policy</w:t>
              </w:r>
            </w:hyperlink>
          </w:p>
        </w:tc>
        <w:tc>
          <w:tcPr>
            <w:tcW w:w="180" w:type="dxa"/>
            <w:vAlign w:val="bottom"/>
            <w:gridSpan w:val="4"/>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32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Description of Our Partnership Agreement</w:t>
              </w:r>
            </w:hyperlink>
          </w:p>
        </w:tc>
        <w:tc>
          <w:tcPr>
            <w:tcW w:w="48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r>
      <w:tr>
        <w:trPr>
          <w:trHeight w:val="229"/>
        </w:trPr>
        <w:tc>
          <w:tcPr>
            <w:tcW w:w="802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Material U.S. Federal Income Tax Consequences</w:t>
              </w:r>
            </w:hyperlink>
          </w:p>
        </w:tc>
        <w:tc>
          <w:tcPr>
            <w:tcW w:w="180" w:type="dxa"/>
            <w:vAlign w:val="bottom"/>
            <w:gridSpan w:val="4"/>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50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Plan of Distribution</w:t>
              </w:r>
            </w:hyperlink>
          </w:p>
        </w:tc>
        <w:tc>
          <w:tcPr>
            <w:tcW w:w="6520" w:type="dxa"/>
            <w:vAlign w:val="bottom"/>
            <w:tcBorders>
              <w:bottom w:val="single" w:sz="8" w:color="CCEEFF"/>
            </w:tcBorders>
            <w:gridSpan w:val="10"/>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40</w:t>
              </w:r>
            </w:hyperlink>
          </w:p>
        </w:tc>
      </w:tr>
      <w:tr>
        <w:trPr>
          <w:trHeight w:val="229"/>
        </w:trPr>
        <w:tc>
          <w:tcPr>
            <w:tcW w:w="8020" w:type="dxa"/>
            <w:vAlign w:val="bottom"/>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180" w:type="dxa"/>
            <w:vAlign w:val="bottom"/>
            <w:gridSpan w:val="4"/>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5"/>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180" w:type="dxa"/>
            <w:vAlign w:val="bottom"/>
            <w:gridSpan w:val="4"/>
            <w:shd w:val="clear" w:color="auto" w:fill="CCEEFF"/>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07" w:lineRule="exact"/>
        <w:rPr>
          <w:sz w:val="20"/>
          <w:szCs w:val="20"/>
          <w:color w:val="auto"/>
        </w:rPr>
      </w:pPr>
    </w:p>
    <w:p>
      <w:pPr>
        <w:ind w:left="1260" w:right="579" w:firstLine="360"/>
        <w:spacing w:after="0" w:line="292"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84"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Annual Report on Form 10-K for the fiscal year ended December 31, 2020;</w:t>
        </w:r>
      </w:hyperlink>
    </w:p>
    <w:p>
      <w:pPr>
        <w:spacing w:after="0" w:line="117"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Quarterly Reports on Form 10-Q for the quarterly periods ended </w:t>
      </w:r>
      <w:hyperlink r:id="rId22">
        <w:r>
          <w:rPr>
            <w:rFonts w:ascii="Arial" w:cs="Arial" w:eastAsia="Arial" w:hAnsi="Arial"/>
            <w:sz w:val="17"/>
            <w:szCs w:val="17"/>
            <w:u w:val="single" w:color="auto"/>
            <w:color w:val="0000EE"/>
          </w:rPr>
          <w:t>March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3">
        <w:r>
          <w:rPr>
            <w:rFonts w:ascii="Arial" w:cs="Arial" w:eastAsia="Arial" w:hAnsi="Arial"/>
            <w:sz w:val="17"/>
            <w:szCs w:val="17"/>
            <w:u w:val="single" w:color="auto"/>
            <w:color w:val="0000EE"/>
          </w:rPr>
          <w:t>June 30, 2021;</w:t>
        </w:r>
      </w:hyperlink>
    </w:p>
    <w:p>
      <w:pPr>
        <w:spacing w:after="0" w:line="128"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24">
        <w:r>
          <w:rPr>
            <w:rFonts w:ascii="Arial" w:cs="Arial" w:eastAsia="Arial" w:hAnsi="Arial"/>
            <w:sz w:val="18"/>
            <w:szCs w:val="18"/>
            <w:u w:val="single" w:color="auto"/>
            <w:color w:val="0000EE"/>
          </w:rPr>
          <w:t>March 3, 2021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May 25, 2021</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July 2, 2021</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July 13, 2021</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August 24,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 xml:space="preserve">August 25,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August 26,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ind w:left="1800" w:right="499" w:hanging="180"/>
        <w:spacing w:after="0" w:line="263" w:lineRule="auto"/>
        <w:tabs>
          <w:tab w:leader="none" w:pos="180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description of our common units contained in our </w:t>
      </w:r>
      <w:hyperlink r:id="rId31">
        <w:r>
          <w:rPr>
            <w:rFonts w:ascii="Arial" w:cs="Arial" w:eastAsia="Arial" w:hAnsi="Arial"/>
            <w:sz w:val="18"/>
            <w:szCs w:val="18"/>
            <w:u w:val="single" w:color="auto"/>
            <w:color w:val="0000EE"/>
          </w:rPr>
          <w:t>Form 8-A/A dated November 16,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Form 8-A dated December 11, 2020,</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any subsequent amendment thereto filed for the purpose of</w:t>
      </w:r>
      <w:r>
        <w:rPr>
          <w:rFonts w:ascii="Arial" w:cs="Arial" w:eastAsia="Arial" w:hAnsi="Arial"/>
          <w:sz w:val="18"/>
          <w:szCs w:val="18"/>
          <w:color w:val="0000EE"/>
        </w:rPr>
        <w:t xml:space="preserve"> </w:t>
      </w:r>
      <w:r>
        <w:rPr>
          <w:rFonts w:ascii="Arial" w:cs="Arial" w:eastAsia="Arial" w:hAnsi="Arial"/>
          <w:sz w:val="18"/>
          <w:szCs w:val="18"/>
          <w:color w:val="000000"/>
        </w:rPr>
        <w:t>updating such description.</w:t>
      </w:r>
    </w:p>
    <w:p>
      <w:pPr>
        <w:spacing w:after="0" w:line="116" w:lineRule="exact"/>
        <w:rPr>
          <w:rFonts w:ascii="Arial" w:cs="Arial" w:eastAsia="Arial" w:hAnsi="Arial"/>
          <w:sz w:val="18"/>
          <w:szCs w:val="18"/>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03" w:lineRule="exact"/>
        <w:rPr>
          <w:rFonts w:ascii="Arial" w:cs="Arial" w:eastAsia="Arial" w:hAnsi="Arial"/>
          <w:sz w:val="18"/>
          <w:szCs w:val="18"/>
          <w:color w:val="auto"/>
        </w:rPr>
      </w:pPr>
    </w:p>
    <w:p>
      <w:pPr>
        <w:ind w:left="4040"/>
        <w:spacing w:after="0"/>
        <w:rPr>
          <w:sz w:val="20"/>
          <w:szCs w:val="20"/>
          <w:color w:val="auto"/>
        </w:rPr>
      </w:pPr>
      <w:r>
        <w:rPr>
          <w:rFonts w:ascii="Arial" w:cs="Arial" w:eastAsia="Arial" w:hAnsi="Arial"/>
          <w:sz w:val="18"/>
          <w:szCs w:val="18"/>
          <w:color w:val="auto"/>
        </w:rPr>
        <w:t>Plains All American Pipeline, L.P.</w:t>
      </w:r>
    </w:p>
    <w:p>
      <w:pPr>
        <w:spacing w:after="0" w:line="23" w:lineRule="exact"/>
        <w:rPr>
          <w:rFonts w:ascii="Arial" w:cs="Arial" w:eastAsia="Arial" w:hAnsi="Arial"/>
          <w:sz w:val="18"/>
          <w:szCs w:val="18"/>
          <w:color w:val="auto"/>
        </w:rPr>
      </w:pPr>
    </w:p>
    <w:p>
      <w:pPr>
        <w:ind w:left="4300"/>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ind w:left="4180"/>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ind w:left="4340"/>
        <w:spacing w:after="0"/>
        <w:rPr>
          <w:sz w:val="20"/>
          <w:szCs w:val="20"/>
          <w:color w:val="auto"/>
        </w:rPr>
      </w:pPr>
      <w:r>
        <w:rPr>
          <w:rFonts w:ascii="Arial" w:cs="Arial" w:eastAsia="Arial" w:hAnsi="Arial"/>
          <w:sz w:val="18"/>
          <w:szCs w:val="18"/>
          <w:color w:val="auto"/>
        </w:rPr>
        <w:t>Telephone: (713) 646-4100</w:t>
      </w:r>
    </w:p>
    <w:p>
      <w:pPr>
        <w:spacing w:after="0" w:line="143" w:lineRule="exact"/>
        <w:rPr>
          <w:rFonts w:ascii="Arial" w:cs="Arial" w:eastAsia="Arial" w:hAnsi="Arial"/>
          <w:sz w:val="18"/>
          <w:szCs w:val="18"/>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6" w:lineRule="exact"/>
        <w:rPr>
          <w:sz w:val="20"/>
          <w:szCs w:val="20"/>
          <w:color w:val="auto"/>
        </w:rPr>
      </w:pPr>
    </w:p>
    <w:p>
      <w:pPr>
        <w:ind w:left="1800" w:right="499" w:hanging="180"/>
        <w:spacing w:after="0" w:line="270"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9" w:lineRule="exact"/>
        <w:rPr>
          <w:rFonts w:ascii="Arial" w:cs="Arial" w:eastAsia="Arial" w:hAnsi="Arial"/>
          <w:sz w:val="17"/>
          <w:szCs w:val="17"/>
          <w:color w:val="auto"/>
        </w:rPr>
      </w:pPr>
    </w:p>
    <w:p>
      <w:pPr>
        <w:ind w:left="1800" w:right="63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43" w:lineRule="exact"/>
        <w:rPr>
          <w:rFonts w:ascii="Arial" w:cs="Arial" w:eastAsia="Arial" w:hAnsi="Arial"/>
          <w:sz w:val="17"/>
          <w:szCs w:val="17"/>
          <w:color w:val="auto"/>
        </w:rPr>
      </w:pPr>
    </w:p>
    <w:p>
      <w:pPr>
        <w:ind w:left="1800" w:right="7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48"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48" w:lineRule="exact"/>
        <w:rPr>
          <w:rFonts w:ascii="Arial" w:cs="Arial" w:eastAsia="Arial" w:hAnsi="Arial"/>
          <w:sz w:val="18"/>
          <w:szCs w:val="18"/>
          <w:color w:val="auto"/>
        </w:rPr>
      </w:pPr>
    </w:p>
    <w:p>
      <w:pPr>
        <w:jc w:val="both"/>
        <w:ind w:left="1800" w:right="99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48"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48"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48" w:lineRule="exact"/>
        <w:rPr>
          <w:rFonts w:ascii="Arial" w:cs="Arial" w:eastAsia="Arial" w:hAnsi="Arial"/>
          <w:sz w:val="18"/>
          <w:szCs w:val="18"/>
          <w:color w:val="auto"/>
        </w:rPr>
      </w:pPr>
    </w:p>
    <w:p>
      <w:pPr>
        <w:ind w:left="1800" w:right="559" w:hanging="180"/>
        <w:spacing w:after="0" w:line="273"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6" w:lineRule="exact"/>
        <w:rPr>
          <w:rFonts w:ascii="Arial" w:cs="Arial" w:eastAsia="Arial" w:hAnsi="Arial"/>
          <w:sz w:val="17"/>
          <w:szCs w:val="17"/>
          <w:color w:val="auto"/>
        </w:rPr>
      </w:pPr>
    </w:p>
    <w:p>
      <w:pPr>
        <w:ind w:left="1800" w:right="6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48"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03" w:lineRule="exact"/>
        <w:rPr>
          <w:rFonts w:ascii="Arial" w:cs="Arial" w:eastAsia="Arial" w:hAnsi="Arial"/>
          <w:sz w:val="18"/>
          <w:szCs w:val="18"/>
          <w:color w:val="auto"/>
        </w:rPr>
      </w:pPr>
    </w:p>
    <w:p>
      <w:pPr>
        <w:ind w:left="1800" w:right="559" w:hanging="180"/>
        <w:spacing w:after="0" w:line="279"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63" w:lineRule="exact"/>
        <w:rPr>
          <w:rFonts w:ascii="Arial" w:cs="Arial" w:eastAsia="Arial" w:hAnsi="Arial"/>
          <w:sz w:val="17"/>
          <w:szCs w:val="17"/>
          <w:color w:val="auto"/>
        </w:rPr>
      </w:pPr>
    </w:p>
    <w:p>
      <w:pPr>
        <w:ind w:left="1800" w:right="799" w:hanging="180"/>
        <w:spacing w:after="0" w:line="286"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3"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producers, who have made commitments to our pipelines, to access capital to fund their drilling and completion activities;</w:t>
      </w:r>
    </w:p>
    <w:p>
      <w:pPr>
        <w:spacing w:after="0" w:line="48"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79"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48"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jc w:val="both"/>
        <w:ind w:left="1800" w:right="6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03"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03" w:lineRule="exact"/>
        <w:rPr>
          <w:sz w:val="20"/>
          <w:szCs w:val="20"/>
          <w:color w:val="auto"/>
        </w:rPr>
      </w:pPr>
    </w:p>
    <w:p>
      <w:pPr>
        <w:ind w:left="1260" w:right="659" w:firstLine="360"/>
        <w:spacing w:after="0"/>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as well as factors that are unknown or unpredictable, could also have a material adverse effect on future results. Please read “Risk Factors” </w:t>
      </w:r>
      <w:hyperlink r:id="rId21">
        <w:r>
          <w:rPr>
            <w:rFonts w:ascii="Arial" w:cs="Arial" w:eastAsia="Arial" w:hAnsi="Arial"/>
            <w:sz w:val="18"/>
            <w:szCs w:val="18"/>
            <w:color w:val="auto"/>
          </w:rPr>
          <w:t xml:space="preserve">beginning on page 3 of this prospectus and discussed in Item 1A. of our </w:t>
        </w:r>
        <w:r>
          <w:rPr>
            <w:rFonts w:ascii="Arial" w:cs="Arial" w:eastAsia="Arial" w:hAnsi="Arial"/>
            <w:sz w:val="18"/>
            <w:szCs w:val="18"/>
            <w:u w:val="single" w:color="auto"/>
            <w:color w:val="0000EE"/>
          </w:rPr>
          <w:t>Annual Report on Form 10- K for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the year ended December 31, 2020 (File No. 001-14569)</w:t>
        </w:r>
        <w:r>
          <w:rPr>
            <w:rFonts w:ascii="Arial" w:cs="Arial" w:eastAsia="Arial" w:hAnsi="Arial"/>
            <w:sz w:val="18"/>
            <w:szCs w:val="18"/>
            <w:color w:val="000000"/>
          </w:rPr>
          <w:t>, which is incorporated into this prospectus by</w:t>
        </w:r>
      </w:hyperlink>
      <w:r>
        <w:rPr>
          <w:rFonts w:ascii="Arial" w:cs="Arial" w:eastAsia="Arial" w:hAnsi="Arial"/>
          <w:sz w:val="18"/>
          <w:szCs w:val="18"/>
          <w:color w:val="0000EE"/>
        </w:rPr>
        <w:t xml:space="preserve"> </w:t>
      </w:r>
      <w:r>
        <w:rPr>
          <w:rFonts w:ascii="Arial" w:cs="Arial" w:eastAsia="Arial" w:hAnsi="Arial"/>
          <w:sz w:val="18"/>
          <w:szCs w:val="18"/>
          <w:color w:val="000000"/>
        </w:rPr>
        <w:t>reference. Except as required by applicable securities laws, we do not intend to update these forward-looking statements and information.</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Our assets and the services we provide are primarily focused on crude oil, NGL and natural gas.</w:t>
      </w:r>
    </w:p>
    <w:p>
      <w:pPr>
        <w:spacing w:after="0" w:line="116"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1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0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 xml:space="preserve">Our principal executive offices are located at 333 Clay Street, Suite 1600, Houston, Texas 77002 and our telephone number is (713) 646-4100. We maintain a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left="1260" w:right="439" w:firstLine="360"/>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about us please refer to the documents set forth under “Where You Can Find </w:t>
      </w:r>
      <w:hyperlink r:id="rId21">
        <w:r>
          <w:rPr>
            <w:rFonts w:ascii="Arial" w:cs="Arial" w:eastAsia="Arial" w:hAnsi="Arial"/>
            <w:sz w:val="18"/>
            <w:szCs w:val="18"/>
            <w:color w:val="auto"/>
          </w:rPr>
          <w:t xml:space="preserve">More Information” in this prospectus, including our </w:t>
        </w:r>
        <w:r>
          <w:rPr>
            <w:rFonts w:ascii="Arial" w:cs="Arial" w:eastAsia="Arial" w:hAnsi="Arial"/>
            <w:sz w:val="18"/>
            <w:szCs w:val="18"/>
            <w:u w:val="single" w:color="auto"/>
            <w:color w:val="0000EE"/>
          </w:rPr>
          <w:t>Annual Report on Form 10-K for the fiscal year ended</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December 31, 2020 (File No. 001-14569)</w:t>
        </w:r>
        <w:r>
          <w:rPr>
            <w:rFonts w:ascii="Arial" w:cs="Arial" w:eastAsia="Arial" w:hAnsi="Arial"/>
            <w:sz w:val="18"/>
            <w:szCs w:val="18"/>
            <w:color w:val="000000"/>
          </w:rPr>
          <w:t>, which is incorporated by reference herein.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19" w:firstLine="360"/>
        <w:spacing w:after="0" w:line="253" w:lineRule="auto"/>
        <w:rPr>
          <w:rFonts w:ascii="Arial" w:cs="Arial" w:eastAsia="Arial" w:hAnsi="Arial"/>
          <w:sz w:val="18"/>
          <w:szCs w:val="18"/>
          <w:color w:val="0000EE"/>
        </w:rPr>
      </w:pPr>
      <w:r>
        <w:rPr>
          <w:rFonts w:ascii="Arial" w:cs="Arial" w:eastAsia="Arial" w:hAnsi="Arial"/>
          <w:sz w:val="18"/>
          <w:szCs w:val="18"/>
          <w:color w:val="auto"/>
        </w:rPr>
        <w:t xml:space="preserve">An investment in our securities involves a high degree of risk. Before you invest in our securities, you </w:t>
      </w:r>
      <w:hyperlink r:id="rId21">
        <w:r>
          <w:rPr>
            <w:rFonts w:ascii="Arial" w:cs="Arial" w:eastAsia="Arial" w:hAnsi="Arial"/>
            <w:sz w:val="18"/>
            <w:szCs w:val="18"/>
            <w:color w:val="auto"/>
          </w:rPr>
          <w:t xml:space="preserve">should carefully consider the risk factors included in Item 1A. “Risk Factors” in our </w:t>
        </w:r>
        <w:r>
          <w:rPr>
            <w:rFonts w:ascii="Arial" w:cs="Arial" w:eastAsia="Arial" w:hAnsi="Arial"/>
            <w:sz w:val="18"/>
            <w:szCs w:val="18"/>
            <w:u w:val="single" w:color="auto"/>
            <w:color w:val="0000EE"/>
          </w:rPr>
          <w:t>Annual Report on Form</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10-K for the year ended December 31, 2020 (File No. 001-14569)</w:t>
        </w:r>
        <w:r>
          <w:rPr>
            <w:rFonts w:ascii="Arial" w:cs="Arial" w:eastAsia="Arial" w:hAnsi="Arial"/>
            <w:sz w:val="18"/>
            <w:szCs w:val="18"/>
            <w:color w:val="000000"/>
          </w:rPr>
          <w:t>, which is incorporated into this</w:t>
        </w:r>
      </w:hyperlink>
      <w:r>
        <w:rPr>
          <w:rFonts w:ascii="Arial" w:cs="Arial" w:eastAsia="Arial" w:hAnsi="Arial"/>
          <w:sz w:val="18"/>
          <w:szCs w:val="18"/>
          <w:color w:val="0000EE"/>
        </w:rPr>
        <w:t xml:space="preserve"> </w:t>
      </w:r>
      <w:r>
        <w:rPr>
          <w:rFonts w:ascii="Arial" w:cs="Arial" w:eastAsia="Arial" w:hAnsi="Arial"/>
          <w:sz w:val="18"/>
          <w:szCs w:val="18"/>
          <w:color w:val="000000"/>
        </w:rPr>
        <w:t>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9"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debt securities will be:</w:t>
      </w:r>
    </w:p>
    <w:p>
      <w:pPr>
        <w:spacing w:after="0" w:line="117"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issued under separate indentures (which may be existing indentures) among Plains All American Pipeline, PAA Finance and U.S. Bank National Association, as successor Trustee.</w:t>
      </w:r>
    </w:p>
    <w:p>
      <w:pPr>
        <w:spacing w:after="0" w:line="6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2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6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we will issue the debt securities in individual certificates to each holder in registered form, or in the form of temporary or permanent global securities held by a depository on behalf of holders;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Possible Future Guarantees</w:t>
      </w:r>
    </w:p>
    <w:p>
      <w:pPr>
        <w:spacing w:after="0" w:line="162"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7"/>
          <w:szCs w:val="17"/>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2"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or Asset Sale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08"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4" w:lineRule="exact"/>
        <w:rPr>
          <w:sz w:val="20"/>
          <w:szCs w:val="20"/>
          <w:color w:val="auto"/>
        </w:rPr>
      </w:pPr>
    </w:p>
    <w:p>
      <w:pPr>
        <w:ind w:left="1800" w:right="419" w:hanging="180"/>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(as defined under “</w:t>
      </w:r>
    </w:p>
    <w:p>
      <w:pPr>
        <w:spacing w:after="0" w:line="34"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 Events of Default and Remedies” below) may exist.</w:t>
      </w:r>
    </w:p>
    <w:p>
      <w:pPr>
        <w:spacing w:after="0" w:line="14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62"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Indentures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3" w:lineRule="exact"/>
        <w:rPr>
          <w:sz w:val="20"/>
          <w:szCs w:val="20"/>
          <w:color w:val="auto"/>
        </w:rPr>
      </w:pPr>
    </w:p>
    <w:p>
      <w:pPr>
        <w:ind w:left="1800" w:right="107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03" w:lineRule="exact"/>
        <w:rPr>
          <w:rFonts w:ascii="Arial" w:cs="Arial" w:eastAsia="Arial" w:hAnsi="Arial"/>
          <w:sz w:val="18"/>
          <w:szCs w:val="18"/>
          <w:color w:val="auto"/>
        </w:rPr>
      </w:pPr>
    </w:p>
    <w:p>
      <w:pPr>
        <w:jc w:val="both"/>
        <w:ind w:left="1800" w:right="51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03"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8"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75"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w:t>
      </w:r>
    </w:p>
    <w:p>
      <w:pPr>
        <w:spacing w:after="0" w:line="62"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10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63"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provide for the assumption of an issuer’s obligations to holders of debt securities in the case of a merger or consolidation or disposition of all or substantially all of such issuer’s assets;</w:t>
      </w:r>
    </w:p>
    <w:p>
      <w:pPr>
        <w:spacing w:after="0" w:line="38" w:lineRule="exact"/>
        <w:rPr>
          <w:rFonts w:ascii="Arial" w:cs="Arial" w:eastAsia="Arial" w:hAnsi="Arial"/>
          <w:sz w:val="17"/>
          <w:szCs w:val="17"/>
          <w:color w:val="auto"/>
        </w:rPr>
      </w:pPr>
    </w:p>
    <w:p>
      <w:pPr>
        <w:jc w:val="both"/>
        <w:ind w:left="1800" w:right="69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75"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evidence or provide for the acceptance of appointment under the indenture of a successor Trustee;</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 and Remedies</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62"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pay when due any sinking fund payment with respect to any debt securities of that series;</w:t>
      </w:r>
    </w:p>
    <w:p>
      <w:pPr>
        <w:spacing w:after="0" w:line="128" w:lineRule="exact"/>
        <w:rPr>
          <w:rFonts w:ascii="Arial" w:cs="Arial" w:eastAsia="Arial" w:hAnsi="Arial"/>
          <w:sz w:val="17"/>
          <w:szCs w:val="17"/>
          <w:color w:val="auto"/>
        </w:rPr>
      </w:pPr>
    </w:p>
    <w:p>
      <w:pPr>
        <w:ind w:left="1800" w:right="73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 Consolidation, Merger or Asset Sale;”</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44" w:lineRule="exact"/>
        <w:rPr>
          <w:sz w:val="20"/>
          <w:szCs w:val="20"/>
          <w:color w:val="auto"/>
        </w:rPr>
      </w:pPr>
    </w:p>
    <w:p>
      <w:pPr>
        <w:jc w:val="both"/>
        <w:ind w:left="1260" w:right="439" w:firstLine="360"/>
        <w:spacing w:after="0" w:line="279" w:lineRule="auto"/>
        <w:rPr>
          <w:sz w:val="20"/>
          <w:szCs w:val="20"/>
          <w:color w:val="auto"/>
        </w:rPr>
      </w:pPr>
      <w:r>
        <w:rPr>
          <w:rFonts w:ascii="Arial" w:cs="Arial" w:eastAsia="Arial" w:hAnsi="Arial"/>
          <w:sz w:val="17"/>
          <w:szCs w:val="17"/>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0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20" w:lineRule="exact"/>
        <w:rPr>
          <w:sz w:val="20"/>
          <w:szCs w:val="20"/>
          <w:color w:val="auto"/>
        </w:rPr>
      </w:pPr>
    </w:p>
    <w:p>
      <w:pPr>
        <w:ind w:left="1260" w:right="619" w:firstLine="360"/>
        <w:spacing w:after="0" w:line="273" w:lineRule="auto"/>
        <w:rPr>
          <w:sz w:val="20"/>
          <w:szCs w:val="20"/>
          <w:color w:val="auto"/>
        </w:rPr>
      </w:pPr>
      <w:r>
        <w:rPr>
          <w:rFonts w:ascii="Arial" w:cs="Arial" w:eastAsia="Arial" w:hAnsi="Arial"/>
          <w:sz w:val="17"/>
          <w:szCs w:val="17"/>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of Notes</w:t>
      </w:r>
    </w:p>
    <w:p>
      <w:pPr>
        <w:spacing w:after="0" w:line="1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Minimum Denominations</w:t>
      </w:r>
    </w:p>
    <w:p>
      <w:pPr>
        <w:spacing w:after="0" w:line="14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 and Transfer</w:t>
      </w:r>
    </w:p>
    <w:p>
      <w:pPr>
        <w:spacing w:after="0" w:line="14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1"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05"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Registration and Transfer</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not be required to:</w:t>
      </w:r>
    </w:p>
    <w:p>
      <w:pPr>
        <w:spacing w:after="0" w:line="104" w:lineRule="exact"/>
        <w:rPr>
          <w:sz w:val="20"/>
          <w:szCs w:val="20"/>
          <w:color w:val="auto"/>
        </w:rPr>
      </w:pPr>
    </w:p>
    <w:p>
      <w:pPr>
        <w:ind w:left="1800" w:right="479" w:hanging="180"/>
        <w:spacing w:after="0" w:line="259"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3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4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44"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The subordinated debt securities will rank junior in right of payment to all of the Senior Indebtedness of Plains All American Pipeline. “Senior Indebtedness” will be defined in a supplemental indenture or</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authorizing resolutions respecting any issuance of a series of subordinated debt securities, and the definition will be set forth in the prospectus supplement.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4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78"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5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 Entry, Delivery and Form</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1"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03"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00"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16"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99" w:firstLine="360"/>
        <w:spacing w:after="0" w:line="224" w:lineRule="auto"/>
        <w:rPr>
          <w:sz w:val="20"/>
          <w:szCs w:val="20"/>
          <w:color w:val="auto"/>
        </w:rPr>
      </w:pPr>
      <w:r>
        <w:rPr>
          <w:rFonts w:ascii="Arial" w:cs="Arial" w:eastAsia="Arial" w:hAnsi="Arial"/>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97" w:lineRule="exact"/>
        <w:rPr>
          <w:sz w:val="20"/>
          <w:szCs w:val="20"/>
          <w:color w:val="auto"/>
        </w:rPr>
      </w:pPr>
    </w:p>
    <w:p>
      <w:pPr>
        <w:ind w:left="1260" w:right="1119" w:firstLine="360"/>
        <w:spacing w:after="0" w:line="246"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75" w:lineRule="exact"/>
        <w:rPr>
          <w:sz w:val="20"/>
          <w:szCs w:val="20"/>
          <w:color w:val="auto"/>
        </w:rPr>
      </w:pPr>
    </w:p>
    <w:p>
      <w:pPr>
        <w:jc w:val="both"/>
        <w:ind w:left="1800" w:right="81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35" w:lineRule="exact"/>
        <w:rPr>
          <w:sz w:val="20"/>
          <w:szCs w:val="20"/>
          <w:color w:val="auto"/>
        </w:rPr>
      </w:pPr>
    </w:p>
    <w:p>
      <w:pPr>
        <w:ind w:left="1260" w:right="979" w:firstLine="360"/>
        <w:spacing w:after="0" w:line="246"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116" w:lineRule="exact"/>
        <w:rPr>
          <w:sz w:val="20"/>
          <w:szCs w:val="20"/>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44" w:lineRule="exact"/>
        <w:rPr>
          <w:rFonts w:ascii="Arial" w:cs="Arial" w:eastAsia="Arial" w:hAnsi="Arial"/>
          <w:sz w:val="18"/>
          <w:szCs w:val="18"/>
          <w:color w:val="auto"/>
        </w:rPr>
      </w:pPr>
    </w:p>
    <w:p>
      <w:pPr>
        <w:ind w:left="1620" w:right="599" w:firstLine="360"/>
        <w:spacing w:after="0" w:line="231" w:lineRule="auto"/>
        <w:tabs>
          <w:tab w:leader="none" w:pos="23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94" w:lineRule="exact"/>
        <w:rPr>
          <w:rFonts w:ascii="Arial" w:cs="Arial" w:eastAsia="Arial" w:hAnsi="Arial"/>
          <w:sz w:val="18"/>
          <w:szCs w:val="18"/>
          <w:color w:val="auto"/>
        </w:rPr>
      </w:pPr>
    </w:p>
    <w:p>
      <w:pPr>
        <w:ind w:left="1620" w:right="419" w:firstLine="360"/>
        <w:spacing w:after="0" w:line="237" w:lineRule="auto"/>
        <w:tabs>
          <w:tab w:leader="none" w:pos="234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21" w:lineRule="exact"/>
        <w:rPr>
          <w:rFonts w:ascii="Arial" w:cs="Arial" w:eastAsia="Arial" w:hAnsi="Arial"/>
          <w:sz w:val="17"/>
          <w:szCs w:val="17"/>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44" w:lineRule="exact"/>
        <w:rPr>
          <w:rFonts w:ascii="Arial" w:cs="Arial" w:eastAsia="Arial" w:hAnsi="Arial"/>
          <w:sz w:val="18"/>
          <w:szCs w:val="18"/>
          <w:color w:val="auto"/>
        </w:rPr>
      </w:pPr>
    </w:p>
    <w:p>
      <w:pPr>
        <w:ind w:left="1260" w:right="619" w:firstLine="360"/>
        <w:spacing w:after="0" w:line="246" w:lineRule="auto"/>
        <w:tabs>
          <w:tab w:leader="none" w:pos="19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89" w:lineRule="exact"/>
        <w:rPr>
          <w:sz w:val="20"/>
          <w:szCs w:val="20"/>
          <w:color w:val="auto"/>
        </w:rPr>
      </w:pPr>
    </w:p>
    <w:p>
      <w:pPr>
        <w:ind w:left="1260" w:right="639" w:firstLine="360"/>
        <w:spacing w:after="0" w:line="246"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Trustee</w:t>
      </w:r>
    </w:p>
    <w:p>
      <w:pPr>
        <w:spacing w:after="0" w:line="162"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58"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8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15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A Preferred Units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ended on or prior to December 31, 2017 (the “Initial Distribution Period”), we had the option, which we elected, to pay distributions on the Series A preferred units in additional Series A preferred units. With respect to each quarter ending after the Initial Distribution Period, we have paid distributions on the Series A preferred units in cash. For a period of</w:t>
      </w:r>
    </w:p>
    <w:p>
      <w:pPr>
        <w:spacing w:after="0" w:line="5" w:lineRule="exact"/>
        <w:rPr>
          <w:sz w:val="20"/>
          <w:szCs w:val="20"/>
          <w:color w:val="auto"/>
        </w:rPr>
      </w:pPr>
    </w:p>
    <w:p>
      <w:pPr>
        <w:ind w:left="1260" w:right="499"/>
        <w:spacing w:after="0" w:line="250" w:lineRule="auto"/>
        <w:rPr>
          <w:sz w:val="20"/>
          <w:szCs w:val="20"/>
          <w:color w:val="auto"/>
        </w:rPr>
      </w:pPr>
      <w:r>
        <w:rPr>
          <w:rFonts w:ascii="Arial" w:cs="Arial" w:eastAsia="Arial" w:hAnsi="Arial"/>
          <w:sz w:val="17"/>
          <w:szCs w:val="17"/>
          <w:color w:val="auto"/>
        </w:rPr>
        <w:t>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2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B Preferred Units</w:t>
      </w:r>
    </w:p>
    <w:p>
      <w:pPr>
        <w:spacing w:after="0" w:line="162"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our partnership agreement) plus a spread of 4.11%.</w:t>
      </w:r>
    </w:p>
    <w:p>
      <w:pPr>
        <w:spacing w:after="0" w:line="10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w:t>
      </w:r>
    </w:p>
    <w:p>
      <w:pPr>
        <w:spacing w:after="0" w:line="3"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Future Issuances of Preferred Units</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A</w:t>
      </w:r>
    </w:p>
    <w:p>
      <w:pPr>
        <w:spacing w:after="0" w:line="2"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2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76" w:lineRule="exact"/>
        <w:rPr>
          <w:sz w:val="20"/>
          <w:szCs w:val="20"/>
          <w:color w:val="auto"/>
        </w:rPr>
      </w:pPr>
    </w:p>
    <w:p>
      <w:pPr>
        <w:ind w:left="1800" w:right="7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117" w:lineRule="exact"/>
        <w:rPr>
          <w:rFonts w:ascii="Arial" w:cs="Arial" w:eastAsia="Arial" w:hAnsi="Arial"/>
          <w:sz w:val="18"/>
          <w:szCs w:val="18"/>
          <w:color w:val="auto"/>
        </w:rPr>
      </w:pPr>
    </w:p>
    <w:p>
      <w:pPr>
        <w:ind w:left="1800" w:right="15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DESCRIPTION OF OUR COMMON UNITS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20"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Our outstanding common units are listed on NASDAQ under the symbol “PAA.” Any additional common units we issue will also be listed on NASDAQ.</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transfer agent and registrar for our common units is American Stock Transfer &amp; Trust Company.</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4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fiduciary duties our general partner may owe to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2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general partner manages our day-to -day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2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Subject to limited exceptions, PAGP GP’s Third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93"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board is divided into three staggered classes. At each annual meeting, only the eligible directors of a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PAGP holds annual shareholder meetings for the purpose of electing eligible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eligible directors at PAGP’s annual meeting. We will vote (or refrain from voting) our Class C shares for the election of eligible directors at the direction and on behalf of our eligible common and Series A preferred unitholders in the same proportion as the votes received from or withheld by our limited partners. At our annual meetings, common units held by AAP will not be voted on the election of directors and other routine matters and will not be counted for purposes of determining whether a quorum exists.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Except as described under “Description of Our Partnership Agreement — Limited Liability,” the common units will be fully paid, and common unitholders will not be required to make additional capital contributions to us.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08" w:lineRule="exact"/>
        <w:rPr>
          <w:sz w:val="20"/>
          <w:szCs w:val="20"/>
          <w:color w:val="auto"/>
        </w:rPr>
      </w:pPr>
    </w:p>
    <w:p>
      <w:pPr>
        <w:ind w:left="1260" w:right="639" w:firstLine="360"/>
        <w:spacing w:after="0" w:line="239" w:lineRule="auto"/>
        <w:rPr>
          <w:sz w:val="20"/>
          <w:szCs w:val="20"/>
          <w:color w:val="auto"/>
        </w:rPr>
      </w:pPr>
      <w:r>
        <w:rPr>
          <w:rFonts w:ascii="Arial" w:cs="Arial" w:eastAsia="Arial" w:hAnsi="Arial"/>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Right</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any), in each case, to PAGP. The AAP Class A units transferred to AAP will be canceled, the PAGP Class B shares transferred to PAGP will be canceled and the general partner units transferred to PAGP will remain outstanding and increase PAGP’s ownership percentage in PAGP GP.</w:t>
      </w:r>
    </w:p>
    <w:p>
      <w:pPr>
        <w:spacing w:after="0" w:line="12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As long as PAGP’s Class A shares are publicly traded, a holder of Class B units of AAP (the “AAP management units”) will be entitled to convert his or her vested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vested AAP management units who convert such units into AAP Class A units and PAGP Class B shares will not receive general partner units and thus will not need to include any general partner units in a transfer or the exercise of their Redemption Right.</w:t>
      </w:r>
    </w:p>
    <w:p>
      <w:pPr>
        <w:spacing w:after="0" w:line="11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Reports and Records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0"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95"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62"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75"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copies of our partnership agreement, our certificate of limited partnership, amendments to either of them and powers of attorney which have been executed under our partnership agreement;</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44"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of Available Cash</w:t>
      </w:r>
    </w:p>
    <w:p>
      <w:pPr>
        <w:spacing w:after="0" w:line="14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described below.</w:t>
      </w:r>
    </w:p>
    <w:p>
      <w:pPr>
        <w:spacing w:after="0" w:line="103"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all cash and cash equivalents on hand at the end of that quarter less reserves established in the reasonable discretion of the general partner for future requirements to:</w:t>
      </w:r>
    </w:p>
    <w:p>
      <w:pPr>
        <w:spacing w:after="0" w:line="74" w:lineRule="exact"/>
        <w:rPr>
          <w:sz w:val="20"/>
          <w:szCs w:val="20"/>
          <w:color w:val="auto"/>
        </w:rPr>
      </w:pPr>
    </w:p>
    <w:p>
      <w:pPr>
        <w:ind w:left="1800" w:right="95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for the proper conduct of our business and the business of our operating partnerships (including reserves for future capital expenditures and for our anticipated future credit needs);</w:t>
      </w:r>
    </w:p>
    <w:p>
      <w:pPr>
        <w:spacing w:after="0" w:line="24"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applicable law or any loan agreement, security agreement, mortgage, debt instrument or other agreement or obligation; or</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funds for distributions to our Series A and Series B preferred unitholders or distributions to our common unitholders for any one or more of the next four quarters.</w:t>
      </w:r>
    </w:p>
    <w:p>
      <w:pPr>
        <w:spacing w:after="0" w:line="103"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48" w:lineRule="exact"/>
        <w:rPr>
          <w:sz w:val="20"/>
          <w:szCs w:val="20"/>
          <w:color w:val="auto"/>
        </w:rPr>
      </w:pPr>
    </w:p>
    <w:p>
      <w:pPr>
        <w:jc w:val="both"/>
        <w:ind w:left="1260" w:right="799" w:firstLine="360"/>
        <w:spacing w:after="0" w:line="24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Cash distributions to our common unitholders will be characterized as either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surplus or capital surplus. We distribute available cash from operating surplus differently than available cash from capital surplus. See “— Quarterly Distributions of Available Cash.”</w:t>
      </w:r>
    </w:p>
    <w:p>
      <w:pPr>
        <w:spacing w:after="0" w:line="114" w:lineRule="exact"/>
        <w:rPr>
          <w:sz w:val="20"/>
          <w:szCs w:val="20"/>
          <w:color w:val="auto"/>
        </w:rPr>
      </w:pPr>
    </w:p>
    <w:p>
      <w:pPr>
        <w:ind w:left="1620"/>
        <w:spacing w:after="0"/>
        <w:tabs>
          <w:tab w:leader="none" w:pos="4240" w:val="left"/>
        </w:tabs>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Operating surplus refers generally to:</w:t>
      </w:r>
    </w:p>
    <w:p>
      <w:pPr>
        <w:spacing w:after="0" w:line="117"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16" w:lineRule="exact"/>
        <w:rPr>
          <w:sz w:val="20"/>
          <w:szCs w:val="20"/>
          <w:color w:val="auto"/>
        </w:rPr>
      </w:pPr>
    </w:p>
    <w:p>
      <w:pPr>
        <w:ind w:left="1620"/>
        <w:spacing w:after="0"/>
        <w:tabs>
          <w:tab w:leader="none" w:pos="4040" w:val="left"/>
        </w:tabs>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Capital surplus will generally be generated only by:</w:t>
      </w:r>
    </w:p>
    <w:p>
      <w:pPr>
        <w:spacing w:after="0" w:line="104"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in the ordinary course of business.</w:t>
      </w:r>
    </w:p>
    <w:p>
      <w:pPr>
        <w:spacing w:after="0" w:line="89"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20" w:lineRule="exact"/>
        <w:rPr>
          <w:sz w:val="20"/>
          <w:szCs w:val="20"/>
          <w:color w:val="auto"/>
        </w:rPr>
      </w:pPr>
    </w:p>
    <w:p>
      <w:pPr>
        <w:ind w:left="1260" w:right="619" w:firstLine="360"/>
        <w:spacing w:after="0" w:line="262" w:lineRule="auto"/>
        <w:rPr>
          <w:sz w:val="20"/>
          <w:szCs w:val="20"/>
          <w:color w:val="auto"/>
        </w:rPr>
      </w:pPr>
      <w:r>
        <w:rPr>
          <w:rFonts w:ascii="Arial" w:cs="Arial" w:eastAsia="Arial" w:hAnsi="Arial"/>
          <w:sz w:val="17"/>
          <w:szCs w:val="17"/>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62"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We can issue additional common units or other equity securities for consideration and under terms and conditions approved by our general partner in its sole discretion and without the approval of our unitholders,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other than current holders of our Series A preferred units and Series B preferred units in certain circumstances. We may fund acquisitions through the issuance of additional common units or other equity securities.</w:t>
      </w:r>
    </w:p>
    <w:p>
      <w:pPr>
        <w:spacing w:after="0" w:line="103"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A Convertible Preferred Units</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 — Series A Preferred Units.”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B Convertible Preferred Units</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 — Series B Preferred Units.”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from Capital Surplus</w:t>
      </w:r>
    </w:p>
    <w:p>
      <w:pPr>
        <w:spacing w:after="0" w:line="162" w:lineRule="exact"/>
        <w:rPr>
          <w:sz w:val="20"/>
          <w:szCs w:val="20"/>
          <w:color w:val="auto"/>
        </w:rPr>
      </w:pPr>
    </w:p>
    <w:p>
      <w:pPr>
        <w:ind w:left="1260" w:right="619" w:firstLine="360"/>
        <w:spacing w:after="0" w:line="235" w:lineRule="auto"/>
        <w:rPr>
          <w:sz w:val="20"/>
          <w:szCs w:val="20"/>
          <w:color w:val="auto"/>
        </w:rPr>
      </w:pPr>
      <w:r>
        <w:rPr>
          <w:rFonts w:ascii="Arial" w:cs="Arial" w:eastAsia="Arial" w:hAnsi="Arial"/>
          <w:sz w:val="18"/>
          <w:szCs w:val="18"/>
          <w:color w:val="auto"/>
        </w:rPr>
        <w:t xml:space="preserve">We will make distributions of available cash from capital surplus to all common unitholders pro rata. We may not make distributions of capital surplus without the approval of (i) holders of at least 75% of the outstanding Series A preferred units and (ii)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Series B preferred units.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48" w:lineRule="exact"/>
        <w:rPr>
          <w:sz w:val="20"/>
          <w:szCs w:val="20"/>
          <w:color w:val="auto"/>
        </w:rPr>
      </w:pPr>
    </w:p>
    <w:p>
      <w:pPr>
        <w:ind w:left="1260" w:right="799" w:firstLine="360"/>
        <w:spacing w:after="0" w:line="274" w:lineRule="auto"/>
        <w:rPr>
          <w:sz w:val="20"/>
          <w:szCs w:val="20"/>
          <w:color w:val="auto"/>
        </w:rPr>
      </w:pPr>
      <w:r>
        <w:rPr>
          <w:rFonts w:ascii="Arial" w:cs="Arial" w:eastAsia="Arial" w:hAnsi="Arial"/>
          <w:sz w:val="17"/>
          <w:szCs w:val="17"/>
          <w:color w:val="auto"/>
        </w:rPr>
        <w:t>If we dissolve and liquidate, we will sell or otherwise dispose of our assets and adjust the partners’ capital account balances to reflect any resulting gain or loss. We will apply the proceeds of liquidation</w:t>
      </w:r>
    </w:p>
    <w:p>
      <w:pPr>
        <w:ind w:left="1260" w:right="459"/>
        <w:spacing w:after="0" w:line="253" w:lineRule="auto"/>
        <w:tabs>
          <w:tab w:leader="none" w:pos="14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63"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rights of holders of our preferred units are described under “Description of our Preferred Units;” and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62"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Issuance of Additional Securities</w:t>
      </w:r>
    </w:p>
    <w:p>
      <w:pPr>
        <w:spacing w:after="0" w:line="14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2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22" w:lineRule="exact"/>
        <w:rPr>
          <w:sz w:val="20"/>
          <w:szCs w:val="20"/>
          <w:color w:val="auto"/>
        </w:rPr>
      </w:pPr>
    </w:p>
    <w:p>
      <w:pPr>
        <w:jc w:val="both"/>
        <w:ind w:left="1260" w:right="619" w:firstLine="360"/>
        <w:spacing w:after="0" w:line="24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1"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22"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7"/>
          <w:szCs w:val="17"/>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00"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22"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14" w:lineRule="exact"/>
        <w:rPr>
          <w:sz w:val="20"/>
          <w:szCs w:val="20"/>
          <w:color w:val="auto"/>
        </w:rPr>
      </w:pPr>
    </w:p>
    <w:p>
      <w:pPr>
        <w:jc w:val="both"/>
        <w:ind w:left="1260" w:right="479" w:firstLine="360"/>
        <w:spacing w:after="0" w:line="291" w:lineRule="auto"/>
        <w:rPr>
          <w:sz w:val="20"/>
          <w:szCs w:val="20"/>
          <w:color w:val="auto"/>
        </w:rPr>
      </w:pPr>
      <w:r>
        <w:rPr>
          <w:rFonts w:ascii="Arial" w:cs="Arial" w:eastAsia="Arial" w:hAnsi="Arial"/>
          <w:sz w:val="17"/>
          <w:szCs w:val="17"/>
          <w:color w:val="auto"/>
        </w:rPr>
        <w:t>In addition, our partnership agreement expressly permits the sale, in whole or in part, of the ownership of our general partner. Our general partner may also transfer, in whole or in part, the common units it owns.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80" w:lineRule="exact"/>
        <w:rPr>
          <w:sz w:val="20"/>
          <w:szCs w:val="20"/>
          <w:color w:val="auto"/>
        </w:rPr>
      </w:pPr>
    </w:p>
    <w:p>
      <w:pPr>
        <w:ind w:left="1800" w:right="11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35" w:lineRule="exact"/>
        <w:rPr>
          <w:rFonts w:ascii="Arial" w:cs="Arial" w:eastAsia="Arial" w:hAnsi="Arial"/>
          <w:sz w:val="18"/>
          <w:szCs w:val="18"/>
          <w:color w:val="auto"/>
        </w:rPr>
      </w:pPr>
    </w:p>
    <w:p>
      <w:pPr>
        <w:ind w:left="1800" w:right="89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finally, to all partners in accordance with the positive balance in their respective capital accounts.</w:t>
      </w:r>
    </w:p>
    <w:p>
      <w:pPr>
        <w:spacing w:after="0" w:line="15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 of Management Provisions</w:t>
      </w:r>
    </w:p>
    <w:p>
      <w:pPr>
        <w:spacing w:after="0" w:line="148"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Our partnership agreement contains the following specific provisions that are intended to discourage a person or group from attempting to remove our general partner or otherwise change management:</w:t>
      </w:r>
    </w:p>
    <w:p>
      <w:pPr>
        <w:spacing w:after="0" w:line="39" w:lineRule="exact"/>
        <w:rPr>
          <w:sz w:val="20"/>
          <w:szCs w:val="20"/>
          <w:color w:val="auto"/>
        </w:rPr>
      </w:pPr>
    </w:p>
    <w:p>
      <w:pPr>
        <w:jc w:val="both"/>
        <w:ind w:left="1800" w:right="65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75" w:lineRule="exact"/>
        <w:rPr>
          <w:rFonts w:ascii="Arial" w:cs="Arial" w:eastAsia="Arial" w:hAnsi="Arial"/>
          <w:sz w:val="18"/>
          <w:szCs w:val="18"/>
          <w:color w:val="auto"/>
        </w:rPr>
      </w:pPr>
    </w:p>
    <w:p>
      <w:pPr>
        <w:jc w:val="both"/>
        <w:ind w:left="1800" w:right="73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Call Right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at any time our general partner and its affiliates (other than, with respect to the Series A</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preferred units, such affiliates that originally purchased Series A preferred units) own 80% or more of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issued and outstanding limited partner interests of any class, our general partner will have the right to</w:t>
      </w:r>
    </w:p>
    <w:p>
      <w:pPr>
        <w:ind w:left="1260"/>
        <w:spacing w:after="0"/>
        <w:rPr>
          <w:sz w:val="20"/>
          <w:szCs w:val="20"/>
          <w:color w:val="auto"/>
        </w:rPr>
      </w:pPr>
      <w:r>
        <w:rPr>
          <w:rFonts w:ascii="Arial" w:cs="Arial" w:eastAsia="Arial" w:hAnsi="Arial"/>
          <w:sz w:val="17"/>
          <w:szCs w:val="17"/>
          <w:color w:val="auto"/>
        </w:rPr>
        <w:t>purchase all, but not less than all, of the outstanding limited partner interests of that class that are held by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non-affiliated persons. The record date for determining ownership of the limited partner interests would be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selected by our general partner on at least 10 but not more than 60 days’ notice. The purchase price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event of a purchase under these provisions would be the greater of (1) the current market price (as defined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our agreement) of the limited partner interests of the class as of the date three days prior to the date that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notice is mailed to the limited partners as provided in our partnership agreement and (2) the highest cash</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price paid by our general partner or any of its affiliates for any limited partner interest of the class</w:t>
      </w:r>
    </w:p>
    <w:p>
      <w:pPr>
        <w:ind w:left="1260"/>
        <w:spacing w:after="0"/>
        <w:rPr>
          <w:sz w:val="20"/>
          <w:szCs w:val="20"/>
          <w:color w:val="auto"/>
        </w:rPr>
      </w:pPr>
      <w:r>
        <w:rPr>
          <w:rFonts w:ascii="Arial" w:cs="Arial" w:eastAsia="Arial" w:hAnsi="Arial"/>
          <w:sz w:val="17"/>
          <w:szCs w:val="17"/>
          <w:color w:val="auto"/>
        </w:rPr>
        <w:t>purchased within the 90 days preceding the date our general partner mails notice of its election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units.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26"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Limited Liability</w:t>
      </w:r>
    </w:p>
    <w:p>
      <w:pPr>
        <w:spacing w:after="0" w:line="148" w:lineRule="exact"/>
        <w:rPr>
          <w:sz w:val="20"/>
          <w:szCs w:val="20"/>
          <w:color w:val="auto"/>
        </w:rPr>
      </w:pPr>
    </w:p>
    <w:p>
      <w:pPr>
        <w:jc w:val="both"/>
        <w:ind w:left="1260" w:right="499" w:firstLine="360"/>
        <w:spacing w:after="0" w:line="275"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09" w:lineRule="exact"/>
        <w:rPr>
          <w:sz w:val="20"/>
          <w:szCs w:val="20"/>
          <w:color w:val="auto"/>
        </w:rPr>
      </w:pPr>
    </w:p>
    <w:p>
      <w:pPr>
        <w:jc w:val="both"/>
        <w:ind w:left="1260" w:right="699" w:firstLine="360"/>
        <w:spacing w:after="0" w:line="308" w:lineRule="auto"/>
        <w:rPr>
          <w:sz w:val="20"/>
          <w:szCs w:val="20"/>
          <w:color w:val="auto"/>
        </w:rPr>
      </w:pPr>
      <w:r>
        <w:rPr>
          <w:rFonts w:ascii="Arial" w:cs="Arial" w:eastAsia="Arial" w:hAnsi="Arial"/>
          <w:sz w:val="17"/>
          <w:szCs w:val="17"/>
          <w:color w:val="auto"/>
        </w:rPr>
        <w:t>Under the Delaware Act, a limited partnership may not make a distribution to a partner to the extent that at the time of the distribution, after giving effect to the distribution, all liabilities of the partnership,</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2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14" w:lineRule="exact"/>
        <w:rPr>
          <w:sz w:val="20"/>
          <w:szCs w:val="20"/>
          <w:color w:val="auto"/>
        </w:rPr>
      </w:pPr>
    </w:p>
    <w:p>
      <w:pPr>
        <w:ind w:left="1260" w:right="959" w:firstLine="360"/>
        <w:spacing w:after="0" w:line="340" w:lineRule="auto"/>
        <w:rPr>
          <w:sz w:val="20"/>
          <w:szCs w:val="20"/>
          <w:color w:val="auto"/>
        </w:rPr>
      </w:pPr>
      <w:r>
        <w:rPr>
          <w:rFonts w:ascii="Arial" w:cs="Arial" w:eastAsia="Arial" w:hAnsi="Arial"/>
          <w:sz w:val="15"/>
          <w:szCs w:val="15"/>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5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1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w:t>
      </w:r>
    </w:p>
    <w:p>
      <w:pPr>
        <w:spacing w:after="0" w:line="62" w:lineRule="exact"/>
        <w:rPr>
          <w:sz w:val="20"/>
          <w:szCs w:val="20"/>
          <w:color w:val="auto"/>
        </w:rPr>
      </w:pPr>
    </w:p>
    <w:p>
      <w:pPr>
        <w:ind w:left="1800" w:right="6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 Tax Consequences of Unit Ownership — Treatment of Securities Loans”);</w:t>
      </w:r>
    </w:p>
    <w:p>
      <w:pPr>
        <w:spacing w:after="0" w:line="89"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 — Allocations Between Transferors and Transferees”);</w:t>
      </w:r>
    </w:p>
    <w:p>
      <w:pPr>
        <w:spacing w:after="0" w:line="89"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 Tax Consequences of Unit Ownership — Section 754 Election” and “— Disposition of Units — Uniformity of Units”);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8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57" w:lineRule="exact"/>
        <w:rPr>
          <w:rFonts w:ascii="Arial" w:cs="Arial" w:eastAsia="Arial" w:hAnsi="Arial"/>
          <w:sz w:val="17"/>
          <w:szCs w:val="17"/>
          <w:color w:val="auto"/>
        </w:rPr>
      </w:pPr>
    </w:p>
    <w:p>
      <w:pPr>
        <w:jc w:val="both"/>
        <w:ind w:left="1800" w:right="57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 Tax Consequences of Unit Ownership — Allocation of Income, Gain, Loss and Deduction”).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the Partnership</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144"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We expect to be treated as a partnership for federal income tax purposes and, therefore, subject to the discussion below under “— Administrative Matters — Information Returns and Audit Procedures”, generally will not be liable for entity -level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22" w:lineRule="exact"/>
        <w:rPr>
          <w:sz w:val="20"/>
          <w:szCs w:val="20"/>
          <w:color w:val="auto"/>
        </w:rPr>
      </w:pPr>
    </w:p>
    <w:p>
      <w:pPr>
        <w:ind w:left="1620" w:right="539" w:firstLine="360"/>
        <w:spacing w:after="0" w:line="261" w:lineRule="auto"/>
        <w:tabs>
          <w:tab w:leader="none" w:pos="2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03" w:lineRule="exact"/>
        <w:rPr>
          <w:rFonts w:ascii="Arial" w:cs="Arial" w:eastAsia="Arial" w:hAnsi="Arial"/>
          <w:sz w:val="18"/>
          <w:szCs w:val="18"/>
          <w:color w:val="auto"/>
        </w:rPr>
      </w:pPr>
    </w:p>
    <w:p>
      <w:pPr>
        <w:jc w:val="both"/>
        <w:ind w:left="1620" w:right="659" w:firstLine="360"/>
        <w:spacing w:after="0" w:line="248" w:lineRule="auto"/>
        <w:tabs>
          <w:tab w:leader="none" w:pos="23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00" w:lineRule="exact"/>
        <w:rPr>
          <w:rFonts w:ascii="Arial" w:cs="Arial" w:eastAsia="Arial" w:hAnsi="Arial"/>
          <w:sz w:val="18"/>
          <w:szCs w:val="18"/>
          <w:color w:val="auto"/>
        </w:rPr>
      </w:pPr>
    </w:p>
    <w:p>
      <w:pPr>
        <w:jc w:val="both"/>
        <w:ind w:left="1620" w:right="479" w:firstLine="360"/>
        <w:spacing w:after="0" w:line="262" w:lineRule="auto"/>
        <w:tabs>
          <w:tab w:leader="none" w:pos="23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5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25"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20"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07"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9"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09"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remainder of this discussion is based on the opinion of Vinson &amp; Elkins L.L.P. that we will be treated as a partnership for federal income tax purposes.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Unit Ownership</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20"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w:t>
      </w:r>
    </w:p>
    <w:p>
      <w:pPr>
        <w:spacing w:after="0" w:line="90"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Subject to the discussion below under “— Entity-Level Collections of Unitholder Taxes” and</w:t>
      </w:r>
    </w:p>
    <w:p>
      <w:pPr>
        <w:spacing w:after="0" w:line="12"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Units</w:t>
      </w:r>
    </w:p>
    <w:p>
      <w:pPr>
        <w:spacing w:after="0" w:line="158" w:lineRule="exact"/>
        <w:rPr>
          <w:sz w:val="20"/>
          <w:szCs w:val="20"/>
          <w:color w:val="auto"/>
        </w:rPr>
      </w:pPr>
    </w:p>
    <w:p>
      <w:pPr>
        <w:ind w:left="1260" w:right="679" w:firstLine="360"/>
        <w:spacing w:after="0" w:line="258" w:lineRule="auto"/>
        <w:rPr>
          <w:sz w:val="20"/>
          <w:szCs w:val="20"/>
          <w:color w:val="auto"/>
        </w:rPr>
      </w:pPr>
      <w:r>
        <w:rPr>
          <w:rFonts w:ascii="Arial" w:cs="Arial" w:eastAsia="Arial" w:hAnsi="Arial"/>
          <w:sz w:val="17"/>
          <w:szCs w:val="17"/>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260" w:right="419"/>
        <w:spacing w:after="0" w:line="237" w:lineRule="auto"/>
        <w:tabs>
          <w:tab w:leader="none" w:pos="14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20"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10"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3" w:lineRule="exact"/>
        <w:rPr>
          <w:sz w:val="20"/>
          <w:szCs w:val="20"/>
          <w:color w:val="auto"/>
        </w:rPr>
      </w:pPr>
    </w:p>
    <w:p>
      <w:pPr>
        <w:ind w:left="1260" w:right="779"/>
        <w:spacing w:after="0" w:line="260" w:lineRule="auto"/>
        <w:tabs>
          <w:tab w:leader="none" w:pos="1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unitholder’s tax basis (typically zero) in the Section 751 Assets deemed to be relinquished in the exchange.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14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2" w:lineRule="exact"/>
        <w:rPr>
          <w:sz w:val="20"/>
          <w:szCs w:val="20"/>
          <w:color w:val="auto"/>
        </w:rPr>
      </w:pPr>
    </w:p>
    <w:p>
      <w:pPr>
        <w:ind w:left="1260" w:right="439"/>
        <w:spacing w:after="0" w:line="237" w:lineRule="auto"/>
        <w:tabs>
          <w:tab w:leader="none" w:pos="15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08"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2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 addition to the basis and at risk limitations, passive activity loss limitations limit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16"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For taxpayers other than corporations in taxable years beginning after December 31, 2020,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(increased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144"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39" w:lineRule="auto"/>
        <w:rPr>
          <w:sz w:val="20"/>
          <w:szCs w:val="20"/>
          <w:color w:val="auto"/>
        </w:rPr>
      </w:pPr>
      <w:r>
        <w:rPr>
          <w:rFonts w:ascii="Arial" w:cs="Arial" w:eastAsia="Arial" w:hAnsi="Arial"/>
          <w:sz w:val="18"/>
          <w:szCs w:val="18"/>
          <w:color w:val="auto"/>
        </w:rPr>
        <w:t>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13"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74"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allocable against portfolio income.</w:t>
      </w:r>
    </w:p>
    <w:p>
      <w:pPr>
        <w:spacing w:after="0" w:line="8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above) to the unitholder who was allocated the deduction giving rise to that recapture income in order to minimize the recognition of ordinary income by other unitholders.</w:t>
      </w:r>
    </w:p>
    <w:p>
      <w:pPr>
        <w:spacing w:after="0" w:line="90"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An allocation of items of our income, gain, loss or deduction, other than an allocation required by the Code to eliminate a Book -Tax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15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1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Rates</w:t>
      </w:r>
    </w:p>
    <w:p>
      <w:pPr>
        <w:spacing w:after="0" w:line="15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07" w:lineRule="exact"/>
        <w:rPr>
          <w:sz w:val="20"/>
          <w:szCs w:val="20"/>
          <w:color w:val="auto"/>
        </w:rPr>
      </w:pPr>
    </w:p>
    <w:p>
      <w:pPr>
        <w:jc w:val="both"/>
        <w:ind w:left="1260" w:right="599" w:firstLine="360"/>
        <w:spacing w:after="0" w:line="270" w:lineRule="auto"/>
        <w:rPr>
          <w:sz w:val="20"/>
          <w:szCs w:val="20"/>
          <w:color w:val="auto"/>
        </w:rPr>
      </w:pPr>
      <w:r>
        <w:rPr>
          <w:rFonts w:ascii="Arial" w:cs="Arial" w:eastAsia="Arial" w:hAnsi="Arial"/>
          <w:sz w:val="17"/>
          <w:szCs w:val="17"/>
          <w:color w:val="auto"/>
        </w:rPr>
        <w:t>For taxable years beginning after December 31, 2017 and ending on or before December 31, 2025, an individual unitholder is entitled to a deduction equal to 20% of his or her allocable share of our “qualified business income.” For purposes of this deduction, our “qualified business income” is equal to the sum of:</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hanging="180"/>
        <w:spacing w:after="0" w:line="279"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63" w:lineRule="exact"/>
        <w:rPr>
          <w:rFonts w:ascii="Arial" w:cs="Arial" w:eastAsia="Arial" w:hAnsi="Arial"/>
          <w:sz w:val="17"/>
          <w:szCs w:val="17"/>
          <w:color w:val="auto"/>
        </w:rPr>
      </w:pPr>
    </w:p>
    <w:p>
      <w:pPr>
        <w:ind w:left="1800" w:right="57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1" w:lineRule="exact"/>
        <w:rPr>
          <w:sz w:val="20"/>
          <w:szCs w:val="20"/>
          <w:color w:val="auto"/>
        </w:rPr>
      </w:pPr>
    </w:p>
    <w:p>
      <w:pPr>
        <w:ind w:left="1260" w:right="619"/>
        <w:spacing w:after="0" w:line="260" w:lineRule="auto"/>
        <w:tabs>
          <w:tab w:leader="none" w:pos="1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its share of the tax basis in our assets as to all unitholders and (2) its Section 743(b) adjustment to that tax basis (which may be positive or negative).</w:t>
      </w:r>
    </w:p>
    <w:p>
      <w:pPr>
        <w:spacing w:after="0" w:line="104"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our partnership agreement, we are authorized to take a position to preserve the uniformity</w:t>
      </w:r>
    </w:p>
    <w:p>
      <w:pPr>
        <w:spacing w:after="0" w:line="23"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25"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IRS may challenge the positions we adopt with respect to depreciating or amortizing the Section 743(b) or Section 734(b) adjustments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96"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3" w:lineRule="auto"/>
        <w:rPr>
          <w:sz w:val="20"/>
          <w:szCs w:val="20"/>
          <w:color w:val="auto"/>
        </w:rPr>
      </w:pPr>
      <w:r>
        <w:rPr>
          <w:rFonts w:ascii="Arial" w:cs="Arial" w:eastAsia="Arial" w:hAnsi="Arial"/>
          <w:sz w:val="18"/>
          <w:szCs w:val="18"/>
          <w:color w:val="auto"/>
        </w:rPr>
        <w:t>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Treatment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14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260" w:right="439"/>
        <w:spacing w:after="0" w:line="256" w:lineRule="auto"/>
        <w:rPr>
          <w:sz w:val="20"/>
          <w:szCs w:val="20"/>
          <w:color w:val="auto"/>
        </w:rPr>
      </w:pPr>
      <w:r>
        <w:rPr>
          <w:rFonts w:ascii="Arial" w:cs="Arial" w:eastAsia="Arial" w:hAnsi="Arial"/>
          <w:sz w:val="17"/>
          <w:szCs w:val="17"/>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15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2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Disposition of Units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15"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4" w:lineRule="exact"/>
        <w:rPr>
          <w:sz w:val="20"/>
          <w:szCs w:val="20"/>
          <w:color w:val="auto"/>
        </w:rPr>
      </w:pPr>
    </w:p>
    <w:p>
      <w:pPr>
        <w:jc w:val="both"/>
        <w:ind w:left="1260" w:right="479"/>
        <w:spacing w:after="0" w:line="255" w:lineRule="auto"/>
        <w:rPr>
          <w:sz w:val="20"/>
          <w:szCs w:val="20"/>
          <w:color w:val="auto"/>
        </w:rPr>
      </w:pPr>
      <w:r>
        <w:rPr>
          <w:rFonts w:ascii="Arial" w:cs="Arial" w:eastAsia="Arial" w:hAnsi="Arial"/>
          <w:sz w:val="18"/>
          <w:szCs w:val="18"/>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22"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63"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117"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03" w:lineRule="exact"/>
        <w:rPr>
          <w:sz w:val="20"/>
          <w:szCs w:val="20"/>
          <w:color w:val="auto"/>
        </w:rPr>
      </w:pPr>
    </w:p>
    <w:p>
      <w:pPr>
        <w:ind w:left="1260" w:right="1059" w:firstLine="360"/>
        <w:spacing w:after="0" w:line="308" w:lineRule="auto"/>
        <w:rPr>
          <w:sz w:val="20"/>
          <w:szCs w:val="20"/>
          <w:color w:val="auto"/>
        </w:rPr>
      </w:pPr>
      <w:r>
        <w:rPr>
          <w:rFonts w:ascii="Arial" w:cs="Arial" w:eastAsia="Arial" w:hAnsi="Arial"/>
          <w:sz w:val="17"/>
          <w:szCs w:val="17"/>
          <w:color w:val="auto"/>
        </w:rPr>
        <w:t>Moreover, if a taxpayer has previously entered into a short sale, an offsetting notional principal contract or a futures or forward contract with respect to the partnership interest, the taxpayer will be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24"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144"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158" w:lineRule="exact"/>
        <w:rPr>
          <w:sz w:val="20"/>
          <w:szCs w:val="20"/>
          <w:color w:val="auto"/>
        </w:rPr>
      </w:pPr>
    </w:p>
    <w:p>
      <w:pPr>
        <w:jc w:val="both"/>
        <w:ind w:left="1260" w:right="579" w:firstLine="360"/>
        <w:spacing w:after="0" w:line="241"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2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93"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A unitholder’s adjusted tax basis in units is reduced by its share of our deductions (whether or not such deductions were claimed on an individual income tax return) so that any position that we take that</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1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ind w:left="1260" w:right="459"/>
        <w:spacing w:after="0" w:line="277" w:lineRule="auto"/>
        <w:rPr>
          <w:sz w:val="20"/>
          <w:szCs w:val="20"/>
          <w:color w:val="auto"/>
        </w:rPr>
      </w:pPr>
      <w:r>
        <w:rPr>
          <w:rFonts w:ascii="Arial" w:cs="Arial" w:eastAsia="Arial" w:hAnsi="Arial"/>
          <w:sz w:val="16"/>
          <w:szCs w:val="16"/>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62" w:lineRule="exact"/>
        <w:rPr>
          <w:sz w:val="20"/>
          <w:szCs w:val="20"/>
          <w:color w:val="auto"/>
        </w:rPr>
      </w:pPr>
    </w:p>
    <w:p>
      <w:pPr>
        <w:jc w:val="both"/>
        <w:ind w:left="1260" w:right="499" w:firstLine="360"/>
        <w:spacing w:after="0" w:line="241"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2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Tax -exempt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03" w:lineRule="exact"/>
        <w:rPr>
          <w:sz w:val="20"/>
          <w:szCs w:val="20"/>
          <w:color w:val="auto"/>
        </w:rPr>
      </w:pPr>
    </w:p>
    <w:p>
      <w:pPr>
        <w:jc w:val="both"/>
        <w:ind w:left="1260" w:right="479" w:firstLine="360"/>
        <w:spacing w:after="0" w:line="255" w:lineRule="auto"/>
        <w:rPr>
          <w:sz w:val="20"/>
          <w:szCs w:val="20"/>
          <w:color w:val="auto"/>
        </w:rPr>
      </w:pPr>
      <w:r>
        <w:rPr>
          <w:rFonts w:ascii="Arial" w:cs="Arial" w:eastAsia="Arial" w:hAnsi="Arial"/>
          <w:sz w:val="17"/>
          <w:szCs w:val="17"/>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260" w:right="519"/>
        <w:spacing w:after="0" w:line="251" w:lineRule="auto"/>
        <w:rPr>
          <w:sz w:val="20"/>
          <w:szCs w:val="20"/>
          <w:color w:val="auto"/>
        </w:rPr>
      </w:pPr>
      <w:r>
        <w:rPr>
          <w:rFonts w:ascii="Arial" w:cs="Arial" w:eastAsia="Arial" w:hAnsi="Arial"/>
          <w:sz w:val="17"/>
          <w:szCs w:val="17"/>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15"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In addition, if a Non-U.S. Unitholder is classified as a non- 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2"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1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recently issued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as amended by recently published IRS guidance, further provide that withholding on a transfer of an interest in a publicly traded partnership will not be imposed on a transfer that occurs prior to January 1, 2023.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Matters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27"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9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w:t>
      </w:r>
    </w:p>
    <w:p>
      <w:pPr>
        <w:spacing w:after="0" w:line="6" w:lineRule="exact"/>
        <w:rPr>
          <w:sz w:val="20"/>
          <w:szCs w:val="20"/>
          <w:color w:val="auto"/>
        </w:rPr>
      </w:pPr>
    </w:p>
    <w:p>
      <w:pPr>
        <w:jc w:val="both"/>
        <w:ind w:left="1260" w:right="459"/>
        <w:spacing w:after="0" w:line="239" w:lineRule="auto"/>
        <w:rPr>
          <w:sz w:val="20"/>
          <w:szCs w:val="20"/>
          <w:color w:val="auto"/>
        </w:rPr>
      </w:pPr>
      <w:r>
        <w:rPr>
          <w:rFonts w:ascii="Arial" w:cs="Arial" w:eastAsia="Arial" w:hAnsi="Arial"/>
          <w:sz w:val="18"/>
          <w:szCs w:val="18"/>
          <w:color w:val="auto"/>
        </w:rPr>
        <w:t>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2" w:lineRule="exact"/>
        <w:rPr>
          <w:sz w:val="20"/>
          <w:szCs w:val="20"/>
          <w:color w:val="auto"/>
        </w:rPr>
      </w:pPr>
    </w:p>
    <w:p>
      <w:pPr>
        <w:ind w:left="1260" w:right="479"/>
        <w:spacing w:after="0" w:line="251" w:lineRule="auto"/>
        <w:tabs>
          <w:tab w:leader="none" w:pos="14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15"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1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90" w:lineRule="exact"/>
        <w:rPr>
          <w:rFonts w:ascii="Arial" w:cs="Arial" w:eastAsia="Arial" w:hAnsi="Arial"/>
          <w:sz w:val="18"/>
          <w:szCs w:val="18"/>
          <w:color w:val="auto"/>
        </w:rPr>
      </w:pPr>
    </w:p>
    <w:p>
      <w:pPr>
        <w:ind w:left="2160" w:hanging="180"/>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90" w:lineRule="exact"/>
        <w:rPr>
          <w:rFonts w:ascii="Arial" w:cs="Arial" w:eastAsia="Arial" w:hAnsi="Arial"/>
          <w:sz w:val="18"/>
          <w:szCs w:val="18"/>
          <w:color w:val="auto"/>
        </w:rPr>
      </w:pPr>
    </w:p>
    <w:p>
      <w:pPr>
        <w:ind w:left="2160" w:right="1259" w:hanging="180"/>
        <w:spacing w:after="0" w:line="277" w:lineRule="auto"/>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w:t>
      </w:r>
    </w:p>
    <w:p>
      <w:pPr>
        <w:spacing w:after="0" w:line="35" w:lineRule="exact"/>
        <w:rPr>
          <w:rFonts w:ascii="Arial" w:cs="Arial" w:eastAsia="Arial" w:hAnsi="Arial"/>
          <w:sz w:val="18"/>
          <w:szCs w:val="18"/>
          <w:color w:val="auto"/>
        </w:rPr>
      </w:pPr>
    </w:p>
    <w:p>
      <w:pPr>
        <w:ind w:left="2160" w:hanging="180"/>
        <w:spacing w:after="0"/>
        <w:tabs>
          <w:tab w:leader="none" w:pos="2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90"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specific information including the dates of acquisitions and transfers, means of acquisitions and transfers, and acquisition cost for purchases, as well as the amount of net proceeds from sales.</w:t>
      </w:r>
    </w:p>
    <w:p>
      <w:pPr>
        <w:spacing w:after="0" w:line="6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0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16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6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352" w:lineRule="auto"/>
        <w:rPr>
          <w:sz w:val="20"/>
          <w:szCs w:val="20"/>
          <w:color w:val="auto"/>
        </w:rPr>
      </w:pPr>
      <w:r>
        <w:rPr>
          <w:rFonts w:ascii="Arial" w:cs="Arial" w:eastAsia="Arial" w:hAnsi="Arial"/>
          <w:sz w:val="13"/>
          <w:szCs w:val="13"/>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spacing w:after="0" w:line="1" w:lineRule="exact"/>
        <w:rPr>
          <w:sz w:val="20"/>
          <w:szCs w:val="20"/>
          <w:color w:val="auto"/>
        </w:rPr>
      </w:pPr>
    </w:p>
    <w:p>
      <w:pPr>
        <w:ind w:left="1260" w:right="1239"/>
        <w:spacing w:after="0" w:line="260" w:lineRule="auto"/>
        <w:tabs>
          <w:tab w:leader="none" w:pos="1438"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117"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90"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48"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NASDAQ;</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price our securities at:</w:t>
      </w:r>
    </w:p>
    <w:p>
      <w:pPr>
        <w:spacing w:after="0" w:line="117"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44"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0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3" w:lineRule="exact"/>
        <w:rPr>
          <w:sz w:val="20"/>
          <w:szCs w:val="20"/>
          <w:color w:val="auto"/>
        </w:rPr>
      </w:pPr>
    </w:p>
    <w:p>
      <w:pPr>
        <w:jc w:val="both"/>
        <w:ind w:left="1260" w:right="679" w:firstLine="360"/>
        <w:spacing w:after="0" w:line="243"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20"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4"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1"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03"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1260" w:right="479" w:firstLine="360"/>
        <w:spacing w:after="0" w:line="255"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5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1">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ended December 31, 2020</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2"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4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r>
      <w:tr>
        <w:trPr>
          <w:trHeight w:val="257"/>
        </w:trPr>
        <w:tc>
          <w:tcPr>
            <w:tcW w:w="7160" w:type="dxa"/>
            <w:vAlign w:val="bottom"/>
            <w:gridSpan w:val="3"/>
          </w:tcPr>
          <w:p>
            <w:pPr>
              <w:ind w:left="360"/>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240,000*</w:t>
            </w:r>
          </w:p>
        </w:tc>
      </w:tr>
      <w:tr>
        <w:trPr>
          <w:trHeight w:val="257"/>
        </w:trPr>
        <w:tc>
          <w:tcPr>
            <w:tcW w:w="360" w:type="dxa"/>
            <w:vAlign w:val="bottom"/>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120,000</w:t>
            </w: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56"/>
        </w:trPr>
        <w:tc>
          <w:tcPr>
            <w:tcW w:w="7160" w:type="dxa"/>
            <w:vAlign w:val="bottom"/>
            <w:gridSpan w:val="3"/>
          </w:tcPr>
          <w:p>
            <w:pPr>
              <w:ind w:left="360"/>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360" w:type="dxa"/>
            <w:vAlign w:val="bottom"/>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63"/>
        </w:trPr>
        <w:tc>
          <w:tcPr>
            <w:tcW w:w="7160" w:type="dxa"/>
            <w:vAlign w:val="bottom"/>
            <w:gridSpan w:val="3"/>
          </w:tcPr>
          <w:p>
            <w:pPr>
              <w:ind w:left="36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95"/>
        </w:trPr>
        <w:tc>
          <w:tcPr>
            <w:tcW w:w="360" w:type="dxa"/>
            <w:vAlign w:val="bottom"/>
          </w:tcPr>
          <w:p>
            <w:pPr>
              <w:spacing w:after="0"/>
              <w:rPr>
                <w:sz w:val="24"/>
                <w:szCs w:val="24"/>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400,000</w:t>
            </w: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5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-282575</wp:posOffset>
            </wp:positionV>
            <wp:extent cx="4311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14" w:lineRule="exact"/>
        <w:rPr>
          <w:sz w:val="20"/>
          <w:szCs w:val="20"/>
          <w:color w:val="auto"/>
        </w:rPr>
      </w:pPr>
    </w:p>
    <w:p>
      <w:pPr>
        <w:ind w:left="1620" w:right="979" w:hanging="360"/>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definitively estimated at this time.</w:t>
      </w:r>
    </w:p>
    <w:p>
      <w:pPr>
        <w:spacing w:after="0" w:line="153"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Officers and Members of Our Board of Directors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32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11"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Section 18-108 of the Delaware Limited Liability Company Act provides that, subject to such standards and restrictions, if any, as are set forth in its limited liability company agreement, a Delaware limited liability</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0" w:lineRule="auto"/>
        <w:rPr>
          <w:sz w:val="20"/>
          <w:szCs w:val="20"/>
          <w:color w:val="auto"/>
        </w:rPr>
      </w:pPr>
      <w:r>
        <w:rPr>
          <w:rFonts w:ascii="Arial" w:cs="Arial" w:eastAsia="Arial" w:hAnsi="Arial"/>
          <w:sz w:val="17"/>
          <w:szCs w:val="17"/>
          <w:color w:val="auto"/>
        </w:rPr>
        <w:t>company may, and has the power to, indemnify and hold harmless any member or manager or other person from and against any and all claims and demands whatsoever. The limited liability company agreement of PAA GP Holdings LLC provides for the indemnification of (a) any of its original members (“Existing Owner”) or any owner of a direct or indirect 10% ownership interest in Plains AAP, L.P.’s Class A units (“Qualifying Interest Holder”), (b) any Person who is or was an affiliate of PAA GP Holdings LLC, any Existing Owner or any Qualifying Interest Holder, (c) any person who is or was a managing member, manager, general partner, shareholder, director, officer, fiduciary, agent or trustee of PAA GP Holdings LLC, any Existing Owner or any Qualifying Interest Holder or any affiliate thereof, (d) any Person who is or was serving at the request of PAA GP Holdings LLC, any Existing Owner or any Qualifying Interest Holder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 -for-services basis, trustee, fiduciary or custodial services), and (e) 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regardless of whether an Indemnitee continues to be an Indemnitee at the time any such liability or expense is paid or incurred, if such Indemnitee acted in good faith and in a manner he, she or it reasonably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insurance, on behalf of the members of its board of directors, its officers and such other persons as its board of directors may determine, against any liability that may be asserted against or expense that may be incurred by such person in connection with the activities of PAA GP Holdings LLC.</w:t>
      </w:r>
    </w:p>
    <w:p>
      <w:pPr>
        <w:spacing w:after="0" w:line="305"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w:t>
      </w: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9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60"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35"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5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53"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48" w:lineRule="exact"/>
        <w:rPr>
          <w:sz w:val="20"/>
          <w:szCs w:val="20"/>
          <w:color w:val="auto"/>
        </w:rPr>
      </w:pPr>
    </w:p>
    <w:p>
      <w:pPr>
        <w:ind w:left="1940" w:hanging="320"/>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157" w:lineRule="exact"/>
        <w:rPr>
          <w:rFonts w:ascii="Arial" w:cs="Arial" w:eastAsia="Arial" w:hAnsi="Arial"/>
          <w:sz w:val="18"/>
          <w:szCs w:val="18"/>
          <w:color w:val="auto"/>
        </w:rPr>
      </w:pPr>
    </w:p>
    <w:p>
      <w:pPr>
        <w:ind w:left="1620" w:right="1339" w:firstLine="360"/>
        <w:spacing w:after="0" w:line="261" w:lineRule="auto"/>
        <w:tabs>
          <w:tab w:leader="none" w:pos="23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3" w:lineRule="exact"/>
        <w:rPr>
          <w:rFonts w:ascii="Arial" w:cs="Arial" w:eastAsia="Arial" w:hAnsi="Arial"/>
          <w:sz w:val="18"/>
          <w:szCs w:val="18"/>
          <w:color w:val="auto"/>
        </w:rPr>
      </w:pPr>
    </w:p>
    <w:p>
      <w:pPr>
        <w:ind w:left="2700" w:hanging="360"/>
        <w:spacing w:after="0"/>
        <w:tabs>
          <w:tab w:leader="none" w:pos="27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1980" w:right="419" w:firstLine="360"/>
        <w:spacing w:after="0" w:line="238" w:lineRule="auto"/>
        <w:tabs>
          <w:tab w:leader="none" w:pos="2703"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20" w:lineRule="exact"/>
        <w:rPr>
          <w:rFonts w:ascii="Arial" w:cs="Arial" w:eastAsia="Arial" w:hAnsi="Arial"/>
          <w:sz w:val="18"/>
          <w:szCs w:val="18"/>
          <w:color w:val="auto"/>
        </w:rPr>
      </w:pPr>
    </w:p>
    <w:p>
      <w:pPr>
        <w:ind w:left="1980" w:right="459" w:firstLine="360"/>
        <w:spacing w:after="0" w:line="248" w:lineRule="auto"/>
        <w:tabs>
          <w:tab w:leader="none" w:pos="2693"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14"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(l)(a), (l)(b) and (1)(c) above do not apply if the information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08" w:lineRule="exact"/>
        <w:rPr>
          <w:sz w:val="20"/>
          <w:szCs w:val="20"/>
          <w:color w:val="auto"/>
        </w:rPr>
      </w:pPr>
    </w:p>
    <w:p>
      <w:pPr>
        <w:ind w:left="1620" w:right="479" w:firstLine="360"/>
        <w:spacing w:after="0" w:line="243" w:lineRule="auto"/>
        <w:tabs>
          <w:tab w:leader="none" w:pos="2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20" w:lineRule="exact"/>
        <w:rPr>
          <w:rFonts w:ascii="Arial" w:cs="Arial" w:eastAsia="Arial" w:hAnsi="Arial"/>
          <w:sz w:val="18"/>
          <w:szCs w:val="18"/>
          <w:color w:val="auto"/>
        </w:rPr>
      </w:pPr>
    </w:p>
    <w:p>
      <w:pPr>
        <w:ind w:left="1620" w:right="739" w:firstLine="360"/>
        <w:spacing w:after="0" w:line="261" w:lineRule="auto"/>
        <w:tabs>
          <w:tab w:leader="none" w:pos="2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rFonts w:ascii="Arial" w:cs="Arial" w:eastAsia="Arial" w:hAnsi="Arial"/>
          <w:sz w:val="18"/>
          <w:szCs w:val="18"/>
          <w:color w:val="auto"/>
        </w:rPr>
      </w:pPr>
    </w:p>
    <w:p>
      <w:pPr>
        <w:ind w:left="2340" w:hanging="360"/>
        <w:spacing w:after="0"/>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44" w:lineRule="exact"/>
        <w:rPr>
          <w:rFonts w:ascii="Arial" w:cs="Arial" w:eastAsia="Arial" w:hAnsi="Arial"/>
          <w:sz w:val="18"/>
          <w:szCs w:val="18"/>
          <w:color w:val="auto"/>
        </w:rPr>
      </w:pPr>
    </w:p>
    <w:p>
      <w:pPr>
        <w:ind w:left="1980" w:right="539" w:firstLine="360"/>
        <w:spacing w:after="0" w:line="248" w:lineRule="auto"/>
        <w:tabs>
          <w:tab w:leader="none" w:pos="26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firstLine="360"/>
        <w:spacing w:after="0" w:line="268" w:lineRule="auto"/>
        <w:tabs>
          <w:tab w:leader="none" w:pos="2706" w:val="left"/>
        </w:tabs>
        <w:numPr>
          <w:ilvl w:val="2"/>
          <w:numId w:val="4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8" w:lineRule="exact"/>
        <w:rPr>
          <w:rFonts w:ascii="Arial" w:cs="Arial" w:eastAsia="Arial" w:hAnsi="Arial"/>
          <w:sz w:val="17"/>
          <w:szCs w:val="17"/>
          <w:color w:val="auto"/>
        </w:rPr>
      </w:pPr>
    </w:p>
    <w:p>
      <w:pPr>
        <w:ind w:left="1620" w:right="499" w:firstLine="360"/>
        <w:spacing w:after="0" w:line="254" w:lineRule="auto"/>
        <w:tabs>
          <w:tab w:leader="none" w:pos="234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7" w:lineRule="exact"/>
        <w:rPr>
          <w:rFonts w:ascii="Arial" w:cs="Arial" w:eastAsia="Arial" w:hAnsi="Arial"/>
          <w:sz w:val="18"/>
          <w:szCs w:val="18"/>
          <w:color w:val="auto"/>
        </w:rPr>
      </w:pPr>
    </w:p>
    <w:p>
      <w:pPr>
        <w:ind w:left="1980" w:right="719" w:firstLine="360"/>
        <w:spacing w:after="0" w:line="277" w:lineRule="auto"/>
        <w:tabs>
          <w:tab w:leader="none" w:pos="2686"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980" w:right="939" w:firstLine="360"/>
        <w:spacing w:after="0" w:line="277" w:lineRule="auto"/>
        <w:tabs>
          <w:tab w:leader="none" w:pos="2696"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8"/>
          <w:szCs w:val="18"/>
          <w:color w:val="auto"/>
        </w:rPr>
      </w:pPr>
    </w:p>
    <w:p>
      <w:pPr>
        <w:ind w:left="1980" w:right="559" w:firstLine="360"/>
        <w:spacing w:after="0" w:line="263" w:lineRule="auto"/>
        <w:tabs>
          <w:tab w:leader="none" w:pos="2693"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980" w:right="999" w:firstLine="360"/>
        <w:spacing w:after="0" w:line="277" w:lineRule="auto"/>
        <w:tabs>
          <w:tab w:leader="none" w:pos="2696"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260" w:right="439" w:firstLine="360"/>
        <w:spacing w:after="0" w:line="254" w:lineRule="auto"/>
        <w:tabs>
          <w:tab w:leader="none" w:pos="19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13" w:lineRule="exact"/>
        <w:rPr>
          <w:rFonts w:ascii="Arial" w:cs="Arial" w:eastAsia="Arial" w:hAnsi="Arial"/>
          <w:sz w:val="18"/>
          <w:szCs w:val="18"/>
          <w:color w:val="auto"/>
        </w:rPr>
      </w:pPr>
    </w:p>
    <w:p>
      <w:pPr>
        <w:ind w:left="1260" w:right="439" w:firstLine="360"/>
        <w:spacing w:after="0" w:line="253" w:lineRule="auto"/>
        <w:tabs>
          <w:tab w:leader="none" w:pos="19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firstLine="360"/>
        <w:spacing w:after="0" w:line="277" w:lineRule="auto"/>
        <w:tabs>
          <w:tab w:leader="none" w:pos="19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w:t>
      </w:r>
    </w:p>
    <w:p>
      <w:pPr>
        <w:spacing w:after="0" w:line="89" w:lineRule="exact"/>
        <w:rPr>
          <w:rFonts w:ascii="Arial" w:cs="Arial" w:eastAsia="Arial" w:hAnsi="Arial"/>
          <w:sz w:val="18"/>
          <w:szCs w:val="18"/>
          <w:color w:val="auto"/>
        </w:rPr>
      </w:pPr>
    </w:p>
    <w:p>
      <w:pPr>
        <w:ind w:left="1620" w:right="539" w:firstLine="360"/>
        <w:spacing w:after="0" w:line="259" w:lineRule="auto"/>
        <w:tabs>
          <w:tab w:leader="none" w:pos="234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119" w:lineRule="exact"/>
        <w:rPr>
          <w:rFonts w:ascii="Arial" w:cs="Arial" w:eastAsia="Arial" w:hAnsi="Arial"/>
          <w:sz w:val="18"/>
          <w:szCs w:val="18"/>
          <w:color w:val="auto"/>
        </w:rPr>
      </w:pPr>
    </w:p>
    <w:p>
      <w:pPr>
        <w:ind w:left="1620" w:right="579" w:firstLine="360"/>
        <w:spacing w:after="0" w:line="263" w:lineRule="auto"/>
        <w:tabs>
          <w:tab w:leader="none" w:pos="2346"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20" w:type="dxa"/>
            <w:vAlign w:val="bottom"/>
            <w:gridSpan w:val="17"/>
          </w:tcPr>
          <w:p>
            <w:pPr>
              <w:ind w:left="60"/>
              <w:spacing w:after="0"/>
              <w:rPr>
                <w:sz w:val="20"/>
                <w:szCs w:val="20"/>
                <w:color w:val="auto"/>
              </w:rPr>
            </w:pPr>
            <w:r>
              <w:rPr>
                <w:rFonts w:ascii="Arial" w:cs="Arial" w:eastAsia="Arial" w:hAnsi="Arial"/>
                <w:sz w:val="18"/>
                <w:szCs w:val="18"/>
                <w:b w:val="1"/>
                <w:bCs w:val="1"/>
                <w:color w:val="auto"/>
              </w:rPr>
              <w:t>INDEX TO EXHIBITS</w:t>
            </w:r>
          </w:p>
        </w:tc>
      </w:tr>
      <w:tr>
        <w:trPr>
          <w:trHeight w:val="315"/>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w:t>
            </w: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gridSpan w:val="15"/>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8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120" w:type="dxa"/>
            <w:vAlign w:val="bottom"/>
            <w:gridSpan w:val="18"/>
          </w:tcPr>
          <w:p>
            <w:pPr>
              <w:spacing w:after="0"/>
              <w:rPr>
                <w:sz w:val="20"/>
                <w:szCs w:val="20"/>
                <w:color w:val="auto"/>
              </w:rPr>
            </w:pPr>
            <w:r>
              <w:rPr>
                <w:rFonts w:ascii="Arial" w:cs="Arial" w:eastAsia="Arial" w:hAnsi="Arial"/>
                <w:sz w:val="18"/>
                <w:szCs w:val="18"/>
                <w:color w:val="auto"/>
              </w:rPr>
              <w:t>Form of Underwriting Agreement</w:t>
            </w:r>
          </w:p>
        </w:tc>
      </w:tr>
      <w:tr>
        <w:trPr>
          <w:trHeight w:val="203"/>
        </w:trPr>
        <w:tc>
          <w:tcPr>
            <w:tcW w:w="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6520" w:type="dxa"/>
            <w:vAlign w:val="bottom"/>
            <w:tcBorders>
              <w:bottom w:val="single" w:sz="8" w:color="0000EE"/>
            </w:tcBorders>
            <w:gridSpan w:val="13"/>
          </w:tcPr>
          <w:p>
            <w:pPr>
              <w:spacing w:after="0" w:line="202"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Indenture for Senior Debt Securities dated as of September 25, 2002 among Plains All</w:t>
              </w:r>
            </w:hyperlink>
          </w:p>
        </w:tc>
        <w:tc>
          <w:tcPr>
            <w:tcW w:w="60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6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American Pipeline, L.P., PAA Finance Corp. and Wachovia Bank, National Association, as</w:t>
              </w:r>
            </w:hyperlink>
          </w:p>
        </w:tc>
        <w:tc>
          <w:tcPr>
            <w:tcW w:w="26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original trustee (incorporated by reference to Exhibit 4.1 of the Partnership’s Quarterly Report</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gridSpan w:val="18"/>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on Form 10-Q for the quarter ended September 30, 2002 (File No. 001-14569)).</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6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7120" w:type="dxa"/>
            <w:vAlign w:val="bottom"/>
            <w:gridSpan w:val="18"/>
          </w:tcPr>
          <w:p>
            <w:pPr>
              <w:spacing w:after="0"/>
              <w:rPr>
                <w:rFonts w:ascii="Arial" w:cs="Arial" w:eastAsia="Arial" w:hAnsi="Arial"/>
                <w:sz w:val="18"/>
                <w:szCs w:val="18"/>
                <w:color w:val="0000EE"/>
                <w:w w:val="96"/>
              </w:rPr>
            </w:pPr>
            <w:hyperlink r:id="rId85">
              <w:r>
                <w:rPr>
                  <w:rFonts w:ascii="Arial" w:cs="Arial" w:eastAsia="Arial" w:hAnsi="Arial"/>
                  <w:sz w:val="18"/>
                  <w:szCs w:val="18"/>
                  <w:color w:val="0000EE"/>
                  <w:w w:val="96"/>
                </w:rPr>
                <w:t>Form of Subordinated Indenture for Subordinated Debt Securities (incorporated by reference</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r:id="rId85">
              <w:r>
                <w:rPr>
                  <w:rFonts w:ascii="Arial" w:cs="Arial" w:eastAsia="Arial" w:hAnsi="Arial"/>
                  <w:sz w:val="18"/>
                  <w:szCs w:val="18"/>
                  <w:color w:val="0000EE"/>
                  <w:w w:val="95"/>
                </w:rPr>
                <w:t>to Exhibit 4.2 of the Partnership’s Registration Statement on Form S-3 filed on August 27,</w:t>
              </w:r>
            </w:hyperlink>
          </w:p>
        </w:tc>
        <w:tc>
          <w:tcPr>
            <w:tcW w:w="160" w:type="dxa"/>
            <w:vAlign w:val="bottom"/>
            <w:tcBorders>
              <w:top w:val="single" w:sz="8" w:color="0000EE"/>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85">
              <w:r>
                <w:rPr>
                  <w:rFonts w:ascii="Arial" w:cs="Arial" w:eastAsia="Arial" w:hAnsi="Arial"/>
                  <w:sz w:val="18"/>
                  <w:szCs w:val="18"/>
                  <w:color w:val="0000EE"/>
                  <w:w w:val="96"/>
                </w:rPr>
                <w:t>2001 (File No. 333-68446))</w:t>
              </w:r>
            </w:hyperlink>
          </w:p>
        </w:tc>
        <w:tc>
          <w:tcPr>
            <w:tcW w:w="5020" w:type="dxa"/>
            <w:vAlign w:val="bottom"/>
            <w:gridSpan w:val="17"/>
          </w:tcPr>
          <w:p>
            <w:pPr>
              <w:spacing w:after="0"/>
              <w:rPr>
                <w:sz w:val="17"/>
                <w:szCs w:val="17"/>
                <w:color w:val="auto"/>
              </w:rPr>
            </w:pPr>
          </w:p>
        </w:tc>
      </w:tr>
      <w:tr>
        <w:trPr>
          <w:trHeight w:val="290"/>
        </w:trPr>
        <w:tc>
          <w:tcPr>
            <w:tcW w:w="8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120" w:type="dxa"/>
            <w:vAlign w:val="bottom"/>
            <w:gridSpan w:val="18"/>
          </w:tcPr>
          <w:p>
            <w:pPr>
              <w:spacing w:after="0"/>
              <w:rPr>
                <w:sz w:val="20"/>
                <w:szCs w:val="20"/>
                <w:color w:val="auto"/>
              </w:rPr>
            </w:pPr>
            <w:r>
              <w:rPr>
                <w:rFonts w:ascii="Arial" w:cs="Arial" w:eastAsia="Arial" w:hAnsi="Arial"/>
                <w:sz w:val="18"/>
                <w:szCs w:val="18"/>
                <w:color w:val="auto"/>
              </w:rPr>
              <w:t>Form of Senior Debt Securities</w:t>
            </w:r>
          </w:p>
        </w:tc>
      </w:tr>
      <w:tr>
        <w:trPr>
          <w:trHeight w:val="257"/>
        </w:trPr>
        <w:tc>
          <w:tcPr>
            <w:tcW w:w="8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2"/>
                <w:szCs w:val="22"/>
                <w:color w:val="auto"/>
              </w:rPr>
            </w:pPr>
          </w:p>
        </w:tc>
        <w:tc>
          <w:tcPr>
            <w:tcW w:w="7120" w:type="dxa"/>
            <w:vAlign w:val="bottom"/>
            <w:gridSpan w:val="18"/>
          </w:tcPr>
          <w:p>
            <w:pPr>
              <w:spacing w:after="0"/>
              <w:rPr>
                <w:sz w:val="20"/>
                <w:szCs w:val="20"/>
                <w:color w:val="auto"/>
              </w:rPr>
            </w:pPr>
            <w:r>
              <w:rPr>
                <w:rFonts w:ascii="Arial" w:cs="Arial" w:eastAsia="Arial" w:hAnsi="Arial"/>
                <w:sz w:val="18"/>
                <w:szCs w:val="18"/>
                <w:color w:val="auto"/>
              </w:rPr>
              <w:t>Form of Subordinated Debt Securities</w:t>
            </w:r>
          </w:p>
        </w:tc>
      </w:tr>
      <w:tr>
        <w:trPr>
          <w:trHeight w:val="229"/>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64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Opinion of Vinson &amp; Elkins L.L.P. as to the legality of the securities being registered</w:t>
              </w:r>
            </w:hyperlink>
          </w:p>
        </w:tc>
        <w:tc>
          <w:tcPr>
            <w:tcW w:w="680" w:type="dxa"/>
            <w:vAlign w:val="bottom"/>
            <w:gridSpan w:val="6"/>
          </w:tcPr>
          <w:p>
            <w:pPr>
              <w:spacing w:after="0"/>
              <w:rPr>
                <w:sz w:val="19"/>
                <w:szCs w:val="19"/>
                <w:color w:val="auto"/>
              </w:rPr>
            </w:pPr>
          </w:p>
        </w:tc>
      </w:tr>
      <w:tr>
        <w:trPr>
          <w:trHeight w:val="250"/>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434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Opinion of Vinson &amp; Elkins L.L.P. relating to tax matters</w:t>
              </w:r>
            </w:hyperlink>
          </w:p>
        </w:tc>
        <w:tc>
          <w:tcPr>
            <w:tcW w:w="2780" w:type="dxa"/>
            <w:vAlign w:val="bottom"/>
            <w:gridSpan w:val="12"/>
          </w:tcPr>
          <w:p>
            <w:pPr>
              <w:spacing w:after="0"/>
              <w:rPr>
                <w:sz w:val="21"/>
                <w:szCs w:val="21"/>
                <w:color w:val="auto"/>
              </w:rPr>
            </w:pPr>
          </w:p>
        </w:tc>
      </w:tr>
      <w:tr>
        <w:trPr>
          <w:trHeight w:val="250"/>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31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Consent of PricewaterhouseCoopers LLP</w:t>
              </w:r>
            </w:hyperlink>
          </w:p>
        </w:tc>
        <w:tc>
          <w:tcPr>
            <w:tcW w:w="4000" w:type="dxa"/>
            <w:vAlign w:val="bottom"/>
            <w:gridSpan w:val="15"/>
          </w:tcPr>
          <w:p>
            <w:pPr>
              <w:spacing w:after="0"/>
              <w:rPr>
                <w:sz w:val="21"/>
                <w:szCs w:val="21"/>
                <w:color w:val="auto"/>
              </w:rPr>
            </w:pPr>
          </w:p>
        </w:tc>
      </w:tr>
      <w:tr>
        <w:trPr>
          <w:trHeight w:val="250"/>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712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Vinson &amp; Elkins L.L.P. (contained in </w:t>
            </w:r>
            <w:hyperlink w:anchor="page59">
              <w:r>
                <w:rPr>
                  <w:rFonts w:ascii="Arial" w:cs="Arial" w:eastAsia="Arial" w:hAnsi="Arial"/>
                  <w:sz w:val="18"/>
                  <w:szCs w:val="18"/>
                  <w:color w:val="0000EE"/>
                </w:rPr>
                <w:t>Exhibits 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62">
              <w:r>
                <w:rPr>
                  <w:rFonts w:ascii="Arial" w:cs="Arial" w:eastAsia="Arial" w:hAnsi="Arial"/>
                  <w:sz w:val="18"/>
                  <w:szCs w:val="18"/>
                  <w:color w:val="0000EE"/>
                </w:rPr>
                <w:t>8.1</w:t>
              </w:r>
            </w:hyperlink>
            <w:r>
              <w:rPr>
                <w:rFonts w:ascii="Arial" w:cs="Arial" w:eastAsia="Arial" w:hAnsi="Arial"/>
                <w:sz w:val="18"/>
                <w:szCs w:val="18"/>
                <w:color w:val="auto"/>
              </w:rPr>
              <w:t>)</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712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Powers of Attorney (included on the signature page of this registration statement)</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0"/>
                <w:szCs w:val="20"/>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Form T-1 Statement of Eligibility and Qualification under the Trust Indenture Act of 1939 of</w:t>
              </w:r>
            </w:hyperlink>
          </w:p>
        </w:tc>
        <w:tc>
          <w:tcPr>
            <w:tcW w:w="100" w:type="dxa"/>
            <w:vAlign w:val="bottom"/>
          </w:tcPr>
          <w:p>
            <w:pPr>
              <w:spacing w:after="0"/>
              <w:rPr>
                <w:sz w:val="20"/>
                <w:szCs w:val="20"/>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gridSpan w:val="1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the trustee under the Senior Indenture</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r>
      <w:tr>
        <w:trPr>
          <w:trHeight w:val="250"/>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1"/>
                <w:szCs w:val="21"/>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Form T-1 Statement of Eligibility and Qualification under the Trust Indenture Act of 1939 of</w:t>
              </w:r>
            </w:hyperlink>
          </w:p>
        </w:tc>
        <w:tc>
          <w:tcPr>
            <w:tcW w:w="10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the trustee under the Subordinated Indenture</w:t>
              </w:r>
            </w:hyperlink>
          </w:p>
        </w:tc>
        <w:tc>
          <w:tcPr>
            <w:tcW w:w="3760" w:type="dxa"/>
            <w:vAlign w:val="bottom"/>
            <w:gridSpan w:val="14"/>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1234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hanging="36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620" w:right="439" w:hanging="360"/>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8, 2021.</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PLAINS ALL AMERICAN PIPELINE, L.P.</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PAA GP LLC, its general partner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Plains AAP, L.P., its sole member</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Plains All American GP LLC, its general partner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Plains GP Holdings, L.P., its sole member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PAA GP Holdings LLC, its general partner</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1"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Richard K. McGee</w:t>
      </w:r>
    </w:p>
    <w:p>
      <w:pPr>
        <w:spacing w:after="0" w:line="23" w:lineRule="exact"/>
        <w:rPr>
          <w:sz w:val="20"/>
          <w:szCs w:val="20"/>
          <w:color w:val="auto"/>
        </w:rPr>
      </w:pPr>
    </w:p>
    <w:p>
      <w:pPr>
        <w:jc w:val="both"/>
        <w:ind w:left="558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 Counsel</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14"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below.</w:t>
      </w:r>
    </w:p>
    <w:p>
      <w:pPr>
        <w:spacing w:after="0" w:line="142"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ectPr>
          <w:pgSz w:w="11900" w:h="16838" w:orient="portrait"/>
          <w:cols w:equalWidth="0" w:num="1">
            <w:col w:w="9879"/>
          </w:cols>
          <w:pgMar w:left="580" w:top="132" w:right="1440" w:bottom="1440" w:gutter="0" w:footer="0" w:header="0"/>
        </w:sectPr>
      </w:pPr>
    </w:p>
    <w:p>
      <w:pPr>
        <w:spacing w:after="0" w:line="121" w:lineRule="exact"/>
        <w:rPr>
          <w:sz w:val="20"/>
          <w:szCs w:val="20"/>
          <w:color w:val="auto"/>
        </w:rPr>
      </w:pPr>
    </w:p>
    <w:p>
      <w:pPr>
        <w:jc w:val="center"/>
        <w:ind w:left="16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19627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WILLIE C.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Willie C. Chiang</w:t>
      </w:r>
    </w:p>
    <w:p>
      <w:pPr>
        <w:spacing w:after="0" w:line="200" w:lineRule="exact"/>
        <w:rPr>
          <w:sz w:val="20"/>
          <w:szCs w:val="20"/>
          <w:color w:val="auto"/>
        </w:rPr>
      </w:pPr>
    </w:p>
    <w:p>
      <w:pPr>
        <w:spacing w:after="0" w:line="28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Harry N. Pefanis</w:t>
      </w:r>
    </w:p>
    <w:p>
      <w:pPr>
        <w:spacing w:after="0" w:line="7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Al Swanson</w:t>
      </w:r>
    </w:p>
    <w:p>
      <w:pPr>
        <w:spacing w:after="0" w:line="279"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Chris Herbold</w:t>
      </w:r>
    </w:p>
    <w:p>
      <w:pPr>
        <w:spacing w:after="0" w:line="279"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9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Greg L. Armstrong</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Victor Burk</w:t>
      </w:r>
    </w:p>
    <w:p>
      <w:pPr>
        <w:spacing w:after="0" w:line="90"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KEVIN 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Kevin S. McCarthy</w:t>
      </w:r>
    </w:p>
    <w:p>
      <w:pPr>
        <w:spacing w:after="0" w:line="90"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Gary R. Petersen</w:t>
      </w:r>
    </w:p>
    <w:p>
      <w:pPr>
        <w:spacing w:after="0" w:line="90"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97"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Alexandra D. Pruner</w:t>
      </w:r>
    </w:p>
    <w:p>
      <w:pPr>
        <w:spacing w:after="0" w:line="90"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954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9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John T. Raymond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Chairman of the Board and Chief</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216"/>
        </w:trPr>
        <w:tc>
          <w:tcPr>
            <w:tcW w:w="32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Executive Officer</w:t>
            </w:r>
          </w:p>
        </w:tc>
        <w:tc>
          <w:tcPr>
            <w:tcW w:w="1420" w:type="dxa"/>
            <w:vAlign w:val="bottom"/>
          </w:tcPr>
          <w:p>
            <w:pPr>
              <w:spacing w:after="0"/>
              <w:rPr>
                <w:sz w:val="18"/>
                <w:szCs w:val="18"/>
                <w:color w:val="auto"/>
              </w:rPr>
            </w:pPr>
          </w:p>
        </w:tc>
      </w:tr>
      <w:tr>
        <w:trPr>
          <w:trHeight w:val="230"/>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(Principal Executive Officer)</w:t>
            </w:r>
          </w:p>
        </w:tc>
        <w:tc>
          <w:tcPr>
            <w:tcW w:w="1420" w:type="dxa"/>
            <w:vAlign w:val="bottom"/>
          </w:tcPr>
          <w:p>
            <w:pPr>
              <w:spacing w:after="0"/>
              <w:rPr>
                <w:sz w:val="20"/>
                <w:szCs w:val="20"/>
                <w:color w:val="auto"/>
              </w:rPr>
            </w:pPr>
          </w:p>
        </w:tc>
      </w:tr>
      <w:tr>
        <w:trPr>
          <w:trHeight w:val="581"/>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President and 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593"/>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Executive Vice President and Chief</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216"/>
        </w:trPr>
        <w:tc>
          <w:tcPr>
            <w:tcW w:w="32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Financial Officer</w:t>
            </w:r>
          </w:p>
        </w:tc>
        <w:tc>
          <w:tcPr>
            <w:tcW w:w="1420" w:type="dxa"/>
            <w:vAlign w:val="bottom"/>
          </w:tcPr>
          <w:p>
            <w:pPr>
              <w:spacing w:after="0"/>
              <w:rPr>
                <w:sz w:val="18"/>
                <w:szCs w:val="18"/>
                <w:color w:val="auto"/>
              </w:rPr>
            </w:pPr>
          </w:p>
        </w:tc>
      </w:tr>
      <w:tr>
        <w:trPr>
          <w:trHeight w:val="230"/>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(Principal Financial Officer)</w:t>
            </w:r>
          </w:p>
        </w:tc>
        <w:tc>
          <w:tcPr>
            <w:tcW w:w="1420" w:type="dxa"/>
            <w:vAlign w:val="bottom"/>
          </w:tcPr>
          <w:p>
            <w:pPr>
              <w:spacing w:after="0"/>
              <w:rPr>
                <w:sz w:val="20"/>
                <w:szCs w:val="20"/>
                <w:color w:val="auto"/>
              </w:rPr>
            </w:pPr>
          </w:p>
        </w:tc>
      </w:tr>
      <w:tr>
        <w:trPr>
          <w:trHeight w:val="364"/>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Senior Vice President, Finance and</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216"/>
        </w:trPr>
        <w:tc>
          <w:tcPr>
            <w:tcW w:w="32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Chief Accounting Officer</w:t>
            </w:r>
          </w:p>
        </w:tc>
        <w:tc>
          <w:tcPr>
            <w:tcW w:w="1420" w:type="dxa"/>
            <w:vAlign w:val="bottom"/>
          </w:tcPr>
          <w:p>
            <w:pPr>
              <w:spacing w:after="0"/>
              <w:rPr>
                <w:sz w:val="18"/>
                <w:szCs w:val="18"/>
                <w:color w:val="auto"/>
              </w:rPr>
            </w:pPr>
          </w:p>
        </w:tc>
      </w:tr>
      <w:tr>
        <w:trPr>
          <w:trHeight w:val="230"/>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(Principal Accounting Officer)</w:t>
            </w:r>
          </w:p>
        </w:tc>
        <w:tc>
          <w:tcPr>
            <w:tcW w:w="1420" w:type="dxa"/>
            <w:vAlign w:val="bottom"/>
          </w:tcPr>
          <w:p>
            <w:pPr>
              <w:spacing w:after="0"/>
              <w:rPr>
                <w:sz w:val="20"/>
                <w:szCs w:val="20"/>
                <w:color w:val="auto"/>
              </w:rPr>
            </w:pPr>
          </w:p>
        </w:tc>
      </w:tr>
      <w:tr>
        <w:trPr>
          <w:trHeight w:val="378"/>
        </w:trPr>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621"/>
        </w:trPr>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621"/>
        </w:trPr>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621"/>
        </w:trPr>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621"/>
        </w:trPr>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r>
        <w:trPr>
          <w:trHeight w:val="621"/>
        </w:trPr>
        <w:tc>
          <w:tcPr>
            <w:tcW w:w="3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September 8, 2021</w:t>
            </w:r>
          </w:p>
        </w:tc>
      </w:tr>
    </w:tbl>
    <w:p>
      <w:pPr>
        <w:spacing w:after="0" w:line="500" w:lineRule="exact"/>
        <w:rPr>
          <w:sz w:val="20"/>
          <w:szCs w:val="20"/>
          <w:color w:val="auto"/>
        </w:rPr>
      </w:pPr>
    </w:p>
    <w:p>
      <w:pPr>
        <w:sectPr>
          <w:pgSz w:w="11900" w:h="16838" w:orient="portrait"/>
          <w:cols w:equalWidth="0" w:num="2">
            <w:col w:w="4000" w:space="540"/>
            <w:col w:w="5339"/>
          </w:cols>
          <w:pgMar w:left="580" w:top="132" w:right="1440" w:bottom="1440" w:gutter="0" w:footer="0" w:header="0"/>
          <w:type w:val="continuous"/>
        </w:sect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Title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453"/>
        </w:trPr>
        <w:tc>
          <w:tcPr>
            <w:tcW w:w="3080" w:type="dxa"/>
            <w:vAlign w:val="bottom"/>
          </w:tcPr>
          <w:p>
            <w:pPr>
              <w:jc w:val="center"/>
              <w:spacing w:after="0"/>
              <w:rPr>
                <w:sz w:val="20"/>
                <w:szCs w:val="20"/>
                <w:color w:val="auto"/>
              </w:rPr>
            </w:pPr>
            <w:r>
              <w:rPr>
                <w:rFonts w:ascii="Arial" w:cs="Arial" w:eastAsia="Arial" w:hAnsi="Arial"/>
                <w:sz w:val="18"/>
                <w:szCs w:val="18"/>
                <w:color w:val="auto"/>
                <w:w w:val="99"/>
              </w:rPr>
              <w:t>/s/ BOBBY S. SHACKOULS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r>
      <w:tr>
        <w:trPr>
          <w:trHeight w:val="40"/>
        </w:trPr>
        <w:tc>
          <w:tcPr>
            <w:tcW w:w="3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3080" w:type="dxa"/>
            <w:vAlign w:val="bottom"/>
          </w:tcPr>
          <w:p>
            <w:pPr>
              <w:jc w:val="center"/>
              <w:spacing w:after="0"/>
              <w:rPr>
                <w:sz w:val="20"/>
                <w:szCs w:val="20"/>
                <w:color w:val="auto"/>
              </w:rPr>
            </w:pPr>
            <w:r>
              <w:rPr>
                <w:rFonts w:ascii="Arial" w:cs="Arial" w:eastAsia="Arial" w:hAnsi="Arial"/>
                <w:sz w:val="18"/>
                <w:szCs w:val="18"/>
                <w:color w:val="auto"/>
                <w:w w:val="94"/>
              </w:rPr>
              <w:t>Bobby S. Shackouls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97"/>
        </w:trPr>
        <w:tc>
          <w:tcPr>
            <w:tcW w:w="3080" w:type="dxa"/>
            <w:vAlign w:val="bottom"/>
          </w:tcPr>
          <w:p>
            <w:pPr>
              <w:jc w:val="center"/>
              <w:spacing w:after="0"/>
              <w:rPr>
                <w:sz w:val="20"/>
                <w:szCs w:val="20"/>
                <w:color w:val="auto"/>
              </w:rPr>
            </w:pPr>
            <w:r>
              <w:rPr>
                <w:rFonts w:ascii="Arial" w:cs="Arial" w:eastAsia="Arial" w:hAnsi="Arial"/>
                <w:sz w:val="18"/>
                <w:szCs w:val="18"/>
                <w:color w:val="auto"/>
                <w:w w:val="98"/>
              </w:rPr>
              <w:t>/s/ CHRISTOPHER M. TEMPLE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r>
      <w:tr>
        <w:trPr>
          <w:trHeight w:val="40"/>
        </w:trPr>
        <w:tc>
          <w:tcPr>
            <w:tcW w:w="3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3080" w:type="dxa"/>
            <w:vAlign w:val="bottom"/>
          </w:tcPr>
          <w:p>
            <w:pPr>
              <w:jc w:val="center"/>
              <w:spacing w:after="0"/>
              <w:rPr>
                <w:sz w:val="20"/>
                <w:szCs w:val="20"/>
                <w:color w:val="auto"/>
              </w:rPr>
            </w:pPr>
            <w:r>
              <w:rPr>
                <w:rFonts w:ascii="Arial" w:cs="Arial" w:eastAsia="Arial" w:hAnsi="Arial"/>
                <w:sz w:val="18"/>
                <w:szCs w:val="18"/>
                <w:color w:val="auto"/>
                <w:w w:val="96"/>
              </w:rPr>
              <w:t>Christopher M. Temple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97"/>
        </w:trPr>
        <w:tc>
          <w:tcPr>
            <w:tcW w:w="3080" w:type="dxa"/>
            <w:vAlign w:val="bottom"/>
          </w:tcPr>
          <w:p>
            <w:pPr>
              <w:jc w:val="center"/>
              <w:spacing w:after="0"/>
              <w:rPr>
                <w:sz w:val="20"/>
                <w:szCs w:val="20"/>
                <w:color w:val="auto"/>
              </w:rPr>
            </w:pPr>
            <w:r>
              <w:rPr>
                <w:rFonts w:ascii="Arial" w:cs="Arial" w:eastAsia="Arial" w:hAnsi="Arial"/>
                <w:sz w:val="18"/>
                <w:szCs w:val="18"/>
                <w:color w:val="auto"/>
              </w:rPr>
              <w:t>/s/ LAWRENCE M. ZIEMBA</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r>
      <w:tr>
        <w:trPr>
          <w:trHeight w:val="40"/>
        </w:trPr>
        <w:tc>
          <w:tcPr>
            <w:tcW w:w="3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3080" w:type="dxa"/>
            <w:vAlign w:val="bottom"/>
          </w:tcPr>
          <w:p>
            <w:pPr>
              <w:jc w:val="center"/>
              <w:spacing w:after="0"/>
              <w:rPr>
                <w:sz w:val="20"/>
                <w:szCs w:val="20"/>
                <w:color w:val="auto"/>
              </w:rPr>
            </w:pPr>
            <w:r>
              <w:rPr>
                <w:rFonts w:ascii="Arial" w:cs="Arial" w:eastAsia="Arial" w:hAnsi="Arial"/>
                <w:sz w:val="18"/>
                <w:szCs w:val="18"/>
                <w:color w:val="auto"/>
                <w:w w:val="96"/>
              </w:rPr>
              <w:t>Lawrence M. Ziemba</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8, 2021.</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PAA FINANCE CORP.</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11" w:lineRule="exact"/>
        <w:rPr>
          <w:sz w:val="20"/>
          <w:szCs w:val="20"/>
          <w:color w:val="auto"/>
        </w:rPr>
      </w:pPr>
    </w:p>
    <w:p>
      <w:pPr>
        <w:ind w:left="5580"/>
        <w:spacing w:after="0"/>
        <w:tabs>
          <w:tab w:leader="none" w:pos="6300" w:val="left"/>
        </w:tabs>
        <w:rPr>
          <w:sz w:val="20"/>
          <w:szCs w:val="20"/>
          <w:color w:val="auto"/>
        </w:rPr>
      </w:pPr>
      <w:r>
        <w:rPr>
          <w:rFonts w:ascii="Arial" w:cs="Arial" w:eastAsia="Arial" w:hAnsi="Arial"/>
          <w:sz w:val="18"/>
          <w:szCs w:val="18"/>
          <w:color w:val="auto"/>
        </w:rPr>
        <w:t>Name:</w:t>
        <w:tab/>
        <w:t>Richard K. McGee</w:t>
      </w:r>
    </w:p>
    <w:p>
      <w:pPr>
        <w:spacing w:after="0" w:line="23" w:lineRule="exact"/>
        <w:rPr>
          <w:sz w:val="20"/>
          <w:szCs w:val="20"/>
          <w:color w:val="auto"/>
        </w:rPr>
      </w:pPr>
    </w:p>
    <w:p>
      <w:pPr>
        <w:ind w:left="558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Counsel and Secretary</w:t>
      </w:r>
    </w:p>
    <w:p>
      <w:pPr>
        <w:spacing w:after="0" w:line="20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01"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below.</w:t>
      </w:r>
    </w:p>
    <w:p>
      <w:pPr>
        <w:spacing w:after="0" w:line="14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PAA FINANCE CORP.</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Title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
        </w:trPr>
        <w:tc>
          <w:tcPr>
            <w:tcW w:w="3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3080" w:type="dxa"/>
            <w:vAlign w:val="bottom"/>
          </w:tcPr>
          <w:p>
            <w:pPr>
              <w:jc w:val="center"/>
              <w:spacing w:after="0"/>
              <w:rPr>
                <w:sz w:val="20"/>
                <w:szCs w:val="20"/>
                <w:color w:val="auto"/>
              </w:rPr>
            </w:pPr>
            <w:r>
              <w:rPr>
                <w:rFonts w:ascii="Arial" w:cs="Arial" w:eastAsia="Arial" w:hAnsi="Arial"/>
                <w:sz w:val="18"/>
                <w:szCs w:val="18"/>
                <w:color w:val="auto"/>
              </w:rPr>
              <w:t>/s/ WILLIE CHIANG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Chief Executive Officer and 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c>
          <w:tcPr>
            <w:tcW w:w="0" w:type="dxa"/>
            <w:vAlign w:val="bottom"/>
          </w:tcPr>
          <w:p>
            <w:pPr>
              <w:spacing w:after="0"/>
              <w:rPr>
                <w:sz w:val="1"/>
                <w:szCs w:val="1"/>
                <w:color w:val="auto"/>
              </w:rPr>
            </w:pPr>
          </w:p>
        </w:tc>
      </w:tr>
      <w:tr>
        <w:trPr>
          <w:trHeight w:val="55"/>
        </w:trPr>
        <w:tc>
          <w:tcPr>
            <w:tcW w:w="30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32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(Principal Executive Officer)</w:t>
            </w: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8"/>
              </w:rPr>
              <w:t>Willie Chiang</w:t>
            </w: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0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3080" w:type="dxa"/>
            <w:vAlign w:val="bottom"/>
          </w:tcPr>
          <w:p>
            <w:pPr>
              <w:jc w:val="center"/>
              <w:spacing w:after="0"/>
              <w:rPr>
                <w:sz w:val="20"/>
                <w:szCs w:val="20"/>
                <w:color w:val="auto"/>
              </w:rPr>
            </w:pPr>
            <w:r>
              <w:rPr>
                <w:rFonts w:ascii="Arial" w:cs="Arial" w:eastAsia="Arial" w:hAnsi="Arial"/>
                <w:sz w:val="18"/>
                <w:szCs w:val="18"/>
                <w:color w:val="auto"/>
                <w:w w:val="98"/>
              </w:rPr>
              <w:t>/s/ AL SWANSON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Executive Vice President, Chief</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c>
          <w:tcPr>
            <w:tcW w:w="0" w:type="dxa"/>
            <w:vAlign w:val="bottom"/>
          </w:tcPr>
          <w:p>
            <w:pPr>
              <w:spacing w:after="0"/>
              <w:rPr>
                <w:sz w:val="1"/>
                <w:szCs w:val="1"/>
                <w:color w:val="auto"/>
              </w:rPr>
            </w:pPr>
          </w:p>
        </w:tc>
      </w:tr>
      <w:tr>
        <w:trPr>
          <w:trHeight w:val="55"/>
        </w:trPr>
        <w:tc>
          <w:tcPr>
            <w:tcW w:w="30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32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7"/>
              </w:rPr>
              <w:t>Financial Officer and Director</w:t>
            </w: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4"/>
              </w:rPr>
              <w:t>Al Swanson</w:t>
            </w: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(Principal Financial Officer)</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1"/>
        </w:trPr>
        <w:tc>
          <w:tcPr>
            <w:tcW w:w="3080" w:type="dxa"/>
            <w:vAlign w:val="bottom"/>
          </w:tcPr>
          <w:p>
            <w:pPr>
              <w:jc w:val="center"/>
              <w:spacing w:after="0"/>
              <w:rPr>
                <w:sz w:val="20"/>
                <w:szCs w:val="20"/>
                <w:color w:val="auto"/>
              </w:rPr>
            </w:pPr>
            <w:r>
              <w:rPr>
                <w:rFonts w:ascii="Arial" w:cs="Arial" w:eastAsia="Arial" w:hAnsi="Arial"/>
                <w:sz w:val="18"/>
                <w:szCs w:val="18"/>
                <w:color w:val="auto"/>
                <w:w w:val="98"/>
              </w:rPr>
              <w:t>/s/ CHRIS HERBOLD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Senior Vice President, Finance and</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c>
          <w:tcPr>
            <w:tcW w:w="0" w:type="dxa"/>
            <w:vAlign w:val="bottom"/>
          </w:tcPr>
          <w:p>
            <w:pPr>
              <w:spacing w:after="0"/>
              <w:rPr>
                <w:sz w:val="1"/>
                <w:szCs w:val="1"/>
                <w:color w:val="auto"/>
              </w:rPr>
            </w:pPr>
          </w:p>
        </w:tc>
      </w:tr>
      <w:tr>
        <w:trPr>
          <w:trHeight w:val="55"/>
        </w:trPr>
        <w:tc>
          <w:tcPr>
            <w:tcW w:w="30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3260" w:type="dxa"/>
            <w:vAlign w:val="bottom"/>
            <w:gridSpan w:val="2"/>
            <w:vMerge w:val="restart"/>
          </w:tcPr>
          <w:p>
            <w:pPr>
              <w:ind w:left="540"/>
              <w:spacing w:after="0"/>
              <w:rPr>
                <w:sz w:val="20"/>
                <w:szCs w:val="20"/>
                <w:color w:val="auto"/>
              </w:rPr>
            </w:pPr>
            <w:r>
              <w:rPr>
                <w:rFonts w:ascii="Arial" w:cs="Arial" w:eastAsia="Arial" w:hAnsi="Arial"/>
                <w:sz w:val="18"/>
                <w:szCs w:val="18"/>
                <w:color w:val="auto"/>
              </w:rPr>
              <w:t>Chief Accounting Officer</w:t>
            </w: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6"/>
              </w:rPr>
              <w:t>Chris Herbold</w:t>
            </w: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(Principal Accounting Officer)</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3080" w:type="dxa"/>
            <w:vAlign w:val="bottom"/>
          </w:tcPr>
          <w:p>
            <w:pPr>
              <w:jc w:val="center"/>
              <w:spacing w:after="0"/>
              <w:rPr>
                <w:sz w:val="20"/>
                <w:szCs w:val="20"/>
                <w:color w:val="auto"/>
              </w:rPr>
            </w:pPr>
            <w:r>
              <w:rPr>
                <w:rFonts w:ascii="Arial" w:cs="Arial" w:eastAsia="Arial" w:hAnsi="Arial"/>
                <w:sz w:val="18"/>
                <w:szCs w:val="18"/>
                <w:color w:val="auto"/>
                <w:w w:val="97"/>
              </w:rPr>
              <w:t>/s/ HARRY N. PEFANIS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President and Director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September 8, 2021</w:t>
            </w:r>
          </w:p>
        </w:tc>
        <w:tc>
          <w:tcPr>
            <w:tcW w:w="0" w:type="dxa"/>
            <w:vAlign w:val="bottom"/>
          </w:tcPr>
          <w:p>
            <w:pPr>
              <w:spacing w:after="0"/>
              <w:rPr>
                <w:sz w:val="1"/>
                <w:szCs w:val="1"/>
                <w:color w:val="auto"/>
              </w:rPr>
            </w:pPr>
          </w:p>
        </w:tc>
      </w:tr>
      <w:tr>
        <w:trPr>
          <w:trHeight w:val="40"/>
        </w:trPr>
        <w:tc>
          <w:tcPr>
            <w:tcW w:w="3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80" w:type="dxa"/>
            <w:vAlign w:val="bottom"/>
          </w:tcPr>
          <w:p>
            <w:pPr>
              <w:jc w:val="center"/>
              <w:spacing w:after="0"/>
              <w:rPr>
                <w:sz w:val="20"/>
                <w:szCs w:val="20"/>
                <w:color w:val="auto"/>
              </w:rPr>
            </w:pPr>
            <w:r>
              <w:rPr>
                <w:rFonts w:ascii="Arial" w:cs="Arial" w:eastAsia="Arial" w:hAnsi="Arial"/>
                <w:sz w:val="18"/>
                <w:szCs w:val="18"/>
                <w:color w:val="auto"/>
                <w:w w:val="95"/>
              </w:rPr>
              <w:t>Harry N. Pefanis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counsel for Plains All American Pipeline,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the preparation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connection with the registration by the Partnership under the Securities Act of 1933, as amended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of the offer and sale by the Partnership from time to time, pursuant to Rule 415 under the Securities Act, of:</w:t>
      </w:r>
    </w:p>
    <w:p>
      <w:pPr>
        <w:spacing w:after="0" w:line="187" w:lineRule="exact"/>
        <w:rPr>
          <w:sz w:val="20"/>
          <w:szCs w:val="20"/>
          <w:color w:val="auto"/>
        </w:rPr>
      </w:pPr>
    </w:p>
    <w:p>
      <w:pPr>
        <w:ind w:left="1560" w:hanging="256"/>
        <w:spacing w:after="0"/>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preferred units representing limited partner interests in the Partnership (the “</w:t>
      </w:r>
      <w:r>
        <w:rPr>
          <w:rFonts w:ascii="Arial" w:cs="Arial" w:eastAsia="Arial" w:hAnsi="Arial"/>
          <w:sz w:val="18"/>
          <w:szCs w:val="18"/>
          <w:b w:val="1"/>
          <w:bCs w:val="1"/>
          <w:i w:val="1"/>
          <w:iCs w:val="1"/>
          <w:color w:val="auto"/>
        </w:rPr>
        <w:t>Preferred Units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Common Units, the Preferred Units and Debt Securities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aggregate initial offering price of the Securities that may be offered and sold by the Partnership will not exceed $1,100,000,000 or, if applicable, the equivalent thereof in any other security or currency unit.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also participated in the preparation of the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contained in the Registration Statement to which this opinion is an exhibit.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Limited Partnership Act (the “</w:t>
      </w:r>
      <w:r>
        <w:rPr>
          <w:rFonts w:ascii="Arial" w:cs="Arial" w:eastAsia="Arial" w:hAnsi="Arial"/>
          <w:sz w:val="16"/>
          <w:szCs w:val="16"/>
          <w:b w:val="1"/>
          <w:bCs w:val="1"/>
          <w:i w:val="1"/>
          <w:iCs w:val="1"/>
          <w:color w:val="auto"/>
        </w:rPr>
        <w:t>Delaware LP Act</w:t>
      </w:r>
      <w:r>
        <w:rPr>
          <w:rFonts w:ascii="Arial" w:cs="Arial" w:eastAsia="Arial" w:hAnsi="Arial"/>
          <w:sz w:val="16"/>
          <w:szCs w:val="16"/>
          <w:color w:val="auto"/>
        </w:rPr>
        <w:t>”), (ii)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(iii) the Registration Statement, including the Prospectus, (iv) the Senior Indenture (the “</w:t>
      </w:r>
      <w:r>
        <w:rPr>
          <w:rFonts w:ascii="Arial" w:cs="Arial" w:eastAsia="Arial" w:hAnsi="Arial"/>
          <w:sz w:val="16"/>
          <w:szCs w:val="16"/>
          <w:b w:val="1"/>
          <w:bCs w:val="1"/>
          <w:i w:val="1"/>
          <w:iCs w:val="1"/>
          <w:color w:val="auto"/>
        </w:rPr>
        <w:t>Senior Indenture</w:t>
      </w:r>
      <w:r>
        <w:rPr>
          <w:rFonts w:ascii="Arial" w:cs="Arial" w:eastAsia="Arial" w:hAnsi="Arial"/>
          <w:sz w:val="16"/>
          <w:szCs w:val="16"/>
          <w:color w:val="auto"/>
        </w:rPr>
        <w:t>”), incorporated by reference as Exhibit 4.1 to the Registration Statement, (v) the form of Subordinated Indenture (the “</w:t>
      </w:r>
      <w:r>
        <w:rPr>
          <w:rFonts w:ascii="Arial" w:cs="Arial" w:eastAsia="Arial" w:hAnsi="Arial"/>
          <w:sz w:val="16"/>
          <w:szCs w:val="16"/>
          <w:b w:val="1"/>
          <w:bCs w:val="1"/>
          <w:i w:val="1"/>
          <w:iCs w:val="1"/>
          <w:color w:val="auto"/>
        </w:rPr>
        <w:t>Subordinated Indenture</w:t>
      </w:r>
      <w:r>
        <w:rPr>
          <w:rFonts w:ascii="Arial" w:cs="Arial" w:eastAsia="Arial" w:hAnsi="Arial"/>
          <w:sz w:val="16"/>
          <w:szCs w:val="16"/>
          <w:color w:val="auto"/>
        </w:rPr>
        <w:t>,” together with the Senior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incorporated by reference as Exhibit 4.2 to the Registration Statement,</w:t>
      </w:r>
    </w:p>
    <w:p>
      <w:pPr>
        <w:spacing w:after="0" w:line="1" w:lineRule="exact"/>
        <w:rPr>
          <w:sz w:val="20"/>
          <w:szCs w:val="20"/>
          <w:color w:val="auto"/>
        </w:rPr>
      </w:pPr>
    </w:p>
    <w:p>
      <w:pPr>
        <w:jc w:val="both"/>
        <w:ind w:firstLine="8"/>
        <w:spacing w:after="0" w:line="253" w:lineRule="auto"/>
        <w:tabs>
          <w:tab w:leader="none" w:pos="3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Seventh Amended and Restated Agreement of Limited Partnership of the Partnership, as amended (the “</w:t>
      </w:r>
      <w:r>
        <w:rPr>
          <w:rFonts w:ascii="Arial" w:cs="Arial" w:eastAsia="Arial" w:hAnsi="Arial"/>
          <w:sz w:val="18"/>
          <w:szCs w:val="18"/>
          <w:b w:val="1"/>
          <w:bCs w:val="1"/>
          <w:i w:val="1"/>
          <w:iCs w:val="1"/>
          <w:color w:val="auto"/>
        </w:rPr>
        <w:t>Partnership Agreement</w:t>
      </w:r>
      <w:r>
        <w:rPr>
          <w:rFonts w:ascii="Arial" w:cs="Arial" w:eastAsia="Arial" w:hAnsi="Arial"/>
          <w:sz w:val="18"/>
          <w:szCs w:val="18"/>
          <w:color w:val="auto"/>
        </w:rPr>
        <w:t>”),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opinion, we have assumed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900" w:hanging="25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Registration Statement, and any amendments thereto (including post-effective amendments), will have become effective;</w:t>
      </w:r>
    </w:p>
    <w:p>
      <w:pPr>
        <w:spacing w:after="0" w:line="236" w:lineRule="exact"/>
        <w:rPr>
          <w:rFonts w:ascii="Arial" w:cs="Arial" w:eastAsia="Arial" w:hAnsi="Arial"/>
          <w:sz w:val="17"/>
          <w:szCs w:val="17"/>
          <w:color w:val="auto"/>
        </w:rPr>
      </w:pPr>
    </w:p>
    <w:p>
      <w:pPr>
        <w:ind w:left="900" w:hanging="256"/>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Prospectus Supplement will have been prepared and filed with the Commission describing the Securities offered thereby;</w:t>
      </w:r>
    </w:p>
    <w:p>
      <w:pPr>
        <w:spacing w:after="0" w:line="236" w:lineRule="exact"/>
        <w:rPr>
          <w:rFonts w:ascii="Arial" w:cs="Arial" w:eastAsia="Arial" w:hAnsi="Arial"/>
          <w:sz w:val="17"/>
          <w:szCs w:val="17"/>
          <w:color w:val="auto"/>
        </w:rPr>
      </w:pPr>
    </w:p>
    <w:p>
      <w:pPr>
        <w:ind w:firstLine="644"/>
        <w:spacing w:after="0" w:line="277" w:lineRule="auto"/>
        <w:tabs>
          <w:tab w:leader="none" w:pos="9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170" w:lineRule="exact"/>
        <w:rPr>
          <w:rFonts w:ascii="Arial" w:cs="Arial" w:eastAsia="Arial" w:hAnsi="Arial"/>
          <w:sz w:val="18"/>
          <w:szCs w:val="18"/>
          <w:color w:val="auto"/>
        </w:rPr>
      </w:pPr>
    </w:p>
    <w:p>
      <w:pPr>
        <w:ind w:right="20" w:firstLine="644"/>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70" w:lineRule="exact"/>
        <w:rPr>
          <w:rFonts w:ascii="Arial" w:cs="Arial" w:eastAsia="Arial" w:hAnsi="Arial"/>
          <w:sz w:val="18"/>
          <w:szCs w:val="18"/>
          <w:color w:val="auto"/>
        </w:rPr>
      </w:pPr>
    </w:p>
    <w:p>
      <w:pPr>
        <w:ind w:right="20" w:firstLine="644"/>
        <w:spacing w:after="0" w:line="277" w:lineRule="auto"/>
        <w:tabs>
          <w:tab w:leader="none" w:pos="9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firstLine="644"/>
        <w:spacing w:after="0" w:line="255" w:lineRule="auto"/>
        <w:tabs>
          <w:tab w:leader="none" w:pos="9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(as such nonassessability may be limited by Sections 17-303, 17-607 and 17-804 of the Delaware LP Act or the Partnership Agreement).</w:t>
      </w:r>
    </w:p>
    <w:p>
      <w:pPr>
        <w:spacing w:after="0" w:line="192" w:lineRule="exact"/>
        <w:rPr>
          <w:rFonts w:ascii="Arial" w:cs="Arial" w:eastAsia="Arial" w:hAnsi="Arial"/>
          <w:sz w:val="18"/>
          <w:szCs w:val="18"/>
          <w:color w:val="auto"/>
        </w:rPr>
      </w:pPr>
    </w:p>
    <w:p>
      <w:pPr>
        <w:jc w:val="both"/>
        <w:ind w:firstLine="644"/>
        <w:spacing w:after="0" w:line="255" w:lineRule="auto"/>
        <w:tabs>
          <w:tab w:leader="none" w:pos="9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 Preferred Units, when (i) the Partnership has taken all necessary action to approve the issuance of such Preferred Units, the terms of the offering thereof and related matters; and (ii) the Preferred Units have been issued and delivered in accordance with the terms of the applicable definitive purchase, underwriting or similar agreement approved by the Partnership upon payment of the consideration thereof or provided for therein, then the Preferred Units will be validly issued, fully paid (to the extent required under the Partnership Agreement) and non-assessable (as such nonassessability may be limited by Sections 17-303, 17-607 and 17-804 of the Delaware LP Act or the Partnership Agreement).</w:t>
      </w:r>
    </w:p>
    <w:p>
      <w:pPr>
        <w:spacing w:after="0" w:line="192" w:lineRule="exact"/>
        <w:rPr>
          <w:rFonts w:ascii="Arial" w:cs="Arial" w:eastAsia="Arial" w:hAnsi="Arial"/>
          <w:sz w:val="18"/>
          <w:szCs w:val="18"/>
          <w:color w:val="auto"/>
        </w:rPr>
      </w:pPr>
    </w:p>
    <w:p>
      <w:pPr>
        <w:jc w:val="both"/>
        <w:ind w:firstLine="644"/>
        <w:spacing w:after="0" w:line="269" w:lineRule="auto"/>
        <w:tabs>
          <w:tab w:leader="none" w:pos="90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415925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jc w:val="both"/>
        <w:ind w:left="660" w:firstLine="644"/>
        <w:spacing w:after="0" w:line="263" w:lineRule="auto"/>
        <w:tabs>
          <w:tab w:leader="none" w:pos="15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83" w:lineRule="exact"/>
        <w:rPr>
          <w:rFonts w:ascii="Arial" w:cs="Arial" w:eastAsia="Arial" w:hAnsi="Arial"/>
          <w:sz w:val="18"/>
          <w:szCs w:val="18"/>
          <w:color w:val="auto"/>
        </w:rPr>
      </w:pPr>
    </w:p>
    <w:p>
      <w:pPr>
        <w:ind w:left="660" w:firstLine="644"/>
        <w:spacing w:after="0" w:line="308" w:lineRule="auto"/>
        <w:tabs>
          <w:tab w:leader="none" w:pos="1562"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146" w:lineRule="exact"/>
        <w:rPr>
          <w:rFonts w:ascii="Arial" w:cs="Arial" w:eastAsia="Arial" w:hAnsi="Arial"/>
          <w:sz w:val="17"/>
          <w:szCs w:val="17"/>
          <w:color w:val="auto"/>
        </w:rPr>
      </w:pPr>
    </w:p>
    <w:p>
      <w:pPr>
        <w:jc w:val="both"/>
        <w:ind w:left="660" w:firstLine="644"/>
        <w:spacing w:after="0" w:line="279" w:lineRule="auto"/>
        <w:tabs>
          <w:tab w:leader="none" w:pos="157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5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opinion is limited in all respects to U.S. federal laws, the laws of the State of New York, the Delaware LP Act and the DGCL.</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5732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acted as counsel for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 Delaware limited partnership,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xml:space="preserve">),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common units representing limited partner interests in the Partnership, preferred units representing limited partner interests in the Partnership, and debt securities.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600" w:type="dxa"/>
            <w:vAlign w:val="bottom"/>
          </w:tcPr>
          <w:p>
            <w:pPr>
              <w:ind w:left="88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640" w:type="dxa"/>
            <w:vAlign w:val="bottom"/>
          </w:tcPr>
          <w:p>
            <w:pPr>
              <w:spacing w:after="0"/>
              <w:rPr>
                <w:sz w:val="20"/>
                <w:szCs w:val="20"/>
                <w:color w:val="auto"/>
              </w:rPr>
            </w:pPr>
            <w:r>
              <w:rPr>
                <w:rFonts w:ascii="Arial" w:cs="Arial" w:eastAsia="Arial" w:hAnsi="Arial"/>
                <w:sz w:val="18"/>
                <w:szCs w:val="18"/>
                <w:color w:val="auto"/>
              </w:rPr>
              <w:t>Austin Dallas Dubai Houston London Los Angeles New York</w:t>
            </w:r>
          </w:p>
        </w:tc>
        <w:tc>
          <w:tcPr>
            <w:tcW w:w="5600" w:type="dxa"/>
            <w:vAlign w:val="bottom"/>
          </w:tcPr>
          <w:p>
            <w:pPr>
              <w:ind w:left="880"/>
              <w:spacing w:after="0"/>
              <w:rPr>
                <w:sz w:val="20"/>
                <w:szCs w:val="20"/>
                <w:color w:val="auto"/>
              </w:rPr>
            </w:pPr>
            <w:r>
              <w:rPr>
                <w:rFonts w:ascii="Arial" w:cs="Arial" w:eastAsia="Arial" w:hAnsi="Arial"/>
                <w:sz w:val="18"/>
                <w:szCs w:val="18"/>
                <w:color w:val="auto"/>
              </w:rPr>
              <w:t>Houston, TX 77002-6760</w:t>
            </w:r>
          </w:p>
        </w:tc>
      </w:tr>
      <w:tr>
        <w:trPr>
          <w:trHeight w:val="234"/>
        </w:trPr>
        <w:tc>
          <w:tcPr>
            <w:tcW w:w="564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5600" w:type="dxa"/>
            <w:vAlign w:val="bottom"/>
          </w:tcPr>
          <w:p>
            <w:pPr>
              <w:ind w:left="88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 velaw.com</w:t>
            </w:r>
          </w:p>
        </w:tc>
      </w:tr>
      <w:tr>
        <w:trPr>
          <w:trHeight w:val="675"/>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62" w:name="page63"/>
    <w:bookmarkEnd w:id="62"/>
    <w:p>
      <w:pPr>
        <w:ind w:left="1076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4368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436880" cy="17145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3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Plains All American Pipeline, L.P. of our report dated February 26, 2021 relating to the financial statements, and the effectiveness of internal control over financial reporting, which appears in Plains All American Pipeline, L.P.'s Annual Report on Form 10-K for the year ended December 31, 2020.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187325</wp:posOffset>
            </wp:positionV>
            <wp:extent cx="1783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180340</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1400" w:type="dxa"/>
            <w:vAlign w:val="bottom"/>
            <w:tcBorders>
              <w:top w:val="single" w:sz="8" w:color="auto"/>
            </w:tcBorders>
          </w:tcPr>
          <w:p>
            <w:pPr>
              <w:spacing w:after="0"/>
              <w:rPr>
                <w:sz w:val="18"/>
                <w:szCs w:val="18"/>
                <w:color w:val="auto"/>
              </w:rPr>
            </w:pPr>
          </w:p>
        </w:tc>
        <w:tc>
          <w:tcPr>
            <w:tcW w:w="4200" w:type="dxa"/>
            <w:vAlign w:val="bottom"/>
            <w:tcBorders>
              <w:top w:val="single" w:sz="8" w:color="auto"/>
              <w:right w:val="single" w:sz="8" w:color="auto"/>
            </w:tcBorders>
          </w:tcPr>
          <w:p>
            <w:pPr>
              <w:spacing w:after="0"/>
              <w:rPr>
                <w:sz w:val="18"/>
                <w:szCs w:val="18"/>
                <w:color w:val="auto"/>
              </w:rPr>
            </w:pP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55402</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(Zip Code)</w:t>
            </w:r>
          </w:p>
        </w:tc>
      </w:tr>
      <w:tr>
        <w:trPr>
          <w:trHeight w:val="411"/>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3"/>
              </w:rPr>
              <w:t>Alejandro Hoyos</w:t>
            </w:r>
          </w:p>
        </w:tc>
        <w:tc>
          <w:tcPr>
            <w:tcW w:w="4200" w:type="dxa"/>
            <w:vAlign w:val="bottom"/>
          </w:tcPr>
          <w:p>
            <w:pPr>
              <w:spacing w:after="0"/>
              <w:rPr>
                <w:sz w:val="24"/>
                <w:szCs w:val="24"/>
                <w:color w:val="auto"/>
              </w:rPr>
            </w:pPr>
          </w:p>
        </w:tc>
      </w:tr>
      <w:tr>
        <w:trPr>
          <w:trHeight w:val="216"/>
        </w:trPr>
        <w:tc>
          <w:tcPr>
            <w:tcW w:w="7040" w:type="dxa"/>
            <w:vAlign w:val="bottom"/>
            <w:gridSpan w:val="2"/>
          </w:tcPr>
          <w:p>
            <w:pPr>
              <w:jc w:val="center"/>
              <w:ind w:left="4126"/>
              <w:spacing w:after="0"/>
              <w:rPr>
                <w:sz w:val="20"/>
                <w:szCs w:val="20"/>
                <w:color w:val="auto"/>
              </w:rPr>
            </w:pPr>
            <w:r>
              <w:rPr>
                <w:rFonts w:ascii="Arial" w:cs="Arial" w:eastAsia="Arial" w:hAnsi="Arial"/>
                <w:sz w:val="18"/>
                <w:szCs w:val="18"/>
                <w:color w:val="auto"/>
                <w:w w:val="92"/>
              </w:rPr>
              <w:t>U.S. Bank National Association</w:t>
            </w:r>
          </w:p>
        </w:tc>
        <w:tc>
          <w:tcPr>
            <w:tcW w:w="4200" w:type="dxa"/>
            <w:vAlign w:val="bottom"/>
          </w:tcPr>
          <w:p>
            <w:pPr>
              <w:spacing w:after="0"/>
              <w:rPr>
                <w:sz w:val="18"/>
                <w:szCs w:val="18"/>
                <w:color w:val="auto"/>
              </w:rPr>
            </w:pPr>
          </w:p>
        </w:tc>
      </w:tr>
      <w:tr>
        <w:trPr>
          <w:trHeight w:val="216"/>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9"/>
              </w:rPr>
              <w:t>8 Greenway Plz Ste 1100, Houston, Texas 77046-0892</w:t>
            </w:r>
          </w:p>
        </w:tc>
      </w:tr>
      <w:tr>
        <w:trPr>
          <w:trHeight w:val="216"/>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0"/>
              </w:rPr>
              <w:t>(713) 212-7576</w:t>
            </w:r>
          </w:p>
        </w:tc>
        <w:tc>
          <w:tcPr>
            <w:tcW w:w="4200" w:type="dxa"/>
            <w:vAlign w:val="bottom"/>
          </w:tcPr>
          <w:p>
            <w:pPr>
              <w:spacing w:after="0"/>
              <w:rPr>
                <w:sz w:val="18"/>
                <w:szCs w:val="18"/>
                <w:color w:val="auto"/>
              </w:rPr>
            </w:pPr>
          </w:p>
        </w:tc>
      </w:tr>
      <w:tr>
        <w:trPr>
          <w:trHeight w:val="230"/>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r>
      <w:tr>
        <w:trPr>
          <w:trHeight w:val="490"/>
        </w:trPr>
        <w:tc>
          <w:tcPr>
            <w:tcW w:w="11240" w:type="dxa"/>
            <w:vAlign w:val="bottom"/>
            <w:gridSpan w:val="3"/>
          </w:tcPr>
          <w:p>
            <w:pPr>
              <w:jc w:val="center"/>
              <w:spacing w:after="0"/>
              <w:rPr>
                <w:sz w:val="20"/>
                <w:szCs w:val="20"/>
                <w:color w:val="auto"/>
              </w:rPr>
            </w:pPr>
            <w:r>
              <w:rPr>
                <w:rFonts w:ascii="Arial" w:cs="Arial" w:eastAsia="Arial" w:hAnsi="Arial"/>
                <w:sz w:val="25"/>
                <w:szCs w:val="25"/>
                <w:b w:val="1"/>
                <w:bCs w:val="1"/>
                <w:color w:val="auto"/>
                <w:w w:val="91"/>
              </w:rPr>
              <w:t>Plains All American Pipeline, L.P.</w:t>
            </w:r>
          </w:p>
        </w:tc>
      </w:tr>
      <w:tr>
        <w:trPr>
          <w:trHeight w:val="328"/>
        </w:trPr>
        <w:tc>
          <w:tcPr>
            <w:tcW w:w="7040" w:type="dxa"/>
            <w:vAlign w:val="bottom"/>
            <w:gridSpan w:val="2"/>
          </w:tcPr>
          <w:p>
            <w:pPr>
              <w:jc w:val="center"/>
              <w:ind w:left="4126"/>
              <w:spacing w:after="0"/>
              <w:rPr>
                <w:sz w:val="20"/>
                <w:szCs w:val="20"/>
                <w:color w:val="auto"/>
              </w:rPr>
            </w:pPr>
            <w:r>
              <w:rPr>
                <w:rFonts w:ascii="Arial" w:cs="Arial" w:eastAsia="Arial" w:hAnsi="Arial"/>
                <w:sz w:val="25"/>
                <w:szCs w:val="25"/>
                <w:b w:val="1"/>
                <w:bCs w:val="1"/>
                <w:color w:val="auto"/>
                <w:w w:val="92"/>
              </w:rPr>
              <w:t>PAA Finance Corp.</w:t>
            </w:r>
          </w:p>
        </w:tc>
        <w:tc>
          <w:tcPr>
            <w:tcW w:w="4200" w:type="dxa"/>
            <w:vAlign w:val="bottom"/>
          </w:tcPr>
          <w:p>
            <w:pPr>
              <w:spacing w:after="0"/>
              <w:rPr>
                <w:sz w:val="24"/>
                <w:szCs w:val="24"/>
                <w:color w:val="auto"/>
              </w:rPr>
            </w:pPr>
          </w:p>
        </w:tc>
      </w:tr>
      <w:tr>
        <w:trPr>
          <w:trHeight w:val="424"/>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0"/>
              </w:rPr>
              <w:t>(Issuer with respect to the Securities)</w:t>
            </w:r>
          </w:p>
        </w:tc>
        <w:tc>
          <w:tcPr>
            <w:tcW w:w="4200" w:type="dxa"/>
            <w:vAlign w:val="bottom"/>
          </w:tcPr>
          <w:p>
            <w:pPr>
              <w:spacing w:after="0"/>
              <w:rPr>
                <w:sz w:val="24"/>
                <w:szCs w:val="24"/>
                <w:color w:val="auto"/>
              </w:rPr>
            </w:pPr>
          </w:p>
        </w:tc>
      </w:tr>
      <w:tr>
        <w:trPr>
          <w:trHeight w:val="216"/>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5"/>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400" w:type="dxa"/>
            <w:vAlign w:val="bottom"/>
          </w:tcPr>
          <w:p>
            <w:pPr>
              <w:spacing w:after="0"/>
              <w:rPr>
                <w:sz w:val="16"/>
                <w:szCs w:val="16"/>
                <w:color w:val="auto"/>
              </w:rPr>
            </w:pPr>
          </w:p>
        </w:tc>
        <w:tc>
          <w:tcPr>
            <w:tcW w:w="4200" w:type="dxa"/>
            <w:vAlign w:val="bottom"/>
            <w:tcBorders>
              <w:right w:val="single" w:sz="8" w:color="auto"/>
            </w:tcBorders>
          </w:tcPr>
          <w:p>
            <w:pPr>
              <w:jc w:val="center"/>
              <w:ind w:right="1330"/>
              <w:spacing w:after="0" w:line="195" w:lineRule="exact"/>
              <w:rPr>
                <w:sz w:val="20"/>
                <w:szCs w:val="20"/>
                <w:color w:val="auto"/>
              </w:rPr>
            </w:pPr>
            <w:r>
              <w:rPr>
                <w:rFonts w:ascii="Arial" w:cs="Arial" w:eastAsia="Arial" w:hAnsi="Arial"/>
                <w:sz w:val="18"/>
                <w:szCs w:val="18"/>
                <w:color w:val="auto"/>
                <w:w w:val="89"/>
              </w:rPr>
              <w:t>76-0582150</w:t>
            </w: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89"/>
              </w:rPr>
              <w:t>56-2464313</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r>
      <w:tr>
        <w:trPr>
          <w:trHeight w:val="210"/>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5"/>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333 Clay Street, Suite 1600</w:t>
            </w:r>
          </w:p>
        </w:tc>
        <w:tc>
          <w:tcPr>
            <w:tcW w:w="1400" w:type="dxa"/>
            <w:vAlign w:val="bottom"/>
          </w:tcPr>
          <w:p>
            <w:pPr>
              <w:spacing w:after="0"/>
              <w:rPr>
                <w:sz w:val="16"/>
                <w:szCs w:val="16"/>
                <w:color w:val="auto"/>
              </w:rPr>
            </w:pPr>
          </w:p>
        </w:tc>
        <w:tc>
          <w:tcPr>
            <w:tcW w:w="4200" w:type="dxa"/>
            <w:vAlign w:val="bottom"/>
            <w:tcBorders>
              <w:right w:val="single" w:sz="8" w:color="auto"/>
            </w:tcBorders>
          </w:tcPr>
          <w:p>
            <w:pPr>
              <w:spacing w:after="0"/>
              <w:rPr>
                <w:sz w:val="16"/>
                <w:szCs w:val="16"/>
                <w:color w:val="auto"/>
              </w:rPr>
            </w:pP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Houston, Texas</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77002</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Senior Debt</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760" w:hanging="980"/>
        <w:spacing w:after="0" w:line="258" w:lineRule="auto"/>
        <w:tabs>
          <w:tab w:leader="none" w:pos="1433"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420" w:hanging="440"/>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ind w:left="980" w:right="1780" w:hanging="1295"/>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2021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500" w:right="64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filed on June 21,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8th of September, 2021.</w:t>
      </w:r>
    </w:p>
    <w:p>
      <w:pPr>
        <w:spacing w:after="0" w:line="1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154305</wp:posOffset>
            </wp:positionV>
            <wp:extent cx="6026150" cy="42691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02615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166370</wp:posOffset>
            </wp:positionV>
            <wp:extent cx="5991860" cy="2691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599186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154305</wp:posOffset>
            </wp:positionV>
            <wp:extent cx="6000750" cy="4354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00075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166370</wp:posOffset>
            </wp:positionV>
            <wp:extent cx="5983605" cy="2511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598360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410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180" w:type="dxa"/>
            <w:vAlign w:val="bottom"/>
          </w:tcPr>
          <w:p>
            <w:pPr>
              <w:spacing w:after="0"/>
              <w:rPr>
                <w:sz w:val="18"/>
                <w:szCs w:val="18"/>
                <w:color w:val="auto"/>
              </w:rPr>
            </w:pPr>
          </w:p>
        </w:tc>
        <w:tc>
          <w:tcPr>
            <w:tcW w:w="590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89"/>
              </w:rPr>
              <w:t>U.S. Bank National Association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590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91"/>
              </w:rPr>
              <w:t>Statement of Financial Condition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590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89"/>
              </w:rPr>
              <w:t>As of 6/30/2021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0" w:type="dxa"/>
            <w:vAlign w:val="bottom"/>
            <w:gridSpan w:val="4"/>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6/30/2021</w:t>
            </w:r>
          </w:p>
        </w:tc>
        <w:tc>
          <w:tcPr>
            <w:tcW w:w="100" w:type="dxa"/>
            <w:vAlign w:val="bottom"/>
            <w:tcBorders>
              <w:bottom w:val="single" w:sz="8" w:color="CCEEFF"/>
            </w:tcBorders>
          </w:tcPr>
          <w:p>
            <w:pPr>
              <w:spacing w:after="0"/>
              <w:rPr>
                <w:sz w:val="24"/>
                <w:szCs w:val="24"/>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Cash and Balances Due From Depository Institutions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44,435,957</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158,894,854</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296,741,901</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6,294,698</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13,278,545</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28,204,350</w:t>
            </w:r>
          </w:p>
        </w:tc>
      </w:tr>
      <w:tr>
        <w:trPr>
          <w:trHeight w:val="209"/>
        </w:trPr>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547,852,681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5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442,902,823</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Fed Funds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1,412,092</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Demand Notes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Trading 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1,119,485</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Borrowed Money</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31,883,676</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Acceptances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and Debentures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3,600,000</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14,222,155</w:t>
            </w:r>
          </w:p>
        </w:tc>
      </w:tr>
      <w:tr>
        <w:trPr>
          <w:trHeight w:val="209"/>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495,140,231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Common and Preferred Stock</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Surplus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Undivided Profits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37,622,248</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 in Subsidiaries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805,087</w:t>
            </w:r>
          </w:p>
        </w:tc>
      </w:tr>
      <w:tr>
        <w:trPr>
          <w:trHeight w:val="209"/>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52,712,450</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900" w:type="dxa"/>
            <w:vAlign w:val="bottom"/>
            <w:gridSpan w:val="5"/>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547,852,681</w:t>
            </w:r>
          </w:p>
        </w:tc>
      </w:tr>
      <w:tr>
        <w:trPr>
          <w:trHeight w:val="657"/>
        </w:trPr>
        <w:tc>
          <w:tcPr>
            <w:tcW w:w="4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7</w:t>
            </w: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187325</wp:posOffset>
            </wp:positionV>
            <wp:extent cx="17830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180340</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1400" w:type="dxa"/>
            <w:vAlign w:val="bottom"/>
            <w:tcBorders>
              <w:top w:val="single" w:sz="8" w:color="auto"/>
            </w:tcBorders>
          </w:tcPr>
          <w:p>
            <w:pPr>
              <w:spacing w:after="0"/>
              <w:rPr>
                <w:sz w:val="18"/>
                <w:szCs w:val="18"/>
                <w:color w:val="auto"/>
              </w:rPr>
            </w:pPr>
          </w:p>
        </w:tc>
        <w:tc>
          <w:tcPr>
            <w:tcW w:w="4200" w:type="dxa"/>
            <w:vAlign w:val="bottom"/>
            <w:tcBorders>
              <w:top w:val="single" w:sz="8" w:color="auto"/>
              <w:right w:val="single" w:sz="8" w:color="auto"/>
            </w:tcBorders>
          </w:tcPr>
          <w:p>
            <w:pPr>
              <w:spacing w:after="0"/>
              <w:rPr>
                <w:sz w:val="18"/>
                <w:szCs w:val="18"/>
                <w:color w:val="auto"/>
              </w:rPr>
            </w:pP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55402</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(Zip Code)</w:t>
            </w:r>
          </w:p>
        </w:tc>
      </w:tr>
      <w:tr>
        <w:trPr>
          <w:trHeight w:val="411"/>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3"/>
              </w:rPr>
              <w:t>Alejandro Hoyos</w:t>
            </w:r>
          </w:p>
        </w:tc>
        <w:tc>
          <w:tcPr>
            <w:tcW w:w="4200" w:type="dxa"/>
            <w:vAlign w:val="bottom"/>
          </w:tcPr>
          <w:p>
            <w:pPr>
              <w:spacing w:after="0"/>
              <w:rPr>
                <w:sz w:val="24"/>
                <w:szCs w:val="24"/>
                <w:color w:val="auto"/>
              </w:rPr>
            </w:pPr>
          </w:p>
        </w:tc>
      </w:tr>
      <w:tr>
        <w:trPr>
          <w:trHeight w:val="216"/>
        </w:trPr>
        <w:tc>
          <w:tcPr>
            <w:tcW w:w="7040" w:type="dxa"/>
            <w:vAlign w:val="bottom"/>
            <w:gridSpan w:val="2"/>
          </w:tcPr>
          <w:p>
            <w:pPr>
              <w:jc w:val="center"/>
              <w:ind w:left="4126"/>
              <w:spacing w:after="0"/>
              <w:rPr>
                <w:sz w:val="20"/>
                <w:szCs w:val="20"/>
                <w:color w:val="auto"/>
              </w:rPr>
            </w:pPr>
            <w:r>
              <w:rPr>
                <w:rFonts w:ascii="Arial" w:cs="Arial" w:eastAsia="Arial" w:hAnsi="Arial"/>
                <w:sz w:val="18"/>
                <w:szCs w:val="18"/>
                <w:color w:val="auto"/>
                <w:w w:val="92"/>
              </w:rPr>
              <w:t>U.S. Bank National Association</w:t>
            </w:r>
          </w:p>
        </w:tc>
        <w:tc>
          <w:tcPr>
            <w:tcW w:w="4200" w:type="dxa"/>
            <w:vAlign w:val="bottom"/>
          </w:tcPr>
          <w:p>
            <w:pPr>
              <w:spacing w:after="0"/>
              <w:rPr>
                <w:sz w:val="18"/>
                <w:szCs w:val="18"/>
                <w:color w:val="auto"/>
              </w:rPr>
            </w:pPr>
          </w:p>
        </w:tc>
      </w:tr>
      <w:tr>
        <w:trPr>
          <w:trHeight w:val="216"/>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9"/>
              </w:rPr>
              <w:t>8 Greenway Plz Ste 1100, Houston, Texas 77046-0892</w:t>
            </w:r>
          </w:p>
        </w:tc>
      </w:tr>
      <w:tr>
        <w:trPr>
          <w:trHeight w:val="216"/>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0"/>
              </w:rPr>
              <w:t>(713) 212-7576</w:t>
            </w:r>
          </w:p>
        </w:tc>
        <w:tc>
          <w:tcPr>
            <w:tcW w:w="4200" w:type="dxa"/>
            <w:vAlign w:val="bottom"/>
          </w:tcPr>
          <w:p>
            <w:pPr>
              <w:spacing w:after="0"/>
              <w:rPr>
                <w:sz w:val="18"/>
                <w:szCs w:val="18"/>
                <w:color w:val="auto"/>
              </w:rPr>
            </w:pPr>
          </w:p>
        </w:tc>
      </w:tr>
      <w:tr>
        <w:trPr>
          <w:trHeight w:val="230"/>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r>
      <w:tr>
        <w:trPr>
          <w:trHeight w:val="490"/>
        </w:trPr>
        <w:tc>
          <w:tcPr>
            <w:tcW w:w="11240" w:type="dxa"/>
            <w:vAlign w:val="bottom"/>
            <w:gridSpan w:val="3"/>
          </w:tcPr>
          <w:p>
            <w:pPr>
              <w:jc w:val="center"/>
              <w:spacing w:after="0"/>
              <w:rPr>
                <w:sz w:val="20"/>
                <w:szCs w:val="20"/>
                <w:color w:val="auto"/>
              </w:rPr>
            </w:pPr>
            <w:r>
              <w:rPr>
                <w:rFonts w:ascii="Arial" w:cs="Arial" w:eastAsia="Arial" w:hAnsi="Arial"/>
                <w:sz w:val="25"/>
                <w:szCs w:val="25"/>
                <w:b w:val="1"/>
                <w:bCs w:val="1"/>
                <w:color w:val="auto"/>
                <w:w w:val="91"/>
              </w:rPr>
              <w:t>Plains All American Pipeline, L.P.</w:t>
            </w:r>
          </w:p>
        </w:tc>
      </w:tr>
      <w:tr>
        <w:trPr>
          <w:trHeight w:val="306"/>
        </w:trPr>
        <w:tc>
          <w:tcPr>
            <w:tcW w:w="7040" w:type="dxa"/>
            <w:vAlign w:val="bottom"/>
            <w:gridSpan w:val="2"/>
          </w:tcPr>
          <w:p>
            <w:pPr>
              <w:jc w:val="center"/>
              <w:ind w:left="4126"/>
              <w:spacing w:after="0"/>
              <w:rPr>
                <w:sz w:val="20"/>
                <w:szCs w:val="20"/>
                <w:color w:val="auto"/>
              </w:rPr>
            </w:pPr>
            <w:r>
              <w:rPr>
                <w:rFonts w:ascii="Arial" w:cs="Arial" w:eastAsia="Arial" w:hAnsi="Arial"/>
                <w:sz w:val="25"/>
                <w:szCs w:val="25"/>
                <w:b w:val="1"/>
                <w:bCs w:val="1"/>
                <w:color w:val="auto"/>
                <w:w w:val="92"/>
              </w:rPr>
              <w:t>PAA Finance Corp.</w:t>
            </w:r>
          </w:p>
        </w:tc>
        <w:tc>
          <w:tcPr>
            <w:tcW w:w="4200" w:type="dxa"/>
            <w:vAlign w:val="bottom"/>
          </w:tcPr>
          <w:p>
            <w:pPr>
              <w:spacing w:after="0"/>
              <w:rPr>
                <w:sz w:val="24"/>
                <w:szCs w:val="24"/>
                <w:color w:val="auto"/>
              </w:rPr>
            </w:pPr>
          </w:p>
        </w:tc>
      </w:tr>
      <w:tr>
        <w:trPr>
          <w:trHeight w:val="230"/>
        </w:trPr>
        <w:tc>
          <w:tcPr>
            <w:tcW w:w="7040" w:type="dxa"/>
            <w:vAlign w:val="bottom"/>
            <w:gridSpan w:val="2"/>
          </w:tcPr>
          <w:p>
            <w:pPr>
              <w:jc w:val="center"/>
              <w:ind w:left="4106"/>
              <w:spacing w:after="0"/>
              <w:rPr>
                <w:sz w:val="20"/>
                <w:szCs w:val="20"/>
                <w:color w:val="auto"/>
              </w:rPr>
            </w:pPr>
            <w:r>
              <w:rPr>
                <w:rFonts w:ascii="Arial" w:cs="Arial" w:eastAsia="Arial" w:hAnsi="Arial"/>
                <w:sz w:val="18"/>
                <w:szCs w:val="18"/>
                <w:color w:val="auto"/>
                <w:w w:val="90"/>
              </w:rPr>
              <w:t>(Issuer with respect to the Securities)</w:t>
            </w:r>
          </w:p>
        </w:tc>
        <w:tc>
          <w:tcPr>
            <w:tcW w:w="4200" w:type="dxa"/>
            <w:vAlign w:val="bottom"/>
          </w:tcPr>
          <w:p>
            <w:pPr>
              <w:spacing w:after="0"/>
              <w:rPr>
                <w:sz w:val="20"/>
                <w:szCs w:val="20"/>
                <w:color w:val="auto"/>
              </w:rPr>
            </w:pPr>
          </w:p>
        </w:tc>
      </w:tr>
      <w:tr>
        <w:trPr>
          <w:trHeight w:val="216"/>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5"/>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1400" w:type="dxa"/>
            <w:vAlign w:val="bottom"/>
          </w:tcPr>
          <w:p>
            <w:pPr>
              <w:spacing w:after="0"/>
              <w:rPr>
                <w:sz w:val="16"/>
                <w:szCs w:val="16"/>
                <w:color w:val="auto"/>
              </w:rPr>
            </w:pPr>
          </w:p>
        </w:tc>
        <w:tc>
          <w:tcPr>
            <w:tcW w:w="4200" w:type="dxa"/>
            <w:vAlign w:val="bottom"/>
            <w:tcBorders>
              <w:right w:val="single" w:sz="8" w:color="auto"/>
            </w:tcBorders>
          </w:tcPr>
          <w:p>
            <w:pPr>
              <w:jc w:val="center"/>
              <w:ind w:right="1330"/>
              <w:spacing w:after="0" w:line="195" w:lineRule="exact"/>
              <w:rPr>
                <w:sz w:val="20"/>
                <w:szCs w:val="20"/>
                <w:color w:val="auto"/>
              </w:rPr>
            </w:pPr>
            <w:r>
              <w:rPr>
                <w:rFonts w:ascii="Arial" w:cs="Arial" w:eastAsia="Arial" w:hAnsi="Arial"/>
                <w:sz w:val="18"/>
                <w:szCs w:val="18"/>
                <w:color w:val="auto"/>
                <w:w w:val="89"/>
              </w:rPr>
              <w:t>76-0582150</w:t>
            </w: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89"/>
              </w:rPr>
              <w:t>56-2464313</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r>
      <w:tr>
        <w:trPr>
          <w:trHeight w:val="210"/>
        </w:trPr>
        <w:tc>
          <w:tcPr>
            <w:tcW w:w="7040" w:type="dxa"/>
            <w:vAlign w:val="bottom"/>
            <w:tcBorders>
              <w:bottom w:val="single" w:sz="8" w:color="auto"/>
            </w:tcBorders>
            <w:gridSpan w:val="2"/>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r>
      <w:tr>
        <w:trPr>
          <w:trHeight w:val="195"/>
        </w:trPr>
        <w:tc>
          <w:tcPr>
            <w:tcW w:w="56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333 Clay Street, Suite 1600</w:t>
            </w:r>
          </w:p>
        </w:tc>
        <w:tc>
          <w:tcPr>
            <w:tcW w:w="1400" w:type="dxa"/>
            <w:vAlign w:val="bottom"/>
          </w:tcPr>
          <w:p>
            <w:pPr>
              <w:spacing w:after="0"/>
              <w:rPr>
                <w:sz w:val="16"/>
                <w:szCs w:val="16"/>
                <w:color w:val="auto"/>
              </w:rPr>
            </w:pPr>
          </w:p>
        </w:tc>
        <w:tc>
          <w:tcPr>
            <w:tcW w:w="4200" w:type="dxa"/>
            <w:vAlign w:val="bottom"/>
            <w:tcBorders>
              <w:right w:val="single" w:sz="8" w:color="auto"/>
            </w:tcBorders>
          </w:tcPr>
          <w:p>
            <w:pPr>
              <w:spacing w:after="0"/>
              <w:rPr>
                <w:sz w:val="16"/>
                <w:szCs w:val="16"/>
                <w:color w:val="auto"/>
              </w:rPr>
            </w:pP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Houston, Texas</w:t>
            </w:r>
          </w:p>
        </w:tc>
        <w:tc>
          <w:tcPr>
            <w:tcW w:w="140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77002</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jc w:val="center"/>
              <w:ind w:right="1330"/>
              <w:spacing w:after="0"/>
              <w:rPr>
                <w:sz w:val="20"/>
                <w:szCs w:val="20"/>
                <w:color w:val="auto"/>
              </w:rPr>
            </w:pPr>
            <w:r>
              <w:rPr>
                <w:rFonts w:ascii="Arial" w:cs="Arial" w:eastAsia="Arial" w:hAnsi="Arial"/>
                <w:sz w:val="18"/>
                <w:szCs w:val="18"/>
                <w:color w:val="auto"/>
                <w:w w:val="91"/>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Subordinated Debt</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760" w:hanging="980"/>
        <w:spacing w:after="0" w:line="258" w:lineRule="auto"/>
        <w:tabs>
          <w:tab w:leader="none" w:pos="1433"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420" w:hanging="440"/>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ind w:left="980" w:right="1780" w:hanging="1943"/>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2021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500" w:right="64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filed on June 21,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8th of September, 2021.</w:t>
      </w:r>
    </w:p>
    <w:p>
      <w:pPr>
        <w:spacing w:after="0" w:line="1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154305</wp:posOffset>
            </wp:positionV>
            <wp:extent cx="6026150" cy="4269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602615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166370</wp:posOffset>
            </wp:positionV>
            <wp:extent cx="5991860" cy="2691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599186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154305</wp:posOffset>
            </wp:positionV>
            <wp:extent cx="6000750" cy="4354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600075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 Michael J.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14605</wp:posOffset>
            </wp:positionV>
            <wp:extent cx="2854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Acting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166370</wp:posOffset>
            </wp:positionV>
            <wp:extent cx="5983605" cy="25114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598360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Alejandro Hoyos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41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180" w:type="dxa"/>
            <w:vAlign w:val="bottom"/>
          </w:tcPr>
          <w:p>
            <w:pPr>
              <w:spacing w:after="0"/>
              <w:rPr>
                <w:sz w:val="18"/>
                <w:szCs w:val="18"/>
                <w:color w:val="auto"/>
              </w:rPr>
            </w:pPr>
          </w:p>
        </w:tc>
        <w:tc>
          <w:tcPr>
            <w:tcW w:w="590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89"/>
              </w:rPr>
              <w:t>U.S. Bank National Association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590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91"/>
              </w:rPr>
              <w:t>Statement of Financial Condition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590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89"/>
              </w:rPr>
              <w:t>As of 6/30/2021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6/30/2021</w:t>
            </w:r>
          </w:p>
        </w:tc>
        <w:tc>
          <w:tcPr>
            <w:tcW w:w="100" w:type="dxa"/>
            <w:vAlign w:val="bottom"/>
            <w:tcBorders>
              <w:bottom w:val="single" w:sz="8" w:color="CCEEFF"/>
            </w:tcBorders>
          </w:tcPr>
          <w:p>
            <w:pPr>
              <w:spacing w:after="0"/>
              <w:rPr>
                <w:sz w:val="24"/>
                <w:szCs w:val="24"/>
                <w:color w:val="auto"/>
              </w:rPr>
            </w:pPr>
          </w:p>
        </w:tc>
      </w:tr>
      <w:tr>
        <w:trPr>
          <w:trHeight w:val="223"/>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w w:val="94"/>
              </w:rPr>
              <w:t>Cash and Balances Due From Depository Institutions</w:t>
            </w:r>
          </w:p>
        </w:tc>
        <w:tc>
          <w:tcPr>
            <w:tcW w:w="59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44,435,957</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158,894,854</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Federal Funds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296,741,901</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6,294,698</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13,278,545</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28,204,350</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547,852,681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9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442,902,823</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 Funds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1,412,092</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Treasury Demand Notes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 Liabilities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1,119,485</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Other Borrowed Money</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31,883,676</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Acceptances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Subordinated Notes and Debentures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3,600,000</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14,222,155</w:t>
            </w:r>
          </w:p>
        </w:tc>
      </w:tr>
      <w:tr>
        <w:trPr>
          <w:trHeight w:val="210"/>
        </w:trPr>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495,140,231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and Preferred Stock</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Surplus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14,266,915</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Undivided Profits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37,622,248</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Minority Interest in Subsidiaries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805,087</w:t>
            </w:r>
          </w:p>
        </w:tc>
      </w:tr>
      <w:tr>
        <w:trPr>
          <w:trHeight w:val="210"/>
        </w:trPr>
        <w:tc>
          <w:tcPr>
            <w:tcW w:w="4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52,712,450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9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547,852,681</w:t>
            </w:r>
          </w:p>
        </w:tc>
      </w:tr>
      <w:tr>
        <w:trPr>
          <w:trHeight w:val="675"/>
        </w:trPr>
        <w:tc>
          <w:tcPr>
            <w:tcW w:w="4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7</w:t>
            </w:r>
          </w:p>
        </w:tc>
        <w:tc>
          <w:tcPr>
            <w:tcW w:w="3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lowerLetter"/>
      <w:start w:val="1"/>
    </w:lvl>
    <w:lvl w:ilvl="1">
      <w:lvlJc w:val="left"/>
      <w:lvlText w:val="(%2)"/>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Roman"/>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Roman"/>
      <w:start w:val="1"/>
    </w:lvl>
  </w:abstractNum>
  <w:abstractNum w:abstractNumId="30">
    <w:nsid w:val="4B588F54"/>
    <w:multiLevelType w:val="hybridMultilevel"/>
    <w:lvl w:ilvl="0">
      <w:lvlJc w:val="left"/>
      <w:lvlText w:val="(%1)"/>
      <w:numFmt w:val="decimal"/>
      <w:start w:val="2"/>
    </w:lvl>
  </w:abstractNum>
  <w:abstractNum w:abstractNumId="31">
    <w:nsid w:val="542289EC"/>
    <w:multiLevelType w:val="hybridMultilevel"/>
    <w:lvl w:ilvl="0">
      <w:lvlJc w:val="left"/>
      <w:lvlText w:val="(%1)"/>
      <w:numFmt w:val="decimal"/>
      <w:start w:val="3"/>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lowerRoman"/>
      <w:start w:val="1"/>
    </w:lvl>
  </w:abstractNum>
  <w:abstractNum w:abstractNumId="37">
    <w:nsid w:val="579478FE"/>
    <w:multiLevelType w:val="hybridMultilevel"/>
    <w:lvl w:ilvl="0">
      <w:lvlJc w:val="left"/>
      <w:lvlText w:val="•"/>
      <w:numFmt w:val="bullet"/>
      <w:start w:val="1"/>
    </w:lvl>
    <w:lvl w:ilvl="1">
      <w:lvlJc w:val="left"/>
      <w:lvlText w:val="•"/>
      <w:numFmt w:val="bullet"/>
      <w:start w:val="1"/>
    </w:lvl>
  </w:abstractNum>
  <w:abstractNum w:abstractNumId="38">
    <w:nsid w:val="749ABB43"/>
    <w:multiLevelType w:val="hybridMultilevel"/>
    <w:lvl w:ilvl="0">
      <w:lvlJc w:val="left"/>
      <w:lvlText w:val="&amp;"/>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3">
    <w:nsid w:val="12E685FB"/>
    <w:multiLevelType w:val="hybridMultilevel"/>
    <w:lvl w:ilvl="0">
      <w:lvlJc w:val="left"/>
      <w:lvlText w:val="(%1)"/>
      <w:numFmt w:val="decimal"/>
      <w:start w:val="2"/>
    </w:lvl>
    <w:lvl w:ilvl="1">
      <w:lvlJc w:val="left"/>
      <w:lvlText w:val="(%2)"/>
      <w:numFmt w:val="lowerLetter"/>
      <w:start w:val="1"/>
    </w:lvl>
  </w:abstractNum>
  <w:abstractNum w:abstractNumId="44">
    <w:nsid w:val="70C6A52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5">
    <w:nsid w:val="520EEDD1"/>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46">
    <w:nsid w:val="374A3FE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7">
    <w:nsid w:val="4F4EF005"/>
    <w:multiLevelType w:val="hybridMultilevel"/>
    <w:lvl w:ilvl="0">
      <w:lvlJc w:val="left"/>
      <w:lvlText w:val="%1."/>
      <w:numFmt w:val="upperLetter"/>
      <w:start w:val="4"/>
    </w:lvl>
    <w:lvl w:ilvl="1">
      <w:lvlJc w:val="left"/>
      <w:lvlText w:val="(%2)"/>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lowerRoman"/>
      <w:start w:val="6"/>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
      <w:numFmt w:val="bullet"/>
      <w:start w:val="1"/>
    </w:lvl>
    <w:lvl w:ilvl="1">
      <w:lvlJc w:val="left"/>
      <w:lvlText w:val="%2."/>
      <w:numFmt w:val="decimal"/>
      <w:start w:val="1"/>
    </w:lvl>
  </w:abstractNum>
  <w:abstractNum w:abstractNumId="57">
    <w:nsid w:val="15B5AF5C"/>
    <w:multiLevelType w:val="hybridMultilevel"/>
    <w:lvl w:ilvl="0">
      <w:lvlJc w:val="left"/>
      <w:lvlText w:val="**"/>
      <w:numFmt w:val="bullet"/>
      <w:start w:val="1"/>
    </w:lvl>
    <w:lvl w:ilvl="1">
      <w:lvlJc w:val="left"/>
      <w:lvlText w:val="%2"/>
      <w:numFmt w:val="decimal"/>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
      <w:numFmt w:val="bullet"/>
      <w:start w:val="1"/>
    </w:lvl>
    <w:lvl w:ilvl="1">
      <w:lvlJc w:val="left"/>
      <w:lvlText w:val="%2."/>
      <w:numFmt w:val="decimal"/>
      <w:start w:val="1"/>
    </w:lvl>
  </w:abstractNum>
  <w:abstractNum w:abstractNumId="60">
    <w:nsid w:val="10233C9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jpeg"/><Relationship Id="rId109" Type="http://schemas.openxmlformats.org/officeDocument/2006/relationships/image" Target="media/image88.jpe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jpeg"/><Relationship Id="rId123" Type="http://schemas.openxmlformats.org/officeDocument/2006/relationships/image" Target="media/image102.png"/><Relationship Id="rId124" Type="http://schemas.openxmlformats.org/officeDocument/2006/relationships/image" Target="media/image103.jpeg"/><Relationship Id="rId125" Type="http://schemas.openxmlformats.org/officeDocument/2006/relationships/image" Target="media/image104.png"/><Relationship Id="rId126" Type="http://schemas.openxmlformats.org/officeDocument/2006/relationships/image" Target="media/image105.jpeg"/><Relationship Id="rId127" Type="http://schemas.openxmlformats.org/officeDocument/2006/relationships/image" Target="media/image106.png"/><Relationship Id="rId128" Type="http://schemas.openxmlformats.org/officeDocument/2006/relationships/image" Target="media/image107.jpe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jpeg"/><Relationship Id="rId143" Type="http://schemas.openxmlformats.org/officeDocument/2006/relationships/image" Target="media/image122.png"/><Relationship Id="rId144" Type="http://schemas.openxmlformats.org/officeDocument/2006/relationships/image" Target="media/image123.jpeg"/><Relationship Id="rId145" Type="http://schemas.openxmlformats.org/officeDocument/2006/relationships/image" Target="media/image124.png"/><Relationship Id="rId146" Type="http://schemas.openxmlformats.org/officeDocument/2006/relationships/image" Target="media/image125.jpeg"/><Relationship Id="rId147" Type="http://schemas.openxmlformats.org/officeDocument/2006/relationships/image" Target="media/image126.png"/><Relationship Id="rId148" Type="http://schemas.openxmlformats.org/officeDocument/2006/relationships/image" Target="media/image127.jpe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21" Type="http://schemas.openxmlformats.org/officeDocument/2006/relationships/hyperlink" Target="http://www.sec.gov/ix?doc=/Archives/edgar/data/1070423/000107042321000008/paa-20201231.htm" TargetMode="External"/><Relationship Id="rId22" Type="http://schemas.openxmlformats.org/officeDocument/2006/relationships/hyperlink" Target="http://www.sec.gov/ix?doc=/Archives/edgar/data/1070423/000107042321000014/paa-20210331.htm" TargetMode="External"/><Relationship Id="rId23" Type="http://schemas.openxmlformats.org/officeDocument/2006/relationships/hyperlink" Target="http://www.sec.gov/ix?doc=/Archives/edgar/data/1070423/000107042321000022/paa-20210630.htm" TargetMode="External"/><Relationship Id="rId24" Type="http://schemas.openxmlformats.org/officeDocument/2006/relationships/hyperlink" Target="http://www.sec.gov/ix?doc=/Archives/edgar/data/1070423/000110465921031455/tm218523d2_8k.htm" TargetMode="External"/><Relationship Id="rId25" Type="http://schemas.openxmlformats.org/officeDocument/2006/relationships/hyperlink" Target="http://www.sec.gov/ix?doc=/Archives/edgar/data/1070423/000110465921071844/tm2117447d1_8k.htm" TargetMode="External"/><Relationship Id="rId26" Type="http://schemas.openxmlformats.org/officeDocument/2006/relationships/hyperlink" Target="http://www.sec.gov/ix?doc=/Archives/edgar/data/1070423/000107042321000017/paa-20210702.htm" TargetMode="External"/><Relationship Id="rId27" Type="http://schemas.openxmlformats.org/officeDocument/2006/relationships/hyperlink" Target="http://www.sec.gov/ix?doc=/Archives/edgar/data/1070423/000110465921091443/tm2121935d1_8k.htm" TargetMode="External"/><Relationship Id="rId28" Type="http://schemas.openxmlformats.org/officeDocument/2006/relationships/hyperlink" Target="http://www.sec.gov/ix?doc=/Archives/edgar/data/1070423/000110465921108999/tm2125729d1_8k.htm" TargetMode="External"/><Relationship Id="rId29" Type="http://schemas.openxmlformats.org/officeDocument/2006/relationships/hyperlink" Target="http://www.sec.gov/ix?doc=/Archives/edgar/data/1070423/000110465921109375/tm2125729d2_8k.htm" TargetMode="External"/><Relationship Id="rId30" Type="http://schemas.openxmlformats.org/officeDocument/2006/relationships/hyperlink" Target="http://www.sec.gov/ix?doc=/Archives/edgar/data/1070423/000110465921109829/tm2125729d3_8k.htm" TargetMode="External"/><Relationship Id="rId31" Type="http://schemas.openxmlformats.org/officeDocument/2006/relationships/hyperlink" Target="http://www.sec.gov/Archives/edgar/data/1070423/000110465916157335/a16-21667_38a12ba.htm" TargetMode="External"/><Relationship Id="rId32" Type="http://schemas.openxmlformats.org/officeDocument/2006/relationships/hyperlink" Target="http://www.sec.gov/Archives/edgar/data/1070423/000110465920134597/tm2037363-3_8a12b.htm" TargetMode="External"/><Relationship Id="rId84" Type="http://schemas.openxmlformats.org/officeDocument/2006/relationships/hyperlink" Target="http://www.sec.gov/Archives/edgar/data/1070423/000089924302002834/dex41.txt" TargetMode="External"/><Relationship Id="rId85" Type="http://schemas.openxmlformats.org/officeDocument/2006/relationships/hyperlink" Target="http://www.sec.gov/Archives/edgar/data/1070423/000089924301501392/dex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2021-09-08T16:17:42Z</dcterms:created>
  <dcterms:modified xsi:type="dcterms:W3CDTF">2021-09-08T16:17:42Z</dcterms:modified>
</cp:coreProperties>
</file>