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829341d424b5.htm"/>
        <w:bookmarkStart w:id="1" w:name="ksd829341d424b5"/>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Filed pursuant to Rule 424(b)(5)</w:t>
        <w:br/>
        <w:t>Registration No. 333-184137</w:t>
        <w:br/>
        <w:t xml:space="preserve">333-184137-01 </w:t>
      </w:r>
    </w:p>
    <w:p>
      <w:pPr>
        <w:pStyle w:val="TextBody"/>
        <w:spacing w:before="18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50"/>
        <w:gridCol w:w="101"/>
        <w:gridCol w:w="1326"/>
        <w:gridCol w:w="101"/>
        <w:gridCol w:w="1327"/>
      </w:tblGrid>
      <w:tr>
        <w:trPr/>
        <w:tc>
          <w:tcPr>
            <w:tcW w:w="735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7350"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w:t>
            </w:r>
          </w:p>
          <w:p>
            <w:pPr>
              <w:pStyle w:val="TableContents"/>
              <w:spacing w:before="0" w:after="15"/>
              <w:jc w:val="center"/>
              <w:rPr>
                <w:rFonts w:ascii="Times New Roman" w:hAnsi="Times New Roman"/>
                <w:b/>
                <w:sz w:val="14"/>
              </w:rPr>
            </w:pPr>
            <w:r>
              <w:rPr>
                <w:rFonts w:ascii="Times New Roman" w:hAnsi="Times New Roman"/>
                <w:b/>
                <w:sz w:val="14"/>
              </w:rPr>
              <w:t>Securities to be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Proposed</w:t>
            </w:r>
          </w:p>
          <w:p>
            <w:pPr>
              <w:pStyle w:val="TableContents"/>
              <w:spacing w:before="0" w:after="0"/>
              <w:jc w:val="center"/>
              <w:rPr>
                <w:rFonts w:ascii="Times New Roman" w:hAnsi="Times New Roman"/>
                <w:b/>
                <w:sz w:val="14"/>
              </w:rPr>
            </w:pPr>
            <w:r>
              <w:rPr>
                <w:rFonts w:ascii="Times New Roman" w:hAnsi="Times New Roman"/>
                <w:b/>
                <w:sz w:val="14"/>
              </w:rPr>
              <w:t>maximum</w:t>
            </w:r>
          </w:p>
          <w:p>
            <w:pPr>
              <w:pStyle w:val="TableContents"/>
              <w:spacing w:before="0" w:after="0"/>
              <w:jc w:val="center"/>
              <w:rPr>
                <w:rFonts w:ascii="Times New Roman" w:hAnsi="Times New Roman"/>
                <w:b/>
                <w:sz w:val="14"/>
              </w:rPr>
            </w:pPr>
            <w:r>
              <w:rPr>
                <w:rFonts w:ascii="Times New Roman" w:hAnsi="Times New Roman"/>
                <w:b/>
                <w:sz w:val="14"/>
              </w:rPr>
              <w:t>aggregate</w:t>
            </w:r>
          </w:p>
          <w:p>
            <w:pPr>
              <w:pStyle w:val="TableContents"/>
              <w:spacing w:before="0" w:after="15"/>
              <w:jc w:val="center"/>
              <w:rPr>
                <w:rFonts w:ascii="Times New Roman" w:hAnsi="Times New Roman"/>
                <w:b/>
                <w:sz w:val="14"/>
              </w:rPr>
            </w:pPr>
            <w:r>
              <w:rPr>
                <w:rFonts w:ascii="Times New Roman" w:hAnsi="Times New Roman"/>
                <w:b/>
                <w:sz w:val="14"/>
              </w:rPr>
              <w:t>offering price</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15"/>
              <w:jc w:val="center"/>
              <w:rPr>
                <w:rFonts w:ascii="Times New Roman" w:hAnsi="Times New Roman"/>
                <w:b/>
                <w:sz w:val="14"/>
              </w:rPr>
            </w:pPr>
            <w:r>
              <w:rPr>
                <w:rFonts w:ascii="Times New Roman" w:hAnsi="Times New Roman"/>
                <w:b/>
                <w:sz w:val="14"/>
              </w:rPr>
              <w:t>registration fee</w:t>
            </w:r>
          </w:p>
        </w:tc>
      </w:tr>
      <w:tr>
        <w:trPr/>
        <w:tc>
          <w:tcPr>
            <w:tcW w:w="7350"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2.60% Senior Notes due 2019</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$499,065,000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$57,992(1)</w:t>
            </w:r>
          </w:p>
        </w:tc>
      </w:tr>
      <w:tr>
        <w:trPr/>
        <w:tc>
          <w:tcPr>
            <w:tcW w:w="7350"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4.90% Senior Notes due 2045</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6"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$649,194,000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27"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$75,436(1)</w:t>
            </w:r>
          </w:p>
        </w:tc>
      </w:tr>
      <w:tr>
        <w:trPr/>
        <w:tc>
          <w:tcPr>
            <w:tcW w:w="10205" w:type="dxa"/>
            <w:gridSpan w:val="5"/>
            <w:tcBorders/>
            <w:shd w:fill="auto" w:val="clear"/>
            <w:vAlign w:val="bottom"/>
          </w:tcPr>
          <w:p>
            <w:pPr>
              <w:pStyle w:val="TableContents"/>
              <w:pBdr>
                <w:top w:val="double" w:sz="6" w:space="1" w:color="000000"/>
              </w:pBdr>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filing fee, calculated in accordance with Rule 457(r), has been transmitted to the SEC in connection with the securities offered from Registration Statement File No. 333-184137 by means of this prospectus supplement.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5"/>
        </w:rPr>
      </w:pPr>
      <w:r>
        <w:rPr>
          <w:rFonts w:ascii="Times New Roman" w:hAnsi="Times New Roman"/>
          <w:b/>
          <w:sz w:val="15"/>
        </w:rPr>
        <w:t xml:space="preserve">PROSPECTUS SUPPLEMENT </w:t>
      </w:r>
    </w:p>
    <w:p>
      <w:pPr>
        <w:pStyle w:val="TextBody"/>
        <w:spacing w:before="0" w:after="0"/>
        <w:rPr>
          <w:rFonts w:ascii="Times New Roman" w:hAnsi="Times New Roman"/>
          <w:b/>
          <w:sz w:val="15"/>
        </w:rPr>
      </w:pPr>
      <w:r>
        <w:rPr>
          <w:rFonts w:ascii="Times New Roman" w:hAnsi="Times New Roman"/>
          <w:b/>
          <w:sz w:val="15"/>
        </w:rPr>
        <w:t xml:space="preserve">To prospectus dated September 27, 2012 </w:t>
      </w:r>
    </w:p>
    <w:p>
      <w:pPr>
        <w:pStyle w:val="TextBody"/>
        <w:spacing w:before="0" w:after="0"/>
        <w:rPr/>
      </w:pPr>
      <w:r>
        <w:rPr/>
        <w:t> </w:t>
      </w:r>
    </w:p>
    <w:p>
      <w:pPr>
        <w:pStyle w:val="TextBody"/>
        <w:spacing w:before="0" w:after="0"/>
        <w:jc w:val="center"/>
        <w:rPr/>
      </w:pPr>
      <w:r>
        <w:rPr/>
        <w:drawing>
          <wp:inline distT="0" distB="0" distL="0" distR="0">
            <wp:extent cx="18859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120" w:after="0"/>
        <w:jc w:val="center"/>
        <w:rPr>
          <w:rFonts w:ascii="Times New Roman" w:hAnsi="Times New Roman"/>
          <w:b/>
          <w:sz w:val="38"/>
        </w:rPr>
      </w:pPr>
      <w:r>
        <w:rPr>
          <w:rFonts w:ascii="Times New Roman" w:hAnsi="Times New Roman"/>
          <w:b/>
          <w:sz w:val="38"/>
        </w:rPr>
        <w:t xml:space="preserve">Plains All American Pipeline, L.P. </w:t>
      </w:r>
    </w:p>
    <w:p>
      <w:pPr>
        <w:pStyle w:val="TextBody"/>
        <w:spacing w:before="0" w:after="0"/>
        <w:jc w:val="center"/>
        <w:rPr>
          <w:rFonts w:ascii="Times New Roman" w:hAnsi="Times New Roman"/>
          <w:b/>
          <w:sz w:val="38"/>
        </w:rPr>
      </w:pPr>
      <w:r>
        <w:rPr>
          <w:rFonts w:ascii="Times New Roman" w:hAnsi="Times New Roman"/>
          <w:b/>
          <w:sz w:val="38"/>
        </w:rPr>
        <w:t xml:space="preserve">PAA Finance Corp. </w:t>
      </w:r>
    </w:p>
    <w:p>
      <w:pPr>
        <w:pStyle w:val="TextBody"/>
        <w:spacing w:before="120" w:after="0"/>
        <w:jc w:val="center"/>
        <w:rPr>
          <w:rFonts w:ascii="Times New Roman" w:hAnsi="Times New Roman"/>
          <w:b/>
          <w:sz w:val="22"/>
        </w:rPr>
      </w:pPr>
      <w:r>
        <w:rPr>
          <w:rFonts w:ascii="Times New Roman" w:hAnsi="Times New Roman"/>
          <w:b/>
          <w:sz w:val="22"/>
        </w:rPr>
        <w:t>$500,000,000 2.60% Senior Notes due 2019</w:t>
      </w:r>
    </w:p>
    <w:p>
      <w:pPr>
        <w:pStyle w:val="TextBody"/>
        <w:spacing w:before="0" w:after="0"/>
        <w:jc w:val="center"/>
        <w:rPr>
          <w:rFonts w:ascii="Times New Roman" w:hAnsi="Times New Roman"/>
          <w:b/>
          <w:sz w:val="22"/>
        </w:rPr>
      </w:pPr>
      <w:r>
        <w:rPr>
          <w:rFonts w:ascii="Times New Roman" w:hAnsi="Times New Roman"/>
          <w:b/>
          <w:sz w:val="22"/>
        </w:rPr>
        <w:t>$650,000,000 4.90% Senior Notes due 2045</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rPr>
          <w:rFonts w:ascii="Times New Roman" w:hAnsi="Times New Roman"/>
          <w:sz w:val="15"/>
        </w:rPr>
      </w:pPr>
      <w:r>
        <w:rPr>
          <w:rFonts w:ascii="Times New Roman" w:hAnsi="Times New Roman"/>
          <w:sz w:val="15"/>
        </w:rPr>
        <w:t xml:space="preserve">Plains All American Pipeline, L.P. and PAA Finance Corp. are offering $1,150 million aggregate principal amount of debt securities, consisting of $500 million aggregate principal amount of 2.60% Senior Notes due 2019 (the 2019 Notes) and $650 million aggregate principal amount of 4.90% Senior Notes due 2045 (the 2045 Notes and, together with the 2019 Notes, the Notes). </w:t>
      </w:r>
    </w:p>
    <w:p>
      <w:pPr>
        <w:pStyle w:val="TextBody"/>
        <w:spacing w:before="120" w:after="0"/>
        <w:rPr>
          <w:rFonts w:ascii="Times New Roman" w:hAnsi="Times New Roman"/>
          <w:sz w:val="15"/>
        </w:rPr>
      </w:pPr>
      <w:r>
        <w:rPr>
          <w:rFonts w:ascii="Times New Roman" w:hAnsi="Times New Roman"/>
          <w:sz w:val="15"/>
        </w:rPr>
        <w:t xml:space="preserve">We will pay interest on the 2019 Notes semi-annually in arrears on June 15 and December 15 of each year, beginning on June 15, 2015, and we will pay interest on the 2045 Notes semi-annually in arrears on February 15 and August 15 of each year, beginning on August 15, 2015. The 2019 Notes and the 2045 Notes will mature on December 15, 2019 and February 15, 2045, respectively, unless redeemed prior to the maturity date. </w:t>
      </w:r>
    </w:p>
    <w:p>
      <w:pPr>
        <w:pStyle w:val="TextBody"/>
        <w:spacing w:before="120" w:after="0"/>
        <w:rPr>
          <w:rFonts w:ascii="Times New Roman" w:hAnsi="Times New Roman"/>
          <w:sz w:val="15"/>
        </w:rPr>
      </w:pPr>
      <w:r>
        <w:rPr>
          <w:rFonts w:ascii="Times New Roman" w:hAnsi="Times New Roman"/>
          <w:sz w:val="15"/>
        </w:rPr>
        <w:t xml:space="preserve">We may, at our option, redeem the Notes of either series at any time in whole or from time to time in part, prior to maturity, at the redemption prices as described herein under Description of NotesOptional Redemption. </w:t>
      </w:r>
    </w:p>
    <w:p>
      <w:pPr>
        <w:pStyle w:val="TextBody"/>
        <w:spacing w:before="120" w:after="0"/>
        <w:rPr>
          <w:rFonts w:ascii="Times New Roman" w:hAnsi="Times New Roman"/>
          <w:sz w:val="15"/>
        </w:rPr>
      </w:pPr>
      <w:r>
        <w:rPr>
          <w:rFonts w:ascii="Times New Roman" w:hAnsi="Times New Roman"/>
          <w:sz w:val="15"/>
        </w:rPr>
        <w:t xml:space="preserve">The Notes will be the unsecured senior obligations of Plains All American Pipeline, L.P. and PAA Finance Corp. and will rank equally in right of payment with their other senior indebtedness from time to time outstanding. </w:t>
      </w:r>
    </w:p>
    <w:p>
      <w:pPr>
        <w:pStyle w:val="TextBody"/>
        <w:spacing w:before="120" w:after="0"/>
        <w:rPr>
          <w:rFonts w:ascii="Times New Roman" w:hAnsi="Times New Roman"/>
          <w:sz w:val="15"/>
        </w:rPr>
      </w:pPr>
      <w:r>
        <w:rPr>
          <w:rFonts w:ascii="Times New Roman" w:hAnsi="Times New Roman"/>
          <w:sz w:val="15"/>
        </w:rPr>
        <w:t xml:space="preserve">Each series of Notes is a new issue of securities with no established trading market. We do not currently intend to apply for listing of either series of the Notes on any securities exchange or have either series of the Notes quoted on any automated quotation system.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rPr/>
      </w:pPr>
      <w:r>
        <w:rPr>
          <w:rFonts w:ascii="Times New Roman" w:hAnsi="Times New Roman"/>
          <w:b/>
          <w:sz w:val="18"/>
        </w:rPr>
        <w:t>Investing in the Notes involves risks. See </w:t>
      </w:r>
      <w:hyperlink w:anchor="supprom829341_4">
        <w:r>
          <w:rPr>
            <w:rStyle w:val="InternetLink"/>
            <w:rFonts w:ascii="Times New Roman" w:hAnsi="Times New Roman"/>
            <w:b/>
            <w:sz w:val="18"/>
          </w:rPr>
          <w:t>Risk Factors</w:t>
        </w:r>
      </w:hyperlink>
      <w:r>
        <w:rPr>
          <w:rFonts w:ascii="Times New Roman" w:hAnsi="Times New Roman"/>
          <w:b/>
          <w:sz w:val="18"/>
        </w:rPr>
        <w:t xml:space="preserve"> beginning on page S-6 of this prospectus supplement. </w:t>
      </w:r>
    </w:p>
    <w:p>
      <w:pPr>
        <w:pStyle w:val="TextBody"/>
        <w:spacing w:before="120" w:after="0"/>
        <w:rPr>
          <w:rFonts w:ascii="Times New Roman" w:hAnsi="Times New Roman"/>
          <w:sz w:val="15"/>
        </w:rPr>
      </w:pPr>
      <w:r>
        <w:rPr>
          <w:rFonts w:ascii="Times New Roman" w:hAnsi="Times New Roman"/>
          <w:sz w:val="15"/>
        </w:rPr>
        <w:t xml:space="preserve">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2181"/>
        <w:gridCol w:w="358"/>
        <w:gridCol w:w="140"/>
        <w:gridCol w:w="1272"/>
        <w:gridCol w:w="275"/>
        <w:gridCol w:w="273"/>
        <w:gridCol w:w="176"/>
        <w:gridCol w:w="1289"/>
        <w:gridCol w:w="275"/>
        <w:gridCol w:w="273"/>
        <w:gridCol w:w="178"/>
        <w:gridCol w:w="1599"/>
        <w:gridCol w:w="283"/>
      </w:tblGrid>
      <w:tr>
        <w:trPr/>
        <w:tc>
          <w:tcPr>
            <w:tcW w:w="218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2181"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Public</w:t>
              <w:br/>
              <w:t>Offering</w:t>
            </w:r>
            <w:r>
              <w:rPr/>
              <w:br/>
            </w:r>
            <w:r>
              <w:rPr>
                <w:b/>
              </w:rPr>
              <w:t>Price(1)</w:t>
            </w:r>
          </w:p>
        </w:tc>
        <w:tc>
          <w:tcPr>
            <w:tcW w:w="27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Underwriting</w:t>
            </w:r>
            <w:r>
              <w:rPr/>
              <w:br/>
            </w:r>
            <w:r>
              <w:rPr>
                <w:b/>
              </w:rPr>
              <w:t>Discount</w:t>
            </w:r>
          </w:p>
        </w:tc>
        <w:tc>
          <w:tcPr>
            <w:tcW w:w="27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7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Proceeds, Before</w:t>
            </w:r>
            <w:r>
              <w:rPr/>
              <w:br/>
            </w:r>
            <w:r>
              <w:rPr>
                <w:b/>
              </w:rPr>
              <w:t>Expenses, to Us</w:t>
            </w:r>
          </w:p>
        </w:tc>
        <w:tc>
          <w:tcPr>
            <w:tcW w:w="283" w:type="dxa"/>
            <w:tcBorders/>
            <w:shd w:fill="auto" w:val="clear"/>
            <w:vAlign w:val="bottom"/>
          </w:tcPr>
          <w:p>
            <w:pPr>
              <w:pStyle w:val="TableContents"/>
              <w:spacing w:before="0" w:after="283"/>
              <w:rPr/>
            </w:pPr>
            <w:r>
              <w:rPr/>
              <w:t> </w:t>
            </w:r>
          </w:p>
        </w:tc>
      </w:tr>
      <w:tr>
        <w:trPr/>
        <w:tc>
          <w:tcPr>
            <w:tcW w:w="2181" w:type="dxa"/>
            <w:tcBorders/>
            <w:shd w:fill="CCEEFF" w:val="clear"/>
          </w:tcPr>
          <w:p>
            <w:pPr>
              <w:pStyle w:val="TableContents"/>
              <w:spacing w:before="0" w:after="283"/>
              <w:rPr>
                <w:rFonts w:ascii="Times New Roman" w:hAnsi="Times New Roman"/>
                <w:sz w:val="15"/>
              </w:rPr>
            </w:pPr>
            <w:r>
              <w:rPr>
                <w:rFonts w:ascii="Times New Roman" w:hAnsi="Times New Roman"/>
                <w:sz w:val="15"/>
              </w:rPr>
              <w:t>Per 2019 Note</w:t>
            </w:r>
          </w:p>
        </w:tc>
        <w:tc>
          <w:tcPr>
            <w:tcW w:w="35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99.813</w:t>
            </w:r>
          </w:p>
        </w:tc>
        <w:tc>
          <w:tcPr>
            <w:tcW w:w="27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289" w:type="dxa"/>
            <w:tcBorders/>
            <w:shd w:fill="CCEEFF" w:val="clear"/>
            <w:vAlign w:val="bottom"/>
          </w:tcPr>
          <w:p>
            <w:pPr>
              <w:pStyle w:val="TableContents"/>
              <w:spacing w:before="0" w:after="283"/>
              <w:jc w:val="right"/>
              <w:rPr/>
            </w:pPr>
            <w:r>
              <w:rPr/>
              <w:t>0.600</w:t>
            </w:r>
          </w:p>
        </w:tc>
        <w:tc>
          <w:tcPr>
            <w:tcW w:w="27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599" w:type="dxa"/>
            <w:tcBorders/>
            <w:shd w:fill="CCEEFF" w:val="clear"/>
            <w:vAlign w:val="bottom"/>
          </w:tcPr>
          <w:p>
            <w:pPr>
              <w:pStyle w:val="TableContents"/>
              <w:spacing w:before="0" w:after="283"/>
              <w:jc w:val="right"/>
              <w:rPr/>
            </w:pPr>
            <w:r>
              <w:rPr/>
              <w:t>99.213</w:t>
            </w:r>
          </w:p>
        </w:tc>
        <w:tc>
          <w:tcPr>
            <w:tcW w:w="283" w:type="dxa"/>
            <w:tcBorders/>
            <w:shd w:fill="CCEEFF" w:val="clear"/>
            <w:vAlign w:val="bottom"/>
          </w:tcPr>
          <w:p>
            <w:pPr>
              <w:pStyle w:val="TableContents"/>
              <w:spacing w:before="0" w:after="283"/>
              <w:rPr/>
            </w:pPr>
            <w:r>
              <w:rPr/>
              <w:t>% </w:t>
            </w:r>
          </w:p>
        </w:tc>
      </w:tr>
      <w:tr>
        <w:trPr/>
        <w:tc>
          <w:tcPr>
            <w:tcW w:w="2181" w:type="dxa"/>
            <w:tcBorders/>
            <w:shd w:fill="auto" w:val="clear"/>
          </w:tcPr>
          <w:p>
            <w:pPr>
              <w:pStyle w:val="TableContents"/>
              <w:spacing w:before="0" w:after="283"/>
              <w:rPr>
                <w:rFonts w:ascii="Times New Roman" w:hAnsi="Times New Roman"/>
                <w:sz w:val="15"/>
              </w:rPr>
            </w:pPr>
            <w:r>
              <w:rPr>
                <w:rFonts w:ascii="Times New Roman" w:hAnsi="Times New Roman"/>
                <w:sz w:val="15"/>
              </w:rPr>
              <w:t>Total</w:t>
            </w:r>
          </w:p>
        </w:tc>
        <w:tc>
          <w:tcPr>
            <w:tcW w:w="35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72" w:type="dxa"/>
            <w:tcBorders/>
            <w:shd w:fill="auto" w:val="clear"/>
            <w:vAlign w:val="bottom"/>
          </w:tcPr>
          <w:p>
            <w:pPr>
              <w:pStyle w:val="TableContents"/>
              <w:spacing w:before="0" w:after="283"/>
              <w:jc w:val="right"/>
              <w:rPr/>
            </w:pPr>
            <w:r>
              <w:rPr/>
              <w:t>499,065,000</w:t>
            </w:r>
          </w:p>
        </w:tc>
        <w:tc>
          <w:tcPr>
            <w:tcW w:w="27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w:t>
            </w:r>
          </w:p>
        </w:tc>
        <w:tc>
          <w:tcPr>
            <w:tcW w:w="1289" w:type="dxa"/>
            <w:tcBorders/>
            <w:shd w:fill="auto" w:val="clear"/>
            <w:vAlign w:val="bottom"/>
          </w:tcPr>
          <w:p>
            <w:pPr>
              <w:pStyle w:val="TableContents"/>
              <w:spacing w:before="0" w:after="283"/>
              <w:jc w:val="right"/>
              <w:rPr/>
            </w:pPr>
            <w:r>
              <w:rPr/>
              <w:t>3,000,000</w:t>
            </w:r>
          </w:p>
        </w:tc>
        <w:tc>
          <w:tcPr>
            <w:tcW w:w="27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w:t>
            </w:r>
          </w:p>
        </w:tc>
        <w:tc>
          <w:tcPr>
            <w:tcW w:w="1599" w:type="dxa"/>
            <w:tcBorders/>
            <w:shd w:fill="auto" w:val="clear"/>
            <w:vAlign w:val="bottom"/>
          </w:tcPr>
          <w:p>
            <w:pPr>
              <w:pStyle w:val="TableContents"/>
              <w:spacing w:before="0" w:after="283"/>
              <w:jc w:val="right"/>
              <w:rPr/>
            </w:pPr>
            <w:r>
              <w:rPr/>
              <w:t>496,065,000</w:t>
            </w:r>
          </w:p>
        </w:tc>
        <w:tc>
          <w:tcPr>
            <w:tcW w:w="283" w:type="dxa"/>
            <w:tcBorders/>
            <w:shd w:fill="auto" w:val="clear"/>
            <w:vAlign w:val="bottom"/>
          </w:tcPr>
          <w:p>
            <w:pPr>
              <w:pStyle w:val="TableContents"/>
              <w:spacing w:before="0" w:after="283"/>
              <w:rPr/>
            </w:pPr>
            <w:r>
              <w:rPr/>
              <w:t>  </w:t>
            </w:r>
          </w:p>
        </w:tc>
      </w:tr>
      <w:tr>
        <w:trPr/>
        <w:tc>
          <w:tcPr>
            <w:tcW w:w="2181" w:type="dxa"/>
            <w:tcBorders/>
            <w:shd w:fill="CCEEFF" w:val="clear"/>
          </w:tcPr>
          <w:p>
            <w:pPr>
              <w:pStyle w:val="TableContents"/>
              <w:spacing w:before="0" w:after="283"/>
              <w:rPr>
                <w:rFonts w:ascii="Times New Roman" w:hAnsi="Times New Roman"/>
                <w:sz w:val="15"/>
              </w:rPr>
            </w:pPr>
            <w:r>
              <w:rPr>
                <w:rFonts w:ascii="Times New Roman" w:hAnsi="Times New Roman"/>
                <w:sz w:val="15"/>
              </w:rPr>
              <w:t>Per 2045 Note</w:t>
            </w:r>
          </w:p>
        </w:tc>
        <w:tc>
          <w:tcPr>
            <w:tcW w:w="35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99.876</w:t>
            </w:r>
          </w:p>
        </w:tc>
        <w:tc>
          <w:tcPr>
            <w:tcW w:w="27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289" w:type="dxa"/>
            <w:tcBorders/>
            <w:shd w:fill="CCEEFF" w:val="clear"/>
            <w:vAlign w:val="bottom"/>
          </w:tcPr>
          <w:p>
            <w:pPr>
              <w:pStyle w:val="TableContents"/>
              <w:spacing w:before="0" w:after="283"/>
              <w:jc w:val="right"/>
              <w:rPr/>
            </w:pPr>
            <w:r>
              <w:rPr/>
              <w:t>0.875</w:t>
            </w:r>
          </w:p>
        </w:tc>
        <w:tc>
          <w:tcPr>
            <w:tcW w:w="27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599" w:type="dxa"/>
            <w:tcBorders/>
            <w:shd w:fill="CCEEFF" w:val="clear"/>
            <w:vAlign w:val="bottom"/>
          </w:tcPr>
          <w:p>
            <w:pPr>
              <w:pStyle w:val="TableContents"/>
              <w:spacing w:before="0" w:after="283"/>
              <w:jc w:val="right"/>
              <w:rPr/>
            </w:pPr>
            <w:r>
              <w:rPr/>
              <w:t>99.001</w:t>
            </w:r>
          </w:p>
        </w:tc>
        <w:tc>
          <w:tcPr>
            <w:tcW w:w="283" w:type="dxa"/>
            <w:tcBorders/>
            <w:shd w:fill="CCEEFF" w:val="clear"/>
            <w:vAlign w:val="bottom"/>
          </w:tcPr>
          <w:p>
            <w:pPr>
              <w:pStyle w:val="TableContents"/>
              <w:spacing w:before="0" w:after="283"/>
              <w:rPr/>
            </w:pPr>
            <w:r>
              <w:rPr/>
              <w:t>% </w:t>
            </w:r>
          </w:p>
        </w:tc>
      </w:tr>
      <w:tr>
        <w:trPr/>
        <w:tc>
          <w:tcPr>
            <w:tcW w:w="2181" w:type="dxa"/>
            <w:tcBorders/>
            <w:shd w:fill="auto" w:val="clear"/>
          </w:tcPr>
          <w:p>
            <w:pPr>
              <w:pStyle w:val="TableContents"/>
              <w:spacing w:before="0" w:after="283"/>
              <w:rPr>
                <w:rFonts w:ascii="Times New Roman" w:hAnsi="Times New Roman"/>
                <w:sz w:val="15"/>
              </w:rPr>
            </w:pPr>
            <w:r>
              <w:rPr>
                <w:rFonts w:ascii="Times New Roman" w:hAnsi="Times New Roman"/>
                <w:sz w:val="15"/>
              </w:rPr>
              <w:t>Total</w:t>
            </w:r>
          </w:p>
        </w:tc>
        <w:tc>
          <w:tcPr>
            <w:tcW w:w="35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72" w:type="dxa"/>
            <w:tcBorders/>
            <w:shd w:fill="auto" w:val="clear"/>
            <w:vAlign w:val="bottom"/>
          </w:tcPr>
          <w:p>
            <w:pPr>
              <w:pStyle w:val="TableContents"/>
              <w:spacing w:before="0" w:after="283"/>
              <w:jc w:val="right"/>
              <w:rPr/>
            </w:pPr>
            <w:r>
              <w:rPr/>
              <w:t>649,194,000</w:t>
            </w:r>
          </w:p>
        </w:tc>
        <w:tc>
          <w:tcPr>
            <w:tcW w:w="27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w:t>
            </w:r>
          </w:p>
        </w:tc>
        <w:tc>
          <w:tcPr>
            <w:tcW w:w="1289" w:type="dxa"/>
            <w:tcBorders/>
            <w:shd w:fill="auto" w:val="clear"/>
            <w:vAlign w:val="bottom"/>
          </w:tcPr>
          <w:p>
            <w:pPr>
              <w:pStyle w:val="TableContents"/>
              <w:spacing w:before="0" w:after="283"/>
              <w:jc w:val="right"/>
              <w:rPr/>
            </w:pPr>
            <w:r>
              <w:rPr/>
              <w:t>5,687,500</w:t>
            </w:r>
          </w:p>
        </w:tc>
        <w:tc>
          <w:tcPr>
            <w:tcW w:w="27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w:t>
            </w:r>
          </w:p>
        </w:tc>
        <w:tc>
          <w:tcPr>
            <w:tcW w:w="1599" w:type="dxa"/>
            <w:tcBorders/>
            <w:shd w:fill="auto" w:val="clear"/>
            <w:vAlign w:val="bottom"/>
          </w:tcPr>
          <w:p>
            <w:pPr>
              <w:pStyle w:val="TableContents"/>
              <w:spacing w:before="0" w:after="283"/>
              <w:jc w:val="right"/>
              <w:rPr/>
            </w:pPr>
            <w:r>
              <w:rPr/>
              <w:t>643,506,500</w:t>
            </w:r>
          </w:p>
        </w:tc>
        <w:tc>
          <w:tcPr>
            <w:tcW w:w="283"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(1)</w:t>
            </w:r>
          </w:p>
        </w:tc>
        <w:tc>
          <w:tcPr>
            <w:tcW w:w="9900" w:type="dxa"/>
            <w:tcBorders/>
            <w:shd w:fill="auto" w:val="clear"/>
          </w:tcPr>
          <w:p>
            <w:pPr>
              <w:pStyle w:val="TableContents"/>
              <w:spacing w:before="0" w:after="283"/>
              <w:jc w:val="left"/>
              <w:rPr/>
            </w:pPr>
            <w:r>
              <w:rPr/>
              <w:t xml:space="preserve">Plus accrued interest, if any, from December 9, 2014 if settlement occurs after that date. </w:t>
            </w:r>
          </w:p>
        </w:tc>
      </w:tr>
    </w:tbl>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rPr>
          <w:rFonts w:ascii="Times New Roman" w:hAnsi="Times New Roman"/>
          <w:sz w:val="15"/>
        </w:rPr>
      </w:pPr>
      <w:r>
        <w:rPr>
          <w:rFonts w:ascii="Times New Roman" w:hAnsi="Times New Roman"/>
          <w:sz w:val="15"/>
        </w:rPr>
        <w:t xml:space="preserve">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December 9, 2014, the fifth trading day after the date of this prospectus supplement.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i/>
          <w:sz w:val="15"/>
        </w:rPr>
      </w:pPr>
      <w:r>
        <w:rPr>
          <w:rFonts w:ascii="Times New Roman" w:hAnsi="Times New Roman"/>
          <w:i/>
          <w:sz w:val="15"/>
        </w:rPr>
        <w:t xml:space="preserve">Joint Book-Running Managers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61"/>
        <w:gridCol w:w="102"/>
        <w:gridCol w:w="3918"/>
        <w:gridCol w:w="206"/>
        <w:gridCol w:w="3918"/>
      </w:tblGrid>
      <w:tr>
        <w:trPr/>
        <w:tc>
          <w:tcPr>
            <w:tcW w:w="206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91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3918" w:type="dxa"/>
            <w:tcBorders/>
            <w:shd w:fill="auto" w:val="clear"/>
            <w:vAlign w:val="center"/>
          </w:tcPr>
          <w:p>
            <w:pPr>
              <w:pStyle w:val="TableContents"/>
              <w:spacing w:before="0" w:after="283"/>
              <w:rPr>
                <w:sz w:val="4"/>
                <w:szCs w:val="4"/>
              </w:rPr>
            </w:pPr>
            <w:r>
              <w:rPr>
                <w:sz w:val="4"/>
                <w:szCs w:val="4"/>
              </w:rPr>
            </w:r>
          </w:p>
        </w:tc>
      </w:tr>
      <w:tr>
        <w:trPr/>
        <w:tc>
          <w:tcPr>
            <w:tcW w:w="2061" w:type="dxa"/>
            <w:tcBorders/>
            <w:shd w:fill="auto" w:val="clear"/>
          </w:tcPr>
          <w:p>
            <w:pPr>
              <w:pStyle w:val="TableContents"/>
              <w:spacing w:before="0" w:after="283"/>
              <w:rPr>
                <w:b/>
              </w:rPr>
            </w:pPr>
            <w:r>
              <w:rPr>
                <w:b/>
              </w:rPr>
              <w:t>Barclays</w:t>
            </w:r>
          </w:p>
        </w:tc>
        <w:tc>
          <w:tcPr>
            <w:tcW w:w="102" w:type="dxa"/>
            <w:tcBorders/>
            <w:shd w:fill="auto" w:val="clear"/>
            <w:vAlign w:val="bottom"/>
          </w:tcPr>
          <w:p>
            <w:pPr>
              <w:pStyle w:val="TableContents"/>
              <w:spacing w:before="0" w:after="283"/>
              <w:rPr/>
            </w:pPr>
            <w:r>
              <w:rPr/>
              <w:t> </w:t>
            </w:r>
          </w:p>
        </w:tc>
        <w:tc>
          <w:tcPr>
            <w:tcW w:w="3918" w:type="dxa"/>
            <w:tcBorders/>
            <w:shd w:fill="auto" w:val="clear"/>
            <w:vAlign w:val="bottom"/>
          </w:tcPr>
          <w:p>
            <w:pPr>
              <w:pStyle w:val="TableContents"/>
              <w:spacing w:before="0" w:after="283"/>
              <w:jc w:val="center"/>
              <w:rPr>
                <w:b/>
              </w:rPr>
            </w:pPr>
            <w:r>
              <w:rPr>
                <w:b/>
              </w:rPr>
              <w:t>SunTrust Robinson Humphrey</w:t>
            </w:r>
          </w:p>
        </w:tc>
        <w:tc>
          <w:tcPr>
            <w:tcW w:w="206" w:type="dxa"/>
            <w:tcBorders/>
            <w:shd w:fill="auto" w:val="clear"/>
            <w:vAlign w:val="bottom"/>
          </w:tcPr>
          <w:p>
            <w:pPr>
              <w:pStyle w:val="TableContents"/>
              <w:spacing w:before="0" w:after="283"/>
              <w:rPr/>
            </w:pPr>
            <w:r>
              <w:rPr/>
              <w:t> </w:t>
            </w:r>
          </w:p>
        </w:tc>
        <w:tc>
          <w:tcPr>
            <w:tcW w:w="3918" w:type="dxa"/>
            <w:tcBorders/>
            <w:shd w:fill="auto" w:val="clear"/>
            <w:vAlign w:val="bottom"/>
          </w:tcPr>
          <w:p>
            <w:pPr>
              <w:pStyle w:val="TableContents"/>
              <w:spacing w:before="0" w:after="283"/>
              <w:jc w:val="right"/>
              <w:rPr>
                <w:b/>
              </w:rPr>
            </w:pPr>
            <w:r>
              <w:rPr>
                <w:b/>
              </w:rPr>
              <w:t>Wells Fargo Securities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938"/>
        <w:gridCol w:w="101"/>
        <w:gridCol w:w="5206"/>
        <w:gridCol w:w="102"/>
        <w:gridCol w:w="2858"/>
      </w:tblGrid>
      <w:tr>
        <w:trPr/>
        <w:tc>
          <w:tcPr>
            <w:tcW w:w="193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2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r>
      <w:tr>
        <w:trPr/>
        <w:tc>
          <w:tcPr>
            <w:tcW w:w="1938" w:type="dxa"/>
            <w:tcBorders/>
            <w:shd w:fill="auto" w:val="clear"/>
          </w:tcPr>
          <w:p>
            <w:pPr>
              <w:pStyle w:val="TableContents"/>
              <w:spacing w:before="0" w:after="283"/>
              <w:rPr>
                <w:b/>
              </w:rPr>
            </w:pPr>
            <w:r>
              <w:rPr>
                <w:b/>
              </w:rPr>
              <w:t>BBVA</w:t>
            </w:r>
          </w:p>
        </w:tc>
        <w:tc>
          <w:tcPr>
            <w:tcW w:w="101" w:type="dxa"/>
            <w:tcBorders/>
            <w:shd w:fill="auto" w:val="clear"/>
            <w:vAlign w:val="bottom"/>
          </w:tcPr>
          <w:p>
            <w:pPr>
              <w:pStyle w:val="TableContents"/>
              <w:spacing w:before="0" w:after="283"/>
              <w:rPr/>
            </w:pPr>
            <w:r>
              <w:rPr/>
              <w:t> </w:t>
            </w:r>
          </w:p>
        </w:tc>
        <w:tc>
          <w:tcPr>
            <w:tcW w:w="5206" w:type="dxa"/>
            <w:tcBorders/>
            <w:shd w:fill="auto" w:val="clear"/>
          </w:tcPr>
          <w:p>
            <w:pPr>
              <w:pStyle w:val="TableContents"/>
              <w:spacing w:before="0" w:after="283"/>
              <w:jc w:val="center"/>
              <w:rPr>
                <w:b/>
              </w:rPr>
            </w:pPr>
            <w:r>
              <w:rPr>
                <w:b/>
              </w:rPr>
              <w:t>RBC Capital Markets</w:t>
            </w:r>
          </w:p>
        </w:tc>
        <w:tc>
          <w:tcPr>
            <w:tcW w:w="102" w:type="dxa"/>
            <w:tcBorders/>
            <w:shd w:fill="auto" w:val="clear"/>
            <w:vAlign w:val="bottom"/>
          </w:tcPr>
          <w:p>
            <w:pPr>
              <w:pStyle w:val="TableContents"/>
              <w:spacing w:before="0" w:after="283"/>
              <w:rPr/>
            </w:pPr>
            <w:r>
              <w:rPr/>
              <w:t> </w:t>
            </w:r>
          </w:p>
        </w:tc>
        <w:tc>
          <w:tcPr>
            <w:tcW w:w="2858" w:type="dxa"/>
            <w:tcBorders/>
            <w:shd w:fill="auto" w:val="clear"/>
            <w:vAlign w:val="bottom"/>
          </w:tcPr>
          <w:p>
            <w:pPr>
              <w:pStyle w:val="TableContents"/>
              <w:spacing w:before="0" w:after="283"/>
              <w:jc w:val="right"/>
              <w:rPr>
                <w:b/>
              </w:rPr>
            </w:pPr>
            <w:r>
              <w:rPr>
                <w:b/>
              </w:rPr>
              <w:t>SMBC Nikko</w:t>
            </w:r>
          </w:p>
        </w:tc>
      </w:tr>
    </w:tbl>
    <w:p>
      <w:pPr>
        <w:pStyle w:val="TextBody"/>
        <w:spacing w:before="120" w:after="0"/>
        <w:jc w:val="center"/>
        <w:rPr>
          <w:rFonts w:ascii="Times New Roman" w:hAnsi="Times New Roman"/>
          <w:i/>
          <w:sz w:val="15"/>
        </w:rPr>
      </w:pPr>
      <w:r>
        <w:rPr>
          <w:rFonts w:ascii="Times New Roman" w:hAnsi="Times New Roman"/>
          <w:i/>
          <w:sz w:val="15"/>
        </w:rPr>
        <w:t xml:space="preserve">Co-Managers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66"/>
        <w:gridCol w:w="101"/>
        <w:gridCol w:w="1633"/>
        <w:gridCol w:w="102"/>
        <w:gridCol w:w="2143"/>
        <w:gridCol w:w="102"/>
        <w:gridCol w:w="2858"/>
      </w:tblGrid>
      <w:tr>
        <w:trPr/>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r>
      <w:tr>
        <w:trPr/>
        <w:tc>
          <w:tcPr>
            <w:tcW w:w="3266" w:type="dxa"/>
            <w:tcBorders/>
            <w:shd w:fill="auto" w:val="clear"/>
          </w:tcPr>
          <w:p>
            <w:pPr>
              <w:pStyle w:val="TableContents"/>
              <w:spacing w:before="0" w:after="283"/>
              <w:rPr>
                <w:b/>
              </w:rPr>
            </w:pPr>
            <w:r>
              <w:rPr>
                <w:b/>
              </w:rPr>
              <w:t>Deutsche Bank Securities</w:t>
            </w:r>
          </w:p>
        </w:tc>
        <w:tc>
          <w:tcPr>
            <w:tcW w:w="101"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b/>
              </w:rPr>
            </w:pPr>
            <w:r>
              <w:rPr>
                <w:b/>
              </w:rPr>
              <w:t>MUFG</w:t>
            </w:r>
          </w:p>
        </w:tc>
        <w:tc>
          <w:tcPr>
            <w:tcW w:w="102"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b/>
              </w:rPr>
            </w:pPr>
            <w:r>
              <w:rPr>
                <w:b/>
              </w:rPr>
              <w:t>Scotiabank</w:t>
            </w:r>
          </w:p>
        </w:tc>
        <w:tc>
          <w:tcPr>
            <w:tcW w:w="102" w:type="dxa"/>
            <w:tcBorders/>
            <w:shd w:fill="auto" w:val="clear"/>
            <w:vAlign w:val="bottom"/>
          </w:tcPr>
          <w:p>
            <w:pPr>
              <w:pStyle w:val="TableContents"/>
              <w:spacing w:before="0" w:after="283"/>
              <w:rPr/>
            </w:pPr>
            <w:r>
              <w:rPr/>
              <w:t> </w:t>
            </w:r>
          </w:p>
        </w:tc>
        <w:tc>
          <w:tcPr>
            <w:tcW w:w="2858" w:type="dxa"/>
            <w:tcBorders/>
            <w:shd w:fill="auto" w:val="clear"/>
            <w:vAlign w:val="bottom"/>
          </w:tcPr>
          <w:p>
            <w:pPr>
              <w:pStyle w:val="TableContents"/>
              <w:spacing w:before="0" w:after="283"/>
              <w:jc w:val="right"/>
              <w:rPr>
                <w:b/>
              </w:rPr>
            </w:pPr>
            <w:r>
              <w:rPr>
                <w:b/>
              </w:rPr>
              <w:t>BMO Capital Markets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3"/>
        <w:gridCol w:w="102"/>
        <w:gridCol w:w="3573"/>
        <w:gridCol w:w="101"/>
        <w:gridCol w:w="1633"/>
        <w:gridCol w:w="102"/>
        <w:gridCol w:w="3471"/>
      </w:tblGrid>
      <w:tr>
        <w:trPr/>
        <w:tc>
          <w:tcPr>
            <w:tcW w:w="122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57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b/>
              </w:rPr>
            </w:pPr>
            <w:r>
              <w:rPr>
                <w:b/>
              </w:rPr>
              <w:t>CIBC</w:t>
            </w:r>
          </w:p>
        </w:tc>
        <w:tc>
          <w:tcPr>
            <w:tcW w:w="102" w:type="dxa"/>
            <w:tcBorders/>
            <w:shd w:fill="auto" w:val="clear"/>
            <w:vAlign w:val="bottom"/>
          </w:tcPr>
          <w:p>
            <w:pPr>
              <w:pStyle w:val="TableContents"/>
              <w:spacing w:before="0" w:after="283"/>
              <w:rPr/>
            </w:pPr>
            <w:r>
              <w:rPr/>
              <w:t> </w:t>
            </w:r>
          </w:p>
        </w:tc>
        <w:tc>
          <w:tcPr>
            <w:tcW w:w="3573" w:type="dxa"/>
            <w:tcBorders/>
            <w:shd w:fill="auto" w:val="clear"/>
          </w:tcPr>
          <w:p>
            <w:pPr>
              <w:pStyle w:val="TableContents"/>
              <w:spacing w:before="0" w:after="283"/>
              <w:rPr>
                <w:b/>
              </w:rPr>
            </w:pPr>
            <w:r>
              <w:rPr>
                <w:b/>
              </w:rPr>
              <w:t>Fifth Third Securities</w:t>
            </w:r>
          </w:p>
        </w:tc>
        <w:tc>
          <w:tcPr>
            <w:tcW w:w="101"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b/>
              </w:rPr>
            </w:pPr>
            <w:r>
              <w:rPr>
                <w:b/>
              </w:rPr>
              <w:t>ING</w:t>
            </w:r>
          </w:p>
        </w:tc>
        <w:tc>
          <w:tcPr>
            <w:tcW w:w="102" w:type="dxa"/>
            <w:tcBorders/>
            <w:shd w:fill="auto" w:val="clear"/>
            <w:vAlign w:val="bottom"/>
          </w:tcPr>
          <w:p>
            <w:pPr>
              <w:pStyle w:val="TableContents"/>
              <w:spacing w:before="0" w:after="283"/>
              <w:rPr/>
            </w:pPr>
            <w:r>
              <w:rPr/>
              <w:t> </w:t>
            </w:r>
          </w:p>
        </w:tc>
        <w:tc>
          <w:tcPr>
            <w:tcW w:w="3471" w:type="dxa"/>
            <w:tcBorders/>
            <w:shd w:fill="auto" w:val="clear"/>
            <w:vAlign w:val="bottom"/>
          </w:tcPr>
          <w:p>
            <w:pPr>
              <w:pStyle w:val="TableContents"/>
              <w:spacing w:before="0" w:after="283"/>
              <w:jc w:val="right"/>
              <w:rPr>
                <w:b/>
              </w:rPr>
            </w:pPr>
            <w:r>
              <w:rPr>
                <w:b/>
              </w:rPr>
              <w:t>PNC Capital Markets LLC</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470"/>
        <w:gridCol w:w="101"/>
        <w:gridCol w:w="4389"/>
        <w:gridCol w:w="101"/>
        <w:gridCol w:w="2144"/>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38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b/>
              </w:rPr>
            </w:pPr>
            <w:r>
              <w:rPr>
                <w:b/>
              </w:rPr>
              <w:t>Regions Securities LLC</w:t>
            </w:r>
          </w:p>
        </w:tc>
        <w:tc>
          <w:tcPr>
            <w:tcW w:w="101"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jc w:val="center"/>
              <w:rPr>
                <w:b/>
              </w:rPr>
            </w:pPr>
            <w:r>
              <w:rPr>
                <w:b/>
              </w:rPr>
              <w:t>SOCIETE GENERALE</w:t>
            </w:r>
          </w:p>
        </w:tc>
        <w:tc>
          <w:tcPr>
            <w:tcW w:w="101" w:type="dxa"/>
            <w:tcBorders/>
            <w:shd w:fill="auto" w:val="clear"/>
            <w:vAlign w:val="bottom"/>
          </w:tcPr>
          <w:p>
            <w:pPr>
              <w:pStyle w:val="TableContents"/>
              <w:spacing w:before="0" w:after="283"/>
              <w:rPr/>
            </w:pPr>
            <w:r>
              <w:rPr/>
              <w:t> </w:t>
            </w:r>
          </w:p>
        </w:tc>
        <w:tc>
          <w:tcPr>
            <w:tcW w:w="2144" w:type="dxa"/>
            <w:tcBorders/>
            <w:shd w:fill="auto" w:val="clear"/>
            <w:vAlign w:val="bottom"/>
          </w:tcPr>
          <w:p>
            <w:pPr>
              <w:pStyle w:val="TableContents"/>
              <w:spacing w:before="0" w:after="283"/>
              <w:jc w:val="right"/>
              <w:rPr>
                <w:b/>
              </w:rPr>
            </w:pPr>
            <w:r>
              <w:rPr>
                <w:b/>
              </w:rPr>
              <w:t>US Bancorp</w:t>
            </w:r>
          </w:p>
        </w:tc>
      </w:tr>
    </w:tbl>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15"/>
        </w:rPr>
      </w:pPr>
      <w:r>
        <w:rPr>
          <w:rFonts w:ascii="Times New Roman" w:hAnsi="Times New Roman"/>
          <w:b/>
          <w:sz w:val="15"/>
        </w:rPr>
        <w:t xml:space="preserve">The date of this prospectus supplement is December 2, 2014.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 w:name="toc"/>
      <w:bookmarkEnd w:id="2"/>
      <w:r>
        <w:rPr>
          <w:rFonts w:ascii="Times New Roman" w:hAnsi="Times New Roman"/>
          <w:b/>
          <w:sz w:val="17"/>
        </w:rPr>
        <w:t xml:space="preserve">TABLE OF CONTENTS </w:t>
      </w:r>
    </w:p>
    <w:p>
      <w:pPr>
        <w:pStyle w:val="TextBody"/>
        <w:spacing w:before="240" w:after="0"/>
        <w:jc w:val="center"/>
        <w:rPr>
          <w:rFonts w:ascii="Times New Roman" w:hAnsi="Times New Roman"/>
          <w:b/>
          <w:sz w:val="17"/>
        </w:rPr>
      </w:pPr>
      <w:r>
        <w:rPr>
          <w:rFonts w:ascii="Times New Roman" w:hAnsi="Times New Roman"/>
          <w:b/>
          <w:sz w:val="17"/>
        </w:rPr>
        <w:t xml:space="preserve">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298"/>
        <w:gridCol w:w="246"/>
        <w:gridCol w:w="60"/>
        <w:gridCol w:w="479"/>
        <w:gridCol w:w="122"/>
      </w:tblGrid>
      <w:tr>
        <w:trPr/>
        <w:tc>
          <w:tcPr>
            <w:tcW w:w="929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298" w:type="dxa"/>
            <w:tcBorders/>
            <w:shd w:fill="auto" w:val="clear"/>
          </w:tcPr>
          <w:p>
            <w:pPr>
              <w:pStyle w:val="TableContents"/>
              <w:spacing w:before="0" w:after="283"/>
              <w:rPr/>
            </w:pPr>
            <w:hyperlink w:anchor="supprom829341_1">
              <w:r>
                <w:rPr>
                  <w:rStyle w:val="InternetLink"/>
                  <w:rFonts w:ascii="Times New Roman" w:hAnsi="Times New Roman"/>
                  <w:sz w:val="17"/>
                </w:rPr>
                <w:t>Important Notice About Information in This Prospectus Supplement and the  Accompanying Base Prospectus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S-ii</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2">
              <w:r>
                <w:rPr>
                  <w:rStyle w:val="InternetLink"/>
                  <w:rFonts w:ascii="Times New Roman" w:hAnsi="Times New Roman"/>
                  <w:sz w:val="17"/>
                </w:rPr>
                <w:t>Forward-Looking Statements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S-ii</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3">
              <w:r>
                <w:rPr>
                  <w:rStyle w:val="InternetLink"/>
                  <w:rFonts w:ascii="Times New Roman" w:hAnsi="Times New Roman"/>
                  <w:sz w:val="17"/>
                </w:rPr>
                <w:t>Prospectus Supplement Summary</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S-1</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4">
              <w:r>
                <w:rPr>
                  <w:rStyle w:val="InternetLink"/>
                  <w:rFonts w:ascii="Times New Roman" w:hAnsi="Times New Roman"/>
                  <w:sz w:val="17"/>
                </w:rPr>
                <w:t>Risk Factors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S-6</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5">
              <w:r>
                <w:rPr>
                  <w:rStyle w:val="InternetLink"/>
                  <w:rFonts w:ascii="Times New Roman" w:hAnsi="Times New Roman"/>
                  <w:sz w:val="17"/>
                </w:rPr>
                <w:t>Use of Proceeds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S-8</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6">
              <w:r>
                <w:rPr>
                  <w:rStyle w:val="InternetLink"/>
                  <w:rFonts w:ascii="Times New Roman" w:hAnsi="Times New Roman"/>
                  <w:sz w:val="17"/>
                </w:rPr>
                <w:t>Ratio of Earnings To Fixed Charges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S-9</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7">
              <w:r>
                <w:rPr>
                  <w:rStyle w:val="InternetLink"/>
                  <w:rFonts w:ascii="Times New Roman" w:hAnsi="Times New Roman"/>
                  <w:sz w:val="17"/>
                </w:rPr>
                <w:t>Capitalization</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S-10</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8">
              <w:r>
                <w:rPr>
                  <w:rStyle w:val="InternetLink"/>
                  <w:rFonts w:ascii="Times New Roman" w:hAnsi="Times New Roman"/>
                  <w:sz w:val="17"/>
                </w:rPr>
                <w:t>Description of Notes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S-12</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9">
              <w:r>
                <w:rPr>
                  <w:rStyle w:val="InternetLink"/>
                  <w:rFonts w:ascii="Times New Roman" w:hAnsi="Times New Roman"/>
                  <w:sz w:val="17"/>
                </w:rPr>
                <w:t>Book Entry, Delivery and Form</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S-25</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10">
              <w:r>
                <w:rPr>
                  <w:rStyle w:val="InternetLink"/>
                  <w:rFonts w:ascii="Times New Roman" w:hAnsi="Times New Roman"/>
                  <w:sz w:val="17"/>
                </w:rPr>
                <w:t>Material U.S. Federal Income Tax Consequences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S-28</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11">
              <w:r>
                <w:rPr>
                  <w:rStyle w:val="InternetLink"/>
                  <w:rFonts w:ascii="Times New Roman" w:hAnsi="Times New Roman"/>
                  <w:sz w:val="17"/>
                </w:rPr>
                <w:t>Underwriting</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S-33</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12">
              <w:r>
                <w:rPr>
                  <w:rStyle w:val="InternetLink"/>
                  <w:rFonts w:ascii="Times New Roman" w:hAnsi="Times New Roman"/>
                  <w:sz w:val="17"/>
                </w:rPr>
                <w:t>Legal Matters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S-37</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13">
              <w:r>
                <w:rPr>
                  <w:rStyle w:val="InternetLink"/>
                  <w:rFonts w:ascii="Times New Roman" w:hAnsi="Times New Roman"/>
                  <w:sz w:val="17"/>
                </w:rPr>
                <w:t>Experts</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S-37</w:t>
            </w:r>
          </w:p>
        </w:tc>
        <w:tc>
          <w:tcPr>
            <w:tcW w:w="122" w:type="dxa"/>
            <w:tcBorders/>
            <w:shd w:fill="auto" w:val="clear"/>
            <w:vAlign w:val="bottom"/>
          </w:tcPr>
          <w:p>
            <w:pPr>
              <w:pStyle w:val="TableContents"/>
              <w:spacing w:before="0" w:after="283"/>
              <w:rPr/>
            </w:pPr>
            <w:r>
              <w:rPr/>
              <w:t>  </w:t>
            </w:r>
          </w:p>
        </w:tc>
      </w:tr>
      <w:tr>
        <w:trPr/>
        <w:tc>
          <w:tcPr>
            <w:tcW w:w="9298" w:type="dxa"/>
            <w:tcBorders/>
            <w:shd w:fill="auto" w:val="clear"/>
          </w:tcPr>
          <w:p>
            <w:pPr>
              <w:pStyle w:val="TableContents"/>
              <w:spacing w:before="0" w:after="283"/>
              <w:rPr/>
            </w:pPr>
            <w:hyperlink w:anchor="supprom829341_14">
              <w:r>
                <w:rPr>
                  <w:rStyle w:val="InternetLink"/>
                  <w:rFonts w:ascii="Times New Roman" w:hAnsi="Times New Roman"/>
                  <w:sz w:val="17"/>
                </w:rPr>
                <w:t>Where You Can Find More Information</w:t>
              </w:r>
            </w:hyperlink>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jc w:val="right"/>
              <w:rPr/>
            </w:pPr>
            <w:r>
              <w:rPr/>
              <w:t>S-37</w:t>
            </w:r>
          </w:p>
        </w:tc>
        <w:tc>
          <w:tcPr>
            <w:tcW w:w="122" w:type="dxa"/>
            <w:tcBorders/>
            <w:shd w:fill="auto" w:val="clear"/>
            <w:vAlign w:val="bottom"/>
          </w:tcPr>
          <w:p>
            <w:pPr>
              <w:pStyle w:val="TableContents"/>
              <w:spacing w:before="0" w:after="283"/>
              <w:rPr/>
            </w:pPr>
            <w:r>
              <w:rPr/>
              <w:t>  </w:t>
            </w:r>
          </w:p>
        </w:tc>
      </w:tr>
    </w:tbl>
    <w:p>
      <w:pPr>
        <w:pStyle w:val="TextBody"/>
        <w:spacing w:before="240" w:after="0"/>
        <w:jc w:val="center"/>
        <w:rPr>
          <w:rFonts w:ascii="Times New Roman" w:hAnsi="Times New Roman"/>
          <w:b/>
          <w:sz w:val="17"/>
        </w:rPr>
      </w:pPr>
      <w:r>
        <w:rPr>
          <w:rFonts w:ascii="Times New Roman" w:hAnsi="Times New Roman"/>
          <w:b/>
          <w:sz w:val="17"/>
        </w:rPr>
        <w:t xml:space="preserve">Prospectus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04"/>
        <w:gridCol w:w="259"/>
        <w:gridCol w:w="60"/>
        <w:gridCol w:w="260"/>
        <w:gridCol w:w="122"/>
      </w:tblGrid>
      <w:tr>
        <w:trPr/>
        <w:tc>
          <w:tcPr>
            <w:tcW w:w="950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504" w:type="dxa"/>
            <w:tcBorders/>
            <w:shd w:fill="auto" w:val="clear"/>
          </w:tcPr>
          <w:p>
            <w:pPr>
              <w:pStyle w:val="TableContents"/>
              <w:spacing w:before="0" w:after="283"/>
              <w:rPr/>
            </w:pPr>
            <w:hyperlink w:anchor="rom780611_1">
              <w:r>
                <w:rPr>
                  <w:rStyle w:val="InternetLink"/>
                  <w:rFonts w:ascii="Times New Roman" w:hAnsi="Times New Roman"/>
                  <w:sz w:val="17"/>
                </w:rPr>
                <w:t>About This Prospectus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i</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2">
              <w:r>
                <w:rPr>
                  <w:rStyle w:val="InternetLink"/>
                  <w:rFonts w:ascii="Times New Roman" w:hAnsi="Times New Roman"/>
                  <w:sz w:val="17"/>
                </w:rPr>
                <w:t>Where You Can Find More Information</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ii</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3">
              <w:r>
                <w:rPr>
                  <w:rStyle w:val="InternetLink"/>
                  <w:rFonts w:ascii="Times New Roman" w:hAnsi="Times New Roman"/>
                  <w:sz w:val="17"/>
                </w:rPr>
                <w:t>Forward-Looking Statements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iv</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4">
              <w:r>
                <w:rPr>
                  <w:rStyle w:val="InternetLink"/>
                  <w:rFonts w:ascii="Times New Roman" w:hAnsi="Times New Roman"/>
                  <w:sz w:val="17"/>
                </w:rPr>
                <w:t>Who We Are</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5">
              <w:r>
                <w:rPr>
                  <w:rStyle w:val="InternetLink"/>
                  <w:rFonts w:ascii="Times New Roman" w:hAnsi="Times New Roman"/>
                  <w:sz w:val="17"/>
                </w:rPr>
                <w:t>Risk Factors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6">
              <w:r>
                <w:rPr>
                  <w:rStyle w:val="InternetLink"/>
                  <w:rFonts w:ascii="Times New Roman" w:hAnsi="Times New Roman"/>
                  <w:sz w:val="17"/>
                </w:rPr>
                <w:t>Use Of Proceeds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7">
              <w:r>
                <w:rPr>
                  <w:rStyle w:val="InternetLink"/>
                  <w:rFonts w:ascii="Times New Roman" w:hAnsi="Times New Roman"/>
                  <w:sz w:val="17"/>
                </w:rPr>
                <w:t>Ratio Of Earnings To Fixed Charges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8">
              <w:r>
                <w:rPr>
                  <w:rStyle w:val="InternetLink"/>
                  <w:rFonts w:ascii="Times New Roman" w:hAnsi="Times New Roman"/>
                  <w:sz w:val="17"/>
                </w:rPr>
                <w:t>Description of Our Debt Securities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9">
              <w:r>
                <w:rPr>
                  <w:rStyle w:val="InternetLink"/>
                  <w:rFonts w:ascii="Times New Roman" w:hAnsi="Times New Roman"/>
                  <w:sz w:val="17"/>
                </w:rPr>
                <w:t>Description of Our Common Units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10">
              <w:r>
                <w:rPr>
                  <w:rStyle w:val="InternetLink"/>
                  <w:rFonts w:ascii="Times New Roman" w:hAnsi="Times New Roman"/>
                  <w:sz w:val="17"/>
                </w:rPr>
                <w:t>Cash Distribution Policy</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11">
              <w:r>
                <w:rPr>
                  <w:rStyle w:val="InternetLink"/>
                  <w:rFonts w:ascii="Times New Roman" w:hAnsi="Times New Roman"/>
                  <w:sz w:val="17"/>
                </w:rPr>
                <w:t>Description of Our Partnership Agreement</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12">
              <w:r>
                <w:rPr>
                  <w:rStyle w:val="InternetLink"/>
                  <w:rFonts w:ascii="Times New Roman" w:hAnsi="Times New Roman"/>
                  <w:sz w:val="17"/>
                </w:rPr>
                <w:t>Material U.S. Federal Income Tax Consequences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23</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13">
              <w:r>
                <w:rPr>
                  <w:rStyle w:val="InternetLink"/>
                  <w:rFonts w:ascii="Times New Roman" w:hAnsi="Times New Roman"/>
                  <w:sz w:val="17"/>
                </w:rPr>
                <w:t>Plan of Distribution</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14">
              <w:r>
                <w:rPr>
                  <w:rStyle w:val="InternetLink"/>
                  <w:rFonts w:ascii="Times New Roman" w:hAnsi="Times New Roman"/>
                  <w:sz w:val="17"/>
                </w:rPr>
                <w:t>Legal Matters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2" w:type="dxa"/>
            <w:tcBorders/>
            <w:shd w:fill="auto" w:val="clear"/>
            <w:vAlign w:val="bottom"/>
          </w:tcPr>
          <w:p>
            <w:pPr>
              <w:pStyle w:val="TableContents"/>
              <w:spacing w:before="0" w:after="283"/>
              <w:rPr/>
            </w:pPr>
            <w:r>
              <w:rPr/>
              <w:t>  </w:t>
            </w:r>
          </w:p>
        </w:tc>
      </w:tr>
      <w:tr>
        <w:trPr/>
        <w:tc>
          <w:tcPr>
            <w:tcW w:w="9504" w:type="dxa"/>
            <w:tcBorders/>
            <w:shd w:fill="auto" w:val="clear"/>
          </w:tcPr>
          <w:p>
            <w:pPr>
              <w:pStyle w:val="TableContents"/>
              <w:spacing w:before="0" w:after="283"/>
              <w:rPr/>
            </w:pPr>
            <w:hyperlink w:anchor="rom780611_15">
              <w:r>
                <w:rPr>
                  <w:rStyle w:val="InternetLink"/>
                  <w:rFonts w:ascii="Times New Roman" w:hAnsi="Times New Roman"/>
                  <w:sz w:val="17"/>
                </w:rPr>
                <w:t>Experts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 w:name="supprom829341_1"/>
      <w:bookmarkEnd w:id="3"/>
      <w:r>
        <w:rPr>
          <w:rFonts w:ascii="Times New Roman" w:hAnsi="Times New Roman"/>
          <w:b/>
          <w:sz w:val="17"/>
        </w:rPr>
        <w:t xml:space="preserve">IMPORTANT NOTICE ABOUT INFORMATION IN THIS PROSPECTUS SUPPLEMENT AND THE ACCOMPANYING BASE PROSPECTUS </w:t>
      </w:r>
    </w:p>
    <w:p>
      <w:pPr>
        <w:pStyle w:val="TextBody"/>
        <w:spacing w:before="240" w:after="0"/>
        <w:rPr>
          <w:rFonts w:ascii="Times New Roman" w:hAnsi="Times New Roman"/>
          <w:b/>
          <w:sz w:val="17"/>
        </w:rPr>
      </w:pPr>
      <w:r>
        <w:rPr>
          <w:rFonts w:ascii="Times New Roman" w:hAnsi="Times New Roman"/>
          <w:b/>
          <w:sz w:val="17"/>
        </w:rPr>
        <w:t xml:space="preserve">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 </w:t>
      </w:r>
    </w:p>
    <w:p>
      <w:pPr>
        <w:pStyle w:val="TextBody"/>
        <w:spacing w:before="240" w:after="0"/>
        <w:rPr>
          <w:rFonts w:ascii="Times New Roman" w:hAnsi="Times New Roman"/>
          <w:b/>
          <w:sz w:val="17"/>
        </w:rPr>
      </w:pPr>
      <w:r>
        <w:rPr>
          <w:rFonts w:ascii="Times New Roman" w:hAnsi="Times New Roman"/>
          <w:b/>
          <w:sz w:val="17"/>
        </w:rPr>
        <w:t xml:space="preserve">If the description of the offering varies between the prospectus supplement and the accompanying base prospectus, you should rely on the information in the prospectus supplement. </w:t>
      </w:r>
    </w:p>
    <w:p>
      <w:pPr>
        <w:pStyle w:val="TextBody"/>
        <w:spacing w:before="240" w:after="0"/>
        <w:rPr>
          <w:rFonts w:ascii="Times New Roman" w:hAnsi="Times New Roman"/>
          <w:b/>
          <w:sz w:val="17"/>
        </w:rPr>
      </w:pPr>
      <w:r>
        <w:rPr>
          <w:rFonts w:ascii="Times New Roman" w:hAnsi="Times New Roman"/>
          <w:b/>
          <w:sz w:val="17"/>
        </w:rPr>
        <w:t xml:space="preserve">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 </w:t>
      </w:r>
    </w:p>
    <w:p>
      <w:pPr>
        <w:pStyle w:val="TextBody"/>
        <w:spacing w:before="240" w:after="0"/>
        <w:rPr>
          <w:rFonts w:ascii="Times New Roman" w:hAnsi="Times New Roman"/>
          <w:b/>
          <w:sz w:val="17"/>
        </w:rPr>
      </w:pPr>
      <w:r>
        <w:rPr>
          <w:rFonts w:ascii="Times New Roman" w:hAnsi="Times New Roman"/>
          <w:b/>
          <w:sz w:val="17"/>
        </w:rPr>
        <w:t xml:space="preserve">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 </w:t>
      </w:r>
    </w:p>
    <w:p>
      <w:pPr>
        <w:pStyle w:val="TextBody"/>
        <w:spacing w:before="240" w:after="0"/>
        <w:rPr>
          <w:rFonts w:ascii="Times New Roman" w:hAnsi="Times New Roman"/>
          <w:sz w:val="17"/>
        </w:rPr>
      </w:pPr>
      <w:r>
        <w:rPr>
          <w:rFonts w:ascii="Times New Roman" w:hAnsi="Times New Roman"/>
          <w:sz w:val="17"/>
        </w:rPr>
        <w:t xml:space="preserve">We expect delivery of the Notes will be made against payment therefor on or about December 9, 2014,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480" w:after="0"/>
        <w:jc w:val="center"/>
        <w:rPr>
          <w:rFonts w:ascii="Times New Roman" w:hAnsi="Times New Roman"/>
          <w:b/>
          <w:sz w:val="17"/>
        </w:rPr>
      </w:pPr>
      <w:bookmarkStart w:id="4" w:name="supprom829341_2"/>
      <w:bookmarkEnd w:id="4"/>
      <w:r>
        <w:rPr>
          <w:rFonts w:ascii="Times New Roman" w:hAnsi="Times New Roman"/>
          <w:b/>
          <w:sz w:val="17"/>
        </w:rPr>
        <w:t xml:space="preserve">FORWARD-LOOKING STATEMENTS </w:t>
      </w:r>
    </w:p>
    <w:p>
      <w:pPr>
        <w:pStyle w:val="TextBody"/>
        <w:spacing w:before="240" w:after="0"/>
        <w:rPr>
          <w:rFonts w:ascii="Times New Roman" w:hAnsi="Times New Roman"/>
          <w:sz w:val="17"/>
        </w:rPr>
      </w:pPr>
      <w:r>
        <w:rPr>
          <w:rFonts w:ascii="Times New Roman" w:hAnsi="Times New Roman"/>
          <w:sz w:val="17"/>
        </w:rPr>
        <w:t xml:space="preserve">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unanticipated changes in crude oil market structure, grade differentials and volatility (or lack thereof);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the occurrence of a natural disaster, catastrophe, terrorist attack or other event, including attacks on our electronic and computer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weather interference with business operations or project construction, including the impact of extreme weather events or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tightened capital markets or other factors that increase our cost of capital or limit our access to capital;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non-utilization of our assets and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risks related to the development and operation of our facilities, including our ability to satisfy our contractual obligations to our customers at our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Other factors described or incorporated by reference herein, as well as factors that are unknown or unpredictable, could also have a material adverse effect on future results. Please read Risk Factors beginning on page S-6 of this prospectus supplement and in Item 1A. Risk Factors in our Annual Report on Form 10-K for the fiscal year ended December 31, 2013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bookmarkStart w:id="5" w:name="supprom829341_3"/>
      <w:bookmarkEnd w:id="5"/>
      <w:r>
        <w:rPr>
          <w:rFonts w:ascii="Times New Roman" w:hAnsi="Times New Roman"/>
          <w:b/>
          <w:sz w:val="17"/>
          <w:bdr w:val="single" w:sz="8" w:space="1" w:color="000000"/>
        </w:rPr>
        <w:t xml:space="preserve">PROSPECTUS SUPPLEMENT SUMMARY </w:t>
      </w:r>
    </w:p>
    <w:p>
      <w:pPr>
        <w:pStyle w:val="TextBody"/>
        <w:spacing w:before="240" w:after="0"/>
        <w:rPr>
          <w:rFonts w:ascii="Times New Roman" w:hAnsi="Times New Roman"/>
          <w:i/>
          <w:sz w:val="17"/>
          <w:bdr w:val="single" w:sz="8" w:space="1" w:color="000000"/>
        </w:rPr>
      </w:pPr>
      <w:r>
        <w:rPr>
          <w:rFonts w:ascii="Times New Roman" w:hAnsi="Times New Roman"/>
          <w:i/>
          <w:sz w:val="17"/>
          <w:bdr w:val="single" w:sz="8" w:space="1" w:color="000000"/>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S-6 of this prospectus supplement and in our Annual Report on Form 10-K for the fiscal year ended December 31, 2013, which is incorporated by reference herein, for information regarding risks you should consider before making a decision to purchase any Notes in this offering. </w:t>
      </w:r>
    </w:p>
    <w:p>
      <w:pPr>
        <w:pStyle w:val="TextBody"/>
        <w:spacing w:before="240" w:after="0"/>
        <w:rPr>
          <w:rFonts w:ascii="Times New Roman" w:hAnsi="Times New Roman"/>
          <w:i/>
          <w:sz w:val="17"/>
          <w:bdr w:val="single" w:sz="8" w:space="1" w:color="000000"/>
        </w:rPr>
      </w:pPr>
      <w:r>
        <w:rPr>
          <w:rFonts w:ascii="Times New Roman" w:hAnsi="Times New Roman"/>
          <w:i/>
          <w:sz w:val="17"/>
          <w:bdr w:val="single" w:sz="8" w:space="1" w:color="000000"/>
        </w:rPr>
        <w:t xml:space="preserve">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 </w:t>
      </w:r>
    </w:p>
    <w:p>
      <w:pPr>
        <w:pStyle w:val="TextBody"/>
        <w:spacing w:before="360" w:after="0"/>
        <w:jc w:val="center"/>
        <w:rPr>
          <w:rFonts w:ascii="Times New Roman" w:hAnsi="Times New Roman"/>
          <w:b/>
          <w:sz w:val="17"/>
          <w:bdr w:val="single" w:sz="8" w:space="1" w:color="000000"/>
        </w:rPr>
      </w:pPr>
      <w:r>
        <w:rPr>
          <w:rFonts w:ascii="Times New Roman" w:hAnsi="Times New Roman"/>
          <w:b/>
          <w:sz w:val="17"/>
          <w:bdr w:val="single" w:sz="8" w:space="1" w:color="000000"/>
        </w:rPr>
        <w:t xml:space="preserve">Plains All American Pipeline, L.P. </w:t>
      </w:r>
    </w:p>
    <w:p>
      <w:pPr>
        <w:pStyle w:val="TextBody"/>
        <w:spacing w:before="120" w:after="0"/>
        <w:rPr>
          <w:rFonts w:ascii="Times New Roman" w:hAnsi="Times New Roman"/>
          <w:sz w:val="17"/>
          <w:bdr w:val="single" w:sz="8" w:space="1" w:color="000000"/>
        </w:rPr>
      </w:pPr>
      <w:r>
        <w:rPr>
          <w:rFonts w:ascii="Times New Roman" w:hAnsi="Times New Roman"/>
          <w:sz w:val="17"/>
          <w:bdr w:val="single" w:sz="8" w:space="1" w:color="000000"/>
        </w:rPr>
        <w:t xml:space="preserve">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 </w:t>
      </w:r>
    </w:p>
    <w:p>
      <w:pPr>
        <w:pStyle w:val="TextBody"/>
        <w:spacing w:before="240" w:after="0"/>
        <w:rPr>
          <w:rFonts w:ascii="Times New Roman" w:hAnsi="Times New Roman"/>
          <w:sz w:val="17"/>
          <w:bdr w:val="single" w:sz="8" w:space="1" w:color="000000"/>
        </w:rPr>
      </w:pPr>
      <w:r>
        <w:rPr>
          <w:rFonts w:ascii="Times New Roman" w:hAnsi="Times New Roman"/>
          <w:sz w:val="17"/>
          <w:bdr w:val="single" w:sz="8" w:space="1" w:color="000000"/>
        </w:rPr>
        <w:t xml:space="preserve">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w:t>
      </w:r>
    </w:p>
    <w:p>
      <w:pPr>
        <w:pStyle w:val="TextBody"/>
        <w:spacing w:before="360" w:after="0"/>
        <w:rPr>
          <w:rFonts w:ascii="Times New Roman" w:hAnsi="Times New Roman"/>
          <w:b/>
          <w:sz w:val="17"/>
          <w:bdr w:val="single" w:sz="8" w:space="1" w:color="000000"/>
        </w:rPr>
      </w:pPr>
      <w:r>
        <w:rPr>
          <w:rFonts w:ascii="Times New Roman" w:hAnsi="Times New Roman"/>
          <w:b/>
          <w:sz w:val="17"/>
          <w:bdr w:val="single" w:sz="8" w:space="1" w:color="000000"/>
        </w:rPr>
        <w:t xml:space="preserve">Ongoing Acquisition Activities </w:t>
      </w:r>
    </w:p>
    <w:p>
      <w:pPr>
        <w:pStyle w:val="TextBody"/>
        <w:spacing w:before="120" w:after="0"/>
        <w:rPr>
          <w:rFonts w:ascii="Times New Roman" w:hAnsi="Times New Roman"/>
          <w:sz w:val="17"/>
          <w:bdr w:val="single" w:sz="8" w:space="1" w:color="000000"/>
        </w:rPr>
      </w:pPr>
      <w:r>
        <w:rPr>
          <w:rFonts w:ascii="Times New Roman" w:hAnsi="Times New Roman"/>
          <w:sz w:val="17"/>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240" w:after="0"/>
        <w:rPr>
          <w:rFonts w:ascii="Times New Roman" w:hAnsi="Times New Roman"/>
          <w:sz w:val="17"/>
          <w:bdr w:val="single" w:sz="8" w:space="1" w:color="000000"/>
        </w:rPr>
      </w:pPr>
      <w:r>
        <w:rPr>
          <w:rFonts w:ascii="Times New Roman" w:hAnsi="Times New Roman"/>
          <w:sz w:val="17"/>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17"/>
          <w:bdr w:val="single" w:sz="8" w:space="1" w:color="000000"/>
        </w:rPr>
      </w:pPr>
      <w:r>
        <w:rPr>
          <w:rFonts w:ascii="Times New Roman" w:hAnsi="Times New Roman"/>
          <w:sz w:val="17"/>
          <w:bdr w:val="single" w:sz="8" w:space="1" w:color="000000"/>
        </w:rPr>
        <w:t xml:space="preserve">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360" w:after="0"/>
        <w:rPr>
          <w:rFonts w:ascii="Times New Roman" w:hAnsi="Times New Roman"/>
          <w:b/>
          <w:sz w:val="17"/>
          <w:bdr w:val="single" w:sz="8" w:space="1" w:color="000000"/>
        </w:rPr>
      </w:pPr>
      <w:r>
        <w:rPr>
          <w:rFonts w:ascii="Times New Roman" w:hAnsi="Times New Roman"/>
          <w:b/>
          <w:sz w:val="17"/>
          <w:bdr w:val="single" w:sz="8" w:space="1" w:color="000000"/>
        </w:rPr>
        <w:t xml:space="preserve">BridgeTex Acquisition </w:t>
      </w:r>
    </w:p>
    <w:p>
      <w:pPr>
        <w:pStyle w:val="TextBody"/>
        <w:spacing w:before="120" w:after="0"/>
        <w:rPr>
          <w:rFonts w:ascii="Times New Roman" w:hAnsi="Times New Roman"/>
          <w:sz w:val="17"/>
          <w:bdr w:val="single" w:sz="8" w:space="1" w:color="000000"/>
        </w:rPr>
      </w:pPr>
      <w:r>
        <w:rPr>
          <w:rFonts w:ascii="Times New Roman" w:hAnsi="Times New Roman"/>
          <w:sz w:val="17"/>
          <w:bdr w:val="single" w:sz="8" w:space="1" w:color="000000"/>
        </w:rPr>
        <w:t xml:space="preserve">On November 14, 2014, we completed the acquisition from Occidental Petroleum Corporation (Occidental) of Occidentals 50% interest in BridgeTex Pipeline Company LLC (BridgeTex) for $1.088 billion, including $13 million of working capital items. BridgeTex owns the BridgeTex pipeline, which is a new 300,000 barrel-per-day crude oil pipeline system that extends from Colorado City in West Texas to Texas City and is complementary to our existing West Texas assets. The remaining 50% interest in BridgeTex is owned by Magellan Midstream Partners, L.P. (MMP); MMP is also the operator of the BridgeTex pipeline. Contemporaneous with this acquisition, BridgeTex sold the southern leg of the pipeline system which runs from Houston to Texas City (the Texas City Leg) to MMP, and MMP entered into a long-term capacity lease with BridgeTex pursuant to which BridgeTex shippers have access to capacity on the Texas City Leg. </w:t>
      </w:r>
    </w:p>
    <w:p>
      <w:pPr>
        <w:pStyle w:val="TextBody"/>
        <w:spacing w:before="360" w:after="0"/>
        <w:rPr>
          <w:rFonts w:ascii="Times New Roman" w:hAnsi="Times New Roman"/>
          <w:b/>
          <w:sz w:val="17"/>
          <w:bdr w:val="single" w:sz="8" w:space="1" w:color="000000"/>
        </w:rPr>
      </w:pPr>
      <w:r>
        <w:rPr>
          <w:rFonts w:ascii="Times New Roman" w:hAnsi="Times New Roman"/>
          <w:b/>
          <w:sz w:val="17"/>
          <w:bdr w:val="single" w:sz="8" w:space="1" w:color="000000"/>
        </w:rPr>
        <w:t xml:space="preserve">Our Principal Executive Offices </w:t>
      </w:r>
    </w:p>
    <w:p>
      <w:pPr>
        <w:pStyle w:val="TextBody"/>
        <w:spacing w:before="120" w:after="0"/>
        <w:rPr>
          <w:rFonts w:ascii="Times New Roman" w:hAnsi="Times New Roman"/>
          <w:sz w:val="17"/>
          <w:bdr w:val="single" w:sz="8" w:space="1" w:color="000000"/>
        </w:rPr>
      </w:pPr>
      <w:r>
        <w:rPr>
          <w:rFonts w:ascii="Times New Roman" w:hAnsi="Times New Roman"/>
          <w:sz w:val="17"/>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17"/>
          <w:bdr w:val="single" w:sz="8" w:space="1" w:color="000000"/>
        </w:rPr>
        <w:t>www.plainsallamerican.com</w:t>
      </w:r>
      <w:r>
        <w:rPr>
          <w:rFonts w:ascii="Times New Roman" w:hAnsi="Times New Roman"/>
          <w:sz w:val="17"/>
          <w:bdr w:val="single" w:sz="8" w:space="1" w:color="000000"/>
        </w:rPr>
        <w:t xml:space="preserve"> 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360" w:after="0"/>
        <w:rPr>
          <w:rFonts w:ascii="Times New Roman" w:hAnsi="Times New Roman"/>
          <w:b/>
          <w:sz w:val="17"/>
          <w:bdr w:val="single" w:sz="8" w:space="1" w:color="000000"/>
        </w:rPr>
      </w:pPr>
      <w:r>
        <w:rPr>
          <w:rFonts w:ascii="Times New Roman" w:hAnsi="Times New Roman"/>
          <w:b/>
          <w:sz w:val="17"/>
          <w:bdr w:val="single" w:sz="8" w:space="1" w:color="000000"/>
        </w:rPr>
        <w:t xml:space="preserve">Additional Information </w:t>
      </w:r>
    </w:p>
    <w:p>
      <w:pPr>
        <w:pStyle w:val="TextBody"/>
        <w:spacing w:before="120" w:after="0"/>
        <w:rPr>
          <w:rFonts w:ascii="Times New Roman" w:hAnsi="Times New Roman"/>
          <w:sz w:val="17"/>
          <w:bdr w:val="single" w:sz="8" w:space="1" w:color="000000"/>
        </w:rPr>
      </w:pPr>
      <w:r>
        <w:rPr>
          <w:rFonts w:ascii="Times New Roman" w:hAnsi="Times New Roman"/>
          <w:sz w:val="17"/>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2013 and our Quarterly Reports on Form 10-Q for the quarterly periods ended March 31, 2014, June 30, 2014 and September 30, 2014, each of which is incorporated by reference herein.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 xml:space="preserve">THE OFFERING </w:t>
      </w:r>
    </w:p>
    <w:p>
      <w:pPr>
        <w:pStyle w:val="TextBody"/>
        <w:spacing w:before="240" w:after="0"/>
        <w:rPr>
          <w:rFonts w:ascii="Times New Roman" w:hAnsi="Times New Roman"/>
          <w:sz w:val="17"/>
          <w:bdr w:val="single" w:sz="8" w:space="1" w:color="000000"/>
        </w:rPr>
      </w:pPr>
      <w:r>
        <w:rPr>
          <w:rFonts w:ascii="Times New Roman" w:hAnsi="Times New Roman"/>
          <w:sz w:val="17"/>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Issuers </w:t>
            </w:r>
          </w:p>
        </w:tc>
        <w:tc>
          <w:tcPr>
            <w:tcW w:w="6327" w:type="dxa"/>
            <w:tcBorders/>
            <w:shd w:fill="auto" w:val="clear"/>
          </w:tcPr>
          <w:p>
            <w:pPr>
              <w:pStyle w:val="TableContents"/>
              <w:spacing w:before="0" w:after="283"/>
              <w:rPr/>
            </w:pPr>
            <w:r>
              <w:rPr/>
              <w:t xml:space="preserve">Plains All American Pipeline, L.P. and PAA Finance Corp.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Future guarantees </w:t>
            </w:r>
          </w:p>
        </w:tc>
        <w:tc>
          <w:tcPr>
            <w:tcW w:w="6327" w:type="dxa"/>
            <w:tcBorders/>
            <w:shd w:fill="auto" w:val="clear"/>
          </w:tcPr>
          <w:p>
            <w:pPr>
              <w:pStyle w:val="TableContents"/>
              <w:spacing w:before="0" w:after="283"/>
              <w:rPr/>
            </w:pPr>
            <w:r>
              <w:rPr/>
              <w:t xml:space="preserve">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 Possible Future Guarantees.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Notes offered </w:t>
            </w:r>
          </w:p>
        </w:tc>
        <w:tc>
          <w:tcPr>
            <w:tcW w:w="6327" w:type="dxa"/>
            <w:tcBorders/>
            <w:shd w:fill="auto" w:val="clear"/>
          </w:tcPr>
          <w:p>
            <w:pPr>
              <w:pStyle w:val="TableContents"/>
              <w:spacing w:before="0" w:after="283"/>
              <w:rPr/>
            </w:pPr>
            <w:r>
              <w:rPr/>
              <w:t xml:space="preserve">$500,000,000 aggregate principal amount of 2.60% Senior Notes due 2019.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$650,000,000 aggregate principal amount of 4.90% Senior Notes due 2045.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Maturity date </w:t>
            </w:r>
          </w:p>
        </w:tc>
        <w:tc>
          <w:tcPr>
            <w:tcW w:w="6328" w:type="dxa"/>
            <w:tcBorders/>
            <w:shd w:fill="auto" w:val="clear"/>
          </w:tcPr>
          <w:p>
            <w:pPr>
              <w:pStyle w:val="TableContents"/>
              <w:spacing w:before="0" w:after="283"/>
              <w:rPr/>
            </w:pPr>
            <w:r>
              <w:rPr/>
              <w:t xml:space="preserve">For the 2019 Notes: December 15, 2019.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For the 2045 Notes: February 15, 2045.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Interest rate </w:t>
            </w:r>
          </w:p>
        </w:tc>
        <w:tc>
          <w:tcPr>
            <w:tcW w:w="6329" w:type="dxa"/>
            <w:tcBorders/>
            <w:shd w:fill="auto" w:val="clear"/>
          </w:tcPr>
          <w:p>
            <w:pPr>
              <w:pStyle w:val="TableContents"/>
              <w:spacing w:before="0" w:after="283"/>
              <w:rPr/>
            </w:pPr>
            <w:r>
              <w:rPr/>
              <w:t xml:space="preserve">For the 2019 Notes: 2.60%.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For the 2045 Notes: 4.90%.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Interest payment dates </w:t>
            </w:r>
          </w:p>
        </w:tc>
        <w:tc>
          <w:tcPr>
            <w:tcW w:w="6329" w:type="dxa"/>
            <w:tcBorders/>
            <w:shd w:fill="auto" w:val="clear"/>
          </w:tcPr>
          <w:p>
            <w:pPr>
              <w:pStyle w:val="TableContents"/>
              <w:spacing w:before="0" w:after="283"/>
              <w:rPr/>
            </w:pPr>
            <w:r>
              <w:rPr/>
              <w:t xml:space="preserve">We will pay interest on the 2019 Notes semi-annually in arrears on June 15 and December 15 of each year, beginning on June 15, 2015, and we will pay interest on the 2045 Notes semi-annually in arrears on February 15 and August 15 of each year, beginning on August 15, 2015.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Optional redemption </w:t>
            </w:r>
          </w:p>
        </w:tc>
        <w:tc>
          <w:tcPr>
            <w:tcW w:w="6329" w:type="dxa"/>
            <w:tcBorders/>
            <w:shd w:fill="auto" w:val="clear"/>
          </w:tcPr>
          <w:p>
            <w:pPr>
              <w:pStyle w:val="TableContents"/>
              <w:spacing w:before="0" w:after="283"/>
              <w:rPr>
                <w:rFonts w:ascii="Times New Roman" w:hAnsi="Times New Roman"/>
                <w:sz w:val="17"/>
              </w:rPr>
            </w:pPr>
            <w:r>
              <w:rPr>
                <w:rFonts w:ascii="Times New Roman" w:hAnsi="Times New Roman"/>
                <w:sz w:val="17"/>
              </w:rPr>
              <w:t xml:space="preserve">We may redeem either or both series of Notes, in whole or in part, at any time and from time to time prior to maturity. If we redeem the 2019 Notes before November 15, 2019 (one month prior to their maturity date) or the 2045 Notes before August 15, 2044 (six months prior to their maturity date), such Notes may be redeemed at a price equal to the greater of (i) 100% of the principal amount of the Notes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to be redeemed or (ii) the sum of the present values of the remaining scheduled payments of principal of and interest on the Notes to be redeemed, discounted to the redemption date on a semiannual basis at the Adjusted Treasury Rate (as defined herein) plus 20 basis points for the 2019 Notes and 30 basis points for the 2045 Notes, together with accrued and unpaid interest to the date of redemption. If we redeem the 2019 Notes on or after November 15, 2019 (one month prior to their maturity date) or the 2045 Notes on or after August 15, 2044 (six months prior to their maturity date), the redemption price will equal 100% of the principal amount of the Notes to be redeemed plus accrued and unpaid interest to the redemption date. See Description of NotesOptional Redemption.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Ranking </w:t>
            </w:r>
          </w:p>
        </w:tc>
        <w:tc>
          <w:tcPr>
            <w:tcW w:w="6328" w:type="dxa"/>
            <w:tcBorders/>
            <w:shd w:fill="auto" w:val="clear"/>
          </w:tcPr>
          <w:p>
            <w:pPr>
              <w:pStyle w:val="TableContents"/>
              <w:spacing w:before="0" w:after="283"/>
              <w:rPr/>
            </w:pPr>
            <w:r>
              <w:rPr/>
              <w:t xml:space="preserve">The Notes will be general senior unsecured obligations of the issuers and will rank equally in right of payment with the existing and future senior indebtedness of the issuers.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Certain covenants </w:t>
            </w:r>
          </w:p>
        </w:tc>
        <w:tc>
          <w:tcPr>
            <w:tcW w:w="6329" w:type="dxa"/>
            <w:tcBorders/>
            <w:shd w:fill="auto" w:val="clear"/>
          </w:tcPr>
          <w:p>
            <w:pPr>
              <w:pStyle w:val="TableContents"/>
              <w:spacing w:before="0" w:after="283"/>
              <w:rPr/>
            </w:pPr>
            <w:r>
              <w:rPr/>
              <w:t xml:space="preserve">The Notes will be issued under an indenture containing covenants for your benefit. These covenants restrict our ability, with certain exceptions, to: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644"/>
        <w:gridCol w:w="204"/>
        <w:gridCol w:w="127"/>
        <w:gridCol w:w="6230"/>
      </w:tblGrid>
      <w:tr>
        <w:trPr/>
        <w:tc>
          <w:tcPr>
            <w:tcW w:w="3644"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230" w:type="dxa"/>
            <w:tcBorders/>
            <w:shd w:fill="auto" w:val="clear"/>
          </w:tcPr>
          <w:p>
            <w:pPr>
              <w:pStyle w:val="TableContents"/>
              <w:spacing w:before="0" w:after="283"/>
              <w:jc w:val="left"/>
              <w:rPr/>
            </w:pPr>
            <w:r>
              <w:rPr/>
              <w:t xml:space="preserve">incur liens on principal properties to secure debt;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549"/>
        <w:gridCol w:w="204"/>
        <w:gridCol w:w="126"/>
        <w:gridCol w:w="6326"/>
      </w:tblGrid>
      <w:tr>
        <w:trPr/>
        <w:tc>
          <w:tcPr>
            <w:tcW w:w="354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326" w:type="dxa"/>
            <w:tcBorders/>
            <w:shd w:fill="auto" w:val="clear"/>
          </w:tcPr>
          <w:p>
            <w:pPr>
              <w:pStyle w:val="TableContents"/>
              <w:spacing w:before="0" w:after="283"/>
              <w:jc w:val="left"/>
              <w:rPr/>
            </w:pPr>
            <w:r>
              <w:rPr/>
              <w:t xml:space="preserve">engage in sale-leaseback transactions;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586"/>
        <w:gridCol w:w="206"/>
        <w:gridCol w:w="127"/>
        <w:gridCol w:w="6286"/>
      </w:tblGrid>
      <w:tr>
        <w:trPr/>
        <w:tc>
          <w:tcPr>
            <w:tcW w:w="358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286" w:type="dxa"/>
            <w:tcBorders/>
            <w:shd w:fill="auto" w:val="clear"/>
          </w:tcPr>
          <w:p>
            <w:pPr>
              <w:pStyle w:val="TableContents"/>
              <w:spacing w:before="0" w:after="283"/>
              <w:jc w:val="left"/>
              <w:rPr/>
            </w:pPr>
            <w:r>
              <w:rPr/>
              <w:t xml:space="preserve">merge or consolidate with another entity or sell, lease or transfer substantially all of our properties or assets to another entity.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See Description of NotesCovenants.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Use of proceeds </w:t>
            </w:r>
          </w:p>
        </w:tc>
        <w:tc>
          <w:tcPr>
            <w:tcW w:w="6327" w:type="dxa"/>
            <w:tcBorders/>
            <w:shd w:fill="auto" w:val="clear"/>
          </w:tcPr>
          <w:p>
            <w:pPr>
              <w:pStyle w:val="TableContents"/>
              <w:spacing w:before="0" w:after="283"/>
              <w:rPr/>
            </w:pPr>
            <w:r>
              <w:rPr/>
              <w:t xml:space="preserve">The net proceeds of this offering will be approximately $1,138 million after deducting the underwriting discount and our estimated offering expenses. We expect to use the net proceeds from this offering to repay outstanding borrowings under our commercial paper program (a portion of which was used to fund the BridgeTex acquisition).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Amounts repaid under our commercial paper program may be reborrowed, as necessary, to fund our ongoing expansion capital program or future acquisitions or for general partnership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Book entry, delivery and form </w:t>
            </w:r>
          </w:p>
        </w:tc>
        <w:tc>
          <w:tcPr>
            <w:tcW w:w="6330" w:type="dxa"/>
            <w:tcBorders/>
            <w:shd w:fill="auto" w:val="clear"/>
          </w:tcPr>
          <w:p>
            <w:pPr>
              <w:pStyle w:val="TableContents"/>
              <w:spacing w:before="0" w:after="283"/>
              <w:rPr/>
            </w:pPr>
            <w:r>
              <w:rPr/>
              <w:t xml:space="preserve">The Notes of each series will be represented by one or more permanent global certificates in fully registered form deposited with a custodian for, and registered in the name of, a nominee of The Depository Trust Company.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Further issuances </w:t>
            </w:r>
          </w:p>
        </w:tc>
        <w:tc>
          <w:tcPr>
            <w:tcW w:w="6326" w:type="dxa"/>
            <w:tcBorders/>
            <w:shd w:fill="auto" w:val="clear"/>
          </w:tcPr>
          <w:p>
            <w:pPr>
              <w:pStyle w:val="TableContents"/>
              <w:spacing w:before="0" w:after="283"/>
              <w:rPr/>
            </w:pPr>
            <w:r>
              <w:rPr/>
              <w:t xml:space="preserve">We may create and issue additional Notes of either series ranking equally and ratably with the Notes of that series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No listing </w:t>
            </w:r>
          </w:p>
        </w:tc>
        <w:tc>
          <w:tcPr>
            <w:tcW w:w="6330" w:type="dxa"/>
            <w:tcBorders/>
            <w:shd w:fill="auto" w:val="clear"/>
          </w:tcPr>
          <w:p>
            <w:pPr>
              <w:pStyle w:val="TableContents"/>
              <w:spacing w:before="0" w:after="283"/>
              <w:rPr/>
            </w:pPr>
            <w:r>
              <w:rPr/>
              <w:t xml:space="preserve">Each series of Notes is a new issue of securities with no established trading market. We do not currently intend to apply for listing of either series of Notes on any securities exchange or have either series of Notes quoted on any automated quotation system. See Risk FactorsRisks Related to the NotesYour ability to transfer the Notes may be limited by the absence of an organized trading market.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Governing law </w:t>
            </w:r>
          </w:p>
        </w:tc>
        <w:tc>
          <w:tcPr>
            <w:tcW w:w="6328" w:type="dxa"/>
            <w:tcBorders/>
            <w:shd w:fill="auto" w:val="clear"/>
          </w:tcPr>
          <w:p>
            <w:pPr>
              <w:pStyle w:val="TableContents"/>
              <w:spacing w:before="0" w:after="283"/>
              <w:rPr/>
            </w:pPr>
            <w:r>
              <w:rPr/>
              <w:t xml:space="preserve">State of New York.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Trustee </w:t>
            </w:r>
          </w:p>
        </w:tc>
        <w:tc>
          <w:tcPr>
            <w:tcW w:w="6329" w:type="dxa"/>
            <w:tcBorders/>
            <w:shd w:fill="auto" w:val="clear"/>
          </w:tcPr>
          <w:p>
            <w:pPr>
              <w:pStyle w:val="TableContents"/>
              <w:spacing w:before="0" w:after="283"/>
              <w:rPr/>
            </w:pPr>
            <w:r>
              <w:rPr/>
              <w:t xml:space="preserve">U.S. Bank National Association.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sz w:val="17"/>
              </w:rPr>
              <w:t xml:space="preserve">Risk factors </w:t>
            </w:r>
          </w:p>
        </w:tc>
        <w:tc>
          <w:tcPr>
            <w:tcW w:w="6328" w:type="dxa"/>
            <w:tcBorders/>
            <w:shd w:fill="auto" w:val="clear"/>
          </w:tcPr>
          <w:p>
            <w:pPr>
              <w:pStyle w:val="TableContents"/>
              <w:spacing w:before="0" w:after="283"/>
              <w:rPr/>
            </w:pPr>
            <w:r>
              <w:rPr/>
              <w:t xml:space="preserve">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S-6 of this prospectus supplement.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6" w:name="supprom829341_4"/>
      <w:bookmarkEnd w:id="6"/>
      <w:r>
        <w:rPr>
          <w:rFonts w:ascii="Times New Roman" w:hAnsi="Times New Roman"/>
          <w:b/>
          <w:sz w:val="17"/>
        </w:rPr>
        <w:t xml:space="preserve">RISK FACTORS </w:t>
      </w:r>
    </w:p>
    <w:p>
      <w:pPr>
        <w:pStyle w:val="TextBody"/>
        <w:spacing w:before="240" w:after="0"/>
        <w:rPr>
          <w:rFonts w:ascii="Times New Roman" w:hAnsi="Times New Roman"/>
          <w:i/>
          <w:sz w:val="17"/>
        </w:rPr>
      </w:pPr>
      <w:r>
        <w:rPr>
          <w:rFonts w:ascii="Times New Roman" w:hAnsi="Times New Roman"/>
          <w:i/>
          <w:sz w:val="17"/>
        </w:rPr>
        <w:t xml:space="preserve">Before making an investment in the Notes offered hereby, you should carefully consider the risk factors included below and those included in Item 1A. Risk Factors in our Annual Report on Form 10-K for the fiscal year ended December 31, 2013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 </w:t>
      </w:r>
    </w:p>
    <w:p>
      <w:pPr>
        <w:pStyle w:val="TextBody"/>
        <w:spacing w:before="360" w:after="0"/>
        <w:rPr>
          <w:rFonts w:ascii="Times New Roman" w:hAnsi="Times New Roman"/>
          <w:b/>
          <w:sz w:val="17"/>
        </w:rPr>
      </w:pPr>
      <w:r>
        <w:rPr>
          <w:rFonts w:ascii="Times New Roman" w:hAnsi="Times New Roman"/>
          <w:b/>
          <w:sz w:val="17"/>
        </w:rPr>
        <w:t xml:space="preserve">Risks Related to the Notes </w:t>
      </w:r>
    </w:p>
    <w:p>
      <w:pPr>
        <w:pStyle w:val="TextBody"/>
        <w:spacing w:before="120" w:after="0"/>
        <w:rPr>
          <w:rFonts w:ascii="Times New Roman" w:hAnsi="Times New Roman"/>
          <w:b/>
          <w:i/>
          <w:sz w:val="17"/>
        </w:rPr>
      </w:pPr>
      <w:r>
        <w:rPr>
          <w:rFonts w:ascii="Times New Roman" w:hAnsi="Times New Roman"/>
          <w:b/>
          <w:i/>
          <w:sz w:val="17"/>
        </w:rPr>
        <w:t xml:space="preserve">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20" w:after="0"/>
        <w:rPr>
          <w:rFonts w:ascii="Times New Roman" w:hAnsi="Times New Roman"/>
          <w:sz w:val="17"/>
        </w:rPr>
      </w:pPr>
      <w:r>
        <w:rPr>
          <w:rFonts w:ascii="Times New Roman" w:hAnsi="Times New Roman"/>
          <w:sz w:val="17"/>
        </w:rPr>
        <w:t xml:space="preserve">The Notes are effectively subordinated to claims of our secured creditors and to any existing and future indebtedness and other obligations of our subsidiaries, including trade payables, other than subsidiaries that may guarantee the Notes in the future. As of September 30, 2014, on an as further adjusted basis as described under Capitalization, the Notes would have been effectively subordinated to no short-term secured indebtedness and structurally subordinated to all of our subsidiaries indebtedness, which totaled approximately $266 million at that date.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 </w:t>
      </w:r>
    </w:p>
    <w:p>
      <w:pPr>
        <w:pStyle w:val="TextBody"/>
        <w:spacing w:before="360" w:after="0"/>
        <w:rPr>
          <w:rFonts w:ascii="Times New Roman" w:hAnsi="Times New Roman"/>
          <w:b/>
          <w:i/>
          <w:sz w:val="17"/>
        </w:rPr>
      </w:pPr>
      <w:r>
        <w:rPr>
          <w:rFonts w:ascii="Times New Roman" w:hAnsi="Times New Roman"/>
          <w:b/>
          <w:i/>
          <w:sz w:val="17"/>
        </w:rPr>
        <w:t xml:space="preserve">Our leverage may limit our ability to borrow additional funds, comply with the terms of our indebtedness or capitalize on business opportunities. </w:t>
      </w:r>
    </w:p>
    <w:p>
      <w:pPr>
        <w:pStyle w:val="TextBody"/>
        <w:spacing w:before="120" w:after="0"/>
        <w:rPr>
          <w:rFonts w:ascii="Times New Roman" w:hAnsi="Times New Roman"/>
          <w:sz w:val="17"/>
        </w:rPr>
      </w:pPr>
      <w:r>
        <w:rPr>
          <w:rFonts w:ascii="Times New Roman" w:hAnsi="Times New Roman"/>
          <w:sz w:val="17"/>
        </w:rPr>
        <w:t xml:space="preserve">Our leverage is significant in relation to our partners capital. As of September 30, 2014, on an as further adjusted basis as described under Capitalization, our total outstanding long-term debt was approximately $8.8 billion, and our total outstanding short-term debt was approximately $926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240" w:after="0"/>
        <w:rPr>
          <w:rFonts w:ascii="Times New Roman" w:hAnsi="Times New Roman"/>
          <w:sz w:val="17"/>
        </w:rPr>
      </w:pPr>
      <w:r>
        <w:rPr>
          <w:rFonts w:ascii="Times New Roman" w:hAnsi="Times New Roman"/>
          <w:sz w:val="17"/>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of each series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spacing w:before="240" w:after="0"/>
        <w:rPr>
          <w:rFonts w:ascii="Times New Roman" w:hAnsi="Times New Roman"/>
          <w:sz w:val="17"/>
        </w:rPr>
      </w:pPr>
      <w:r>
        <w:rPr>
          <w:rFonts w:ascii="Times New Roman" w:hAnsi="Times New Roman"/>
          <w:sz w:val="17"/>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360" w:after="0"/>
        <w:rPr>
          <w:rFonts w:ascii="Times New Roman" w:hAnsi="Times New Roman"/>
          <w:b/>
          <w:i/>
          <w:sz w:val="17"/>
        </w:rPr>
      </w:pPr>
      <w:r>
        <w:rPr>
          <w:rFonts w:ascii="Times New Roman" w:hAnsi="Times New Roman"/>
          <w:b/>
          <w:i/>
          <w:sz w:val="17"/>
        </w:rPr>
        <w:t xml:space="preserve">Your ability to transfer the Notes may be limited by the absence of an organized trading market. </w:t>
      </w:r>
    </w:p>
    <w:p>
      <w:pPr>
        <w:pStyle w:val="TextBody"/>
        <w:spacing w:before="120" w:after="0"/>
        <w:rPr>
          <w:rFonts w:ascii="Times New Roman" w:hAnsi="Times New Roman"/>
          <w:sz w:val="17"/>
        </w:rPr>
      </w:pPr>
      <w:r>
        <w:rPr>
          <w:rFonts w:ascii="Times New Roman" w:hAnsi="Times New Roman"/>
          <w:sz w:val="17"/>
        </w:rPr>
        <w:t xml:space="preserve">Each series of Notes is a new issue of securities with no established trading market. We do not currently intend to apply for listing of either series of the Notes on any securities exchange or have either series of the Notes quoted on any automated quotation system. Although certain of the underwriters have informed us that they currently intend to make a market in the Notes of each series, they are not obligated to do so. In addition, the underwriters may discontinue any such market making at any time without notice. The liquidity of any market for the Notes of either series will depend on the number of holders of the Notes, the interest of securities dealers in making a market in those Notes and other factors. Accordingly, we can give no assurance as to the development, continuation or liquidity of any market for the Notes of either series. </w:t>
      </w:r>
    </w:p>
    <w:p>
      <w:pPr>
        <w:pStyle w:val="TextBody"/>
        <w:spacing w:before="360" w:after="0"/>
        <w:rPr>
          <w:rFonts w:ascii="Times New Roman" w:hAnsi="Times New Roman"/>
          <w:b/>
          <w:i/>
          <w:sz w:val="17"/>
        </w:rPr>
      </w:pPr>
      <w:r>
        <w:rPr>
          <w:rFonts w:ascii="Times New Roman" w:hAnsi="Times New Roman"/>
          <w:b/>
          <w:i/>
          <w:sz w:val="17"/>
        </w:rPr>
        <w:t xml:space="preserve">We have a holding company structure in which our subsidiaries conduct our operations and own our operating assets. </w:t>
      </w:r>
    </w:p>
    <w:p>
      <w:pPr>
        <w:pStyle w:val="TextBody"/>
        <w:spacing w:before="120" w:after="0"/>
        <w:rPr>
          <w:rFonts w:ascii="Times New Roman" w:hAnsi="Times New Roman"/>
          <w:sz w:val="17"/>
        </w:rPr>
      </w:pPr>
      <w:r>
        <w:rPr>
          <w:rFonts w:ascii="Times New Roman" w:hAnsi="Times New Roman"/>
          <w:sz w:val="17"/>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of either series, we may be required to adopt one or more alternatives, such as a refinancing of such Notes. We cannot assure you that we would be able to refinance the Notes of either series. </w:t>
      </w:r>
    </w:p>
    <w:p>
      <w:pPr>
        <w:pStyle w:val="TextBody"/>
        <w:spacing w:before="360" w:after="0"/>
        <w:rPr>
          <w:rFonts w:ascii="Times New Roman" w:hAnsi="Times New Roman"/>
          <w:b/>
          <w:i/>
          <w:sz w:val="17"/>
        </w:rPr>
      </w:pPr>
      <w:r>
        <w:rPr>
          <w:rFonts w:ascii="Times New Roman" w:hAnsi="Times New Roman"/>
          <w:b/>
          <w:i/>
          <w:sz w:val="17"/>
        </w:rPr>
        <w:t xml:space="preserve">We do not have the same flexibility as other types of organizations to accumulate cash, which may limit cash available to service the Notes of either series or to repay them at maturity. </w:t>
      </w:r>
    </w:p>
    <w:p>
      <w:pPr>
        <w:pStyle w:val="TextBody"/>
        <w:spacing w:before="120" w:after="0"/>
        <w:rPr>
          <w:rFonts w:ascii="Times New Roman" w:hAnsi="Times New Roman"/>
          <w:sz w:val="17"/>
        </w:rPr>
      </w:pPr>
      <w:r>
        <w:rPr>
          <w:rFonts w:ascii="Times New Roman" w:hAnsi="Times New Roman"/>
          <w:sz w:val="17"/>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to provide for the proper conduct of our business and the businesses of our operating partnerships (including reserves for future capital expenditures and for our anticipated future credit needs);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to provide funds for distributions to our unitholders and the general partner for any one or more of the next four calendar quarters;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to comply with applicable law or any of our loan or other agreements. </w:t>
            </w:r>
          </w:p>
        </w:tc>
      </w:tr>
    </w:tbl>
    <w:p>
      <w:pPr>
        <w:pStyle w:val="TextBody"/>
        <w:spacing w:before="240" w:after="0"/>
        <w:rPr>
          <w:rFonts w:ascii="Times New Roman" w:hAnsi="Times New Roman"/>
          <w:sz w:val="17"/>
        </w:rPr>
      </w:pPr>
      <w:r>
        <w:rPr>
          <w:rFonts w:ascii="Times New Roman" w:hAnsi="Times New Roman"/>
          <w:sz w:val="17"/>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7" w:name="supprom829341_5"/>
      <w:bookmarkEnd w:id="7"/>
      <w:r>
        <w:rPr>
          <w:rFonts w:ascii="Times New Roman" w:hAnsi="Times New Roman"/>
          <w:b/>
          <w:sz w:val="17"/>
        </w:rPr>
        <w:t xml:space="preserve">USE OF PROCEEDS </w:t>
      </w:r>
    </w:p>
    <w:p>
      <w:pPr>
        <w:pStyle w:val="TextBody"/>
        <w:spacing w:before="240" w:after="0"/>
        <w:rPr>
          <w:rFonts w:ascii="Times New Roman" w:hAnsi="Times New Roman"/>
          <w:sz w:val="17"/>
        </w:rPr>
      </w:pPr>
      <w:r>
        <w:rPr>
          <w:rFonts w:ascii="Times New Roman" w:hAnsi="Times New Roman"/>
          <w:sz w:val="17"/>
        </w:rPr>
        <w:t xml:space="preserve">The net proceeds of this offering will be approximately $1,138 million after deducting the underwriting discount and our estimated offering expenses. We expect to use the net proceeds from this offering to repay outstanding borrowings under our commercial paper program (a portion of which was used to fund the BridgeTex acquisition). Amounts repaid under our commercial paper program may be reborrowed, as necessary, to fund our ongoing expansion capital program or future acquisitions or for general partnership purposes. </w:t>
      </w:r>
    </w:p>
    <w:p>
      <w:pPr>
        <w:pStyle w:val="TextBody"/>
        <w:spacing w:before="240" w:after="0"/>
        <w:rPr>
          <w:rFonts w:ascii="Times New Roman" w:hAnsi="Times New Roman"/>
          <w:sz w:val="17"/>
        </w:rPr>
      </w:pPr>
      <w:r>
        <w:rPr>
          <w:rFonts w:ascii="Times New Roman" w:hAnsi="Times New Roman"/>
          <w:sz w:val="17"/>
        </w:rPr>
        <w:t xml:space="preserve">Affiliates of certain of the underwriters are dealers under our commercial paper program and may hold commercial paper notes thereunder. Accordingly, they may receive a portion of the net proceeds from this offering. Please read Underwriting in this prospectus supplement for further information. </w:t>
      </w:r>
    </w:p>
    <w:p>
      <w:pPr>
        <w:pStyle w:val="TextBody"/>
        <w:spacing w:before="240" w:after="0"/>
        <w:rPr>
          <w:rFonts w:ascii="Times New Roman" w:hAnsi="Times New Roman"/>
          <w:sz w:val="17"/>
        </w:rPr>
      </w:pPr>
      <w:r>
        <w:rPr>
          <w:rFonts w:ascii="Times New Roman" w:hAnsi="Times New Roman"/>
          <w:sz w:val="17"/>
        </w:rPr>
        <w:t xml:space="preserve">As of December 1, 2014, we had approximately $1.8 billion of borrowings outstanding under our commercial paper program with a weighted average interest rate of approximately 0.4%. The outstanding borrowings under our commercial paper program have maturity dates of three months or less. Our commercial paper program is backstopped by our senior secured hedged inventory facility and our senior unsecured revolving credit facility.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8" w:name="supprom829341_6"/>
      <w:bookmarkEnd w:id="8"/>
      <w:r>
        <w:rPr>
          <w:rFonts w:ascii="Times New Roman" w:hAnsi="Times New Roman"/>
          <w:b/>
          <w:sz w:val="17"/>
        </w:rPr>
        <w:t xml:space="preserve">RATIO OF EARNINGS TO FIXED CHARGES </w:t>
      </w:r>
    </w:p>
    <w:p>
      <w:pPr>
        <w:pStyle w:val="TextBody"/>
        <w:spacing w:before="240" w:after="0"/>
        <w:rPr>
          <w:rFonts w:ascii="Times New Roman" w:hAnsi="Times New Roman"/>
          <w:sz w:val="17"/>
        </w:rPr>
      </w:pPr>
      <w:r>
        <w:rPr>
          <w:rFonts w:ascii="Times New Roman" w:hAnsi="Times New Roman"/>
          <w:sz w:val="17"/>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81"/>
        <w:gridCol w:w="197"/>
        <w:gridCol w:w="142"/>
        <w:gridCol w:w="1341"/>
        <w:gridCol w:w="120"/>
        <w:gridCol w:w="197"/>
        <w:gridCol w:w="60"/>
        <w:gridCol w:w="566"/>
        <w:gridCol w:w="120"/>
        <w:gridCol w:w="197"/>
        <w:gridCol w:w="60"/>
        <w:gridCol w:w="566"/>
        <w:gridCol w:w="120"/>
        <w:gridCol w:w="197"/>
        <w:gridCol w:w="59"/>
        <w:gridCol w:w="566"/>
        <w:gridCol w:w="120"/>
        <w:gridCol w:w="197"/>
        <w:gridCol w:w="60"/>
        <w:gridCol w:w="566"/>
        <w:gridCol w:w="120"/>
        <w:gridCol w:w="197"/>
        <w:gridCol w:w="60"/>
        <w:gridCol w:w="566"/>
        <w:gridCol w:w="130"/>
      </w:tblGrid>
      <w:tr>
        <w:trPr/>
        <w:tc>
          <w:tcPr>
            <w:tcW w:w="368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36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83"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Nine Months</w:t>
              <w:br/>
              <w:t xml:space="preserve">Ended </w:t>
              <w:br/>
              <w:t>September 30,</w:t>
              <w:br/>
              <w:t>2014</w:t>
            </w:r>
          </w:p>
        </w:tc>
        <w:tc>
          <w:tcPr>
            <w:tcW w:w="120" w:type="dxa"/>
            <w:vMerge w:val="restart"/>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4397"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Years Ended December 31,</w:t>
            </w:r>
          </w:p>
        </w:tc>
        <w:tc>
          <w:tcPr>
            <w:tcW w:w="130" w:type="dxa"/>
            <w:tcBorders/>
            <w:shd w:fill="auto" w:val="clear"/>
            <w:vAlign w:val="bottom"/>
          </w:tcPr>
          <w:p>
            <w:pPr>
              <w:pStyle w:val="TableContents"/>
              <w:spacing w:before="0" w:after="283"/>
              <w:rPr/>
            </w:pPr>
            <w:r>
              <w:rPr/>
              <w:t> </w:t>
            </w:r>
          </w:p>
        </w:tc>
      </w:tr>
      <w:tr>
        <w:trPr/>
        <w:tc>
          <w:tcPr>
            <w:tcW w:w="3681"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483" w:type="dxa"/>
            <w:gridSpan w:val="2"/>
            <w:vMerge w:val="continue"/>
            <w:tcBorders>
              <w:bottom w:val="single" w:sz="8"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97" w:type="dxa"/>
            <w:tcBorders/>
            <w:shd w:fill="auto" w:val="clear"/>
            <w:vAlign w:val="bottom"/>
          </w:tcPr>
          <w:p>
            <w:pPr>
              <w:pStyle w:val="TableContents"/>
              <w:spacing w:before="0" w:after="283"/>
              <w:rPr/>
            </w:pPr>
            <w:r>
              <w:rPr/>
              <w:t>  </w:t>
            </w:r>
          </w:p>
        </w:tc>
        <w:tc>
          <w:tcPr>
            <w:tcW w:w="6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6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2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2011</w:t>
            </w:r>
          </w:p>
        </w:tc>
        <w:tc>
          <w:tcPr>
            <w:tcW w:w="12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6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2010</w:t>
            </w:r>
          </w:p>
        </w:tc>
        <w:tc>
          <w:tcPr>
            <w:tcW w:w="12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6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2009</w:t>
            </w:r>
          </w:p>
        </w:tc>
        <w:tc>
          <w:tcPr>
            <w:tcW w:w="130" w:type="dxa"/>
            <w:tcBorders/>
            <w:shd w:fill="auto" w:val="clear"/>
            <w:vAlign w:val="bottom"/>
          </w:tcPr>
          <w:p>
            <w:pPr>
              <w:pStyle w:val="TableContents"/>
              <w:spacing w:before="0" w:after="283"/>
              <w:rPr/>
            </w:pPr>
            <w:r>
              <w:rPr/>
              <w:t> </w:t>
            </w:r>
          </w:p>
        </w:tc>
      </w:tr>
      <w:tr>
        <w:trPr/>
        <w:tc>
          <w:tcPr>
            <w:tcW w:w="3681" w:type="dxa"/>
            <w:tcBorders/>
            <w:shd w:fill="CCEEFF" w:val="clear"/>
          </w:tcPr>
          <w:p>
            <w:pPr>
              <w:pStyle w:val="TableContents"/>
              <w:spacing w:before="0" w:after="283"/>
              <w:rPr>
                <w:rFonts w:ascii="Times New Roman" w:hAnsi="Times New Roman"/>
                <w:sz w:val="17"/>
              </w:rPr>
            </w:pPr>
            <w:r>
              <w:rPr>
                <w:rFonts w:ascii="Times New Roman" w:hAnsi="Times New Roman"/>
                <w:sz w:val="17"/>
              </w:rPr>
              <w:t>Ratio of earnings to fixed charges(1)</w:t>
            </w:r>
          </w:p>
        </w:tc>
        <w:tc>
          <w:tcPr>
            <w:tcW w:w="19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341" w:type="dxa"/>
            <w:tcBorders/>
            <w:shd w:fill="CCEEFF" w:val="clear"/>
            <w:vAlign w:val="bottom"/>
          </w:tcPr>
          <w:p>
            <w:pPr>
              <w:pStyle w:val="TableContents"/>
              <w:spacing w:before="0" w:after="283"/>
              <w:jc w:val="right"/>
              <w:rPr/>
            </w:pPr>
            <w:r>
              <w:rPr/>
              <w:t>4.18x</w:t>
            </w:r>
          </w:p>
        </w:tc>
        <w:tc>
          <w:tcPr>
            <w:tcW w:w="12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jc w:val="right"/>
              <w:rPr/>
            </w:pPr>
            <w:r>
              <w:rPr/>
              <w:t>4.41x</w:t>
            </w:r>
          </w:p>
        </w:tc>
        <w:tc>
          <w:tcPr>
            <w:tcW w:w="12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jc w:val="right"/>
              <w:rPr/>
            </w:pPr>
            <w:r>
              <w:rPr/>
              <w:t>4.03x</w:t>
            </w:r>
          </w:p>
        </w:tc>
        <w:tc>
          <w:tcPr>
            <w:tcW w:w="12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jc w:val="right"/>
              <w:rPr/>
            </w:pPr>
            <w:r>
              <w:rPr/>
              <w:t>4.13x</w:t>
            </w:r>
          </w:p>
        </w:tc>
        <w:tc>
          <w:tcPr>
            <w:tcW w:w="12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jc w:val="right"/>
              <w:rPr/>
            </w:pPr>
            <w:r>
              <w:rPr/>
              <w:t>2.57x</w:t>
            </w:r>
          </w:p>
        </w:tc>
        <w:tc>
          <w:tcPr>
            <w:tcW w:w="12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jc w:val="right"/>
              <w:rPr/>
            </w:pPr>
            <w:r>
              <w:rPr/>
              <w:t>3.00x</w:t>
            </w:r>
          </w:p>
        </w:tc>
        <w:tc>
          <w:tcPr>
            <w:tcW w:w="130"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283"/>
              <w:jc w:val="left"/>
              <w:rPr/>
            </w:pPr>
            <w:r>
              <w:rPr/>
              <w:t xml:space="preserve">Includes interest costs attributable to borrowings for hedged inventory purchases of $11 million for the nine months ended September 30, 2014 and $30 million, $12 million, $20 million, $17 million and $11 million for the years ended December 31, 2013, 2012, 2011, 2010 and 2009, respectively.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9" w:name="supprom829341_7"/>
      <w:bookmarkEnd w:id="9"/>
      <w:r>
        <w:rPr>
          <w:rFonts w:ascii="Times New Roman" w:hAnsi="Times New Roman"/>
          <w:b/>
          <w:sz w:val="17"/>
        </w:rPr>
        <w:t xml:space="preserve">CAPITALIZATION </w:t>
      </w:r>
    </w:p>
    <w:p>
      <w:pPr>
        <w:pStyle w:val="TextBody"/>
        <w:spacing w:before="240" w:after="0"/>
        <w:rPr>
          <w:rFonts w:ascii="Times New Roman" w:hAnsi="Times New Roman"/>
          <w:sz w:val="17"/>
        </w:rPr>
      </w:pPr>
      <w:r>
        <w:rPr>
          <w:rFonts w:ascii="Times New Roman" w:hAnsi="Times New Roman"/>
          <w:sz w:val="17"/>
        </w:rPr>
        <w:t xml:space="preserve">The following table sets forth our capitalization as of September 30, 2014: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on a historical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on an as adjusted basis to give effect to the closing of the BridgeTex acquisition for $1.088 billion (including $13 million of working capital items), assuming such acquisition was funded entirely by borrowings under our commercial paper program;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on an as further adjusted basis to give effect to the sale of the Notes offered hereby and the application of the net proceeds therefrom as described under Use of Proceeds in this prospectus supplement. </w:t>
            </w:r>
          </w:p>
        </w:tc>
      </w:tr>
    </w:tbl>
    <w:p>
      <w:pPr>
        <w:pStyle w:val="TextBody"/>
        <w:spacing w:before="240" w:after="0"/>
        <w:rPr>
          <w:rFonts w:ascii="Times New Roman" w:hAnsi="Times New Roman"/>
          <w:sz w:val="17"/>
        </w:rPr>
      </w:pPr>
      <w:r>
        <w:rPr>
          <w:rFonts w:ascii="Times New Roman" w:hAnsi="Times New Roman"/>
          <w:sz w:val="17"/>
        </w:rPr>
        <w:t xml:space="preserve">This table should also be read in conjunction with our financial statements and the notes thereto that are incorporated by reference into this 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451"/>
        <w:gridCol w:w="341"/>
        <w:gridCol w:w="169"/>
        <w:gridCol w:w="845"/>
        <w:gridCol w:w="120"/>
        <w:gridCol w:w="341"/>
        <w:gridCol w:w="208"/>
        <w:gridCol w:w="1055"/>
        <w:gridCol w:w="120"/>
        <w:gridCol w:w="341"/>
        <w:gridCol w:w="185"/>
        <w:gridCol w:w="903"/>
        <w:gridCol w:w="126"/>
      </w:tblGrid>
      <w:tr>
        <w:trPr/>
        <w:tc>
          <w:tcPr>
            <w:tcW w:w="545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4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428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September 30, 2014</w:t>
            </w:r>
          </w:p>
        </w:tc>
        <w:tc>
          <w:tcPr>
            <w:tcW w:w="126"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further</w:t>
              <w:br/>
              <w:t>adjusted</w:t>
            </w:r>
          </w:p>
        </w:tc>
        <w:tc>
          <w:tcPr>
            <w:tcW w:w="126"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4287" w:type="dxa"/>
            <w:gridSpan w:val="10"/>
            <w:tcBorders/>
            <w:shd w:fill="auto" w:val="clear"/>
            <w:vAlign w:val="bottom"/>
          </w:tcPr>
          <w:p>
            <w:pPr>
              <w:pStyle w:val="TableContents"/>
              <w:spacing w:before="0" w:after="283"/>
              <w:jc w:val="center"/>
              <w:rPr>
                <w:b/>
              </w:rPr>
            </w:pPr>
            <w:r>
              <w:rPr>
                <w:b/>
              </w:rPr>
              <w:t>(In millions)</w:t>
            </w:r>
          </w:p>
        </w:tc>
        <w:tc>
          <w:tcPr>
            <w:tcW w:w="126" w:type="dxa"/>
            <w:tcBorders/>
            <w:shd w:fill="auto" w:val="clear"/>
            <w:vAlign w:val="bottom"/>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b/>
                <w:sz w:val="17"/>
              </w:rPr>
            </w:pPr>
            <w:r>
              <w:rPr>
                <w:rFonts w:ascii="Times New Roman" w:hAnsi="Times New Roman"/>
                <w:b/>
                <w:sz w:val="17"/>
              </w:rPr>
              <w:t>CASH AND CASH EQUIVALENTS</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34</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34</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903" w:type="dxa"/>
            <w:tcBorders/>
            <w:shd w:fill="CCEEFF" w:val="clear"/>
            <w:vAlign w:val="bottom"/>
          </w:tcPr>
          <w:p>
            <w:pPr>
              <w:pStyle w:val="TableContents"/>
              <w:spacing w:before="0" w:after="283"/>
              <w:jc w:val="right"/>
              <w:rPr/>
            </w:pPr>
            <w:r>
              <w:rPr/>
              <w:t>34</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double" w:sz="6" w:space="1" w:color="000000"/>
              </w:pBdr>
              <w:spacing w:before="0" w:after="283"/>
              <w:rPr/>
            </w:pPr>
            <w:r>
              <w:rPr/>
              <w:t> </w:t>
            </w:r>
          </w:p>
        </w:tc>
        <w:tc>
          <w:tcPr>
            <w:tcW w:w="8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283"/>
              <w:rPr/>
            </w:pPr>
            <w:r>
              <w:rPr/>
              <w:t> </w:t>
            </w:r>
          </w:p>
        </w:tc>
        <w:tc>
          <w:tcPr>
            <w:tcW w:w="10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283"/>
              <w:rPr/>
            </w:pPr>
            <w:r>
              <w:rPr/>
              <w:t> </w:t>
            </w:r>
          </w:p>
        </w:tc>
        <w:tc>
          <w:tcPr>
            <w:tcW w:w="903"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b/>
                <w:sz w:val="17"/>
              </w:rPr>
            </w:pPr>
            <w:r>
              <w:rPr>
                <w:rFonts w:ascii="Times New Roman" w:hAnsi="Times New Roman"/>
                <w:b/>
                <w:sz w:val="17"/>
              </w:rPr>
              <w:t>SHORT-TERM DEBT(1)(2)</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sz w:val="4"/>
                <w:szCs w:val="4"/>
              </w:rPr>
            </w:pPr>
            <w:r>
              <w:rPr>
                <w:sz w:val="4"/>
                <w:szCs w:val="4"/>
              </w:rPr>
            </w:r>
          </w:p>
        </w:tc>
        <w:tc>
          <w:tcPr>
            <w:tcW w:w="90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PAA senior secured hedged inventory facility</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55"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903"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PAA senior unsecured revolving credit facility</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PAA commercial paper notes</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423</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423</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373</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PAA senior notes:</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sz w:val="4"/>
                <w:szCs w:val="4"/>
              </w:rPr>
            </w:pPr>
            <w:r>
              <w:rPr>
                <w:sz w:val="4"/>
                <w:szCs w:val="4"/>
              </w:rPr>
            </w:r>
          </w:p>
        </w:tc>
        <w:tc>
          <w:tcPr>
            <w:tcW w:w="90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5.25% senior notes due June 2015</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150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150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150</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3.95% senior notes due September 2015</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400</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400</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400</w:t>
            </w:r>
          </w:p>
        </w:tc>
        <w:tc>
          <w:tcPr>
            <w:tcW w:w="126" w:type="dxa"/>
            <w:tcBorders/>
            <w:shd w:fill="auto" w:val="clear"/>
            <w:vAlign w:val="bottom"/>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Other</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3</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3</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3</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105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Total short-term debt</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w:t>
            </w:r>
          </w:p>
        </w:tc>
        <w:tc>
          <w:tcPr>
            <w:tcW w:w="845" w:type="dxa"/>
            <w:tcBorders/>
            <w:shd w:fill="auto" w:val="clear"/>
            <w:vAlign w:val="bottom"/>
          </w:tcPr>
          <w:p>
            <w:pPr>
              <w:pStyle w:val="TableContents"/>
              <w:spacing w:before="0" w:after="283"/>
              <w:jc w:val="right"/>
              <w:rPr/>
            </w:pPr>
            <w:r>
              <w:rPr/>
              <w:t>976</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w:t>
            </w:r>
          </w:p>
        </w:tc>
        <w:tc>
          <w:tcPr>
            <w:tcW w:w="1055" w:type="dxa"/>
            <w:tcBorders/>
            <w:shd w:fill="auto" w:val="clear"/>
            <w:vAlign w:val="bottom"/>
          </w:tcPr>
          <w:p>
            <w:pPr>
              <w:pStyle w:val="TableContents"/>
              <w:spacing w:before="0" w:after="283"/>
              <w:jc w:val="right"/>
              <w:rPr/>
            </w:pPr>
            <w:r>
              <w:rPr/>
              <w:t>976</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w:t>
            </w:r>
          </w:p>
        </w:tc>
        <w:tc>
          <w:tcPr>
            <w:tcW w:w="903" w:type="dxa"/>
            <w:tcBorders/>
            <w:shd w:fill="auto" w:val="clear"/>
            <w:vAlign w:val="bottom"/>
          </w:tcPr>
          <w:p>
            <w:pPr>
              <w:pStyle w:val="TableContents"/>
              <w:spacing w:before="0" w:after="283"/>
              <w:jc w:val="right"/>
              <w:rPr/>
            </w:pPr>
            <w:r>
              <w:rPr/>
              <w:t>926</w:t>
            </w:r>
          </w:p>
        </w:tc>
        <w:tc>
          <w:tcPr>
            <w:tcW w:w="126"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105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b/>
                <w:sz w:val="17"/>
              </w:rPr>
            </w:pPr>
            <w:r>
              <w:rPr>
                <w:rFonts w:ascii="Times New Roman" w:hAnsi="Times New Roman"/>
                <w:b/>
                <w:sz w:val="17"/>
              </w:rPr>
              <w:t>LONG-TERM DEBT</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sz w:val="4"/>
                <w:szCs w:val="4"/>
              </w:rPr>
            </w:pPr>
            <w:r>
              <w:rPr>
                <w:sz w:val="4"/>
                <w:szCs w:val="4"/>
              </w:rPr>
            </w:r>
          </w:p>
        </w:tc>
        <w:tc>
          <w:tcPr>
            <w:tcW w:w="84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0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sz w:val="4"/>
                <w:szCs w:val="4"/>
              </w:rPr>
            </w:pPr>
            <w:r>
              <w:rPr>
                <w:sz w:val="4"/>
                <w:szCs w:val="4"/>
              </w:rPr>
            </w:r>
          </w:p>
        </w:tc>
        <w:tc>
          <w:tcPr>
            <w:tcW w:w="903"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Senior notes, net of unamortized discounts</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w:t>
            </w:r>
          </w:p>
        </w:tc>
        <w:tc>
          <w:tcPr>
            <w:tcW w:w="845" w:type="dxa"/>
            <w:tcBorders/>
            <w:shd w:fill="auto" w:val="clear"/>
            <w:vAlign w:val="bottom"/>
          </w:tcPr>
          <w:p>
            <w:pPr>
              <w:pStyle w:val="TableContents"/>
              <w:spacing w:before="0" w:after="283"/>
              <w:jc w:val="right"/>
              <w:rPr/>
            </w:pPr>
            <w:r>
              <w:rPr/>
              <w:t>7,609</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w:t>
            </w:r>
          </w:p>
        </w:tc>
        <w:tc>
          <w:tcPr>
            <w:tcW w:w="1055" w:type="dxa"/>
            <w:tcBorders/>
            <w:shd w:fill="auto" w:val="clear"/>
            <w:vAlign w:val="bottom"/>
          </w:tcPr>
          <w:p>
            <w:pPr>
              <w:pStyle w:val="TableContents"/>
              <w:spacing w:before="0" w:after="283"/>
              <w:jc w:val="right"/>
              <w:rPr/>
            </w:pPr>
            <w:r>
              <w:rPr/>
              <w:t>7,609</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w:t>
            </w:r>
          </w:p>
        </w:tc>
        <w:tc>
          <w:tcPr>
            <w:tcW w:w="903" w:type="dxa"/>
            <w:tcBorders/>
            <w:shd w:fill="auto" w:val="clear"/>
            <w:vAlign w:val="bottom"/>
          </w:tcPr>
          <w:p>
            <w:pPr>
              <w:pStyle w:val="TableContents"/>
              <w:spacing w:before="0" w:after="283"/>
              <w:jc w:val="right"/>
              <w:rPr/>
            </w:pPr>
            <w:r>
              <w:rPr/>
              <w:t>7,609</w:t>
            </w:r>
          </w:p>
        </w:tc>
        <w:tc>
          <w:tcPr>
            <w:tcW w:w="126" w:type="dxa"/>
            <w:tcBorders/>
            <w:shd w:fill="auto" w:val="clear"/>
            <w:vAlign w:val="bottom"/>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2019 Notes offered hereby, net of unamortized discount</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499</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2045 Notes offered hereby, net of unamortized discount</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649</w:t>
            </w:r>
          </w:p>
        </w:tc>
        <w:tc>
          <w:tcPr>
            <w:tcW w:w="126" w:type="dxa"/>
            <w:tcBorders/>
            <w:shd w:fill="auto" w:val="clear"/>
            <w:vAlign w:val="bottom"/>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PAA commercial paper notes(2)</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1,088</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Long-term debt under credit facilities and other</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4</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4</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4</w:t>
            </w:r>
          </w:p>
        </w:tc>
        <w:tc>
          <w:tcPr>
            <w:tcW w:w="126"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105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Total long-term debt</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7,613</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55" w:type="dxa"/>
            <w:tcBorders/>
            <w:shd w:fill="CCEEFF" w:val="clear"/>
            <w:vAlign w:val="bottom"/>
          </w:tcPr>
          <w:p>
            <w:pPr>
              <w:pStyle w:val="TableContents"/>
              <w:spacing w:before="0" w:after="283"/>
              <w:jc w:val="right"/>
              <w:rPr/>
            </w:pPr>
            <w:r>
              <w:rPr/>
              <w:t>8,701</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903" w:type="dxa"/>
            <w:tcBorders/>
            <w:shd w:fill="CCEEFF" w:val="clear"/>
            <w:vAlign w:val="bottom"/>
          </w:tcPr>
          <w:p>
            <w:pPr>
              <w:pStyle w:val="TableContents"/>
              <w:spacing w:before="0" w:after="283"/>
              <w:jc w:val="right"/>
              <w:rPr/>
            </w:pPr>
            <w:r>
              <w:rPr/>
              <w:t>8,761</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105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b/>
                <w:sz w:val="17"/>
              </w:rPr>
            </w:pPr>
            <w:r>
              <w:rPr>
                <w:rFonts w:ascii="Times New Roman" w:hAnsi="Times New Roman"/>
                <w:b/>
                <w:sz w:val="17"/>
              </w:rPr>
              <w:t>PARTNERS CAPITAL</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0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sz w:val="4"/>
                <w:szCs w:val="4"/>
              </w:rPr>
            </w:pPr>
            <w:r>
              <w:rPr>
                <w:sz w:val="4"/>
                <w:szCs w:val="4"/>
              </w:rPr>
            </w:r>
          </w:p>
        </w:tc>
        <w:tc>
          <w:tcPr>
            <w:tcW w:w="90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Common unitholders</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7,740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55" w:type="dxa"/>
            <w:tcBorders/>
            <w:shd w:fill="CCEEFF" w:val="clear"/>
            <w:vAlign w:val="bottom"/>
          </w:tcPr>
          <w:p>
            <w:pPr>
              <w:pStyle w:val="TableContents"/>
              <w:spacing w:before="0" w:after="283"/>
              <w:jc w:val="right"/>
              <w:rPr/>
            </w:pPr>
            <w:r>
              <w:rPr/>
              <w:t>7,740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903" w:type="dxa"/>
            <w:tcBorders/>
            <w:shd w:fill="CCEEFF" w:val="clear"/>
            <w:vAlign w:val="bottom"/>
          </w:tcPr>
          <w:p>
            <w:pPr>
              <w:pStyle w:val="TableContents"/>
              <w:spacing w:before="0" w:after="283"/>
              <w:jc w:val="right"/>
              <w:rPr/>
            </w:pPr>
            <w:r>
              <w:rPr/>
              <w:t>7,740</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General partner</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331</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331</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331</w:t>
            </w:r>
          </w:p>
        </w:tc>
        <w:tc>
          <w:tcPr>
            <w:tcW w:w="126"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105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Total partners capital excluding noncontrolling interests</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8,071</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8,071</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8,071</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Noncontrolling interests</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59</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59</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59</w:t>
            </w:r>
          </w:p>
        </w:tc>
        <w:tc>
          <w:tcPr>
            <w:tcW w:w="126"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105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CCEEFF" w:val="clear"/>
          </w:tcPr>
          <w:p>
            <w:pPr>
              <w:pStyle w:val="TableContents"/>
              <w:spacing w:before="0" w:after="283"/>
              <w:rPr>
                <w:rFonts w:ascii="Times New Roman" w:hAnsi="Times New Roman"/>
                <w:sz w:val="17"/>
              </w:rPr>
            </w:pPr>
            <w:r>
              <w:rPr>
                <w:rFonts w:ascii="Times New Roman" w:hAnsi="Times New Roman"/>
                <w:sz w:val="17"/>
              </w:rPr>
              <w:t>Total partners capital</w:t>
            </w:r>
          </w:p>
        </w:tc>
        <w:tc>
          <w:tcPr>
            <w:tcW w:w="34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8,130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55" w:type="dxa"/>
            <w:tcBorders/>
            <w:shd w:fill="CCEEFF" w:val="clear"/>
            <w:vAlign w:val="bottom"/>
          </w:tcPr>
          <w:p>
            <w:pPr>
              <w:pStyle w:val="TableContents"/>
              <w:spacing w:before="0" w:after="283"/>
              <w:jc w:val="right"/>
              <w:rPr/>
            </w:pPr>
            <w:r>
              <w:rPr/>
              <w:t>8,130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w:t>
            </w:r>
          </w:p>
        </w:tc>
        <w:tc>
          <w:tcPr>
            <w:tcW w:w="903" w:type="dxa"/>
            <w:tcBorders/>
            <w:shd w:fill="CCEEFF" w:val="clear"/>
            <w:vAlign w:val="bottom"/>
          </w:tcPr>
          <w:p>
            <w:pPr>
              <w:pStyle w:val="TableContents"/>
              <w:spacing w:before="0" w:after="283"/>
              <w:jc w:val="right"/>
              <w:rPr/>
            </w:pPr>
            <w:r>
              <w:rPr/>
              <w:t>8,130</w:t>
            </w:r>
          </w:p>
        </w:tc>
        <w:tc>
          <w:tcPr>
            <w:tcW w:w="126" w:type="dxa"/>
            <w:tcBorders/>
            <w:shd w:fill="CCEEFF"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105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451" w:type="dxa"/>
            <w:tcBorders/>
            <w:shd w:fill="auto" w:val="clear"/>
          </w:tcPr>
          <w:p>
            <w:pPr>
              <w:pStyle w:val="TableContents"/>
              <w:spacing w:before="0" w:after="283"/>
              <w:rPr>
                <w:rFonts w:ascii="Times New Roman" w:hAnsi="Times New Roman"/>
                <w:sz w:val="17"/>
              </w:rPr>
            </w:pPr>
            <w:r>
              <w:rPr>
                <w:rFonts w:ascii="Times New Roman" w:hAnsi="Times New Roman"/>
                <w:sz w:val="17"/>
              </w:rPr>
              <w:t>Total capitalization</w:t>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w:t>
            </w:r>
          </w:p>
        </w:tc>
        <w:tc>
          <w:tcPr>
            <w:tcW w:w="845" w:type="dxa"/>
            <w:tcBorders/>
            <w:shd w:fill="auto" w:val="clear"/>
            <w:vAlign w:val="bottom"/>
          </w:tcPr>
          <w:p>
            <w:pPr>
              <w:pStyle w:val="TableContents"/>
              <w:spacing w:before="0" w:after="283"/>
              <w:jc w:val="right"/>
              <w:rPr/>
            </w:pPr>
            <w:r>
              <w:rPr/>
              <w:t>15,743</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w:t>
            </w:r>
          </w:p>
        </w:tc>
        <w:tc>
          <w:tcPr>
            <w:tcW w:w="1055" w:type="dxa"/>
            <w:tcBorders/>
            <w:shd w:fill="auto" w:val="clear"/>
            <w:vAlign w:val="bottom"/>
          </w:tcPr>
          <w:p>
            <w:pPr>
              <w:pStyle w:val="TableContents"/>
              <w:spacing w:before="0" w:after="283"/>
              <w:jc w:val="right"/>
              <w:rPr/>
            </w:pPr>
            <w:r>
              <w:rPr/>
              <w:t>16,831</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w:t>
            </w:r>
          </w:p>
        </w:tc>
        <w:tc>
          <w:tcPr>
            <w:tcW w:w="903" w:type="dxa"/>
            <w:tcBorders/>
            <w:shd w:fill="auto" w:val="clear"/>
            <w:vAlign w:val="bottom"/>
          </w:tcPr>
          <w:p>
            <w:pPr>
              <w:pStyle w:val="TableContents"/>
              <w:spacing w:before="0" w:after="283"/>
              <w:jc w:val="right"/>
              <w:rPr/>
            </w:pPr>
            <w:r>
              <w:rPr/>
              <w:t>16,891</w:t>
            </w:r>
          </w:p>
        </w:tc>
        <w:tc>
          <w:tcPr>
            <w:tcW w:w="126" w:type="dxa"/>
            <w:tcBorders/>
            <w:shd w:fill="auto" w:val="clear"/>
            <w:vAlign w:val="bottom"/>
          </w:tcPr>
          <w:p>
            <w:pPr>
              <w:pStyle w:val="TableContents"/>
              <w:spacing w:before="0" w:after="283"/>
              <w:rPr/>
            </w:pPr>
            <w:r>
              <w:rPr/>
              <w:t>  </w:t>
            </w:r>
          </w:p>
        </w:tc>
      </w:tr>
      <w:tr>
        <w:trPr/>
        <w:tc>
          <w:tcPr>
            <w:tcW w:w="5451"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double" w:sz="6" w:space="1" w:color="000000"/>
              </w:pBdr>
              <w:spacing w:before="0" w:after="283"/>
              <w:rPr/>
            </w:pPr>
            <w:r>
              <w:rPr/>
              <w:t> </w:t>
            </w:r>
          </w:p>
        </w:tc>
        <w:tc>
          <w:tcPr>
            <w:tcW w:w="84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283"/>
              <w:rPr/>
            </w:pPr>
            <w:r>
              <w:rPr/>
              <w:t> </w:t>
            </w:r>
          </w:p>
        </w:tc>
        <w:tc>
          <w:tcPr>
            <w:tcW w:w="105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283"/>
              <w:rPr/>
            </w:pPr>
            <w:r>
              <w:rPr/>
              <w:t> </w:t>
            </w:r>
          </w:p>
        </w:tc>
        <w:tc>
          <w:tcPr>
            <w:tcW w:w="903"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283"/>
              <w:jc w:val="left"/>
              <w:rPr/>
            </w:pPr>
            <w:r>
              <w:rPr/>
              <w:t xml:space="preserve">PAA commercial paper notes are backstopped by the PAA senior unsecured revolving credit facility and the PAA senior secured hedged inventory facility, which mature in August 2019 and August 2017, respectively; as such, any borrowings under the PAA commercial paper program effectively reduce the available capacity under these facilities. At September 30, 2014, we classified the borrowings under the commercial paper program as short-term as these borrowings were primarily designated as working capital borrowings, must be repaid within one year and were primarily for hedged NGL and crude oil inventory and NYMEX and ICE margin deposits.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283"/>
              <w:jc w:val="left"/>
              <w:rPr/>
            </w:pPr>
            <w:r>
              <w:rPr/>
              <w:t xml:space="preserve">On each of a historical, as adjusted and as further adjusted basis as of September 30, 2014, our Canadian subsidiary, Plains Midstream Canada ULC, was the obligor on approximately $266 million of outstanding commercial paper notes. As of December 1, 2014, we had approximately $1.8 billion of borrowings outstanding under our commercial paper program of which $1.088 billion is reflected in the as adjusted column as long-term debt related to the BridgeTex acquisition. We did not have any borrowings outstanding under our senior secured hedged inventory facility or our senior unsecured revolving credit facility as of December 1, 2014.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0" w:name="supprom829341_8"/>
      <w:bookmarkEnd w:id="10"/>
      <w:r>
        <w:rPr>
          <w:rFonts w:ascii="Times New Roman" w:hAnsi="Times New Roman"/>
          <w:b/>
          <w:sz w:val="17"/>
        </w:rPr>
        <w:t xml:space="preserve">DESCRIPTION OF NOTES </w:t>
      </w:r>
    </w:p>
    <w:p>
      <w:pPr>
        <w:pStyle w:val="TextBody"/>
        <w:spacing w:before="240" w:after="0"/>
        <w:rPr>
          <w:rFonts w:ascii="Times New Roman" w:hAnsi="Times New Roman"/>
          <w:sz w:val="17"/>
        </w:rPr>
      </w:pPr>
      <w:r>
        <w:rPr>
          <w:rFonts w:ascii="Times New Roman" w:hAnsi="Times New Roman"/>
          <w:sz w:val="17"/>
        </w:rPr>
        <w:t xml:space="preserve">We will issue the Notes under an indenture (the Base Indenture) dated as of September 25, 2002, among us, the subsidiary guarantors and U.S. Bank National Association, as successor trustee, and a supplemental indenture to the Base Indenture with respect to each series of Notes to be dated as of December 9, 2014 (each such supplemental indenture, together with the Base Indenture, the Indenture). Each series of Notes will constitute a new series of debt securities under the Indenture, and multiple other series are now outstanding under the Base Indenture, each issued under a separate supplemental indenture. </w:t>
      </w:r>
    </w:p>
    <w:p>
      <w:pPr>
        <w:pStyle w:val="TextBody"/>
        <w:spacing w:before="240" w:after="0"/>
        <w:rPr>
          <w:rFonts w:ascii="Times New Roman" w:hAnsi="Times New Roman"/>
          <w:sz w:val="17"/>
        </w:rPr>
      </w:pPr>
      <w:r>
        <w:rPr>
          <w:rFonts w:ascii="Times New Roman" w:hAnsi="Times New Roman"/>
          <w:sz w:val="17"/>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 </w:t>
      </w:r>
    </w:p>
    <w:p>
      <w:pPr>
        <w:pStyle w:val="TextBody"/>
        <w:spacing w:before="240" w:after="0"/>
        <w:rPr>
          <w:rFonts w:ascii="Times New Roman" w:hAnsi="Times New Roman"/>
          <w:sz w:val="17"/>
        </w:rPr>
      </w:pPr>
      <w:r>
        <w:rPr>
          <w:rFonts w:ascii="Times New Roman" w:hAnsi="Times New Roman"/>
          <w:sz w:val="17"/>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indentures creating each series of Notes from us as set forth under Where You Can Find More Information. </w:t>
      </w:r>
    </w:p>
    <w:p>
      <w:pPr>
        <w:pStyle w:val="TextBody"/>
        <w:spacing w:before="240" w:after="0"/>
        <w:rPr>
          <w:rFonts w:ascii="Times New Roman" w:hAnsi="Times New Roman"/>
          <w:sz w:val="17"/>
        </w:rPr>
      </w:pPr>
      <w:r>
        <w:rPr>
          <w:rFonts w:ascii="Times New Roman" w:hAnsi="Times New Roman"/>
          <w:sz w:val="17"/>
        </w:rPr>
        <w:t xml:space="preserve">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 </w:t>
      </w:r>
    </w:p>
    <w:p>
      <w:pPr>
        <w:pStyle w:val="TextBody"/>
        <w:spacing w:before="360" w:after="0"/>
        <w:rPr>
          <w:rFonts w:ascii="Times New Roman" w:hAnsi="Times New Roman"/>
          <w:b/>
          <w:sz w:val="17"/>
        </w:rPr>
      </w:pPr>
      <w:r>
        <w:rPr>
          <w:rFonts w:ascii="Times New Roman" w:hAnsi="Times New Roman"/>
          <w:b/>
          <w:sz w:val="17"/>
        </w:rPr>
        <w:t xml:space="preserve">General Description of Each Series of Notes </w:t>
      </w:r>
    </w:p>
    <w:p>
      <w:pPr>
        <w:pStyle w:val="TextBody"/>
        <w:spacing w:before="120" w:after="0"/>
        <w:rPr>
          <w:rFonts w:ascii="Times New Roman" w:hAnsi="Times New Roman"/>
          <w:sz w:val="17"/>
        </w:rPr>
      </w:pPr>
      <w:r>
        <w:rPr>
          <w:rFonts w:ascii="Times New Roman" w:hAnsi="Times New Roman"/>
          <w:sz w:val="17"/>
        </w:rPr>
        <w:t xml:space="preserve">The Notes of each series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our senior unsecured indebtedness ranking equally in right of payment with all of our existing and future unsubordinated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 new series of debt securities issued under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non-recourse to our general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senior in right of payment to any of our future 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effectively junior to any of our existing and future secured indebtedness, to the extent of the security for that debt;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effectively junior to existing and future indebtedness and other obligations of our subsidiaries, including trade payables, other than subsidiaries that may guarantee the Notes in the future. </w:t>
            </w:r>
          </w:p>
        </w:tc>
      </w:tr>
    </w:tbl>
    <w:p>
      <w:pPr>
        <w:pStyle w:val="TextBody"/>
        <w:spacing w:before="240" w:after="0"/>
        <w:rPr>
          <w:rFonts w:ascii="Times New Roman" w:hAnsi="Times New Roman"/>
          <w:sz w:val="17"/>
        </w:rPr>
      </w:pPr>
      <w:r>
        <w:rPr>
          <w:rFonts w:ascii="Times New Roman" w:hAnsi="Times New Roman"/>
          <w:sz w:val="17"/>
        </w:rPr>
        <w:t xml:space="preserve">As of September 30, 2014, on an as further adjusted basis as described under Capitalization, the Notes would have been effectively subordinated to no short-term secured indebtedness and structurally subordinated to all of our subsidiaries outstanding indebtedness, which totaled approximately $266 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 </w:t>
      </w:r>
    </w:p>
    <w:p>
      <w:pPr>
        <w:pStyle w:val="TextBody"/>
        <w:spacing w:before="360" w:after="0"/>
        <w:rPr>
          <w:rFonts w:ascii="Times New Roman" w:hAnsi="Times New Roman"/>
          <w:b/>
          <w:sz w:val="17"/>
        </w:rPr>
      </w:pPr>
      <w:r>
        <w:rPr>
          <w:rFonts w:ascii="Times New Roman" w:hAnsi="Times New Roman"/>
          <w:b/>
          <w:sz w:val="17"/>
        </w:rPr>
        <w:t xml:space="preserve">Further Issuances </w:t>
      </w:r>
    </w:p>
    <w:p>
      <w:pPr>
        <w:pStyle w:val="TextBody"/>
        <w:spacing w:before="120" w:after="0"/>
        <w:rPr>
          <w:rFonts w:ascii="Times New Roman" w:hAnsi="Times New Roman"/>
          <w:sz w:val="17"/>
        </w:rPr>
      </w:pPr>
      <w:r>
        <w:rPr>
          <w:rFonts w:ascii="Times New Roman" w:hAnsi="Times New Roman"/>
          <w:sz w:val="17"/>
        </w:rPr>
        <w:t xml:space="preserve">We may, from time to time, without notice to or the consent of the holders of the Notes of either series, create and issue additional Notes of the same series ranking equally and ratably with the Notes of that same series in all respects, so that such additional Notes will be consolidated and form a single series with such Notes and will have the same terms as to status, redemption or otherwise as such Notes (except for the issue date, the initial interest payment date, if applicable, and the payment of interest accruing prior to the issue date of such additional Notes). </w:t>
      </w:r>
    </w:p>
    <w:p>
      <w:pPr>
        <w:pStyle w:val="TextBody"/>
        <w:spacing w:before="360" w:after="0"/>
        <w:rPr>
          <w:rFonts w:ascii="Times New Roman" w:hAnsi="Times New Roman"/>
          <w:b/>
          <w:sz w:val="17"/>
        </w:rPr>
      </w:pPr>
      <w:r>
        <w:rPr>
          <w:rFonts w:ascii="Times New Roman" w:hAnsi="Times New Roman"/>
          <w:b/>
          <w:sz w:val="17"/>
        </w:rPr>
        <w:t xml:space="preserve">Principal, Maturity and Interest </w:t>
      </w:r>
    </w:p>
    <w:p>
      <w:pPr>
        <w:pStyle w:val="TextBody"/>
        <w:spacing w:before="120" w:after="0"/>
        <w:rPr>
          <w:rFonts w:ascii="Times New Roman" w:hAnsi="Times New Roman"/>
          <w:sz w:val="17"/>
        </w:rPr>
      </w:pPr>
      <w:r>
        <w:rPr>
          <w:rFonts w:ascii="Times New Roman" w:hAnsi="Times New Roman"/>
          <w:sz w:val="17"/>
        </w:rPr>
        <w:t xml:space="preserve">We will issue the Notes in an initial aggregate principal amount of $1,150 million, consisting of $500 million aggregate principal amount of 2019 Notes and $650 million aggregate principal amount of 2045 Notes. The 2019 Notes and the 2045 Notes will mature on December 15, 2019 and February 15, 2045, respectively. The 2019 Notes will bear interest at an annual rate of 2.60%, and the 2045 Notes will bear interest at the annual rate of 4.90%. Interest on the Notes will accrue from December 9, 2014, will be payable on the 2019 Notes semi-annually in arrears on June 15 and December 15 of each year, beginning on June 15, 2015, and will be payable on the 2045 Notes semi-annually in arrears on February 15 and August 15 of each year, beginning on August 15, 2015. We will make each interest payment to the holders of record of the 2019 Notes at the close of business on June 1 and December 1 preceding the interest payment dates for the 2019 Notes, and we will make each interest payment to the holders of record of the 2045 Notes at the close of business on February 1 and August 1 preceding the interest payment dates for the 2045 Notes. Interest will be computed on the basis of a 360-day year consisting of twelve 30-day months. We will issue the Notes in minimum denominations of $2,000 and integral multiples of $1,000 in excess thereof. </w:t>
      </w:r>
    </w:p>
    <w:p>
      <w:pPr>
        <w:pStyle w:val="TextBody"/>
        <w:spacing w:before="240" w:after="0"/>
        <w:rPr>
          <w:rFonts w:ascii="Times New Roman" w:hAnsi="Times New Roman"/>
          <w:sz w:val="17"/>
        </w:rPr>
      </w:pPr>
      <w:r>
        <w:rPr>
          <w:rFonts w:ascii="Times New Roman" w:hAnsi="Times New Roman"/>
          <w:sz w:val="17"/>
        </w:rPr>
        <w:t xml:space="preserve">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 </w:t>
      </w:r>
    </w:p>
    <w:p>
      <w:pPr>
        <w:pStyle w:val="TextBody"/>
        <w:spacing w:before="360" w:after="0"/>
        <w:rPr>
          <w:rFonts w:ascii="Times New Roman" w:hAnsi="Times New Roman"/>
          <w:b/>
          <w:sz w:val="17"/>
        </w:rPr>
      </w:pPr>
      <w:r>
        <w:rPr>
          <w:rFonts w:ascii="Times New Roman" w:hAnsi="Times New Roman"/>
          <w:b/>
          <w:sz w:val="17"/>
        </w:rPr>
        <w:t xml:space="preserve">No Liability of General Partner </w:t>
      </w:r>
    </w:p>
    <w:p>
      <w:pPr>
        <w:pStyle w:val="TextBody"/>
        <w:spacing w:before="120" w:after="0"/>
        <w:rPr>
          <w:rFonts w:ascii="Times New Roman" w:hAnsi="Times New Roman"/>
          <w:sz w:val="17"/>
        </w:rPr>
      </w:pPr>
      <w:r>
        <w:rPr>
          <w:rFonts w:ascii="Times New Roman" w:hAnsi="Times New Roman"/>
          <w:sz w:val="17"/>
        </w:rPr>
        <w:t xml:space="preserve">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360" w:after="0"/>
        <w:rPr>
          <w:rFonts w:ascii="Times New Roman" w:hAnsi="Times New Roman"/>
          <w:b/>
          <w:sz w:val="17"/>
        </w:rPr>
      </w:pPr>
      <w:r>
        <w:rPr>
          <w:rFonts w:ascii="Times New Roman" w:hAnsi="Times New Roman"/>
          <w:b/>
          <w:sz w:val="17"/>
        </w:rPr>
        <w:t xml:space="preserve">Possible Future Guarantees </w:t>
      </w:r>
    </w:p>
    <w:p>
      <w:pPr>
        <w:pStyle w:val="TextBody"/>
        <w:spacing w:before="120" w:after="0"/>
        <w:rPr>
          <w:rFonts w:ascii="Times New Roman" w:hAnsi="Times New Roman"/>
          <w:sz w:val="17"/>
        </w:rPr>
      </w:pPr>
      <w:r>
        <w:rPr>
          <w:rFonts w:ascii="Times New Roman" w:hAnsi="Times New Roman"/>
          <w:sz w:val="17"/>
        </w:rPr>
        <w:t xml:space="preserve">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Provided that no default shall have occurred and shall be continuing under the Indenture, a future subsidiary guarantor will be unconditionally released and discharged from its guarantee: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upon any sale or other disposition of all of our direct or indirect equity interests in that subsidiary guarantor to any person that is not our affiliate;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following delivery of a written notice of the release from the guarantee by us to the trustee, upon the release of all guarantees by the subsidiary guarantor of any debt of ours (other than debt securities issued under the Indenture). </w:t>
            </w:r>
          </w:p>
        </w:tc>
      </w:tr>
    </w:tbl>
    <w:p>
      <w:pPr>
        <w:pStyle w:val="TextBody"/>
        <w:spacing w:before="360" w:after="0"/>
        <w:rPr>
          <w:rFonts w:ascii="Times New Roman" w:hAnsi="Times New Roman"/>
          <w:b/>
          <w:sz w:val="17"/>
        </w:rPr>
      </w:pPr>
      <w:r>
        <w:rPr>
          <w:rFonts w:ascii="Times New Roman" w:hAnsi="Times New Roman"/>
          <w:b/>
          <w:sz w:val="17"/>
        </w:rPr>
        <w:t xml:space="preserve">Optional Redemption </w:t>
      </w:r>
    </w:p>
    <w:p>
      <w:pPr>
        <w:pStyle w:val="TextBody"/>
        <w:spacing w:before="120" w:after="0"/>
        <w:rPr>
          <w:rFonts w:ascii="Times New Roman" w:hAnsi="Times New Roman"/>
          <w:sz w:val="17"/>
        </w:rPr>
      </w:pPr>
      <w:r>
        <w:rPr>
          <w:rFonts w:ascii="Times New Roman" w:hAnsi="Times New Roman"/>
          <w:sz w:val="17"/>
        </w:rPr>
        <w:t xml:space="preserve">The Notes will be redeemable, in whole or in part, at our option at any time and from time to time prior to maturity. If we redeem the 2019 Notes before November 15, 2019 (one month prior to their maturity date) or the 2045 Notes before August 15, 2044 (six months prior to their maturity date), such Notes may be redeemed at a redemption price equal to the greater of (i) 100% of the principal amount of the Notes to be redeemed and (ii) as determined by the Quotation Agent, the sum of the present values of the remaining scheduled payments of principal of and interest on the Notes to be redeemed (not including any portion of those payments of interest accrued to the date of redemption), discounted to the date of redemption on a semiannual basis (assuming 360-day years, each consisting of twelve 30-day months) at the Adjusted Treasury Rate (as defined herein) plus 20 basis points for the 2019 Notes and 30 basis points for the 2045 Notes, together with accrued and unpaid interest to the date of redemption. </w:t>
      </w:r>
    </w:p>
    <w:p>
      <w:pPr>
        <w:pStyle w:val="TextBody"/>
        <w:spacing w:before="240" w:after="0"/>
        <w:rPr>
          <w:rFonts w:ascii="Times New Roman" w:hAnsi="Times New Roman"/>
          <w:sz w:val="17"/>
        </w:rPr>
      </w:pPr>
      <w:r>
        <w:rPr>
          <w:rFonts w:ascii="Times New Roman" w:hAnsi="Times New Roman"/>
          <w:sz w:val="17"/>
        </w:rPr>
        <w:t xml:space="preserve">If we redeem the 2019 Notes on or after November 15, 2019 (one month prior to their maturity date) or the 2045 Notes on or after August 15, 2044 (six months prior to their maturity date), the redemption price will equal 100% of the principal amount of the Notes to be redeemed plus accrued and unpaid interest to the redemption date.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Adjusted Treasury Rate</w:t>
      </w:r>
      <w:r>
        <w:rPr>
          <w:rFonts w:ascii="Times New Roman" w:hAnsi="Times New Roman"/>
          <w:sz w:val="17"/>
        </w:rPr>
        <w:t xml:space="preserve">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Comparable Treasury Issue</w:t>
      </w:r>
      <w:r>
        <w:rPr>
          <w:rFonts w:ascii="Times New Roman" w:hAnsi="Times New Roman"/>
          <w:sz w:val="17"/>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Comparable Treasury Price</w:t>
      </w:r>
      <w:r>
        <w:rPr>
          <w:rFonts w:ascii="Times New Roman" w:hAnsi="Times New Roman"/>
          <w:sz w:val="17"/>
        </w:rPr>
        <w:t xml:space="preserv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Quotation Agent</w:t>
      </w:r>
      <w:r>
        <w:rPr>
          <w:rFonts w:ascii="Times New Roman" w:hAnsi="Times New Roman"/>
          <w:sz w:val="17"/>
        </w:rPr>
        <w:t xml:space="preserve"> means a Primary Treasury Dealer (as defined below) appointed by us.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Reference Treasury Dealer</w:t>
      </w:r>
      <w:r>
        <w:rPr>
          <w:rFonts w:ascii="Times New Roman" w:hAnsi="Times New Roman"/>
          <w:sz w:val="17"/>
        </w:rPr>
        <w:t xml:space="preserve"> means, Barclays Capital Inc., a primary U.S. Government securities dealer in the United States (a Primary Treasury Dealer) selected by SunTrust Robinson Humphrey, Inc. and a Primary Treasury Dealer selected by Wells Fargo Securities, LLC, or their respective successors; provided, however, if any of the foregoing ceases to be a Primary Treasury Dealer, we shall substitute another Primary Treasury Dealer.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i/>
          <w:sz w:val="17"/>
        </w:rPr>
        <w:t>Reference Treasury Dealer Quotations</w:t>
      </w:r>
      <w:r>
        <w:rPr>
          <w:rFonts w:ascii="Times New Roman" w:hAnsi="Times New Roman"/>
          <w:sz w:val="17"/>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240" w:after="0"/>
        <w:rPr>
          <w:rFonts w:ascii="Times New Roman" w:hAnsi="Times New Roman"/>
          <w:sz w:val="17"/>
        </w:rPr>
      </w:pPr>
      <w:r>
        <w:rPr>
          <w:rFonts w:ascii="Times New Roman" w:hAnsi="Times New Roman"/>
          <w:sz w:val="17"/>
        </w:rPr>
        <w:t xml:space="preserve">Unless we default in payment of the redemption price, on and after the date of redemption, interest will cease to accrue on the Notes or portions thereof called for redemption. </w:t>
      </w:r>
    </w:p>
    <w:p>
      <w:pPr>
        <w:pStyle w:val="TextBody"/>
        <w:spacing w:before="240" w:after="0"/>
        <w:rPr>
          <w:rFonts w:ascii="Times New Roman" w:hAnsi="Times New Roman"/>
          <w:sz w:val="17"/>
        </w:rPr>
      </w:pPr>
      <w:r>
        <w:rPr>
          <w:rFonts w:ascii="Times New Roman" w:hAnsi="Times New Roman"/>
          <w:sz w:val="17"/>
        </w:rPr>
        <w:t xml:space="preserve">On or before a redemption date, we will deposit with a paying agent (or with the trustee) sufficient money to pay the redemption price and accrued interest on the Notes to be redeemed. </w:t>
      </w:r>
    </w:p>
    <w:p>
      <w:pPr>
        <w:pStyle w:val="TextBody"/>
        <w:spacing w:before="240" w:after="0"/>
        <w:rPr>
          <w:rFonts w:ascii="Times New Roman" w:hAnsi="Times New Roman"/>
          <w:sz w:val="17"/>
        </w:rPr>
      </w:pPr>
      <w:r>
        <w:rPr>
          <w:rFonts w:ascii="Times New Roman" w:hAnsi="Times New Roman"/>
          <w:sz w:val="17"/>
        </w:rPr>
        <w:t xml:space="preserve">If less than all of the Notes of either series are to be redeemed at any time, the trustee will select Notes (or any portion of Notes in integral multiples of $1,000) for redemption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if the Notes are listed, in compliance with the requirements of the principal national securities exchange on which such Notes are listed;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if the Notes are not so listed or there are no such requirements, on a pro rata basis, by lot or by such method as the trustee shall deem fair and appropriate. </w:t>
            </w:r>
          </w:p>
        </w:tc>
      </w:tr>
    </w:tbl>
    <w:p>
      <w:pPr>
        <w:pStyle w:val="TextBody"/>
        <w:spacing w:before="240" w:after="0"/>
        <w:rPr>
          <w:rFonts w:ascii="Times New Roman" w:hAnsi="Times New Roman"/>
          <w:sz w:val="17"/>
        </w:rPr>
      </w:pPr>
      <w:r>
        <w:rPr>
          <w:rFonts w:ascii="Times New Roman" w:hAnsi="Times New Roman"/>
          <w:sz w:val="17"/>
        </w:rPr>
        <w:t xml:space="preserve">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360" w:after="0"/>
        <w:rPr>
          <w:rFonts w:ascii="Times New Roman" w:hAnsi="Times New Roman"/>
          <w:b/>
          <w:sz w:val="17"/>
        </w:rPr>
      </w:pPr>
      <w:r>
        <w:rPr>
          <w:rFonts w:ascii="Times New Roman" w:hAnsi="Times New Roman"/>
          <w:b/>
          <w:sz w:val="17"/>
        </w:rPr>
        <w:t xml:space="preserve">Events of Default </w:t>
      </w:r>
    </w:p>
    <w:p>
      <w:pPr>
        <w:pStyle w:val="TextBody"/>
        <w:spacing w:before="120" w:after="0"/>
        <w:rPr>
          <w:rFonts w:ascii="Times New Roman" w:hAnsi="Times New Roman"/>
          <w:sz w:val="17"/>
        </w:rPr>
      </w:pPr>
      <w:r>
        <w:rPr>
          <w:rFonts w:ascii="Times New Roman" w:hAnsi="Times New Roman"/>
          <w:sz w:val="17"/>
        </w:rPr>
        <w:t xml:space="preserve">Each of the following is an Event of Default with respect to the Notes of either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default in payment when due of the principal of or any premium on any Note of that series at maturity, upon redemption or otherwise;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default for 60 days in the payment when due of interest on any Note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failure by us or, if and so long as the Notes of that series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specified events in bankruptcy, insolvency or reorganization of us or, if and so long as the Notes of that series are guaranteed by a subsidiary guarantor, by such subsidiary guarantor;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7"/>
        <w:gridCol w:w="101"/>
        <w:gridCol w:w="8881"/>
      </w:tblGrid>
      <w:tr>
        <w:trPr/>
        <w:tc>
          <w:tcPr>
            <w:tcW w:w="81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408"/>
        <w:gridCol w:w="101"/>
        <w:gridCol w:w="8881"/>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1"/>
        <w:gridCol w:w="8880"/>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pPr>
            <w:r>
              <w:rPr/>
              <w:t xml:space="preserve">such subsidiary guarantor denies or disaffirms its obligations under the Indenture or its guarantee. </w:t>
            </w:r>
          </w:p>
        </w:tc>
      </w:tr>
    </w:tbl>
    <w:p>
      <w:pPr>
        <w:pStyle w:val="TextBody"/>
        <w:spacing w:before="240" w:after="0"/>
        <w:rPr>
          <w:rFonts w:ascii="Times New Roman" w:hAnsi="Times New Roman"/>
          <w:sz w:val="17"/>
        </w:rPr>
      </w:pPr>
      <w:r>
        <w:rPr>
          <w:rFonts w:ascii="Times New Roman" w:hAnsi="Times New Roman"/>
          <w:sz w:val="17"/>
        </w:rPr>
        <w:t xml:space="preserve">An Event of Default regarding the Notes of either series will not necessarily constitute an Event of Default for the Notes of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of such series to be due and payable immediately. </w:t>
      </w:r>
    </w:p>
    <w:p>
      <w:pPr>
        <w:pStyle w:val="TextBody"/>
        <w:spacing w:before="240" w:after="0"/>
        <w:rPr>
          <w:rFonts w:ascii="Times New Roman" w:hAnsi="Times New Roman"/>
          <w:sz w:val="17"/>
        </w:rPr>
      </w:pPr>
      <w:r>
        <w:rPr>
          <w:rFonts w:ascii="Times New Roman" w:hAnsi="Times New Roman"/>
          <w:sz w:val="17"/>
        </w:rPr>
        <w:t xml:space="preserve">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 </w:t>
      </w:r>
    </w:p>
    <w:p>
      <w:pPr>
        <w:pStyle w:val="TextBody"/>
        <w:spacing w:before="240" w:after="0"/>
        <w:rPr>
          <w:rFonts w:ascii="Times New Roman" w:hAnsi="Times New Roman"/>
          <w:sz w:val="17"/>
        </w:rPr>
      </w:pPr>
      <w:r>
        <w:rPr>
          <w:rFonts w:ascii="Times New Roman" w:hAnsi="Times New Roman"/>
          <w:sz w:val="17"/>
        </w:rPr>
        <w:t xml:space="preserve">If a Default with respect to the Notes of either series occurs and is continuing and is known to the trustee, the trustee must mail to each holder of such series of Notes a notice of the Default within 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 </w:t>
      </w:r>
    </w:p>
    <w:p>
      <w:pPr>
        <w:pStyle w:val="TextBody"/>
        <w:spacing w:before="360" w:after="0"/>
        <w:rPr>
          <w:rFonts w:ascii="Times New Roman" w:hAnsi="Times New Roman"/>
          <w:b/>
          <w:sz w:val="17"/>
        </w:rPr>
      </w:pPr>
      <w:r>
        <w:rPr>
          <w:rFonts w:ascii="Times New Roman" w:hAnsi="Times New Roman"/>
          <w:b/>
          <w:sz w:val="17"/>
        </w:rPr>
        <w:t xml:space="preserve">Consolidation, Merger or Sale </w:t>
      </w:r>
    </w:p>
    <w:p>
      <w:pPr>
        <w:pStyle w:val="TextBody"/>
        <w:spacing w:before="120" w:after="0"/>
        <w:rPr>
          <w:rFonts w:ascii="Times New Roman" w:hAnsi="Times New Roman"/>
          <w:sz w:val="17"/>
        </w:rPr>
      </w:pPr>
      <w:r>
        <w:rPr>
          <w:rFonts w:ascii="Times New Roman" w:hAnsi="Times New Roman"/>
          <w:sz w:val="17"/>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we are the surviving Person in the case of a merger, or the surviving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408"/>
        <w:gridCol w:w="101"/>
        <w:gridCol w:w="8881"/>
      </w:tblGrid>
      <w:tr>
        <w:trPr/>
        <w:tc>
          <w:tcPr>
            <w:tcW w:w="81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407"/>
        <w:gridCol w:w="101"/>
        <w:gridCol w:w="8882"/>
      </w:tblGrid>
      <w:tr>
        <w:trPr/>
        <w:tc>
          <w:tcPr>
            <w:tcW w:w="81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pPr>
            <w:r>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immediately after giving effect to the transaction or series of transactions, no Default or Event of Default has occurred and is continuing;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240" w:after="0"/>
        <w:rPr>
          <w:rFonts w:ascii="Times New Roman" w:hAnsi="Times New Roman"/>
          <w:sz w:val="17"/>
        </w:rPr>
      </w:pPr>
      <w:r>
        <w:rPr>
          <w:rFonts w:ascii="Times New Roman" w:hAnsi="Times New Roman"/>
          <w:sz w:val="17"/>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pacing w:before="360" w:after="0"/>
        <w:rPr>
          <w:rFonts w:ascii="Times New Roman" w:hAnsi="Times New Roman"/>
          <w:b/>
          <w:sz w:val="17"/>
        </w:rPr>
      </w:pPr>
      <w:r>
        <w:rPr>
          <w:rFonts w:ascii="Times New Roman" w:hAnsi="Times New Roman"/>
          <w:b/>
          <w:sz w:val="17"/>
        </w:rPr>
        <w:t xml:space="preserve">Modification of the Indenture </w:t>
      </w:r>
    </w:p>
    <w:p>
      <w:pPr>
        <w:pStyle w:val="TextBody"/>
        <w:spacing w:before="120" w:after="0"/>
        <w:rPr>
          <w:rFonts w:ascii="Times New Roman" w:hAnsi="Times New Roman"/>
          <w:sz w:val="17"/>
        </w:rPr>
      </w:pPr>
      <w:r>
        <w:rPr>
          <w:rFonts w:ascii="Times New Roman" w:hAnsi="Times New Roman"/>
          <w:sz w:val="17"/>
        </w:rPr>
        <w:t xml:space="preserve">Generally, we, any subsidiary guarantors and the trustee may amend or supplement the Indenture, any guarantees and the Notes with respect to each series of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reduce the principal amount of Notes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reduce the principal of or change the fixed maturity of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reduce or waive the premium payable upon redemption or alter or waive the other provisions with respect to the redemption of any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reduce the rate of or change the time for payment of interest on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release any security that may have been granted with respect to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make any note payable in currency other than that stated in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make any change in the provisions of the Indenture relating to waivers of past Defaults or the rights of holders of Notes to receive payments of principal of or premium, if any, or interest on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waive a redemption payment with respect to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except as otherwise permitted in the Indenture, release any subsidiary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240" w:after="0"/>
        <w:rPr>
          <w:rFonts w:ascii="Times New Roman" w:hAnsi="Times New Roman"/>
          <w:sz w:val="17"/>
        </w:rPr>
      </w:pPr>
      <w:r>
        <w:rPr>
          <w:rFonts w:ascii="Times New Roman" w:hAnsi="Times New Roman"/>
          <w:sz w:val="17"/>
        </w:rPr>
        <w:t xml:space="preserve">Notwithstanding the preceding paragraph, without the consent of any holder of Notes, we, any subsidiary guarantors and the trustee may amend or supplement the Indenture or the Notes with respect to each series of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to cure any ambiguity, defect or inconsistency;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to provide for uncertificated Notes in addition to or in place of certificated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to provide for the assumption of our or the confirmation of any subsidiary guarantors obligations to holders of Notes in the case of a merger or consolidation or sale of all or substantially all of our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to add or release any subsidiary guarantors as permitted pursuant to the terms of the Indenture (see Possible Future Guarantees);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to make any changes that would provide any additional rights or benefits to the holders of Notes that do not, taken as a whole, adversely affect the rights under the Indenture of any holder of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to add any additional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to secure the Notes and/or any guarantees;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to establish the form or terms of any other series of debt securities under the Base Indenture. </w:t>
            </w:r>
          </w:p>
        </w:tc>
      </w:tr>
    </w:tbl>
    <w:p>
      <w:pPr>
        <w:pStyle w:val="TextBody"/>
        <w:spacing w:before="360" w:after="0"/>
        <w:rPr>
          <w:rFonts w:ascii="Times New Roman" w:hAnsi="Times New Roman"/>
          <w:b/>
          <w:sz w:val="17"/>
        </w:rPr>
      </w:pPr>
      <w:r>
        <w:rPr>
          <w:rFonts w:ascii="Times New Roman" w:hAnsi="Times New Roman"/>
          <w:b/>
          <w:sz w:val="17"/>
        </w:rPr>
        <w:t xml:space="preserve">Covenants </w:t>
      </w:r>
    </w:p>
    <w:p>
      <w:pPr>
        <w:pStyle w:val="TextBody"/>
        <w:spacing w:before="120" w:after="0"/>
        <w:rPr>
          <w:rFonts w:ascii="Times New Roman" w:hAnsi="Times New Roman"/>
          <w:b/>
          <w:i/>
          <w:sz w:val="17"/>
        </w:rPr>
      </w:pPr>
      <w:r>
        <w:rPr>
          <w:rFonts w:ascii="Times New Roman" w:hAnsi="Times New Roman"/>
          <w:b/>
          <w:i/>
          <w:sz w:val="17"/>
        </w:rPr>
        <w:t xml:space="preserve">Limitations on Liens </w:t>
      </w:r>
    </w:p>
    <w:p>
      <w:pPr>
        <w:pStyle w:val="TextBody"/>
        <w:spacing w:before="120" w:after="0"/>
        <w:rPr>
          <w:rFonts w:ascii="Times New Roman" w:hAnsi="Times New Roman"/>
          <w:sz w:val="17"/>
        </w:rPr>
      </w:pPr>
      <w:r>
        <w:rPr>
          <w:rFonts w:ascii="Times New Roman" w:hAnsi="Times New Roman"/>
          <w:sz w:val="17"/>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Permitted Liens;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any lien upon any of our property or assets or the property or assets of any Restricted Subsidiary in existence on December 10, 2003 or provided for pursuant to agreements existing on December 10, 2003;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any lien resulting from the deposit of moneys or evidence of indebtedness in trust for the purpose of defeasing our debt or debt of any Restricted Subsidiary. </w:t>
            </w:r>
          </w:p>
        </w:tc>
      </w:tr>
    </w:tbl>
    <w:p>
      <w:pPr>
        <w:pStyle w:val="TextBody"/>
        <w:spacing w:before="240" w:after="0"/>
        <w:rPr>
          <w:rFonts w:ascii="Times New Roman" w:hAnsi="Times New Roman"/>
          <w:sz w:val="17"/>
        </w:rPr>
      </w:pPr>
      <w:r>
        <w:rPr>
          <w:rFonts w:ascii="Times New Roman" w:hAnsi="Times New Roman"/>
          <w:sz w:val="17"/>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 </w:t>
      </w:r>
    </w:p>
    <w:p>
      <w:pPr>
        <w:pStyle w:val="TextBody"/>
        <w:spacing w:before="360" w:after="0"/>
        <w:rPr>
          <w:rFonts w:ascii="Times New Roman" w:hAnsi="Times New Roman"/>
          <w:b/>
          <w:i/>
          <w:sz w:val="17"/>
        </w:rPr>
      </w:pPr>
      <w:r>
        <w:rPr>
          <w:rFonts w:ascii="Times New Roman" w:hAnsi="Times New Roman"/>
          <w:b/>
          <w:i/>
          <w:sz w:val="17"/>
        </w:rPr>
        <w:t xml:space="preserve">Limitations on Sale-Leasebacks </w:t>
      </w:r>
    </w:p>
    <w:p>
      <w:pPr>
        <w:pStyle w:val="TextBody"/>
        <w:spacing w:before="120" w:after="0"/>
        <w:rPr>
          <w:rFonts w:ascii="Times New Roman" w:hAnsi="Times New Roman"/>
          <w:sz w:val="17"/>
        </w:rPr>
      </w:pPr>
      <w:r>
        <w:rPr>
          <w:rFonts w:ascii="Times New Roman" w:hAnsi="Times New Roman"/>
          <w:sz w:val="17"/>
        </w:rPr>
        <w:t xml:space="preserve">We will not, and will not permit any Subsidiary to, engage in a Sale-leaseback Transaction,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the Sale-leaseback Transaction involves a lease for a period, including renewals, of not more than three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240" w:after="0"/>
        <w:rPr>
          <w:rFonts w:ascii="Times New Roman" w:hAnsi="Times New Roman"/>
          <w:sz w:val="17"/>
        </w:rPr>
      </w:pPr>
      <w:r>
        <w:rPr>
          <w:rFonts w:ascii="Times New Roman" w:hAnsi="Times New Roman"/>
          <w:sz w:val="17"/>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Limitations on Liens, do not exceed 10% of Consolidated Net Tangible Assets.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SEC Reports </w:t>
      </w:r>
    </w:p>
    <w:p>
      <w:pPr>
        <w:pStyle w:val="TextBody"/>
        <w:spacing w:before="120" w:after="0"/>
        <w:rPr>
          <w:rFonts w:ascii="Times New Roman" w:hAnsi="Times New Roman"/>
          <w:sz w:val="17"/>
        </w:rPr>
      </w:pPr>
      <w:r>
        <w:rPr>
          <w:rFonts w:ascii="Times New Roman" w:hAnsi="Times New Roman"/>
          <w:sz w:val="17"/>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240" w:after="0"/>
        <w:rPr>
          <w:rFonts w:ascii="Times New Roman" w:hAnsi="Times New Roman"/>
          <w:sz w:val="17"/>
        </w:rPr>
      </w:pPr>
      <w:r>
        <w:rPr>
          <w:rFonts w:ascii="Times New Roman" w:hAnsi="Times New Roman"/>
          <w:sz w:val="17"/>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360" w:after="0"/>
        <w:rPr>
          <w:rFonts w:ascii="Times New Roman" w:hAnsi="Times New Roman"/>
          <w:b/>
          <w:sz w:val="17"/>
        </w:rPr>
      </w:pPr>
      <w:r>
        <w:rPr>
          <w:rFonts w:ascii="Times New Roman" w:hAnsi="Times New Roman"/>
          <w:b/>
          <w:sz w:val="17"/>
        </w:rPr>
        <w:t xml:space="preserve">Defeasance and Discharge </w:t>
      </w:r>
    </w:p>
    <w:p>
      <w:pPr>
        <w:pStyle w:val="TextBody"/>
        <w:spacing w:before="120" w:after="0"/>
        <w:rPr>
          <w:rFonts w:ascii="Times New Roman" w:hAnsi="Times New Roman"/>
          <w:sz w:val="17"/>
        </w:rPr>
      </w:pPr>
      <w:r>
        <w:rPr>
          <w:rFonts w:ascii="Times New Roman" w:hAnsi="Times New Roman"/>
          <w:sz w:val="17"/>
        </w:rPr>
        <w:t xml:space="preserve">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such Notes. </w:t>
      </w:r>
    </w:p>
    <w:p>
      <w:pPr>
        <w:pStyle w:val="TextBody"/>
        <w:spacing w:before="240" w:after="0"/>
        <w:rPr>
          <w:rFonts w:ascii="Times New Roman" w:hAnsi="Times New Roman"/>
          <w:sz w:val="17"/>
        </w:rPr>
      </w:pPr>
      <w:r>
        <w:rPr>
          <w:rFonts w:ascii="Times New Roman" w:hAnsi="Times New Roman"/>
          <w:sz w:val="17"/>
        </w:rPr>
        <w:t xml:space="preserve">Also, at any time we may terminate our obligations under covenants described in the first paragraph of Possible Future Guarantees, under Covenants and under SEC Reports with respect to the Notes of the defeased series (covenant defeasance), and thereafter our failure to comply with any of such covenants would not constitute an Event of Default with respect to that series. </w:t>
      </w:r>
    </w:p>
    <w:p>
      <w:pPr>
        <w:pStyle w:val="TextBody"/>
        <w:spacing w:before="240" w:after="0"/>
        <w:rPr>
          <w:rFonts w:ascii="Times New Roman" w:hAnsi="Times New Roman"/>
          <w:sz w:val="17"/>
        </w:rPr>
      </w:pPr>
      <w:r>
        <w:rPr>
          <w:rFonts w:ascii="Times New Roman" w:hAnsi="Times New Roman"/>
          <w:sz w:val="17"/>
        </w:rPr>
        <w:t xml:space="preserve">We may exercise our legal defeasance option notwithstanding our prior exercise of our covenant defeasance option. If we exercise our legal defeasance option, any guarantee obligation will be deemed to have been discharged with respect to the Notes of the defeased series. </w:t>
      </w:r>
    </w:p>
    <w:p>
      <w:pPr>
        <w:pStyle w:val="TextBody"/>
        <w:spacing w:before="240" w:after="0"/>
        <w:rPr>
          <w:rFonts w:ascii="Times New Roman" w:hAnsi="Times New Roman"/>
          <w:sz w:val="17"/>
        </w:rPr>
      </w:pPr>
      <w:r>
        <w:rPr>
          <w:rFonts w:ascii="Times New Roman" w:hAnsi="Times New Roman"/>
          <w:sz w:val="17"/>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240" w:after="0"/>
        <w:rPr>
          <w:rFonts w:ascii="Times New Roman" w:hAnsi="Times New Roman"/>
          <w:sz w:val="17"/>
        </w:rPr>
      </w:pPr>
      <w:r>
        <w:rPr>
          <w:rFonts w:ascii="Times New Roman" w:hAnsi="Times New Roman"/>
          <w:sz w:val="17"/>
        </w:rPr>
        <w:t xml:space="preserve">In the event of any legal defeasance, holders of the Notes of the defeased series would be entitled to look only to the trust for payment of principal of and any premium and interest on their Notes until maturity. </w:t>
      </w:r>
    </w:p>
    <w:p>
      <w:pPr>
        <w:pStyle w:val="TextBody"/>
        <w:spacing w:before="240" w:after="0"/>
        <w:rPr>
          <w:rFonts w:ascii="Times New Roman" w:hAnsi="Times New Roman"/>
          <w:sz w:val="17"/>
        </w:rPr>
      </w:pPr>
      <w:r>
        <w:rPr>
          <w:rFonts w:ascii="Times New Roman" w:hAnsi="Times New Roman"/>
          <w:sz w:val="17"/>
        </w:rPr>
        <w:t xml:space="preserve">Although the amount of money and U.S. Government Obligations on deposit with the trustee would be intended to be sufficient to pay amounts due on the defeased Notes at the time of their stated maturity, if we exercise our covenant defeasance option for the Notes of either series and the Notes of that series are declared due and payable because of the occurrence of an Event of Default, such amount may not be sufficient to pay amounts due on such Notes at the time of the acceleration resulting from such Event of Default. We would remain liable for such payments, however.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In addition, we may satisfy and discharge all our obligations under the Indenture with respect to either series of the Notes, other than certain obligations to the trustee and our obligation to register the transfer of or exchange the Notes, provided that we either: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deliver all outstanding Notes of the applicable series to the trustee for cancellation;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 </w:t>
            </w:r>
          </w:p>
        </w:tc>
      </w:tr>
    </w:tbl>
    <w:p>
      <w:pPr>
        <w:pStyle w:val="TextBody"/>
        <w:spacing w:before="240" w:after="0"/>
        <w:rPr>
          <w:rFonts w:ascii="Times New Roman" w:hAnsi="Times New Roman"/>
          <w:sz w:val="17"/>
        </w:rPr>
      </w:pPr>
      <w:r>
        <w:rPr>
          <w:rFonts w:ascii="Times New Roman" w:hAnsi="Times New Roman"/>
          <w:sz w:val="17"/>
        </w:rPr>
        <w:t xml:space="preserve">and comply with the other requirements of the Indenture in relation to satisfaction and discharge. </w:t>
      </w:r>
    </w:p>
    <w:p>
      <w:pPr>
        <w:pStyle w:val="TextBody"/>
        <w:spacing w:before="360" w:after="0"/>
        <w:rPr>
          <w:rFonts w:ascii="Times New Roman" w:hAnsi="Times New Roman"/>
          <w:b/>
          <w:sz w:val="17"/>
        </w:rPr>
      </w:pPr>
      <w:r>
        <w:rPr>
          <w:rFonts w:ascii="Times New Roman" w:hAnsi="Times New Roman"/>
          <w:b/>
          <w:sz w:val="17"/>
        </w:rPr>
        <w:t xml:space="preserve">Definitions </w:t>
      </w:r>
    </w:p>
    <w:p>
      <w:pPr>
        <w:pStyle w:val="TextBody"/>
        <w:spacing w:before="120" w:after="0"/>
        <w:rPr>
          <w:rFonts w:ascii="Times New Roman" w:hAnsi="Times New Roman"/>
          <w:sz w:val="17"/>
        </w:rPr>
      </w:pPr>
      <w:r>
        <w:rPr>
          <w:rFonts w:ascii="Times New Roman" w:hAnsi="Times New Roman"/>
          <w:sz w:val="17"/>
        </w:rPr>
        <w:t></w:t>
      </w:r>
      <w:r>
        <w:rPr>
          <w:rFonts w:ascii="Times New Roman" w:hAnsi="Times New Roman"/>
          <w:i/>
          <w:sz w:val="17"/>
        </w:rPr>
        <w:t>Attributable Indebtedness</w:t>
      </w:r>
      <w:r>
        <w:rPr>
          <w:rFonts w:ascii="Times New Roman" w:hAnsi="Times New Roman"/>
          <w:sz w:val="17"/>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Board of Directors</w:t>
      </w:r>
      <w:r>
        <w:rPr>
          <w:rFonts w:ascii="Times New Roman" w:hAnsi="Times New Roman"/>
          <w:sz w:val="17"/>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Capital Interests</w:t>
      </w:r>
      <w:r>
        <w:rPr>
          <w:rFonts w:ascii="Times New Roman" w:hAnsi="Times New Roman"/>
          <w:sz w:val="17"/>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Consolidated Net Tangible Assets</w:t>
      </w:r>
      <w:r>
        <w:rPr>
          <w:rFonts w:ascii="Times New Roman" w:hAnsi="Times New Roman"/>
          <w:sz w:val="17"/>
        </w:rPr>
        <w:t xml:space="preserve"> means, at any date of determination, the total amount of assets after deducting therefrom: </w:t>
      </w:r>
    </w:p>
    <w:p>
      <w:pPr>
        <w:pStyle w:val="TextBody"/>
        <w:spacing w:before="120" w:after="0"/>
        <w:rPr>
          <w:rFonts w:ascii="Times New Roman" w:hAnsi="Times New Roman"/>
          <w:sz w:val="17"/>
        </w:rPr>
      </w:pPr>
      <w:r>
        <w:rPr>
          <w:rFonts w:ascii="Times New Roman" w:hAnsi="Times New Roman"/>
          <w:sz w:val="17"/>
        </w:rPr>
        <w:t xml:space="preserve">(1) all current liabilities excluding: </w:t>
      </w:r>
    </w:p>
    <w:p>
      <w:pPr>
        <w:pStyle w:val="TextBody"/>
        <w:spacing w:before="120" w:after="0"/>
        <w:rPr>
          <w:rFonts w:ascii="Times New Roman" w:hAnsi="Times New Roman"/>
          <w:sz w:val="17"/>
        </w:rPr>
      </w:pPr>
      <w:r>
        <w:rPr>
          <w:rFonts w:ascii="Times New Roman" w:hAnsi="Times New Roman"/>
          <w:sz w:val="17"/>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20" w:after="0"/>
        <w:rPr>
          <w:rFonts w:ascii="Times New Roman" w:hAnsi="Times New Roman"/>
          <w:sz w:val="17"/>
        </w:rPr>
      </w:pPr>
      <w:r>
        <w:rPr>
          <w:rFonts w:ascii="Times New Roman" w:hAnsi="Times New Roman"/>
          <w:sz w:val="17"/>
        </w:rPr>
        <w:t xml:space="preserve">(b) current maturities of long-term debt; and </w:t>
      </w:r>
    </w:p>
    <w:p>
      <w:pPr>
        <w:pStyle w:val="TextBody"/>
        <w:spacing w:before="120" w:after="0"/>
        <w:rPr>
          <w:rFonts w:ascii="Times New Roman" w:hAnsi="Times New Roman"/>
          <w:sz w:val="17"/>
        </w:rPr>
      </w:pPr>
      <w:r>
        <w:rPr>
          <w:rFonts w:ascii="Times New Roman" w:hAnsi="Times New Roman"/>
          <w:sz w:val="17"/>
        </w:rPr>
        <w:t xml:space="preserve">(2) the amount, net of any applicable reserves, of all goodwill, trade names, trademarks, patents and other like intangible assets, </w:t>
      </w:r>
    </w:p>
    <w:p>
      <w:pPr>
        <w:pStyle w:val="TextBody"/>
        <w:spacing w:before="240" w:after="0"/>
        <w:rPr>
          <w:rFonts w:ascii="Times New Roman" w:hAnsi="Times New Roman"/>
          <w:sz w:val="17"/>
        </w:rPr>
      </w:pPr>
      <w:r>
        <w:rPr>
          <w:rFonts w:ascii="Times New Roman" w:hAnsi="Times New Roman"/>
          <w:sz w:val="17"/>
        </w:rPr>
        <w:t xml:space="preserve">all as set forth on the consolidated balance sheet of Plains All American Pipeline for its most recently completed fiscal quarter, prepared in accordance with generally accepted accounting principles.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i/>
          <w:sz w:val="17"/>
        </w:rPr>
        <w:t>Exchange Act</w:t>
      </w:r>
      <w:r>
        <w:rPr>
          <w:rFonts w:ascii="Times New Roman" w:hAnsi="Times New Roman"/>
          <w:sz w:val="17"/>
        </w:rPr>
        <w:t xml:space="preserve"> means the Securities Exchange Act of 1934, as amended.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Funded Debt</w:t>
      </w:r>
      <w:r>
        <w:rPr>
          <w:rFonts w:ascii="Times New Roman" w:hAnsi="Times New Roman"/>
          <w:sz w:val="17"/>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Issue Date</w:t>
      </w:r>
      <w:r>
        <w:rPr>
          <w:rFonts w:ascii="Times New Roman" w:hAnsi="Times New Roman"/>
          <w:sz w:val="17"/>
        </w:rPr>
        <w:t xml:space="preserve"> means the date on which the Notes are initially issued.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Managing General Partner</w:t>
      </w:r>
      <w:r>
        <w:rPr>
          <w:rFonts w:ascii="Times New Roman" w:hAnsi="Times New Roman"/>
          <w:sz w:val="17"/>
        </w:rPr>
        <w:t xml:space="preserve">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Pari Passu Debt</w:t>
      </w:r>
      <w:r>
        <w:rPr>
          <w:rFonts w:ascii="Times New Roman" w:hAnsi="Times New Roman"/>
          <w:sz w:val="17"/>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Permitted Liens</w:t>
      </w:r>
      <w:r>
        <w:rPr>
          <w:rFonts w:ascii="Times New Roman" w:hAnsi="Times New Roman"/>
          <w:sz w:val="17"/>
        </w:rPr>
        <w:t xml:space="preserve"> means: </w:t>
      </w:r>
    </w:p>
    <w:p>
      <w:pPr>
        <w:pStyle w:val="TextBody"/>
        <w:spacing w:before="120" w:after="0"/>
        <w:rPr>
          <w:rFonts w:ascii="Times New Roman" w:hAnsi="Times New Roman"/>
          <w:sz w:val="17"/>
        </w:rPr>
      </w:pPr>
      <w:r>
        <w:rPr>
          <w:rFonts w:ascii="Times New Roman" w:hAnsi="Times New Roman"/>
          <w:sz w:val="17"/>
        </w:rPr>
        <w:t xml:space="preserve">(1) Liens upon rights-of-way for pipeline purposes; </w:t>
      </w:r>
    </w:p>
    <w:p>
      <w:pPr>
        <w:pStyle w:val="TextBody"/>
        <w:spacing w:before="120" w:after="0"/>
        <w:rPr>
          <w:rFonts w:ascii="Times New Roman" w:hAnsi="Times New Roman"/>
          <w:sz w:val="17"/>
        </w:rPr>
      </w:pPr>
      <w:r>
        <w:rPr>
          <w:rFonts w:ascii="Times New Roman" w:hAnsi="Times New Roman"/>
          <w:sz w:val="17"/>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0"/>
        <w:rPr>
          <w:rFonts w:ascii="Times New Roman" w:hAnsi="Times New Roman"/>
          <w:sz w:val="17"/>
        </w:rPr>
      </w:pPr>
      <w:r>
        <w:rPr>
          <w:rFonts w:ascii="Times New Roman" w:hAnsi="Times New Roman"/>
          <w:sz w:val="17"/>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0"/>
        <w:rPr>
          <w:rFonts w:ascii="Times New Roman" w:hAnsi="Times New Roman"/>
          <w:sz w:val="17"/>
        </w:rPr>
      </w:pPr>
      <w:r>
        <w:rPr>
          <w:rFonts w:ascii="Times New Roman" w:hAnsi="Times New Roman"/>
          <w:sz w:val="17"/>
        </w:rPr>
        <w:t xml:space="preserve">(4) liens of taxes and assessments which are: (a) for the then current year, (b) not at the time delinquent, or (c) delinquent but the validity of which is being contested at the time by us or any Restricted Subsidiary in good faith; </w:t>
      </w:r>
    </w:p>
    <w:p>
      <w:pPr>
        <w:pStyle w:val="TextBody"/>
        <w:spacing w:before="120" w:after="0"/>
        <w:rPr>
          <w:rFonts w:ascii="Times New Roman" w:hAnsi="Times New Roman"/>
          <w:sz w:val="17"/>
        </w:rPr>
      </w:pPr>
      <w:r>
        <w:rPr>
          <w:rFonts w:ascii="Times New Roman" w:hAnsi="Times New Roman"/>
          <w:sz w:val="17"/>
        </w:rPr>
        <w:t xml:space="preserve">(5) liens of, or to secure performance of, leases, other than capital leases; </w:t>
      </w:r>
    </w:p>
    <w:p>
      <w:pPr>
        <w:pStyle w:val="TextBody"/>
        <w:spacing w:before="120" w:after="0"/>
        <w:rPr>
          <w:rFonts w:ascii="Times New Roman" w:hAnsi="Times New Roman"/>
          <w:sz w:val="17"/>
        </w:rPr>
      </w:pPr>
      <w:r>
        <w:rPr>
          <w:rFonts w:ascii="Times New Roman" w:hAnsi="Times New Roman"/>
          <w:sz w:val="17"/>
        </w:rPr>
        <w:t xml:space="preserve">(6) any lien upon, or deposits of, any assets in favor of any surety company or clerk of court for the purpose of obtaining indemnity or stay of judicial proceedings; </w:t>
      </w:r>
    </w:p>
    <w:p>
      <w:pPr>
        <w:pStyle w:val="TextBody"/>
        <w:spacing w:before="120" w:after="0"/>
        <w:rPr>
          <w:rFonts w:ascii="Times New Roman" w:hAnsi="Times New Roman"/>
          <w:sz w:val="17"/>
        </w:rPr>
      </w:pPr>
      <w:r>
        <w:rPr>
          <w:rFonts w:ascii="Times New Roman" w:hAnsi="Times New Roman"/>
          <w:sz w:val="17"/>
        </w:rPr>
        <w:t xml:space="preserve">(7) any lien upon property or assets acquired or sold by us or any Restricted Subsidiary resulting from the exercise of any rights arising out of defaults on receivables; </w:t>
      </w:r>
    </w:p>
    <w:p>
      <w:pPr>
        <w:pStyle w:val="TextBody"/>
        <w:spacing w:before="120" w:after="0"/>
        <w:rPr>
          <w:rFonts w:ascii="Times New Roman" w:hAnsi="Times New Roman"/>
          <w:sz w:val="17"/>
        </w:rPr>
      </w:pPr>
      <w:r>
        <w:rPr>
          <w:rFonts w:ascii="Times New Roman" w:hAnsi="Times New Roman"/>
          <w:sz w:val="17"/>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0"/>
        <w:rPr>
          <w:rFonts w:ascii="Times New Roman" w:hAnsi="Times New Roman"/>
          <w:sz w:val="17"/>
        </w:rPr>
      </w:pPr>
      <w:r>
        <w:rPr>
          <w:rFonts w:ascii="Times New Roman" w:hAnsi="Times New Roman"/>
          <w:sz w:val="17"/>
        </w:rPr>
        <w:t xml:space="preserve">(9) any lien in favor of us or any Restricted Subsidiary; </w:t>
      </w:r>
    </w:p>
    <w:p>
      <w:pPr>
        <w:pStyle w:val="TextBody"/>
        <w:spacing w:before="120" w:after="0"/>
        <w:rPr>
          <w:rFonts w:ascii="Times New Roman" w:hAnsi="Times New Roman"/>
          <w:sz w:val="17"/>
        </w:rPr>
      </w:pPr>
      <w:r>
        <w:rPr>
          <w:rFonts w:ascii="Times New Roman" w:hAnsi="Times New Roman"/>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(11) any lien securing industrial development, pollution control or similar revenue bonds; </w:t>
      </w:r>
    </w:p>
    <w:p>
      <w:pPr>
        <w:pStyle w:val="TextBody"/>
        <w:spacing w:before="120" w:after="0"/>
        <w:rPr>
          <w:rFonts w:ascii="Times New Roman" w:hAnsi="Times New Roman"/>
          <w:sz w:val="17"/>
        </w:rPr>
      </w:pPr>
      <w:r>
        <w:rPr>
          <w:rFonts w:ascii="Times New Roman" w:hAnsi="Times New Roman"/>
          <w:sz w:val="17"/>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20" w:after="0"/>
        <w:rPr>
          <w:rFonts w:ascii="Times New Roman" w:hAnsi="Times New Roman"/>
          <w:sz w:val="17"/>
        </w:rPr>
      </w:pPr>
      <w:r>
        <w:rPr>
          <w:rFonts w:ascii="Times New Roman" w:hAnsi="Times New Roman"/>
          <w:sz w:val="17"/>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0"/>
        <w:rPr>
          <w:rFonts w:ascii="Times New Roman" w:hAnsi="Times New Roman"/>
          <w:sz w:val="17"/>
        </w:rPr>
      </w:pPr>
      <w:r>
        <w:rPr>
          <w:rFonts w:ascii="Times New Roman" w:hAnsi="Times New Roman"/>
          <w:sz w:val="17"/>
        </w:rPr>
        <w:t xml:space="preserve">(14) any lien upon or deposits of any assets to secure performance of bids, trade contracts, leases or statutory obligations; </w:t>
      </w:r>
    </w:p>
    <w:p>
      <w:pPr>
        <w:pStyle w:val="TextBody"/>
        <w:spacing w:before="120" w:after="0"/>
        <w:rPr>
          <w:rFonts w:ascii="Times New Roman" w:hAnsi="Times New Roman"/>
          <w:sz w:val="17"/>
        </w:rPr>
      </w:pPr>
      <w:r>
        <w:rPr>
          <w:rFonts w:ascii="Times New Roman" w:hAnsi="Times New Roman"/>
          <w:sz w:val="17"/>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0"/>
        <w:rPr>
          <w:rFonts w:ascii="Times New Roman" w:hAnsi="Times New Roman"/>
          <w:sz w:val="17"/>
        </w:rPr>
      </w:pPr>
      <w:r>
        <w:rPr>
          <w:rFonts w:ascii="Times New Roman" w:hAnsi="Times New Roman"/>
          <w:sz w:val="17"/>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20" w:after="0"/>
        <w:rPr>
          <w:rFonts w:ascii="Times New Roman" w:hAnsi="Times New Roman"/>
          <w:sz w:val="17"/>
        </w:rPr>
      </w:pPr>
      <w:r>
        <w:rPr>
          <w:rFonts w:ascii="Times New Roman" w:hAnsi="Times New Roman"/>
          <w:sz w:val="17"/>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20" w:after="0"/>
        <w:rPr>
          <w:rFonts w:ascii="Times New Roman" w:hAnsi="Times New Roman"/>
          <w:sz w:val="17"/>
        </w:rPr>
      </w:pPr>
      <w:r>
        <w:rPr>
          <w:rFonts w:ascii="Times New Roman" w:hAnsi="Times New Roman"/>
          <w:sz w:val="17"/>
        </w:rPr>
        <w:t xml:space="preserve">(18) any obligations or duties to any municipality or public authority with respect to any lease, easement, right-of-way, license, franchise, privilege, permit or grant.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Person</w:t>
      </w:r>
      <w:r>
        <w:rPr>
          <w:rFonts w:ascii="Times New Roman" w:hAnsi="Times New Roman"/>
          <w:sz w:val="17"/>
        </w:rPr>
        <w:t xml:space="preserve">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Principal Property</w:t>
      </w:r>
      <w:r>
        <w:rPr>
          <w:rFonts w:ascii="Times New Roman" w:hAnsi="Times New Roman"/>
          <w:sz w:val="17"/>
        </w:rPr>
        <w:t xml:space="preserve"> means, whether owned or leased on the Issue Date or thereafter acquired: </w:t>
      </w:r>
    </w:p>
    <w:p>
      <w:pPr>
        <w:pStyle w:val="TextBody"/>
        <w:spacing w:before="120" w:after="0"/>
        <w:rPr>
          <w:rFonts w:ascii="Times New Roman" w:hAnsi="Times New Roman"/>
          <w:sz w:val="17"/>
        </w:rPr>
      </w:pPr>
      <w:r>
        <w:rPr>
          <w:rFonts w:ascii="Times New Roman" w:hAnsi="Times New Roman"/>
          <w:sz w:val="17"/>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20" w:after="0"/>
        <w:rPr>
          <w:rFonts w:ascii="Times New Roman" w:hAnsi="Times New Roman"/>
          <w:sz w:val="17"/>
        </w:rPr>
      </w:pPr>
      <w:r>
        <w:rPr>
          <w:rFonts w:ascii="Times New Roman" w:hAnsi="Times New Roman"/>
          <w:sz w:val="17"/>
        </w:rPr>
        <w:t xml:space="preserve">(2) 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the good faith opinion of the Board of Directors, is not material in relation to the activities of Plains All American Pipeline or the activities of Plains All American Pipeline and its Subsidiaries, taken as a whole.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Restricted Subsidiary</w:t>
      </w:r>
      <w:r>
        <w:rPr>
          <w:rFonts w:ascii="Times New Roman" w:hAnsi="Times New Roman"/>
          <w:sz w:val="17"/>
        </w:rPr>
        <w:t xml:space="preserve"> means any Subsidiary of Plains All American Pipeline owning or leasing, directly or indirectly through ownership in another Subsidiary, any Principal Property.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Sale-leaseback Transaction</w:t>
      </w:r>
      <w:r>
        <w:rPr>
          <w:rFonts w:ascii="Times New Roman" w:hAnsi="Times New Roman"/>
          <w:sz w:val="17"/>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Securities Act</w:t>
      </w:r>
      <w:r>
        <w:rPr>
          <w:rFonts w:ascii="Times New Roman" w:hAnsi="Times New Roman"/>
          <w:sz w:val="17"/>
        </w:rPr>
        <w:t xml:space="preserve"> means the Securities Act of 1933, as amended.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i/>
          <w:sz w:val="17"/>
        </w:rPr>
        <w:t>Subsidiary</w:t>
      </w:r>
      <w:r>
        <w:rPr>
          <w:rFonts w:ascii="Times New Roman" w:hAnsi="Times New Roman"/>
          <w:sz w:val="17"/>
        </w:rPr>
        <w:t xml:space="preserve"> means, with respect to any Person: </w:t>
      </w:r>
    </w:p>
    <w:p>
      <w:pPr>
        <w:pStyle w:val="TextBody"/>
        <w:spacing w:before="120" w:after="0"/>
        <w:rPr>
          <w:rFonts w:ascii="Times New Roman" w:hAnsi="Times New Roman"/>
          <w:sz w:val="17"/>
        </w:rPr>
      </w:pPr>
      <w:r>
        <w:rPr>
          <w:rFonts w:ascii="Times New Roman" w:hAnsi="Times New Roman"/>
          <w:sz w:val="17"/>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20" w:after="0"/>
        <w:rPr>
          <w:rFonts w:ascii="Times New Roman" w:hAnsi="Times New Roman"/>
          <w:sz w:val="17"/>
        </w:rPr>
      </w:pPr>
      <w:r>
        <w:rPr>
          <w:rFonts w:ascii="Times New Roman" w:hAnsi="Times New Roman"/>
          <w:sz w:val="17"/>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1" w:name="supprom829341_9"/>
      <w:bookmarkEnd w:id="11"/>
      <w:r>
        <w:rPr>
          <w:rFonts w:ascii="Times New Roman" w:hAnsi="Times New Roman"/>
          <w:b/>
          <w:sz w:val="17"/>
        </w:rPr>
        <w:t xml:space="preserve">BOOK ENTRY, DELIVERY AND FORM </w:t>
      </w:r>
    </w:p>
    <w:p>
      <w:pPr>
        <w:pStyle w:val="TextBody"/>
        <w:spacing w:before="240" w:after="0"/>
        <w:rPr>
          <w:rFonts w:ascii="Times New Roman" w:hAnsi="Times New Roman"/>
          <w:sz w:val="17"/>
        </w:rPr>
      </w:pPr>
      <w:r>
        <w:rPr>
          <w:rFonts w:ascii="Times New Roman" w:hAnsi="Times New Roman"/>
          <w:sz w:val="17"/>
        </w:rPr>
        <w:t xml:space="preserve">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spacing w:before="240" w:after="0"/>
        <w:rPr>
          <w:rFonts w:ascii="Times New Roman" w:hAnsi="Times New Roman"/>
          <w:sz w:val="17"/>
        </w:rPr>
      </w:pPr>
      <w:r>
        <w:rPr>
          <w:rFonts w:ascii="Times New Roman" w:hAnsi="Times New Roman"/>
          <w:sz w:val="17"/>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spacing w:before="240" w:after="0"/>
        <w:rPr>
          <w:rFonts w:ascii="Times New Roman" w:hAnsi="Times New Roman"/>
          <w:sz w:val="17"/>
        </w:rPr>
      </w:pPr>
      <w:r>
        <w:rPr>
          <w:rFonts w:ascii="Times New Roman" w:hAnsi="Times New Roman"/>
          <w:sz w:val="17"/>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spacing w:before="360" w:after="0"/>
        <w:rPr>
          <w:rFonts w:ascii="Times New Roman" w:hAnsi="Times New Roman"/>
          <w:b/>
          <w:sz w:val="17"/>
        </w:rPr>
      </w:pPr>
      <w:r>
        <w:rPr>
          <w:rFonts w:ascii="Times New Roman" w:hAnsi="Times New Roman"/>
          <w:b/>
          <w:sz w:val="17"/>
        </w:rPr>
        <w:t xml:space="preserve">Depository Procedures </w:t>
      </w:r>
    </w:p>
    <w:p>
      <w:pPr>
        <w:pStyle w:val="TextBody"/>
        <w:spacing w:before="120" w:after="0"/>
        <w:rPr>
          <w:rFonts w:ascii="Times New Roman" w:hAnsi="Times New Roman"/>
          <w:sz w:val="17"/>
        </w:rPr>
      </w:pPr>
      <w:r>
        <w:rPr>
          <w:rFonts w:ascii="Times New Roman" w:hAnsi="Times New Roman"/>
          <w:sz w:val="17"/>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 </w:t>
      </w:r>
    </w:p>
    <w:p>
      <w:pPr>
        <w:pStyle w:val="TextBody"/>
        <w:spacing w:before="240" w:after="0"/>
        <w:rPr>
          <w:rFonts w:ascii="Times New Roman" w:hAnsi="Times New Roman"/>
          <w:sz w:val="17"/>
        </w:rPr>
      </w:pPr>
      <w:r>
        <w:rPr>
          <w:rFonts w:ascii="Times New Roman" w:hAnsi="Times New Roman"/>
          <w:sz w:val="17"/>
        </w:rPr>
        <w:t xml:space="preserve">DTC has also advised us that pursuant to procedures established by it, (a) upon deposit of the Global Notes, DTC will credit the accounts of Participants designated by the underwriters with portions of the principal amount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 </w:t>
      </w:r>
    </w:p>
    <w:p>
      <w:pPr>
        <w:pStyle w:val="TextBody"/>
        <w:spacing w:before="240" w:after="0"/>
        <w:rPr>
          <w:rFonts w:ascii="Times New Roman" w:hAnsi="Times New Roman"/>
          <w:sz w:val="17"/>
        </w:rPr>
      </w:pPr>
      <w:r>
        <w:rPr>
          <w:rFonts w:ascii="Times New Roman" w:hAnsi="Times New Roman"/>
          <w:sz w:val="17"/>
        </w:rPr>
        <w:t xml:space="preserve">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spacing w:before="240" w:after="0"/>
        <w:rPr>
          <w:rFonts w:ascii="Times New Roman" w:hAnsi="Times New Roman"/>
          <w:sz w:val="17"/>
        </w:rPr>
      </w:pPr>
      <w:r>
        <w:rPr>
          <w:rFonts w:ascii="Times New Roman" w:hAnsi="Times New Roman"/>
          <w:sz w:val="17"/>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 </w:t>
      </w:r>
    </w:p>
    <w:p>
      <w:pPr>
        <w:pStyle w:val="TextBody"/>
        <w:spacing w:before="240" w:after="0"/>
        <w:rPr>
          <w:rFonts w:ascii="Times New Roman" w:hAnsi="Times New Roman"/>
          <w:b/>
          <w:sz w:val="17"/>
        </w:rPr>
      </w:pPr>
      <w:r>
        <w:rPr>
          <w:rFonts w:ascii="Times New Roman" w:hAnsi="Times New Roman"/>
          <w:b/>
          <w:sz w:val="17"/>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spacing w:before="240" w:after="0"/>
        <w:rPr>
          <w:rFonts w:ascii="Times New Roman" w:hAnsi="Times New Roman"/>
          <w:sz w:val="17"/>
        </w:rPr>
      </w:pPr>
      <w:r>
        <w:rPr>
          <w:rFonts w:ascii="Times New Roman" w:hAnsi="Times New Roman"/>
          <w:sz w:val="17"/>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spacing w:before="240" w:after="0"/>
        <w:rPr>
          <w:rFonts w:ascii="Times New Roman" w:hAnsi="Times New Roman"/>
          <w:sz w:val="17"/>
        </w:rPr>
      </w:pPr>
      <w:r>
        <w:rPr>
          <w:rFonts w:ascii="Times New Roman" w:hAnsi="Times New Roman"/>
          <w:sz w:val="17"/>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spacing w:before="240" w:after="0"/>
        <w:rPr>
          <w:rFonts w:ascii="Times New Roman" w:hAnsi="Times New Roman"/>
          <w:b/>
          <w:sz w:val="17"/>
        </w:rPr>
      </w:pPr>
      <w:r>
        <w:rPr>
          <w:rFonts w:ascii="Times New Roman" w:hAnsi="Times New Roman"/>
          <w:b/>
          <w:sz w:val="17"/>
        </w:rPr>
        <w:t xml:space="preserve">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 </w:t>
      </w:r>
    </w:p>
    <w:p>
      <w:pPr>
        <w:pStyle w:val="TextBody"/>
        <w:spacing w:before="240" w:after="0"/>
        <w:rPr>
          <w:rFonts w:ascii="Times New Roman" w:hAnsi="Times New Roman"/>
          <w:sz w:val="17"/>
        </w:rPr>
      </w:pPr>
      <w:r>
        <w:rPr>
          <w:rFonts w:ascii="Times New Roman" w:hAnsi="Times New Roman"/>
          <w:sz w:val="17"/>
        </w:rPr>
        <w:t xml:space="preserve">Cross-market transfers between the accountholders in DTC, on the one hand, and directly or indirectly through Euroclear or Clearstream accountholders, on the other hand, will be effected through DTC in accordance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spacing w:before="240" w:after="0"/>
        <w:rPr>
          <w:rFonts w:ascii="Times New Roman" w:hAnsi="Times New Roman"/>
          <w:sz w:val="17"/>
        </w:rPr>
      </w:pPr>
      <w:r>
        <w:rPr>
          <w:rFonts w:ascii="Times New Roman" w:hAnsi="Times New Roman"/>
          <w:sz w:val="17"/>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spacing w:before="240" w:after="0"/>
        <w:rPr>
          <w:rFonts w:ascii="Times New Roman" w:hAnsi="Times New Roman"/>
          <w:sz w:val="17"/>
        </w:rPr>
      </w:pPr>
      <w:r>
        <w:rPr>
          <w:rFonts w:ascii="Times New Roman" w:hAnsi="Times New Roman"/>
          <w:sz w:val="17"/>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 </w:t>
      </w:r>
    </w:p>
    <w:p>
      <w:pPr>
        <w:pStyle w:val="TextBody"/>
        <w:spacing w:before="240" w:after="0"/>
        <w:rPr>
          <w:rFonts w:ascii="Times New Roman" w:hAnsi="Times New Roman"/>
          <w:sz w:val="17"/>
        </w:rPr>
      </w:pPr>
      <w:r>
        <w:rPr>
          <w:rFonts w:ascii="Times New Roman" w:hAnsi="Times New Roman"/>
          <w:sz w:val="17"/>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spacing w:before="360" w:after="0"/>
        <w:rPr>
          <w:rFonts w:ascii="Times New Roman" w:hAnsi="Times New Roman"/>
          <w:b/>
          <w:sz w:val="17"/>
        </w:rPr>
      </w:pPr>
      <w:r>
        <w:rPr>
          <w:rFonts w:ascii="Times New Roman" w:hAnsi="Times New Roman"/>
          <w:b/>
          <w:sz w:val="17"/>
        </w:rPr>
        <w:t xml:space="preserve">Exchange of Book Entry Notes for Certificated Notes </w:t>
      </w:r>
    </w:p>
    <w:p>
      <w:pPr>
        <w:pStyle w:val="TextBody"/>
        <w:spacing w:before="120" w:after="0"/>
        <w:rPr>
          <w:rFonts w:ascii="Times New Roman" w:hAnsi="Times New Roman"/>
          <w:sz w:val="17"/>
        </w:rPr>
      </w:pPr>
      <w:r>
        <w:rPr>
          <w:rFonts w:ascii="Times New Roman" w:hAnsi="Times New Roman"/>
          <w:sz w:val="17"/>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2" w:name="supprom829341_10"/>
      <w:bookmarkEnd w:id="12"/>
      <w:r>
        <w:rPr>
          <w:rFonts w:ascii="Times New Roman" w:hAnsi="Times New Roman"/>
          <w:b/>
          <w:sz w:val="17"/>
        </w:rPr>
        <w:t xml:space="preserve">MATERIAL U.S. FEDERAL INCOME TAX CONSEQUENCES </w:t>
      </w:r>
    </w:p>
    <w:p>
      <w:pPr>
        <w:pStyle w:val="TextBody"/>
        <w:spacing w:before="240" w:after="0"/>
        <w:rPr>
          <w:rFonts w:ascii="Times New Roman" w:hAnsi="Times New Roman"/>
          <w:sz w:val="17"/>
        </w:rPr>
      </w:pPr>
      <w:r>
        <w:rPr>
          <w:rFonts w:ascii="Times New Roman" w:hAnsi="Times New Roman"/>
          <w:sz w:val="17"/>
        </w:rPr>
        <w:t xml:space="preserve">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 </w:t>
      </w:r>
    </w:p>
    <w:p>
      <w:pPr>
        <w:pStyle w:val="TextBody"/>
        <w:spacing w:before="240" w:after="0"/>
        <w:rPr>
          <w:rFonts w:ascii="Times New Roman" w:hAnsi="Times New Roman"/>
          <w:sz w:val="17"/>
        </w:rPr>
      </w:pPr>
      <w:r>
        <w:rPr>
          <w:rFonts w:ascii="Times New Roman" w:hAnsi="Times New Roman"/>
          <w:sz w:val="17"/>
        </w:rPr>
        <w:t xml:space="preserve">In this discussion, we do not purport to address all tax considerations that may be important to a particular holder in light of the holders special circumstances, or to certain categories of holders that may be subject to special rules, such 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dealers in securities or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traders in securities that elect to use a mark-to-market method of accounting for their securities holdings;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banks, insurance companies, or other financial institutions;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former U.S. citizens or long-term residents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tax-exempt organizations;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regulated investment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real estate investment trusts;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holders subject to the alternative minimum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persons holding Notes as part of a straddle transaction, hedging transaction, conversion transaction or other synthetic security or integrated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U.S. Holders (as defined below) whose functional currency is not the U.S.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persons deemed to sell the Notes under constructive sale provisions of the Code;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partnerships and other pass-through entities and holders of interests therein. </w:t>
            </w:r>
          </w:p>
        </w:tc>
      </w:tr>
    </w:tbl>
    <w:p>
      <w:pPr>
        <w:pStyle w:val="TextBody"/>
        <w:spacing w:before="240" w:after="0"/>
        <w:rPr>
          <w:rFonts w:ascii="Times New Roman" w:hAnsi="Times New Roman"/>
          <w:sz w:val="17"/>
        </w:rPr>
      </w:pPr>
      <w:r>
        <w:rPr>
          <w:rFonts w:ascii="Times New Roman" w:hAnsi="Times New Roman"/>
          <w:sz w:val="17"/>
        </w:rPr>
        <w:t xml:space="preserve">In addition, the discussion does not consider the effect of U.S. federal estate tax laws or gift tax laws or of any applicable foreign, state, local or other tax laws or income tax treaties. </w:t>
      </w:r>
    </w:p>
    <w:p>
      <w:pPr>
        <w:pStyle w:val="TextBody"/>
        <w:spacing w:before="240" w:after="0"/>
        <w:rPr>
          <w:rFonts w:ascii="Times New Roman" w:hAnsi="Times New Roman"/>
          <w:sz w:val="17"/>
        </w:rPr>
      </w:pPr>
      <w:r>
        <w:rPr>
          <w:rFonts w:ascii="Times New Roman" w:hAnsi="Times New Roman"/>
          <w:sz w:val="17"/>
        </w:rPr>
        <w:t xml:space="preserve">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 </w:t>
      </w:r>
    </w:p>
    <w:p>
      <w:pPr>
        <w:pStyle w:val="TextBody"/>
        <w:spacing w:before="240" w:after="0"/>
        <w:rPr>
          <w:rFonts w:ascii="Times New Roman" w:hAnsi="Times New Roman"/>
          <w:sz w:val="17"/>
        </w:rPr>
      </w:pPr>
      <w:r>
        <w:rPr>
          <w:rFonts w:ascii="Times New Roman" w:hAnsi="Times New Roman"/>
          <w:sz w:val="17"/>
        </w:rPr>
        <w:t xml:space="preserve">PROSPECTIVE INVESTORS ARE ENCOURAGED TO CONSULT THEIR OWN TAX ADVISORS WITH REGARD TO THE APPLICATION OF THE TAX CONSEQUENCES DISCUSSED BELOW TO THEIR PARTICULAR SITUATIONS, AS WELL AS THE APPLICATION OF U.S. FEDERAL ESTATE OR GIFT TAX LAWS OR OF ANY STATE, LOCAL, FOREIGN OR OTHER TAX LAWS OR INCOME TAX TREATIES.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Certain Additional Payments </w:t>
      </w:r>
    </w:p>
    <w:p>
      <w:pPr>
        <w:pStyle w:val="TextBody"/>
        <w:spacing w:before="120" w:after="0"/>
        <w:rPr>
          <w:rFonts w:ascii="Times New Roman" w:hAnsi="Times New Roman"/>
          <w:sz w:val="17"/>
        </w:rPr>
      </w:pPr>
      <w:r>
        <w:rPr>
          <w:rFonts w:ascii="Times New Roman" w:hAnsi="Times New Roman"/>
          <w:sz w:val="17"/>
        </w:rPr>
        <w:t xml:space="preserve">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 </w:t>
      </w:r>
    </w:p>
    <w:p>
      <w:pPr>
        <w:pStyle w:val="TextBody"/>
        <w:spacing w:before="360" w:after="0"/>
        <w:rPr>
          <w:rFonts w:ascii="Times New Roman" w:hAnsi="Times New Roman"/>
          <w:b/>
          <w:sz w:val="17"/>
        </w:rPr>
      </w:pPr>
      <w:r>
        <w:rPr>
          <w:rFonts w:ascii="Times New Roman" w:hAnsi="Times New Roman"/>
          <w:b/>
          <w:sz w:val="17"/>
        </w:rPr>
        <w:t xml:space="preserve">U.S. Federal Income Taxation of U.S. Holders </w:t>
      </w:r>
    </w:p>
    <w:p>
      <w:pPr>
        <w:pStyle w:val="TextBody"/>
        <w:spacing w:before="120" w:after="0"/>
        <w:rPr>
          <w:rFonts w:ascii="Times New Roman" w:hAnsi="Times New Roman"/>
          <w:sz w:val="17"/>
        </w:rPr>
      </w:pPr>
      <w:r>
        <w:rPr>
          <w:rFonts w:ascii="Times New Roman" w:hAnsi="Times New Roman"/>
          <w:sz w:val="17"/>
        </w:rPr>
        <w:t xml:space="preserve">As used herein, a U.S. Holder means a beneficial owner of a Note that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an individual who is a citizen or resident alien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 corporation or other entity taxable as a corporation for U.S. federal income tax purposes created or organized in or under the laws of the United States or any political subdivision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an estate the income of which is subject to U.S. federal income tax regardless of its source;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p>
        </w:tc>
      </w:tr>
    </w:tbl>
    <w:p>
      <w:pPr>
        <w:pStyle w:val="TextBody"/>
        <w:spacing w:before="360" w:after="0"/>
        <w:rPr>
          <w:rFonts w:ascii="Times New Roman" w:hAnsi="Times New Roman"/>
          <w:b/>
          <w:i/>
          <w:sz w:val="17"/>
        </w:rPr>
      </w:pPr>
      <w:r>
        <w:rPr>
          <w:rFonts w:ascii="Times New Roman" w:hAnsi="Times New Roman"/>
          <w:b/>
          <w:i/>
          <w:sz w:val="17"/>
        </w:rPr>
        <w:t xml:space="preserve">Interest on the Notes </w:t>
      </w:r>
    </w:p>
    <w:p>
      <w:pPr>
        <w:pStyle w:val="TextBody"/>
        <w:spacing w:before="120" w:after="0"/>
        <w:rPr>
          <w:rFonts w:ascii="Times New Roman" w:hAnsi="Times New Roman"/>
          <w:sz w:val="17"/>
        </w:rPr>
      </w:pPr>
      <w:r>
        <w:rPr>
          <w:rFonts w:ascii="Times New Roman" w:hAnsi="Times New Roman"/>
          <w:sz w:val="17"/>
        </w:rPr>
        <w:t xml:space="preserve">Interest on a Note generally will be taxable to a U.S. Holder as ordinary income at the time it accrues or is received in accordance with the U.S. Holders regular method of accounting for U.S. federal income tax purposes. </w:t>
      </w:r>
    </w:p>
    <w:p>
      <w:pPr>
        <w:pStyle w:val="TextBody"/>
        <w:spacing w:before="360" w:after="0"/>
        <w:rPr>
          <w:rFonts w:ascii="Times New Roman" w:hAnsi="Times New Roman"/>
          <w:b/>
          <w:i/>
          <w:sz w:val="17"/>
        </w:rPr>
      </w:pPr>
      <w:r>
        <w:rPr>
          <w:rFonts w:ascii="Times New Roman" w:hAnsi="Times New Roman"/>
          <w:b/>
          <w:i/>
          <w:sz w:val="17"/>
        </w:rPr>
        <w:t xml:space="preserve">Disposition of Notes </w:t>
      </w:r>
    </w:p>
    <w:p>
      <w:pPr>
        <w:pStyle w:val="TextBody"/>
        <w:spacing w:before="120" w:after="0"/>
        <w:rPr>
          <w:rFonts w:ascii="Times New Roman" w:hAnsi="Times New Roman"/>
          <w:sz w:val="17"/>
        </w:rPr>
      </w:pPr>
      <w:r>
        <w:rPr>
          <w:rFonts w:ascii="Times New Roman" w:hAnsi="Times New Roman"/>
          <w:sz w:val="17"/>
        </w:rPr>
        <w:t xml:space="preserve">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 </w:t>
      </w:r>
    </w:p>
    <w:p>
      <w:pPr>
        <w:pStyle w:val="TextBody"/>
        <w:spacing w:before="240" w:after="0"/>
        <w:rPr>
          <w:rFonts w:ascii="Times New Roman" w:hAnsi="Times New Roman"/>
          <w:sz w:val="17"/>
        </w:rPr>
      </w:pPr>
      <w:r>
        <w:rPr>
          <w:rFonts w:ascii="Times New Roman" w:hAnsi="Times New Roman"/>
          <w:sz w:val="17"/>
        </w:rPr>
        <w:t xml:space="preserve">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 </w:t>
      </w:r>
    </w:p>
    <w:p>
      <w:pPr>
        <w:pStyle w:val="TextBody"/>
        <w:spacing w:before="360" w:after="0"/>
        <w:rPr>
          <w:rFonts w:ascii="Times New Roman" w:hAnsi="Times New Roman"/>
          <w:b/>
          <w:i/>
          <w:sz w:val="17"/>
        </w:rPr>
      </w:pPr>
      <w:r>
        <w:rPr>
          <w:rFonts w:ascii="Times New Roman" w:hAnsi="Times New Roman"/>
          <w:b/>
          <w:i/>
          <w:sz w:val="17"/>
        </w:rPr>
        <w:t xml:space="preserve">Information Reporting and Backup Withholding </w:t>
      </w:r>
    </w:p>
    <w:p>
      <w:pPr>
        <w:pStyle w:val="TextBody"/>
        <w:spacing w:before="120" w:after="0"/>
        <w:rPr>
          <w:rFonts w:ascii="Times New Roman" w:hAnsi="Times New Roman"/>
          <w:sz w:val="17"/>
        </w:rPr>
      </w:pPr>
      <w:r>
        <w:rPr>
          <w:rFonts w:ascii="Times New Roman" w:hAnsi="Times New Roman"/>
          <w:sz w:val="17"/>
        </w:rPr>
        <w:t xml:space="preserve">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 or otherwise establishes an exemption from backup withholding. Any amount withheld under the backup withholding rules is allowable as a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credit against the U.S. Holders U.S. federal income tax liability, if any, and a refund may be obtained if the amounts withheld exceed the U.S. Holders actual U.S. federal income tax liability and the U.S. Holder timely provides the required information or appropriate claim form to the IRS. </w:t>
      </w:r>
    </w:p>
    <w:p>
      <w:pPr>
        <w:pStyle w:val="TextBody"/>
        <w:spacing w:before="360" w:after="0"/>
        <w:rPr>
          <w:rFonts w:ascii="Times New Roman" w:hAnsi="Times New Roman"/>
          <w:b/>
          <w:i/>
          <w:sz w:val="17"/>
        </w:rPr>
      </w:pPr>
      <w:r>
        <w:rPr>
          <w:rFonts w:ascii="Times New Roman" w:hAnsi="Times New Roman"/>
          <w:b/>
          <w:i/>
          <w:sz w:val="17"/>
        </w:rPr>
        <w:t xml:space="preserve">Additional Tax on Net Investment Income </w:t>
      </w:r>
    </w:p>
    <w:p>
      <w:pPr>
        <w:pStyle w:val="TextBody"/>
        <w:spacing w:before="120" w:after="0"/>
        <w:rPr>
          <w:rFonts w:ascii="Times New Roman" w:hAnsi="Times New Roman"/>
          <w:sz w:val="17"/>
        </w:rPr>
      </w:pPr>
      <w:r>
        <w:rPr>
          <w:rFonts w:ascii="Times New Roman" w:hAnsi="Times New Roman"/>
          <w:sz w:val="17"/>
        </w:rPr>
        <w:t xml:space="preserve">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 </w:t>
      </w:r>
    </w:p>
    <w:p>
      <w:pPr>
        <w:pStyle w:val="TextBody"/>
        <w:spacing w:before="360" w:after="0"/>
        <w:rPr>
          <w:rFonts w:ascii="Times New Roman" w:hAnsi="Times New Roman"/>
          <w:b/>
          <w:sz w:val="17"/>
        </w:rPr>
      </w:pPr>
      <w:r>
        <w:rPr>
          <w:rFonts w:ascii="Times New Roman" w:hAnsi="Times New Roman"/>
          <w:b/>
          <w:sz w:val="17"/>
        </w:rPr>
        <w:t xml:space="preserve">U.S. Federal Income Taxation of Non-U.S. Holders </w:t>
      </w:r>
    </w:p>
    <w:p>
      <w:pPr>
        <w:pStyle w:val="TextBody"/>
        <w:spacing w:before="120" w:after="0"/>
        <w:rPr>
          <w:rFonts w:ascii="Times New Roman" w:hAnsi="Times New Roman"/>
          <w:sz w:val="17"/>
        </w:rPr>
      </w:pPr>
      <w:r>
        <w:rPr>
          <w:rFonts w:ascii="Times New Roman" w:hAnsi="Times New Roman"/>
          <w:sz w:val="17"/>
        </w:rPr>
        <w:t xml:space="preserve">As used herein, a Non-U.S. Holder means a beneficial owner of a Note that is an individual, corporation, estate or trust that is not a U.S. Holder. </w:t>
      </w:r>
    </w:p>
    <w:p>
      <w:pPr>
        <w:pStyle w:val="TextBody"/>
        <w:spacing w:before="360" w:after="0"/>
        <w:rPr>
          <w:rFonts w:ascii="Times New Roman" w:hAnsi="Times New Roman"/>
          <w:b/>
          <w:i/>
          <w:sz w:val="17"/>
        </w:rPr>
      </w:pPr>
      <w:r>
        <w:rPr>
          <w:rFonts w:ascii="Times New Roman" w:hAnsi="Times New Roman"/>
          <w:b/>
          <w:i/>
          <w:sz w:val="17"/>
        </w:rPr>
        <w:t xml:space="preserve">Interest on the Notes </w:t>
      </w:r>
    </w:p>
    <w:p>
      <w:pPr>
        <w:pStyle w:val="TextBody"/>
        <w:spacing w:before="120" w:after="0"/>
        <w:rPr>
          <w:rFonts w:ascii="Times New Roman" w:hAnsi="Times New Roman"/>
          <w:sz w:val="17"/>
        </w:rPr>
      </w:pPr>
      <w:r>
        <w:rPr>
          <w:rFonts w:ascii="Times New Roman" w:hAnsi="Times New Roman"/>
          <w:sz w:val="17"/>
        </w:rPr>
        <w:t xml:space="preserve">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does not actually or constructively own 10% or more of our capital or profits interests;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is not a controlled foreign corporation for U.S. federal income tax purposes that is actually or constructively related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is not a bank whose receipt of interest on the Note is in connection with an extension of credit made pursuant to a loan agreement entered into in the ordinary course of business;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properly certifies as to his foreign status as described below. </w:t>
            </w:r>
          </w:p>
        </w:tc>
      </w:tr>
    </w:tbl>
    <w:p>
      <w:pPr>
        <w:pStyle w:val="TextBody"/>
        <w:spacing w:before="240" w:after="0"/>
        <w:rPr>
          <w:rFonts w:ascii="Times New Roman" w:hAnsi="Times New Roman"/>
          <w:sz w:val="17"/>
        </w:rPr>
      </w:pPr>
      <w:r>
        <w:rPr>
          <w:rFonts w:ascii="Times New Roman" w:hAnsi="Times New Roman"/>
          <w:sz w:val="17"/>
        </w:rPr>
        <w:t xml:space="preserve">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 </w:t>
      </w:r>
    </w:p>
    <w:p>
      <w:pPr>
        <w:pStyle w:val="TextBody"/>
        <w:spacing w:before="240" w:after="0"/>
        <w:rPr>
          <w:rFonts w:ascii="Times New Roman" w:hAnsi="Times New Roman"/>
          <w:sz w:val="17"/>
        </w:rPr>
      </w:pPr>
      <w:r>
        <w:rPr>
          <w:rFonts w:ascii="Times New Roman" w:hAnsi="Times New Roman"/>
          <w:sz w:val="17"/>
        </w:rPr>
        <w:t xml:space="preserve">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 </w:t>
      </w:r>
    </w:p>
    <w:p>
      <w:pPr>
        <w:pStyle w:val="TextBody"/>
        <w:spacing w:before="240" w:after="0"/>
        <w:rPr>
          <w:rFonts w:ascii="Times New Roman" w:hAnsi="Times New Roman"/>
          <w:sz w:val="17"/>
        </w:rPr>
      </w:pPr>
      <w:r>
        <w:rPr>
          <w:rFonts w:ascii="Times New Roman" w:hAnsi="Times New Roman"/>
          <w:sz w:val="17"/>
        </w:rPr>
        <w:t xml:space="preserve">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 applicable successor form) claiming an exemption from or reduction of the rate of withholding under the benefit of an income tax treaty, or that the interest paid on the Note is effectively connected with the Non-U.S. Holders conduct of a trade or business in the United States and the Non-U.S. Holder satisfies the certification requirements described below. See Income or Gain Effectively Connected with a U.S. Trade or Business.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17"/>
        </w:rPr>
      </w:pPr>
      <w:r>
        <w:rPr>
          <w:rFonts w:ascii="Times New Roman" w:hAnsi="Times New Roman"/>
          <w:b/>
          <w:i/>
          <w:sz w:val="17"/>
        </w:rPr>
        <w:t xml:space="preserve">Disposition of Notes </w:t>
      </w:r>
    </w:p>
    <w:p>
      <w:pPr>
        <w:pStyle w:val="TextBody"/>
        <w:spacing w:before="120" w:after="0"/>
        <w:rPr>
          <w:rFonts w:ascii="Times New Roman" w:hAnsi="Times New Roman"/>
          <w:sz w:val="17"/>
        </w:rPr>
      </w:pPr>
      <w:r>
        <w:rPr>
          <w:rFonts w:ascii="Times New Roman" w:hAnsi="Times New Roman"/>
          <w:sz w:val="17"/>
        </w:rPr>
        <w:t xml:space="preserve">Subject to the discussion of backup withholding and FATCA withholding, below, a Non-U.S. Holder generally will not be subject to U.S. federal income tax with respect to gain realized on the sale, exchange, retirement, redemption or other taxable disposition of a Note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the gain is effectively connected with the conduct by the Non-U.S. Holder of a trade or business in the United States (and if required by an applicable income tax treaty, is attributable to a permanent establishment maintained in the United States by the Non-U.S. Holder);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in the case of a Non-U.S. Holder who is a nonresident alien individual, such individual is present in the United States for 183 days or more in the taxable year of disposition and certain other conditions are met. </w:t>
            </w:r>
          </w:p>
        </w:tc>
      </w:tr>
    </w:tbl>
    <w:p>
      <w:pPr>
        <w:pStyle w:val="TextBody"/>
        <w:spacing w:before="240" w:after="0"/>
        <w:rPr>
          <w:rFonts w:ascii="Times New Roman" w:hAnsi="Times New Roman"/>
          <w:sz w:val="17"/>
        </w:rPr>
      </w:pPr>
      <w:r>
        <w:rPr>
          <w:rFonts w:ascii="Times New Roman" w:hAnsi="Times New Roman"/>
          <w:sz w:val="17"/>
        </w:rPr>
        <w:t xml:space="preserve">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 </w:t>
      </w:r>
    </w:p>
    <w:p>
      <w:pPr>
        <w:pStyle w:val="TextBody"/>
        <w:spacing w:before="360" w:after="0"/>
        <w:rPr>
          <w:rFonts w:ascii="Times New Roman" w:hAnsi="Times New Roman"/>
          <w:b/>
          <w:i/>
          <w:sz w:val="17"/>
        </w:rPr>
      </w:pPr>
      <w:r>
        <w:rPr>
          <w:rFonts w:ascii="Times New Roman" w:hAnsi="Times New Roman"/>
          <w:b/>
          <w:i/>
          <w:sz w:val="17"/>
        </w:rPr>
        <w:t xml:space="preserve">Income or Gain Effectively Connected with a U.S. Trade or Business </w:t>
      </w:r>
    </w:p>
    <w:p>
      <w:pPr>
        <w:pStyle w:val="TextBody"/>
        <w:spacing w:before="120" w:after="0"/>
        <w:rPr>
          <w:rFonts w:ascii="Times New Roman" w:hAnsi="Times New Roman"/>
          <w:sz w:val="17"/>
        </w:rPr>
      </w:pPr>
      <w:r>
        <w:rPr>
          <w:rFonts w:ascii="Times New Roman" w:hAnsi="Times New Roman"/>
          <w:sz w:val="17"/>
        </w:rPr>
        <w:t xml:space="preserve">If a Non-U.S. Holder of a Note is engaged in a trade or business in the United States and interest on a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or IRS Form W-8BEN-E (or applicable successor form) claiming exemption under an applicable income tax treaty) to the applicable withholding agent. For this purpose, interest received on a Note and gain recognized on the disposition of a Note will be included in earnings and profits if the interest or gain is effectively connected with the conduct by the Non-U.S. Holder of a U.S. trade or business. </w:t>
      </w:r>
    </w:p>
    <w:p>
      <w:pPr>
        <w:pStyle w:val="TextBody"/>
        <w:spacing w:before="360" w:after="0"/>
        <w:rPr>
          <w:rFonts w:ascii="Times New Roman" w:hAnsi="Times New Roman"/>
          <w:b/>
          <w:i/>
          <w:sz w:val="17"/>
        </w:rPr>
      </w:pPr>
      <w:r>
        <w:rPr>
          <w:rFonts w:ascii="Times New Roman" w:hAnsi="Times New Roman"/>
          <w:b/>
          <w:i/>
          <w:sz w:val="17"/>
        </w:rPr>
        <w:t xml:space="preserve">Information Reporting and Backup Withholding </w:t>
      </w:r>
    </w:p>
    <w:p>
      <w:pPr>
        <w:pStyle w:val="TextBody"/>
        <w:spacing w:before="120" w:after="0"/>
        <w:rPr>
          <w:rFonts w:ascii="Times New Roman" w:hAnsi="Times New Roman"/>
          <w:sz w:val="17"/>
        </w:rPr>
      </w:pPr>
      <w:r>
        <w:rPr>
          <w:rFonts w:ascii="Times New Roman" w:hAnsi="Times New Roman"/>
          <w:sz w:val="17"/>
        </w:rPr>
        <w:t xml:space="preserve">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 </w:t>
      </w:r>
    </w:p>
    <w:p>
      <w:pPr>
        <w:pStyle w:val="TextBody"/>
        <w:spacing w:before="240" w:after="0"/>
        <w:rPr>
          <w:rFonts w:ascii="Times New Roman" w:hAnsi="Times New Roman"/>
          <w:sz w:val="17"/>
        </w:rPr>
      </w:pPr>
      <w:r>
        <w:rPr>
          <w:rFonts w:ascii="Times New Roman" w:hAnsi="Times New Roman"/>
          <w:sz w:val="17"/>
        </w:rPr>
        <w:t xml:space="preserve">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 provided that the applicable withholding agent does not have actual knowledge or reason to know that the holder is a United States person. </w:t>
      </w:r>
    </w:p>
    <w:p>
      <w:pPr>
        <w:pStyle w:val="TextBody"/>
        <w:spacing w:before="240" w:after="0"/>
        <w:rPr>
          <w:rFonts w:ascii="Times New Roman" w:hAnsi="Times New Roman"/>
          <w:sz w:val="17"/>
        </w:rPr>
      </w:pPr>
      <w:r>
        <w:rPr>
          <w:rFonts w:ascii="Times New Roman" w:hAnsi="Times New Roman"/>
          <w:sz w:val="17"/>
        </w:rPr>
        <w:t xml:space="preserve">Payment of the proceeds from a disposition of a Note effected by the U.S. office of a U.S. or foreign broker will be subject to information reporting requirements and backup withholding unless the Non-U.S. Holder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a foreign person that derives 50% or more of its gross income for certain periods from the conduct of a trade or business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a controlled foreign corporation for U.S. federal income tax purposes;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a foreign partnership that, at any time during its taxable year, has more than 50% of its income or capital interests owned by United States persons or is engaged in the conduct of a U.S. trade or business. </w:t>
            </w:r>
          </w:p>
        </w:tc>
      </w:tr>
    </w:tbl>
    <w:p>
      <w:pPr>
        <w:pStyle w:val="TextBody"/>
        <w:spacing w:before="240" w:after="0"/>
        <w:rPr>
          <w:rFonts w:ascii="Times New Roman" w:hAnsi="Times New Roman"/>
          <w:sz w:val="17"/>
        </w:rPr>
      </w:pPr>
      <w:r>
        <w:rPr>
          <w:rFonts w:ascii="Times New Roman" w:hAnsi="Times New Roman"/>
          <w:sz w:val="17"/>
        </w:rPr>
        <w:t xml:space="preserve">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 </w:t>
      </w:r>
    </w:p>
    <w:p>
      <w:pPr>
        <w:pStyle w:val="TextBody"/>
        <w:spacing w:before="360" w:after="0"/>
        <w:rPr>
          <w:rFonts w:ascii="Times New Roman" w:hAnsi="Times New Roman"/>
          <w:b/>
          <w:sz w:val="17"/>
        </w:rPr>
      </w:pPr>
      <w:r>
        <w:rPr>
          <w:rFonts w:ascii="Times New Roman" w:hAnsi="Times New Roman"/>
          <w:b/>
          <w:sz w:val="17"/>
        </w:rPr>
        <w:t xml:space="preserve">Withholding on Payments to Certain Foreign Entities </w:t>
      </w:r>
    </w:p>
    <w:p>
      <w:pPr>
        <w:pStyle w:val="TextBody"/>
        <w:spacing w:before="120" w:after="0"/>
        <w:rPr>
          <w:rFonts w:ascii="Times New Roman" w:hAnsi="Times New Roman"/>
          <w:sz w:val="17"/>
        </w:rPr>
      </w:pPr>
      <w:r>
        <w:rPr>
          <w:rFonts w:ascii="Times New Roman" w:hAnsi="Times New Roman"/>
          <w:sz w:val="17"/>
        </w:rPr>
        <w:t xml:space="preserve">Sections 1471 through 1474 of the Code and the U.S. Treasury Regulations and administrative guidance issued thereunder (pursuant to the provisions of the Foreign Account Tax Compliance Act or FATCA) impose a 30% withholding tax on any U.S.-source interest paid on debt obligations issued on or after July 1, 2014, such as the Notes, and on the gross proceeds from a disposition of such obligations occurring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or (iii) the foreign financial institution or non-financial foreign entity otherwise qualifies for an exemption from these rules. Foreign financial institutions located in jurisdictions that have an intergovernmental agreement with the United States with respect to these rules may be subject to different rules. Under certain circumstances, a beneficial owner of the Notes might be eligible for refunds or credits of such taxes. </w:t>
      </w:r>
    </w:p>
    <w:p>
      <w:pPr>
        <w:pStyle w:val="TextBody"/>
        <w:spacing w:before="240" w:after="0"/>
        <w:rPr>
          <w:rFonts w:ascii="Times New Roman" w:hAnsi="Times New Roman"/>
          <w:sz w:val="17"/>
        </w:rPr>
      </w:pPr>
      <w:r>
        <w:rPr>
          <w:rFonts w:ascii="Times New Roman" w:hAnsi="Times New Roman"/>
          <w:sz w:val="17"/>
        </w:rPr>
        <w:t xml:space="preserve">The rules under FATCA are new and complex. You are encouraged to consult with your own tax advisor regarding the implications of FATCA on your investment in the Notes. </w:t>
      </w:r>
    </w:p>
    <w:p>
      <w:pPr>
        <w:pStyle w:val="TextBody"/>
        <w:spacing w:before="240" w:after="0"/>
        <w:rPr>
          <w:rFonts w:ascii="Times New Roman" w:hAnsi="Times New Roman"/>
          <w:sz w:val="17"/>
        </w:rPr>
      </w:pPr>
      <w:r>
        <w:rPr>
          <w:rFonts w:ascii="Times New Roman" w:hAnsi="Times New Roman"/>
          <w:sz w:val="17"/>
        </w:rPr>
        <w:t xml:space="preserve">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3" w:name="supprom829341_11"/>
      <w:bookmarkEnd w:id="13"/>
      <w:r>
        <w:rPr>
          <w:rFonts w:ascii="Times New Roman" w:hAnsi="Times New Roman"/>
          <w:b/>
          <w:sz w:val="17"/>
        </w:rPr>
        <w:t xml:space="preserve">UNDERWRITING </w:t>
      </w:r>
    </w:p>
    <w:p>
      <w:pPr>
        <w:pStyle w:val="TextBody"/>
        <w:spacing w:before="240" w:after="0"/>
        <w:rPr>
          <w:rFonts w:ascii="Times New Roman" w:hAnsi="Times New Roman"/>
          <w:sz w:val="17"/>
        </w:rPr>
      </w:pPr>
      <w:r>
        <w:rPr>
          <w:rFonts w:ascii="Times New Roman" w:hAnsi="Times New Roman"/>
          <w:sz w:val="17"/>
        </w:rPr>
        <w:t xml:space="preserve">Subject to the terms and conditions set forth in an underwriting agreement, dated the date of this prospectus supplement, between us and the underwriters named below, we have agreed to sell to each of the underwriters, for whom Barclays Capital Inc., SunTrust Robinson Humphrey, Inc. and Wells Fargo Securities, LLC are acting as representatives, and the underwriters have agreed, severally and not jointly, to purchase the principal amount of the Notes of each series set forth opposite their respective names below: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741"/>
        <w:gridCol w:w="393"/>
        <w:gridCol w:w="140"/>
        <w:gridCol w:w="1344"/>
        <w:gridCol w:w="127"/>
        <w:gridCol w:w="393"/>
        <w:gridCol w:w="140"/>
        <w:gridCol w:w="1344"/>
        <w:gridCol w:w="133"/>
      </w:tblGrid>
      <w:tr>
        <w:trPr/>
        <w:tc>
          <w:tcPr>
            <w:tcW w:w="374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3741"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48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Principal Amount</w:t>
            </w:r>
          </w:p>
        </w:tc>
        <w:tc>
          <w:tcPr>
            <w:tcW w:w="133" w:type="dxa"/>
            <w:tcBorders/>
            <w:shd w:fill="auto" w:val="clear"/>
            <w:vAlign w:val="bottom"/>
          </w:tcPr>
          <w:p>
            <w:pPr>
              <w:pStyle w:val="TableContents"/>
              <w:spacing w:before="0" w:after="283"/>
              <w:rPr/>
            </w:pPr>
            <w:r>
              <w:rPr/>
              <w:t> </w:t>
            </w:r>
          </w:p>
        </w:tc>
      </w:tr>
      <w:tr>
        <w:trPr/>
        <w:tc>
          <w:tcPr>
            <w:tcW w:w="3741"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Underwriter</w:t>
            </w:r>
          </w:p>
        </w:tc>
        <w:tc>
          <w:tcPr>
            <w:tcW w:w="393" w:type="dxa"/>
            <w:tcBorders/>
            <w:shd w:fill="auto" w:val="clear"/>
            <w:vAlign w:val="bottom"/>
          </w:tcPr>
          <w:p>
            <w:pPr>
              <w:pStyle w:val="TableContents"/>
              <w:spacing w:before="0" w:after="283"/>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 Notes</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2045 Notes</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Barclays Capital Inc.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44" w:type="dxa"/>
            <w:tcBorders/>
            <w:shd w:fill="CCEEFF" w:val="clear"/>
            <w:vAlign w:val="bottom"/>
          </w:tcPr>
          <w:p>
            <w:pPr>
              <w:pStyle w:val="TableContents"/>
              <w:spacing w:before="0" w:after="283"/>
              <w:jc w:val="right"/>
              <w:rPr/>
            </w:pPr>
            <w:r>
              <w:rPr/>
              <w:t>80,000,000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44" w:type="dxa"/>
            <w:tcBorders/>
            <w:shd w:fill="CCEEFF" w:val="clear"/>
            <w:vAlign w:val="bottom"/>
          </w:tcPr>
          <w:p>
            <w:pPr>
              <w:pStyle w:val="TableContents"/>
              <w:spacing w:before="0" w:after="283"/>
              <w:jc w:val="right"/>
              <w:rPr/>
            </w:pPr>
            <w:r>
              <w:rPr/>
              <w:t>104,000,000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SunTrust Robinson Humphrey, Inc.</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80,000,000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104,000,000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Wells Fargo Securities, LLC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80,000,000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104,000,000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BBVA Securities Inc.</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40,000,000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52,000,000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RBC Capital Markets, LLC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40,000,000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52,000,000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SMBC Nikko Securities America, Inc.</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40,000,000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52,000,000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Deutsche Bank Securities Inc.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20,000,000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26,000,000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Mitsubishi UFJ Securities (USA), LLC</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20,000,000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26,000,000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Scotia Capital (USA) Inc.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20,000,000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26,000,000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BMO Capital Markets Corp.</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13,000,000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CIBC World Markets Corp.</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13,000,000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Fifth Third Securities, Inc.</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13,000,000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ING Financial Markets LLC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13,000,000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PNC Capital Markets LLC</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13,000,000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Regions Securities LLC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13,000,000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SG Americas Securities, LLC</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13,000,000</w:t>
            </w:r>
          </w:p>
        </w:tc>
        <w:tc>
          <w:tcPr>
            <w:tcW w:w="133"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283"/>
              <w:rPr>
                <w:rFonts w:ascii="Times New Roman" w:hAnsi="Times New Roman"/>
                <w:sz w:val="17"/>
              </w:rPr>
            </w:pPr>
            <w:r>
              <w:rPr>
                <w:rFonts w:ascii="Times New Roman" w:hAnsi="Times New Roman"/>
                <w:sz w:val="17"/>
              </w:rPr>
              <w:t>U.S. Bancorp Investments, Inc.</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10,000,000</w:t>
            </w:r>
          </w:p>
        </w:tc>
        <w:tc>
          <w:tcPr>
            <w:tcW w:w="127"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13,000,000</w:t>
            </w:r>
          </w:p>
        </w:tc>
        <w:tc>
          <w:tcPr>
            <w:tcW w:w="133" w:type="dxa"/>
            <w:tcBorders/>
            <w:shd w:fill="CCEEFF" w:val="clear"/>
            <w:vAlign w:val="bottom"/>
          </w:tcPr>
          <w:p>
            <w:pPr>
              <w:pStyle w:val="TableContents"/>
              <w:spacing w:before="0" w:after="283"/>
              <w:rPr/>
            </w:pPr>
            <w:r>
              <w:rPr/>
              <w:t>  </w:t>
            </w:r>
          </w:p>
        </w:tc>
      </w:tr>
      <w:tr>
        <w:trPr/>
        <w:tc>
          <w:tcPr>
            <w:tcW w:w="3741"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344"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344"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741"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44" w:type="dxa"/>
            <w:tcBorders/>
            <w:shd w:fill="auto" w:val="clear"/>
            <w:vAlign w:val="bottom"/>
          </w:tcPr>
          <w:p>
            <w:pPr>
              <w:pStyle w:val="TableContents"/>
              <w:spacing w:before="0" w:after="283"/>
              <w:jc w:val="right"/>
              <w:rPr/>
            </w:pPr>
            <w:r>
              <w:rPr/>
              <w:t>500,000,000</w:t>
            </w:r>
          </w:p>
        </w:tc>
        <w:tc>
          <w:tcPr>
            <w:tcW w:w="12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44" w:type="dxa"/>
            <w:tcBorders/>
            <w:shd w:fill="auto" w:val="clear"/>
            <w:vAlign w:val="bottom"/>
          </w:tcPr>
          <w:p>
            <w:pPr>
              <w:pStyle w:val="TableContents"/>
              <w:spacing w:before="0" w:after="283"/>
              <w:jc w:val="right"/>
              <w:rPr/>
            </w:pPr>
            <w:r>
              <w:rPr/>
              <w:t>650,000,000</w:t>
            </w:r>
          </w:p>
        </w:tc>
        <w:tc>
          <w:tcPr>
            <w:tcW w:w="133" w:type="dxa"/>
            <w:tcBorders/>
            <w:shd w:fill="auto" w:val="clear"/>
            <w:vAlign w:val="bottom"/>
          </w:tcPr>
          <w:p>
            <w:pPr>
              <w:pStyle w:val="TableContents"/>
              <w:spacing w:before="0" w:after="283"/>
              <w:rPr/>
            </w:pPr>
            <w:r>
              <w:rPr/>
              <w:t>  </w:t>
            </w:r>
          </w:p>
        </w:tc>
      </w:tr>
      <w:tr>
        <w:trPr/>
        <w:tc>
          <w:tcPr>
            <w:tcW w:w="3741"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344"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344"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240" w:after="0"/>
        <w:rPr>
          <w:rFonts w:ascii="Times New Roman" w:hAnsi="Times New Roman"/>
          <w:sz w:val="17"/>
        </w:rPr>
      </w:pPr>
      <w:r>
        <w:rPr>
          <w:rFonts w:ascii="Times New Roman" w:hAnsi="Times New Roman"/>
          <w:sz w:val="17"/>
        </w:rPr>
        <w:t xml:space="preserve">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 </w:t>
      </w:r>
    </w:p>
    <w:p>
      <w:pPr>
        <w:pStyle w:val="TextBody"/>
        <w:spacing w:before="360" w:after="0"/>
        <w:rPr>
          <w:rFonts w:ascii="Times New Roman" w:hAnsi="Times New Roman"/>
          <w:b/>
          <w:sz w:val="17"/>
        </w:rPr>
      </w:pPr>
      <w:r>
        <w:rPr>
          <w:rFonts w:ascii="Times New Roman" w:hAnsi="Times New Roman"/>
          <w:b/>
          <w:sz w:val="17"/>
        </w:rPr>
        <w:t xml:space="preserve">Underwriting Discounts </w:t>
      </w:r>
    </w:p>
    <w:p>
      <w:pPr>
        <w:pStyle w:val="TextBody"/>
        <w:spacing w:before="120" w:after="0"/>
        <w:rPr>
          <w:rFonts w:ascii="Times New Roman" w:hAnsi="Times New Roman"/>
          <w:sz w:val="17"/>
        </w:rPr>
      </w:pPr>
      <w:r>
        <w:rPr>
          <w:rFonts w:ascii="Times New Roman" w:hAnsi="Times New Roman"/>
          <w:sz w:val="17"/>
        </w:rPr>
        <w:t xml:space="preserve">The underwriters propose initially to offer the Notes to the public at the public offering prices set forth on the cover page of this prospectus supplement and may offer the 2019 Notes to certain dealers at such price less a concession not in excess of 0.35% of the principal amount of the 2019 Notes and the 2045 Notes to certain dealers at such price less a concession not in excess of 0.50% of the principal amount of the 2045 Notes. The underwriters may allow a discount with respect to the 2019 Notes not in excess of 0.225% of the principal amount of the 2019 Notes and with respect to the 2045 Notes not in excess of 0.30% of the principal amount of the 2045 Notes, in each case on sales to certain other brokers and dealers. After this initial public offering, the public offering price, concession and discount may be changed.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The following table summarizes the compensation to be paid by us to the underwriters.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513"/>
        <w:gridCol w:w="585"/>
        <w:gridCol w:w="194"/>
        <w:gridCol w:w="1367"/>
        <w:gridCol w:w="280"/>
      </w:tblGrid>
      <w:tr>
        <w:trPr/>
        <w:tc>
          <w:tcPr>
            <w:tcW w:w="451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4513"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156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Underwriting</w:t>
            </w:r>
            <w:r>
              <w:rPr/>
              <w:br/>
            </w:r>
            <w:r>
              <w:rPr>
                <w:b/>
              </w:rPr>
              <w:t>Discount</w:t>
            </w:r>
          </w:p>
        </w:tc>
        <w:tc>
          <w:tcPr>
            <w:tcW w:w="280" w:type="dxa"/>
            <w:tcBorders/>
            <w:shd w:fill="auto" w:val="clear"/>
            <w:vAlign w:val="bottom"/>
          </w:tcPr>
          <w:p>
            <w:pPr>
              <w:pStyle w:val="TableContents"/>
              <w:spacing w:before="0" w:after="283"/>
              <w:rPr/>
            </w:pPr>
            <w:r>
              <w:rPr/>
              <w:t> </w:t>
            </w:r>
          </w:p>
        </w:tc>
      </w:tr>
      <w:tr>
        <w:trPr/>
        <w:tc>
          <w:tcPr>
            <w:tcW w:w="4513" w:type="dxa"/>
            <w:tcBorders/>
            <w:shd w:fill="CCEEFF" w:val="clear"/>
          </w:tcPr>
          <w:p>
            <w:pPr>
              <w:pStyle w:val="TableContents"/>
              <w:spacing w:before="0" w:after="283"/>
              <w:rPr>
                <w:rFonts w:ascii="Times New Roman" w:hAnsi="Times New Roman"/>
                <w:sz w:val="17"/>
              </w:rPr>
            </w:pPr>
            <w:r>
              <w:rPr>
                <w:rFonts w:ascii="Times New Roman" w:hAnsi="Times New Roman"/>
                <w:sz w:val="17"/>
              </w:rPr>
              <w:t>Per 2019 Note</w:t>
            </w:r>
          </w:p>
        </w:tc>
        <w:tc>
          <w:tcPr>
            <w:tcW w:w="58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0.600</w:t>
            </w:r>
          </w:p>
        </w:tc>
        <w:tc>
          <w:tcPr>
            <w:tcW w:w="280" w:type="dxa"/>
            <w:tcBorders/>
            <w:shd w:fill="CCEEFF" w:val="clear"/>
            <w:vAlign w:val="bottom"/>
          </w:tcPr>
          <w:p>
            <w:pPr>
              <w:pStyle w:val="TableContents"/>
              <w:spacing w:before="0" w:after="283"/>
              <w:rPr/>
            </w:pPr>
            <w:r>
              <w:rPr/>
              <w:t>% </w:t>
            </w:r>
          </w:p>
        </w:tc>
      </w:tr>
      <w:tr>
        <w:trPr/>
        <w:tc>
          <w:tcPr>
            <w:tcW w:w="4513"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58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w:t>
            </w:r>
          </w:p>
        </w:tc>
        <w:tc>
          <w:tcPr>
            <w:tcW w:w="1367" w:type="dxa"/>
            <w:tcBorders/>
            <w:shd w:fill="auto" w:val="clear"/>
            <w:vAlign w:val="bottom"/>
          </w:tcPr>
          <w:p>
            <w:pPr>
              <w:pStyle w:val="TableContents"/>
              <w:spacing w:before="0" w:after="283"/>
              <w:jc w:val="right"/>
              <w:rPr/>
            </w:pPr>
            <w:r>
              <w:rPr/>
              <w:t>3,000,000</w:t>
            </w:r>
          </w:p>
        </w:tc>
        <w:tc>
          <w:tcPr>
            <w:tcW w:w="280" w:type="dxa"/>
            <w:tcBorders/>
            <w:shd w:fill="auto" w:val="clear"/>
            <w:vAlign w:val="bottom"/>
          </w:tcPr>
          <w:p>
            <w:pPr>
              <w:pStyle w:val="TableContents"/>
              <w:spacing w:before="0" w:after="283"/>
              <w:rPr/>
            </w:pPr>
            <w:r>
              <w:rPr/>
              <w:t>  </w:t>
            </w:r>
          </w:p>
        </w:tc>
      </w:tr>
      <w:tr>
        <w:trPr/>
        <w:tc>
          <w:tcPr>
            <w:tcW w:w="4513" w:type="dxa"/>
            <w:tcBorders/>
            <w:shd w:fill="auto" w:val="clear"/>
            <w:vAlign w:val="bottom"/>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pBdr>
                <w:top w:val="double" w:sz="6" w:space="1" w:color="000000"/>
              </w:pBdr>
              <w:spacing w:before="0" w:after="283"/>
              <w:rPr/>
            </w:pPr>
            <w:r>
              <w:rPr/>
              <w:t> </w:t>
            </w:r>
          </w:p>
        </w:tc>
        <w:tc>
          <w:tcPr>
            <w:tcW w:w="1367" w:type="dxa"/>
            <w:tcBorders/>
            <w:shd w:fill="auto" w:val="clear"/>
            <w:vAlign w:val="bottom"/>
          </w:tcPr>
          <w:p>
            <w:pPr>
              <w:pStyle w:val="TableContents"/>
              <w:pBdr>
                <w:top w:val="double" w:sz="6" w:space="1" w:color="000000"/>
              </w:pBdr>
              <w:spacing w:before="0" w:after="283"/>
              <w:rPr/>
            </w:pPr>
            <w:r>
              <w:rPr/>
              <w:t> </w:t>
            </w:r>
          </w:p>
        </w:tc>
        <w:tc>
          <w:tcPr>
            <w:tcW w:w="280" w:type="dxa"/>
            <w:tcBorders/>
            <w:shd w:fill="auto" w:val="clear"/>
            <w:vAlign w:val="center"/>
          </w:tcPr>
          <w:p>
            <w:pPr>
              <w:pStyle w:val="TableContents"/>
              <w:spacing w:before="0" w:after="283"/>
              <w:rPr/>
            </w:pPr>
            <w:r>
              <w:rPr/>
              <w:t> </w:t>
            </w:r>
          </w:p>
        </w:tc>
      </w:tr>
      <w:tr>
        <w:trPr/>
        <w:tc>
          <w:tcPr>
            <w:tcW w:w="4513" w:type="dxa"/>
            <w:tcBorders/>
            <w:shd w:fill="CCEEFF" w:val="clear"/>
          </w:tcPr>
          <w:p>
            <w:pPr>
              <w:pStyle w:val="TableContents"/>
              <w:spacing w:before="0" w:after="283"/>
              <w:rPr>
                <w:rFonts w:ascii="Times New Roman" w:hAnsi="Times New Roman"/>
                <w:sz w:val="17"/>
              </w:rPr>
            </w:pPr>
            <w:r>
              <w:rPr>
                <w:rFonts w:ascii="Times New Roman" w:hAnsi="Times New Roman"/>
                <w:sz w:val="17"/>
              </w:rPr>
              <w:t>Per 2045 Note</w:t>
            </w:r>
          </w:p>
        </w:tc>
        <w:tc>
          <w:tcPr>
            <w:tcW w:w="58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0.875</w:t>
            </w:r>
          </w:p>
        </w:tc>
        <w:tc>
          <w:tcPr>
            <w:tcW w:w="280" w:type="dxa"/>
            <w:tcBorders/>
            <w:shd w:fill="CCEEFF" w:val="clear"/>
            <w:vAlign w:val="bottom"/>
          </w:tcPr>
          <w:p>
            <w:pPr>
              <w:pStyle w:val="TableContents"/>
              <w:spacing w:before="0" w:after="283"/>
              <w:rPr/>
            </w:pPr>
            <w:r>
              <w:rPr/>
              <w:t>% </w:t>
            </w:r>
          </w:p>
        </w:tc>
      </w:tr>
      <w:tr>
        <w:trPr/>
        <w:tc>
          <w:tcPr>
            <w:tcW w:w="4513"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58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w:t>
            </w:r>
          </w:p>
        </w:tc>
        <w:tc>
          <w:tcPr>
            <w:tcW w:w="1367" w:type="dxa"/>
            <w:tcBorders/>
            <w:shd w:fill="auto" w:val="clear"/>
            <w:vAlign w:val="bottom"/>
          </w:tcPr>
          <w:p>
            <w:pPr>
              <w:pStyle w:val="TableContents"/>
              <w:spacing w:before="0" w:after="283"/>
              <w:jc w:val="right"/>
              <w:rPr/>
            </w:pPr>
            <w:r>
              <w:rPr/>
              <w:t>5,687,500</w:t>
            </w:r>
          </w:p>
        </w:tc>
        <w:tc>
          <w:tcPr>
            <w:tcW w:w="280" w:type="dxa"/>
            <w:tcBorders/>
            <w:shd w:fill="auto" w:val="clear"/>
            <w:vAlign w:val="bottom"/>
          </w:tcPr>
          <w:p>
            <w:pPr>
              <w:pStyle w:val="TableContents"/>
              <w:spacing w:before="0" w:after="283"/>
              <w:rPr/>
            </w:pPr>
            <w:r>
              <w:rPr/>
              <w:t>  </w:t>
            </w:r>
          </w:p>
        </w:tc>
      </w:tr>
      <w:tr>
        <w:trPr/>
        <w:tc>
          <w:tcPr>
            <w:tcW w:w="4513" w:type="dxa"/>
            <w:tcBorders/>
            <w:shd w:fill="auto" w:val="clear"/>
            <w:vAlign w:val="bottom"/>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pBdr>
                <w:top w:val="double" w:sz="6" w:space="1" w:color="000000"/>
              </w:pBdr>
              <w:spacing w:before="0" w:after="283"/>
              <w:rPr/>
            </w:pPr>
            <w:r>
              <w:rPr/>
              <w:t> </w:t>
            </w:r>
          </w:p>
        </w:tc>
        <w:tc>
          <w:tcPr>
            <w:tcW w:w="1367" w:type="dxa"/>
            <w:tcBorders/>
            <w:shd w:fill="auto" w:val="clear"/>
            <w:vAlign w:val="bottom"/>
          </w:tcPr>
          <w:p>
            <w:pPr>
              <w:pStyle w:val="TableContents"/>
              <w:pBdr>
                <w:top w:val="double" w:sz="6" w:space="1" w:color="000000"/>
              </w:pBdr>
              <w:spacing w:before="0" w:after="283"/>
              <w:rPr/>
            </w:pPr>
            <w:r>
              <w:rPr/>
              <w:t> </w:t>
            </w:r>
          </w:p>
        </w:tc>
        <w:tc>
          <w:tcPr>
            <w:tcW w:w="280" w:type="dxa"/>
            <w:tcBorders/>
            <w:shd w:fill="auto" w:val="clear"/>
            <w:vAlign w:val="center"/>
          </w:tcPr>
          <w:p>
            <w:pPr>
              <w:pStyle w:val="TableContents"/>
              <w:spacing w:before="0" w:after="283"/>
              <w:rPr/>
            </w:pPr>
            <w:r>
              <w:rPr/>
              <w:t> </w:t>
            </w:r>
          </w:p>
        </w:tc>
      </w:tr>
    </w:tbl>
    <w:p>
      <w:pPr>
        <w:pStyle w:val="TextBody"/>
        <w:spacing w:before="240" w:after="0"/>
        <w:rPr>
          <w:rFonts w:ascii="Times New Roman" w:hAnsi="Times New Roman"/>
          <w:sz w:val="17"/>
        </w:rPr>
      </w:pPr>
      <w:r>
        <w:rPr>
          <w:rFonts w:ascii="Times New Roman" w:hAnsi="Times New Roman"/>
          <w:sz w:val="17"/>
        </w:rPr>
        <w:t xml:space="preserve">We estimate that our share of the total expenses of the offering, excluding the underwriting discount, will be approximately $1.7 million. </w:t>
      </w:r>
    </w:p>
    <w:p>
      <w:pPr>
        <w:pStyle w:val="TextBody"/>
        <w:spacing w:before="360" w:after="0"/>
        <w:rPr>
          <w:rFonts w:ascii="Times New Roman" w:hAnsi="Times New Roman"/>
          <w:b/>
          <w:sz w:val="17"/>
        </w:rPr>
      </w:pPr>
      <w:r>
        <w:rPr>
          <w:rFonts w:ascii="Times New Roman" w:hAnsi="Times New Roman"/>
          <w:b/>
          <w:sz w:val="17"/>
        </w:rPr>
        <w:t xml:space="preserve">New Issue of Notes </w:t>
      </w:r>
    </w:p>
    <w:p>
      <w:pPr>
        <w:pStyle w:val="TextBody"/>
        <w:spacing w:before="120" w:after="0"/>
        <w:rPr>
          <w:rFonts w:ascii="Times New Roman" w:hAnsi="Times New Roman"/>
          <w:sz w:val="17"/>
        </w:rPr>
      </w:pPr>
      <w:r>
        <w:rPr>
          <w:rFonts w:ascii="Times New Roman" w:hAnsi="Times New Roman"/>
          <w:sz w:val="17"/>
        </w:rPr>
        <w:t xml:space="preserve">Each series of Notes is a new issue of securities with no established trading market. We do not currently intend to apply for listing of either series of the Notes on any securities exchange or have either series of the Notes quoted on any automated quotation system. We have been advised by the underwriters that the underwriters intend to make a market in the Notes of each series but are not obligated to do so and may discontinue market making at any time without notice. No assurance can be given as to whether or not a trading market for the Notes of either series will develop or as to the liquidity of any trading market for the Notes which may develop. </w:t>
      </w:r>
    </w:p>
    <w:p>
      <w:pPr>
        <w:pStyle w:val="TextBody"/>
        <w:spacing w:before="360" w:after="0"/>
        <w:rPr>
          <w:rFonts w:ascii="Times New Roman" w:hAnsi="Times New Roman"/>
          <w:b/>
          <w:sz w:val="17"/>
        </w:rPr>
      </w:pPr>
      <w:r>
        <w:rPr>
          <w:rFonts w:ascii="Times New Roman" w:hAnsi="Times New Roman"/>
          <w:b/>
          <w:sz w:val="17"/>
        </w:rPr>
        <w:t xml:space="preserve">Stabilization and Short Positions </w:t>
      </w:r>
    </w:p>
    <w:p>
      <w:pPr>
        <w:pStyle w:val="TextBody"/>
        <w:spacing w:before="120" w:after="0"/>
        <w:rPr>
          <w:rFonts w:ascii="Times New Roman" w:hAnsi="Times New Roman"/>
          <w:sz w:val="17"/>
        </w:rPr>
      </w:pPr>
      <w:r>
        <w:rPr>
          <w:rFonts w:ascii="Times New Roman" w:hAnsi="Times New Roman"/>
          <w:sz w:val="17"/>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w:t>
      </w:r>
    </w:p>
    <w:p>
      <w:pPr>
        <w:pStyle w:val="TextBody"/>
        <w:spacing w:before="240" w:after="0"/>
        <w:rPr>
          <w:rFonts w:ascii="Times New Roman" w:hAnsi="Times New Roman"/>
          <w:sz w:val="17"/>
        </w:rPr>
      </w:pPr>
      <w:r>
        <w:rPr>
          <w:rFonts w:ascii="Times New Roman" w:hAnsi="Times New Roman"/>
          <w:sz w:val="17"/>
        </w:rPr>
        <w:t xml:space="preserve">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spacing w:before="360" w:after="0"/>
        <w:rPr>
          <w:rFonts w:ascii="Times New Roman" w:hAnsi="Times New Roman"/>
          <w:b/>
          <w:sz w:val="17"/>
        </w:rPr>
      </w:pPr>
      <w:r>
        <w:rPr>
          <w:rFonts w:ascii="Times New Roman" w:hAnsi="Times New Roman"/>
          <w:b/>
          <w:sz w:val="17"/>
        </w:rPr>
        <w:t xml:space="preserve">Settlement </w:t>
      </w:r>
    </w:p>
    <w:p>
      <w:pPr>
        <w:pStyle w:val="TextBody"/>
        <w:spacing w:before="120" w:after="0"/>
        <w:rPr>
          <w:rFonts w:ascii="Times New Roman" w:hAnsi="Times New Roman"/>
          <w:sz w:val="17"/>
        </w:rPr>
      </w:pPr>
      <w:r>
        <w:rPr>
          <w:rFonts w:ascii="Times New Roman" w:hAnsi="Times New Roman"/>
          <w:sz w:val="17"/>
        </w:rPr>
        <w:t xml:space="preserve">We expect delivery of the Notes will be made against payment therefor on or about December 9, 2014, which is the fifth business day following the date of pricing of the Notes (such settlement being referred to as T+5). Under Rule 15c6-1 of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Selling Restrictions </w:t>
      </w:r>
    </w:p>
    <w:p>
      <w:pPr>
        <w:pStyle w:val="TextBody"/>
        <w:spacing w:before="120" w:after="0"/>
        <w:rPr>
          <w:rFonts w:ascii="Times New Roman" w:hAnsi="Times New Roman"/>
          <w:b/>
          <w:i/>
          <w:sz w:val="17"/>
        </w:rPr>
      </w:pPr>
      <w:r>
        <w:rPr>
          <w:rFonts w:ascii="Times New Roman" w:hAnsi="Times New Roman"/>
          <w:b/>
          <w:i/>
          <w:sz w:val="17"/>
        </w:rPr>
        <w:t xml:space="preserve">Notice to Prospective Investors in the United Kingdom </w:t>
      </w:r>
    </w:p>
    <w:p>
      <w:pPr>
        <w:pStyle w:val="TextBody"/>
        <w:spacing w:before="120" w:after="0"/>
        <w:rPr>
          <w:rFonts w:ascii="Times New Roman" w:hAnsi="Times New Roman"/>
          <w:sz w:val="17"/>
        </w:rPr>
      </w:pPr>
      <w:r>
        <w:rPr>
          <w:rFonts w:ascii="Times New Roman" w:hAnsi="Times New Roman"/>
          <w:sz w:val="17"/>
        </w:rPr>
        <w:t xml:space="preserve">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 </w:t>
      </w:r>
    </w:p>
    <w:p>
      <w:pPr>
        <w:pStyle w:val="TextBody"/>
        <w:spacing w:before="240" w:after="0"/>
        <w:rPr>
          <w:rFonts w:ascii="Times New Roman" w:hAnsi="Times New Roman"/>
          <w:sz w:val="17"/>
        </w:rPr>
      </w:pPr>
      <w:r>
        <w:rPr>
          <w:rFonts w:ascii="Times New Roman" w:hAnsi="Times New Roman"/>
          <w:sz w:val="17"/>
        </w:rPr>
        <w:t xml:space="preserve">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spacing w:before="240" w:after="0"/>
        <w:rPr>
          <w:rFonts w:ascii="Times New Roman" w:hAnsi="Times New Roman"/>
          <w:sz w:val="17"/>
        </w:rPr>
      </w:pPr>
      <w:r>
        <w:rPr>
          <w:rFonts w:ascii="Times New Roman" w:hAnsi="Times New Roman"/>
          <w:sz w:val="17"/>
        </w:rPr>
        <w:t xml:space="preserve">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 </w:t>
      </w:r>
    </w:p>
    <w:p>
      <w:pPr>
        <w:pStyle w:val="TextBody"/>
        <w:spacing w:before="360" w:after="0"/>
        <w:rPr>
          <w:rFonts w:ascii="Times New Roman" w:hAnsi="Times New Roman"/>
          <w:b/>
          <w:i/>
          <w:sz w:val="17"/>
        </w:rPr>
      </w:pPr>
      <w:r>
        <w:rPr>
          <w:rFonts w:ascii="Times New Roman" w:hAnsi="Times New Roman"/>
          <w:b/>
          <w:i/>
          <w:sz w:val="17"/>
        </w:rPr>
        <w:t xml:space="preserve">Notice to Prospective Investors in the European Economic Area </w:t>
      </w:r>
    </w:p>
    <w:p>
      <w:pPr>
        <w:pStyle w:val="TextBody"/>
        <w:spacing w:before="120" w:after="0"/>
        <w:rPr>
          <w:rFonts w:ascii="Times New Roman" w:hAnsi="Times New Roman"/>
          <w:sz w:val="17"/>
        </w:rPr>
      </w:pPr>
      <w:r>
        <w:rPr>
          <w:rFonts w:ascii="Times New Roman" w:hAnsi="Times New Roman"/>
          <w:sz w:val="17"/>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in any other circumstances falling within Article 3(2) of the Prospectus Directive; </w:t>
            </w:r>
          </w:p>
        </w:tc>
      </w:tr>
    </w:tbl>
    <w:p>
      <w:pPr>
        <w:pStyle w:val="TextBody"/>
        <w:spacing w:before="240" w:after="0"/>
        <w:rPr>
          <w:rFonts w:ascii="Times New Roman" w:hAnsi="Times New Roman"/>
          <w:sz w:val="17"/>
        </w:rPr>
      </w:pPr>
      <w:r>
        <w:rPr>
          <w:rFonts w:ascii="Times New Roman" w:hAnsi="Times New Roman"/>
          <w:sz w:val="17"/>
        </w:rPr>
        <w:t xml:space="preserve">provided that no such offer of securities shall require us or any underwriter to publish a prospectus pursuant to Article 3 of the Prospectus Directive. </w:t>
      </w:r>
    </w:p>
    <w:p>
      <w:pPr>
        <w:pStyle w:val="TextBody"/>
        <w:spacing w:before="240" w:after="0"/>
        <w:rPr>
          <w:rFonts w:ascii="Times New Roman" w:hAnsi="Times New Roman"/>
          <w:sz w:val="17"/>
        </w:rPr>
      </w:pPr>
      <w:r>
        <w:rPr>
          <w:rFonts w:ascii="Times New Roman" w:hAnsi="Times New Roman"/>
          <w:sz w:val="17"/>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240" w:after="0"/>
        <w:rPr>
          <w:rFonts w:ascii="Times New Roman" w:hAnsi="Times New Roman"/>
          <w:sz w:val="17"/>
        </w:rPr>
      </w:pPr>
      <w:r>
        <w:rPr>
          <w:rFonts w:ascii="Times New Roman" w:hAnsi="Times New Roman"/>
          <w:sz w:val="17"/>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Other Relationships </w:t>
      </w:r>
    </w:p>
    <w:p>
      <w:pPr>
        <w:pStyle w:val="TextBody"/>
        <w:spacing w:before="120" w:after="0"/>
        <w:rPr>
          <w:rFonts w:ascii="Times New Roman" w:hAnsi="Times New Roman"/>
          <w:sz w:val="17"/>
        </w:rPr>
      </w:pPr>
      <w:r>
        <w:rPr>
          <w:rFonts w:ascii="Times New Roman" w:hAnsi="Times New Roman"/>
          <w:sz w:val="17"/>
        </w:rPr>
        <w:t xml:space="preserve">Affiliates of certain of the underwriters are dealers under our commercial paper program and may hold commercial paper notes thereunder. Accordingly, they may receive a portion of the net proceeds from this offering. </w:t>
      </w:r>
    </w:p>
    <w:p>
      <w:pPr>
        <w:pStyle w:val="TextBody"/>
        <w:spacing w:before="240" w:after="0"/>
        <w:rPr>
          <w:rFonts w:ascii="Times New Roman" w:hAnsi="Times New Roman"/>
          <w:sz w:val="17"/>
        </w:rPr>
      </w:pPr>
      <w:r>
        <w:rPr>
          <w:rFonts w:ascii="Times New Roman" w:hAnsi="Times New Roman"/>
          <w:sz w:val="17"/>
        </w:rPr>
        <w:t xml:space="preserve">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w:t>
      </w:r>
    </w:p>
    <w:p>
      <w:pPr>
        <w:pStyle w:val="TextBody"/>
        <w:spacing w:before="240" w:after="0"/>
        <w:rPr>
          <w:rFonts w:ascii="Times New Roman" w:hAnsi="Times New Roman"/>
          <w:sz w:val="17"/>
        </w:rPr>
      </w:pPr>
      <w:r>
        <w:rPr>
          <w:rFonts w:ascii="Times New Roman" w:hAnsi="Times New Roman"/>
          <w:sz w:val="17"/>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360" w:after="0"/>
        <w:rPr>
          <w:rFonts w:ascii="Times New Roman" w:hAnsi="Times New Roman"/>
          <w:b/>
          <w:sz w:val="17"/>
        </w:rPr>
      </w:pPr>
      <w:r>
        <w:rPr>
          <w:rFonts w:ascii="Times New Roman" w:hAnsi="Times New Roman"/>
          <w:b/>
          <w:sz w:val="17"/>
        </w:rPr>
        <w:t xml:space="preserve">Indemnification </w:t>
      </w:r>
    </w:p>
    <w:p>
      <w:pPr>
        <w:pStyle w:val="TextBody"/>
        <w:spacing w:before="120" w:after="0"/>
        <w:rPr>
          <w:rFonts w:ascii="Times New Roman" w:hAnsi="Times New Roman"/>
          <w:sz w:val="17"/>
        </w:rPr>
      </w:pPr>
      <w:r>
        <w:rPr>
          <w:rFonts w:ascii="Times New Roman" w:hAnsi="Times New Roman"/>
          <w:sz w:val="17"/>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4" w:name="supprom829341_12"/>
      <w:bookmarkEnd w:id="14"/>
      <w:r>
        <w:rPr>
          <w:rFonts w:ascii="Times New Roman" w:hAnsi="Times New Roman"/>
          <w:b/>
          <w:sz w:val="17"/>
        </w:rPr>
        <w:t xml:space="preserve">LEGAL MATTERS </w:t>
      </w:r>
    </w:p>
    <w:p>
      <w:pPr>
        <w:pStyle w:val="TextBody"/>
        <w:spacing w:before="240" w:after="0"/>
        <w:rPr>
          <w:rFonts w:ascii="Times New Roman" w:hAnsi="Times New Roman"/>
          <w:sz w:val="17"/>
        </w:rPr>
      </w:pPr>
      <w:r>
        <w:rPr>
          <w:rFonts w:ascii="Times New Roman" w:hAnsi="Times New Roman"/>
          <w:sz w:val="17"/>
        </w:rPr>
        <w:t xml:space="preserve">Certain legal matters in connection with the Notes being offered hereby will be passed upon for us by Vinson &amp; Elkins L.L.P., Houston, Texas and for the underwriters by Baker Botts L.L.P., Houston, Texas. </w:t>
      </w:r>
    </w:p>
    <w:p>
      <w:pPr>
        <w:pStyle w:val="TextBody"/>
        <w:spacing w:before="480" w:after="0"/>
        <w:jc w:val="center"/>
        <w:rPr>
          <w:rFonts w:ascii="Times New Roman" w:hAnsi="Times New Roman"/>
          <w:b/>
          <w:sz w:val="17"/>
        </w:rPr>
      </w:pPr>
      <w:bookmarkStart w:id="15" w:name="supprom829341_13"/>
      <w:bookmarkEnd w:id="15"/>
      <w:r>
        <w:rPr>
          <w:rFonts w:ascii="Times New Roman" w:hAnsi="Times New Roman"/>
          <w:b/>
          <w:sz w:val="17"/>
        </w:rPr>
        <w:t xml:space="preserve">EXPERTS </w:t>
      </w:r>
    </w:p>
    <w:p>
      <w:pPr>
        <w:pStyle w:val="TextBody"/>
        <w:spacing w:before="240" w:after="0"/>
        <w:rPr>
          <w:rFonts w:ascii="Times New Roman" w:hAnsi="Times New Roman"/>
          <w:sz w:val="17"/>
        </w:rPr>
      </w:pPr>
      <w:r>
        <w:rPr>
          <w:rFonts w:ascii="Times New Roman" w:hAnsi="Times New Roman"/>
          <w:sz w:val="17"/>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2013, have been incorporated in reliance on the report of PricewaterhouseCoopers LLP, an independent registered public accounting firm, given on the authority of said firm as experts in auditing and accounting. </w:t>
      </w:r>
    </w:p>
    <w:p>
      <w:pPr>
        <w:pStyle w:val="TextBody"/>
        <w:spacing w:before="480" w:after="0"/>
        <w:jc w:val="center"/>
        <w:rPr>
          <w:rFonts w:ascii="Times New Roman" w:hAnsi="Times New Roman"/>
          <w:b/>
          <w:sz w:val="17"/>
        </w:rPr>
      </w:pPr>
      <w:bookmarkStart w:id="16" w:name="supprom829341_14"/>
      <w:bookmarkEnd w:id="16"/>
      <w:r>
        <w:rPr>
          <w:rFonts w:ascii="Times New Roman" w:hAnsi="Times New Roman"/>
          <w:b/>
          <w:sz w:val="17"/>
        </w:rPr>
        <w:t xml:space="preserve">WHERE YOU CAN FIND MORE INFORMATION </w:t>
      </w:r>
    </w:p>
    <w:p>
      <w:pPr>
        <w:pStyle w:val="TextBody"/>
        <w:spacing w:before="240" w:after="0"/>
        <w:rPr>
          <w:rFonts w:ascii="Times New Roman" w:hAnsi="Times New Roman"/>
          <w:sz w:val="17"/>
        </w:rPr>
      </w:pPr>
      <w:r>
        <w:rPr>
          <w:rFonts w:ascii="Times New Roman" w:hAnsi="Times New Roman"/>
          <w:sz w:val="17"/>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Annual Report on Form 10-K for the fiscal year ended December 31,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Quarterly Reports on Form 10-Q for the quarterly periods ended March 31, 2014, June 30, 2014 and September 30, 2014;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Current Reports on Form 8-K filed with the SEC on April 18, 2014 (documentation related to debt offering), April 29, 2014 (documentation related to debt offering), August 22, 2014 (continuous equity offering program), September 5, 2014 (documentation related to debt offering), September 11, 2014 (documentation related to debt offering), October 20, 2014 (increased capacity to commercial paper program) and November 6, 2014 (purchase of 50% interest in BridgeTex Pipeline Company LLC). </w:t>
            </w:r>
          </w:p>
        </w:tc>
      </w:tr>
    </w:tbl>
    <w:p>
      <w:pPr>
        <w:pStyle w:val="TextBody"/>
        <w:spacing w:before="240" w:after="0"/>
        <w:rPr>
          <w:rFonts w:ascii="Times New Roman" w:hAnsi="Times New Roman"/>
          <w:sz w:val="17"/>
        </w:rPr>
      </w:pPr>
      <w:r>
        <w:rPr>
          <w:rFonts w:ascii="Times New Roman" w:hAnsi="Times New Roman"/>
          <w:sz w:val="17"/>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spacing w:before="120" w:after="0"/>
        <w:jc w:val="center"/>
        <w:rPr>
          <w:rFonts w:ascii="Times New Roman" w:hAnsi="Times New Roman"/>
          <w:sz w:val="17"/>
        </w:rPr>
      </w:pPr>
      <w:r>
        <w:rPr>
          <w:rFonts w:ascii="Times New Roman" w:hAnsi="Times New Roman"/>
          <w:sz w:val="17"/>
        </w:rPr>
        <w:t xml:space="preserve">Plains All American Pipeline, L.P. </w:t>
      </w:r>
    </w:p>
    <w:p>
      <w:pPr>
        <w:pStyle w:val="TextBody"/>
        <w:spacing w:before="0" w:after="0"/>
        <w:jc w:val="center"/>
        <w:rPr>
          <w:rFonts w:ascii="Times New Roman" w:hAnsi="Times New Roman"/>
          <w:sz w:val="17"/>
        </w:rPr>
      </w:pPr>
      <w:r>
        <w:rPr>
          <w:rFonts w:ascii="Times New Roman" w:hAnsi="Times New Roman"/>
          <w:sz w:val="17"/>
        </w:rPr>
        <w:t xml:space="preserve">333 Clay Street, Suite 1600 </w:t>
      </w:r>
    </w:p>
    <w:p>
      <w:pPr>
        <w:pStyle w:val="TextBody"/>
        <w:spacing w:before="0" w:after="0"/>
        <w:jc w:val="center"/>
        <w:rPr>
          <w:rFonts w:ascii="Times New Roman" w:hAnsi="Times New Roman"/>
          <w:sz w:val="17"/>
        </w:rPr>
      </w:pPr>
      <w:r>
        <w:rPr>
          <w:rFonts w:ascii="Times New Roman" w:hAnsi="Times New Roman"/>
          <w:sz w:val="17"/>
        </w:rPr>
        <w:t xml:space="preserve">Houston, Texas 77002 </w:t>
      </w:r>
    </w:p>
    <w:p>
      <w:pPr>
        <w:pStyle w:val="TextBody"/>
        <w:spacing w:before="0" w:after="0"/>
        <w:jc w:val="center"/>
        <w:rPr>
          <w:rFonts w:ascii="Times New Roman" w:hAnsi="Times New Roman"/>
          <w:sz w:val="17"/>
        </w:rPr>
      </w:pPr>
      <w:r>
        <w:rPr>
          <w:rFonts w:ascii="Times New Roman" w:hAnsi="Times New Roman"/>
          <w:sz w:val="17"/>
        </w:rPr>
        <w:t xml:space="preserve">Attention: Corporate Secretary </w:t>
      </w:r>
    </w:p>
    <w:p>
      <w:pPr>
        <w:pStyle w:val="TextBody"/>
        <w:spacing w:before="0" w:after="0"/>
        <w:jc w:val="center"/>
        <w:rPr>
          <w:rFonts w:ascii="Times New Roman" w:hAnsi="Times New Roman"/>
          <w:sz w:val="17"/>
        </w:rPr>
      </w:pPr>
      <w:r>
        <w:rPr>
          <w:rFonts w:ascii="Times New Roman" w:hAnsi="Times New Roman"/>
          <w:sz w:val="17"/>
        </w:rPr>
        <w:t xml:space="preserve">Telephone: (713) 646-4100 </w:t>
      </w:r>
    </w:p>
    <w:p>
      <w:pPr>
        <w:pStyle w:val="TextBody"/>
        <w:spacing w:before="240" w:after="0"/>
        <w:rPr>
          <w:rFonts w:ascii="Times New Roman" w:hAnsi="Times New Roman"/>
          <w:sz w:val="17"/>
        </w:rPr>
      </w:pPr>
      <w:r>
        <w:rPr>
          <w:rFonts w:ascii="Times New Roman" w:hAnsi="Times New Roman"/>
          <w:sz w:val="17"/>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Times New Roman" w:hAnsi="Times New Roman"/>
          <w:i/>
          <w:sz w:val="17"/>
        </w:rPr>
        <w:t>www.sec.gov</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90" w:after="0"/>
        <w:jc w:val="center"/>
        <w:rPr>
          <w:rFonts w:ascii="Times New Roman" w:hAnsi="Times New Roman"/>
          <w:b/>
          <w:sz w:val="36"/>
        </w:rPr>
      </w:pPr>
      <w:r>
        <w:rPr>
          <w:rFonts w:ascii="Times New Roman" w:hAnsi="Times New Roman"/>
          <w:b/>
          <w:sz w:val="36"/>
        </w:rPr>
        <w:t xml:space="preserve">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pPr>
      <w:r>
        <w:rPr>
          <w:rFonts w:ascii="Times New Roman" w:hAnsi="Times New Roman"/>
          <w:b/>
          <w:sz w:val="20"/>
        </w:rPr>
        <w:t>Investing in our common units and the debt securities involves risks. Limited partnerships are inherently different from corporations. You should carefully consider the risk factors described under </w:t>
      </w:r>
      <w:hyperlink w:anchor="rom780611_5">
        <w:r>
          <w:rPr>
            <w:rStyle w:val="InternetLink"/>
            <w:rFonts w:ascii="Times New Roman" w:hAnsi="Times New Roman"/>
            <w:b/>
            <w:sz w:val="20"/>
          </w:rPr>
          <w:t>Risk Factors</w:t>
        </w:r>
      </w:hyperlink>
      <w:r>
        <w:rPr>
          <w:rFonts w:ascii="Times New Roman" w:hAnsi="Times New Roman"/>
          <w:b/>
          <w:sz w:val="20"/>
        </w:rPr>
        <w:t xml:space="preserve"> beginning on page 2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The date of this prospectus is September 27,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780611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780611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 </w:t>
      </w:r>
    </w:p>
    <w:p>
      <w:pPr>
        <w:pStyle w:val="TextBody"/>
        <w:spacing w:before="360" w:after="0"/>
        <w:jc w:val="center"/>
        <w:rPr>
          <w:rFonts w:ascii="Times New Roman" w:hAnsi="Times New Roman"/>
          <w:b/>
          <w:sz w:val="20"/>
        </w:rPr>
      </w:pPr>
      <w:bookmarkStart w:id="17" w:name="rom780611_1"/>
      <w:bookmarkEnd w:id="17"/>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rom780611_2"/>
      <w:bookmarkEnd w:id="18"/>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hAnsi="Times New Roman"/>
          <w:i/>
          <w:sz w:val="20"/>
        </w:rPr>
        <w:t>www.sec.gov</w:t>
      </w:r>
      <w:r>
        <w:rPr>
          <w:rFonts w:ascii="Times New Roman" w:hAnsi="Times New Roman"/>
          <w:sz w:val="20"/>
        </w:rPr>
        <w:t xml:space="preserve">. We also make available free of charge on our website, at </w:t>
      </w:r>
      <w:r>
        <w:rPr>
          <w:rFonts w:ascii="Times New Roman" w:hAnsi="Times New Roman"/>
          <w:i/>
          <w:sz w:val="20"/>
        </w:rPr>
        <w:t>www.paalp.com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2012 and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333 Clay Street, Suite 1600 Houston, Texas 77002 Attention: Corporate Secretary 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780611_3"/>
      <w:bookmarkEnd w:id="19"/>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rom780611_4"/>
      <w:bookmarkEnd w:id="20"/>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780611_5"/>
      <w:bookmarkEnd w:id="21"/>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780611_6"/>
      <w:bookmarkEnd w:id="22"/>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780611_7"/>
      <w:bookmarkEnd w:id="23"/>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3"/>
        <w:gridCol w:w="222"/>
        <w:gridCol w:w="60"/>
        <w:gridCol w:w="487"/>
        <w:gridCol w:w="120"/>
        <w:gridCol w:w="222"/>
        <w:gridCol w:w="60"/>
        <w:gridCol w:w="487"/>
        <w:gridCol w:w="120"/>
        <w:gridCol w:w="222"/>
        <w:gridCol w:w="60"/>
        <w:gridCol w:w="487"/>
        <w:gridCol w:w="119"/>
        <w:gridCol w:w="222"/>
        <w:gridCol w:w="60"/>
        <w:gridCol w:w="487"/>
        <w:gridCol w:w="120"/>
        <w:gridCol w:w="222"/>
        <w:gridCol w:w="60"/>
        <w:gridCol w:w="487"/>
        <w:gridCol w:w="120"/>
        <w:gridCol w:w="222"/>
        <w:gridCol w:w="60"/>
        <w:gridCol w:w="487"/>
        <w:gridCol w:w="129"/>
      </w:tblGrid>
      <w:tr>
        <w:trPr/>
        <w:tc>
          <w:tcPr>
            <w:tcW w:w="486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w:t>
              <w:br/>
              <w:t>Months</w:t>
            </w:r>
            <w:r>
              <w:rPr/>
              <w:br/>
            </w:r>
            <w:r>
              <w:rPr>
                <w:rFonts w:ascii="Times New Roman" w:hAnsi="Times New Roman"/>
                <w:b/>
                <w:sz w:val="14"/>
              </w:rPr>
              <w:t>Ended</w:t>
            </w:r>
            <w:r>
              <w:rPr/>
              <w:br/>
            </w:r>
            <w:r>
              <w:rPr>
                <w:rFonts w:ascii="Times New Roman" w:hAnsi="Times New Roman"/>
                <w:b/>
                <w:sz w:val="14"/>
              </w:rPr>
              <w:t>June 30,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10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4863"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9" w:type="dxa"/>
            <w:tcBorders/>
            <w:shd w:fill="CCEEFF"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$6 million for the six months ended June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780611_8"/>
      <w:bookmarkEnd w:id="24"/>
      <w:r>
        <w:rPr>
          <w:rFonts w:ascii="Times New Roman" w:hAnsi="Times New Roman"/>
          <w:b/>
          <w:sz w:val="20"/>
        </w:rPr>
        <w:t xml:space="preserve">DESCRIPTION OF OUR DEBT SECURITIES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Plains All American Pipeline, PAA Finance and U.S. Bank National Association, as successor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Possible Future Guarantees </w:t>
      </w:r>
    </w:p>
    <w:p>
      <w:pPr>
        <w:pStyle w:val="TextBody"/>
        <w:spacing w:before="90" w:after="0"/>
        <w:rPr>
          <w:rFonts w:ascii="Times New Roman" w:hAnsi="Times New Roman"/>
          <w:sz w:val="20"/>
        </w:rPr>
      </w:pPr>
      <w:r>
        <w:rPr>
          <w:rFonts w:ascii="Times New Roman" w:hAnsi="Times New Roman"/>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any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7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(FINRA).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either: </w:t>
      </w:r>
    </w:p>
    <w:p>
      <w:pPr>
        <w:pStyle w:val="TextBody"/>
        <w:spacing w:before="18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8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8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780611_9"/>
      <w:bookmarkEnd w:id="25"/>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780611_10"/>
      <w:bookmarkEnd w:id="26"/>
      <w:r>
        <w:rPr>
          <w:rFonts w:ascii="Times New Roman" w:hAnsi="Times New Roman"/>
          <w:b/>
          <w:sz w:val="20"/>
        </w:rPr>
        <w:t xml:space="preserve">CASH DISTRIBUTION POLICY </w:t>
      </w:r>
    </w:p>
    <w:p>
      <w:pPr>
        <w:pStyle w:val="TextBody"/>
        <w:spacing w:before="27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780611_11"/>
      <w:bookmarkEnd w:id="27"/>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780611_12"/>
      <w:bookmarkEnd w:id="28"/>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 </w:t>
      </w:r>
    </w:p>
    <w:p>
      <w:pPr>
        <w:pStyle w:val="TextBody"/>
        <w:spacing w:before="180" w:after="0"/>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hAnsi="Times New Roman"/>
          <w:b/>
          <w:i/>
          <w:sz w:val="20"/>
        </w:rPr>
        <w:t>Accordingly, we encourage each unitholder to consult the unitholders own tax advisor in analyzing the federal, state, local and non-U.S. tax consequences particular to that unitholder resulting from ownership or disposition of 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 </w:t>
      </w:r>
    </w:p>
    <w:p>
      <w:pPr>
        <w:pStyle w:val="TextBody"/>
        <w:spacing w:before="270" w:after="0"/>
        <w:rPr>
          <w:rFonts w:ascii="Times New Roman" w:hAnsi="Times New Roman"/>
          <w:b/>
          <w:i/>
          <w:sz w:val="20"/>
        </w:rPr>
      </w:pPr>
      <w:r>
        <w:rPr>
          <w:rFonts w:ascii="Times New Roman" w:hAnsi="Times New Roman"/>
          <w:b/>
          <w:i/>
          <w:sz w:val="20"/>
        </w:rPr>
        <w:t xml:space="preserve">Taxation of the Partnership </w:t>
      </w:r>
    </w:p>
    <w:p>
      <w:pPr>
        <w:pStyle w:val="TextBody"/>
        <w:spacing w:before="90" w:after="0"/>
        <w:rPr>
          <w:rFonts w:ascii="Times New Roman" w:hAnsi="Times New Roman"/>
          <w:b/>
          <w:i/>
          <w:sz w:val="20"/>
        </w:rPr>
      </w:pPr>
      <w:r>
        <w:rPr>
          <w:rFonts w:ascii="Times New Roman" w:hAnsi="Times New Roman"/>
          <w:b/>
          <w:i/>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 </w:t>
      </w:r>
    </w:p>
    <w:p>
      <w:pPr>
        <w:pStyle w:val="TextBody"/>
        <w:spacing w:before="180" w:after="0"/>
        <w:rPr>
          <w:rFonts w:ascii="Times New Roman" w:hAnsi="Times New Roman"/>
          <w:sz w:val="20"/>
        </w:rPr>
      </w:pPr>
      <w:r>
        <w:rPr>
          <w:rFonts w:ascii="Times New Roman" w:hAnsi="Times New Roman"/>
          <w:sz w:val="20"/>
        </w:rPr>
        <w:t xml:space="preserve">Section 7704 of the Code generally provides that publicly-traded partnerships will be treated as corporations for federal income tax purposes. However, if 90% or more of a partnerships gross income for every taxable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 </w:t>
      </w:r>
    </w:p>
    <w:p>
      <w:pPr>
        <w:pStyle w:val="TextBody"/>
        <w:spacing w:before="180" w:after="0"/>
        <w:rPr>
          <w:rFonts w:ascii="Times New Roman" w:hAnsi="Times New Roman"/>
          <w:sz w:val="20"/>
        </w:rPr>
      </w:pPr>
      <w:r>
        <w:rPr>
          <w:rFonts w:ascii="Times New Roman" w:hAnsi="Times New Roman"/>
          <w:sz w:val="20"/>
        </w:rPr>
        <w:t xml:space="preserve">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 </w:t>
      </w:r>
    </w:p>
    <w:p>
      <w:pPr>
        <w:pStyle w:val="TextBody"/>
        <w:spacing w:before="180" w:after="0"/>
        <w:rPr>
          <w:rFonts w:ascii="Times New Roman" w:hAnsi="Times New Roman"/>
          <w:sz w:val="20"/>
        </w:rPr>
      </w:pPr>
      <w:r>
        <w:rPr>
          <w:rFonts w:ascii="Times New Roman" w:hAnsi="Times New Roman"/>
          <w:sz w:val="20"/>
        </w:rPr>
        <w:t xml:space="preserve">(a) Neither we nor any of our partnership or limited liability company subsidiaries has elected to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 </w:t>
      </w:r>
    </w:p>
    <w:p>
      <w:pPr>
        <w:pStyle w:val="TextBody"/>
        <w:spacing w:before="180" w:after="0"/>
        <w:rPr>
          <w:rFonts w:ascii="Times New Roman" w:hAnsi="Times New Roman"/>
          <w:sz w:val="20"/>
        </w:rPr>
      </w:pPr>
      <w:r>
        <w:rPr>
          <w:rFonts w:ascii="Times New Roman" w:hAnsi="Times New Roman"/>
          <w:sz w:val="20"/>
        </w:rPr>
        <w:t xml:space="preserve">The remainder of this discussion is based on Vinson &amp; Elkins L.L.P.s opinion that we will be treated as a partnership for federal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Consequences of Unit Ownership </w:t>
      </w:r>
    </w:p>
    <w:p>
      <w:pPr>
        <w:pStyle w:val="TextBody"/>
        <w:spacing w:before="90" w:after="0"/>
        <w:rPr>
          <w:rFonts w:ascii="Times New Roman" w:hAnsi="Times New Roman"/>
          <w:b/>
          <w:i/>
          <w:sz w:val="20"/>
        </w:rPr>
      </w:pPr>
      <w:r>
        <w:rPr>
          <w:rFonts w:ascii="Times New Roman" w:hAnsi="Times New Roman"/>
          <w:b/>
          <w:i/>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 </w:t>
      </w:r>
    </w:p>
    <w:p>
      <w:pPr>
        <w:pStyle w:val="TextBody"/>
        <w:spacing w:before="270" w:after="0"/>
        <w:rPr>
          <w:rFonts w:ascii="Times New Roman" w:hAnsi="Times New Roman"/>
          <w:b/>
          <w:i/>
          <w:sz w:val="20"/>
        </w:rPr>
      </w:pPr>
      <w:r>
        <w:rPr>
          <w:rFonts w:ascii="Times New Roman" w:hAnsi="Times New Roman"/>
          <w:b/>
          <w:i/>
          <w:sz w:val="20"/>
        </w:rPr>
        <w:t xml:space="preserve">Flow-Through of Taxable Income </w:t>
      </w:r>
    </w:p>
    <w:p>
      <w:pPr>
        <w:pStyle w:val="TextBody"/>
        <w:spacing w:before="90" w:after="0"/>
        <w:rPr>
          <w:rFonts w:ascii="Times New Roman" w:hAnsi="Times New Roman"/>
          <w:sz w:val="20"/>
        </w:rPr>
      </w:pPr>
      <w:r>
        <w:rPr>
          <w:rFonts w:ascii="Times New Roman" w:hAnsi="Times New Roman"/>
          <w:sz w:val="20"/>
        </w:rPr>
        <w:t xml:space="preserve">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spacing w:before="270" w:after="0"/>
        <w:rPr>
          <w:rFonts w:ascii="Times New Roman" w:hAnsi="Times New Roman"/>
          <w:b/>
          <w:i/>
          <w:sz w:val="20"/>
        </w:rPr>
      </w:pPr>
      <w:r>
        <w:rPr>
          <w:rFonts w:ascii="Times New Roman" w:hAnsi="Times New Roman"/>
          <w:b/>
          <w:i/>
          <w:sz w:val="20"/>
        </w:rPr>
        <w:t xml:space="preserve">Basis of Units </w:t>
      </w:r>
    </w:p>
    <w:p>
      <w:pPr>
        <w:pStyle w:val="TextBody"/>
        <w:spacing w:before="90" w:after="0"/>
        <w:rPr>
          <w:rFonts w:ascii="Times New Roman" w:hAnsi="Times New Roman"/>
          <w:sz w:val="20"/>
        </w:rPr>
      </w:pPr>
      <w:r>
        <w:rPr>
          <w:rFonts w:ascii="Times New Roman" w:hAnsi="Times New Roman"/>
          <w:sz w:val="20"/>
        </w:rPr>
        <w:t xml:space="preserve">A unitholders tax basis in its units initially will be the amount paid for those units plus the unitholders share of our liabilities. That basis generally will be (i) increased by the unitholders share of our income and any increases in such unitholders share of our liabilities, and (ii) decreased, but not below zero, by the amount of all distributions, the unitholders share of our losses, and any decreases in its share of our liabilities. </w:t>
      </w:r>
    </w:p>
    <w:p>
      <w:pPr>
        <w:pStyle w:val="TextBody"/>
        <w:spacing w:before="270" w:after="0"/>
        <w:rPr>
          <w:rFonts w:ascii="Times New Roman" w:hAnsi="Times New Roman"/>
          <w:b/>
          <w:i/>
          <w:sz w:val="20"/>
        </w:rPr>
      </w:pPr>
      <w:r>
        <w:rPr>
          <w:rFonts w:ascii="Times New Roman" w:hAnsi="Times New Roman"/>
          <w:b/>
          <w:i/>
          <w:sz w:val="20"/>
        </w:rPr>
        <w:t xml:space="preserve">Treatment of Distributions </w:t>
      </w:r>
    </w:p>
    <w:p>
      <w:pPr>
        <w:pStyle w:val="TextBody"/>
        <w:spacing w:before="90" w:after="0"/>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 </w:t>
      </w:r>
    </w:p>
    <w:p>
      <w:pPr>
        <w:pStyle w:val="TextBody"/>
        <w:spacing w:before="180" w:after="0"/>
        <w:rPr>
          <w:rFonts w:ascii="Times New Roman" w:hAnsi="Times New Roman"/>
          <w:sz w:val="20"/>
        </w:rPr>
      </w:pPr>
      <w:r>
        <w:rPr>
          <w:rFonts w:ascii="Times New Roman" w:hAnsi="Times New Roman"/>
          <w:sz w:val="20"/>
        </w:rPr>
        <w:t xml:space="preserve">Any reduction in a unitholders share of our liabilities will be treated as a distribution by us of cash to that unitholder. A decrease in a unitholders percentage interest in us because of our issuance of additional units may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 </w:t>
      </w:r>
    </w:p>
    <w:p>
      <w:pPr>
        <w:pStyle w:val="TextBody"/>
        <w:spacing w:before="180" w:after="0"/>
        <w:rPr>
          <w:rFonts w:ascii="Times New Roman" w:hAnsi="Times New Roman"/>
          <w:sz w:val="20"/>
        </w:rPr>
      </w:pPr>
      <w:r>
        <w:rPr>
          <w:rFonts w:ascii="Times New Roman" w:hAnsi="Times New Roman"/>
          <w:sz w:val="20"/>
        </w:rPr>
        <w:t xml:space="preserve">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 </w:t>
      </w:r>
    </w:p>
    <w:p>
      <w:pPr>
        <w:pStyle w:val="TextBody"/>
        <w:spacing w:before="270" w:after="0"/>
        <w:rPr>
          <w:rFonts w:ascii="Times New Roman" w:hAnsi="Times New Roman"/>
          <w:b/>
          <w:i/>
          <w:sz w:val="20"/>
        </w:rPr>
      </w:pPr>
      <w:r>
        <w:rPr>
          <w:rFonts w:ascii="Times New Roman" w:hAnsi="Times New Roman"/>
          <w:b/>
          <w:i/>
          <w:sz w:val="20"/>
        </w:rPr>
        <w:t xml:space="preserve">Limitations on Deductibility of Losses </w:t>
      </w:r>
    </w:p>
    <w:p>
      <w:pPr>
        <w:pStyle w:val="TextBody"/>
        <w:spacing w:before="90" w:after="0"/>
        <w:rPr>
          <w:rFonts w:ascii="Times New Roman" w:hAnsi="Times New Roman"/>
          <w:sz w:val="20"/>
        </w:rPr>
      </w:pPr>
      <w:r>
        <w:rPr>
          <w:rFonts w:ascii="Times New Roman" w:hAnsi="Times New Roman"/>
          <w:sz w:val="20"/>
        </w:rPr>
        <w:t xml:space="preserve">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spacing w:before="180" w:after="0"/>
        <w:rPr>
          <w:rFonts w:ascii="Times New Roman" w:hAnsi="Times New Roman"/>
          <w:sz w:val="20"/>
        </w:rPr>
      </w:pPr>
      <w:r>
        <w:rPr>
          <w:rFonts w:ascii="Times New Roman" w:hAnsi="Times New Roman"/>
          <w:sz w:val="20"/>
        </w:rPr>
        <w:t xml:space="preserve">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w:t>
      </w:r>
    </w:p>
    <w:p>
      <w:pPr>
        <w:pStyle w:val="TextBody"/>
        <w:spacing w:before="180" w:after="0"/>
        <w:rPr>
          <w:rFonts w:ascii="Times New Roman" w:hAnsi="Times New Roman"/>
          <w:sz w:val="20"/>
        </w:rPr>
      </w:pPr>
      <w:r>
        <w:rPr>
          <w:rFonts w:ascii="Times New Roman" w:hAnsi="Times New Roman"/>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Limitations on Interest Deductions </w:t>
      </w:r>
    </w:p>
    <w:p>
      <w:pPr>
        <w:pStyle w:val="TextBody"/>
        <w:spacing w:before="90" w:after="0"/>
        <w:rPr>
          <w:rFonts w:ascii="Times New Roman" w:hAnsi="Times New Roman"/>
          <w:sz w:val="20"/>
        </w:rPr>
      </w:pPr>
      <w:r>
        <w:rPr>
          <w:rFonts w:ascii="Times New Roman" w:hAnsi="Times New Roman"/>
          <w:sz w:val="20"/>
        </w:rPr>
        <w:t xml:space="preserve">The deductibility of a non-corporate taxpayers investment interest expense generally is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spacing w:before="270" w:after="0"/>
        <w:rPr>
          <w:rFonts w:ascii="Times New Roman" w:hAnsi="Times New Roman"/>
          <w:b/>
          <w:i/>
          <w:sz w:val="20"/>
        </w:rPr>
      </w:pPr>
      <w:r>
        <w:rPr>
          <w:rFonts w:ascii="Times New Roman" w:hAnsi="Times New Roman"/>
          <w:b/>
          <w:i/>
          <w:sz w:val="20"/>
        </w:rPr>
        <w:t xml:space="preserve">Entity-Level Collections of Unitholder Taxes </w:t>
      </w:r>
    </w:p>
    <w:p>
      <w:pPr>
        <w:pStyle w:val="TextBody"/>
        <w:spacing w:before="90" w:after="0"/>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 </w:t>
      </w:r>
    </w:p>
    <w:p>
      <w:pPr>
        <w:pStyle w:val="TextBody"/>
        <w:spacing w:before="270" w:after="0"/>
        <w:rPr>
          <w:rFonts w:ascii="Times New Roman" w:hAnsi="Times New Roman"/>
          <w:b/>
          <w:i/>
          <w:sz w:val="20"/>
        </w:rPr>
      </w:pPr>
      <w:r>
        <w:rPr>
          <w:rFonts w:ascii="Times New Roman" w:hAnsi="Times New Roman"/>
          <w:b/>
          <w:i/>
          <w:sz w:val="20"/>
        </w:rPr>
        <w:t xml:space="preserve">Allocation of Income, Gain, Loss and Deduction </w:t>
      </w:r>
    </w:p>
    <w:p>
      <w:pPr>
        <w:pStyle w:val="TextBody"/>
        <w:spacing w:before="90" w:after="0"/>
        <w:rPr>
          <w:rFonts w:ascii="Times New Roman" w:hAnsi="Times New Roman"/>
          <w:sz w:val="20"/>
        </w:rPr>
      </w:pPr>
      <w:r>
        <w:rPr>
          <w:rFonts w:ascii="Times New Roman" w:hAnsi="Times New Roman"/>
          <w:sz w:val="20"/>
        </w:rPr>
        <w:t xml:space="preserve">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 </w:t>
      </w:r>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spacing w:before="270" w:after="0"/>
        <w:rPr>
          <w:rFonts w:ascii="Times New Roman" w:hAnsi="Times New Roman"/>
          <w:b/>
          <w:i/>
          <w:sz w:val="20"/>
        </w:rPr>
      </w:pPr>
      <w:r>
        <w:rPr>
          <w:rFonts w:ascii="Times New Roman" w:hAnsi="Times New Roman"/>
          <w:b/>
          <w:i/>
          <w:sz w:val="20"/>
        </w:rPr>
        <w:t xml:space="preserve">Treatment of Securities Loans </w:t>
      </w:r>
    </w:p>
    <w:p>
      <w:pPr>
        <w:pStyle w:val="TextBody"/>
        <w:spacing w:before="90" w:after="0"/>
        <w:rPr>
          <w:rFonts w:ascii="Times New Roman" w:hAnsi="Times New Roman"/>
          <w:sz w:val="20"/>
        </w:rPr>
      </w:pPr>
      <w:r>
        <w:rPr>
          <w:rFonts w:ascii="Times New Roman" w:hAnsi="Times New Roman"/>
          <w:sz w:val="20"/>
        </w:rPr>
        <w:t xml:space="preserve">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 </w:t>
      </w:r>
    </w:p>
    <w:p>
      <w:pPr>
        <w:pStyle w:val="TextBody"/>
        <w:spacing w:before="270" w:after="0"/>
        <w:rPr>
          <w:rFonts w:ascii="Times New Roman" w:hAnsi="Times New Roman"/>
          <w:b/>
          <w:i/>
          <w:sz w:val="20"/>
        </w:rPr>
      </w:pPr>
      <w:r>
        <w:rPr>
          <w:rFonts w:ascii="Times New Roman" w:hAnsi="Times New Roman"/>
          <w:b/>
          <w:i/>
          <w:sz w:val="20"/>
        </w:rPr>
        <w:t xml:space="preserve">Tax Rates </w:t>
      </w:r>
    </w:p>
    <w:p>
      <w:pPr>
        <w:pStyle w:val="TextBody"/>
        <w:spacing w:before="90" w:after="0"/>
        <w:rPr>
          <w:rFonts w:ascii="Times New Roman" w:hAnsi="Times New Roman"/>
          <w:sz w:val="20"/>
        </w:rPr>
      </w:pPr>
      <w:r>
        <w:rPr>
          <w:rFonts w:ascii="Times New Roman" w:hAnsi="Times New Roman"/>
          <w:sz w:val="20"/>
        </w:rPr>
        <w:t xml:space="preserve">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270" w:after="0"/>
        <w:rPr>
          <w:rFonts w:ascii="Times New Roman" w:hAnsi="Times New Roman"/>
          <w:b/>
          <w:i/>
          <w:sz w:val="20"/>
        </w:rPr>
      </w:pPr>
      <w:r>
        <w:rPr>
          <w:rFonts w:ascii="Times New Roman" w:hAnsi="Times New Roman"/>
          <w:b/>
          <w:i/>
          <w:sz w:val="20"/>
        </w:rPr>
        <w:t xml:space="preserve">Section 754 Election </w:t>
      </w:r>
    </w:p>
    <w:p>
      <w:pPr>
        <w:pStyle w:val="TextBody"/>
        <w:spacing w:before="90" w:after="0"/>
        <w:rPr>
          <w:rFonts w:ascii="Times New Roman" w:hAnsi="Times New Roman"/>
          <w:sz w:val="20"/>
        </w:rPr>
      </w:pPr>
      <w:r>
        <w:rPr>
          <w:rFonts w:ascii="Times New Roman" w:hAnsi="Times New Roman"/>
          <w:sz w:val="20"/>
        </w:rPr>
        <w:t xml:space="preserve">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 </w:t>
      </w:r>
    </w:p>
    <w:p>
      <w:pPr>
        <w:pStyle w:val="TextBody"/>
        <w:spacing w:before="180" w:after="0"/>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Treatment of Operations </w:t>
      </w:r>
    </w:p>
    <w:p>
      <w:pPr>
        <w:pStyle w:val="TextBody"/>
        <w:spacing w:before="90" w:after="0"/>
        <w:rPr>
          <w:rFonts w:ascii="Times New Roman" w:hAnsi="Times New Roman"/>
          <w:b/>
          <w:i/>
          <w:sz w:val="20"/>
        </w:rPr>
      </w:pPr>
      <w:r>
        <w:rPr>
          <w:rFonts w:ascii="Times New Roman" w:hAnsi="Times New Roman"/>
          <w:b/>
          <w:i/>
          <w:sz w:val="20"/>
        </w:rPr>
        <w:t xml:space="preserve">Accounting Method and Taxable Year </w:t>
      </w:r>
    </w:p>
    <w:p>
      <w:pPr>
        <w:pStyle w:val="TextBody"/>
        <w:spacing w:before="90" w:after="0"/>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 </w:t>
      </w:r>
    </w:p>
    <w:p>
      <w:pPr>
        <w:pStyle w:val="TextBody"/>
        <w:spacing w:before="270" w:after="0"/>
        <w:rPr>
          <w:rFonts w:ascii="Times New Roman" w:hAnsi="Times New Roman"/>
          <w:b/>
          <w:i/>
          <w:sz w:val="20"/>
        </w:rPr>
      </w:pPr>
      <w:r>
        <w:rPr>
          <w:rFonts w:ascii="Times New Roman" w:hAnsi="Times New Roman"/>
          <w:b/>
          <w:i/>
          <w:sz w:val="20"/>
        </w:rPr>
        <w:t xml:space="preserve">Tax Basis, Depreciation and Amortization </w:t>
      </w:r>
    </w:p>
    <w:p>
      <w:pPr>
        <w:pStyle w:val="TextBody"/>
        <w:spacing w:before="90" w:after="0"/>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270" w:after="0"/>
        <w:rPr>
          <w:rFonts w:ascii="Times New Roman" w:hAnsi="Times New Roman"/>
          <w:b/>
          <w:i/>
          <w:sz w:val="20"/>
        </w:rPr>
      </w:pPr>
      <w:r>
        <w:rPr>
          <w:rFonts w:ascii="Times New Roman" w:hAnsi="Times New Roman"/>
          <w:b/>
          <w:i/>
          <w:sz w:val="20"/>
        </w:rPr>
        <w:t xml:space="preserve">Valuation and Tax Basis of Our Properties </w:t>
      </w:r>
    </w:p>
    <w:p>
      <w:pPr>
        <w:pStyle w:val="TextBody"/>
        <w:spacing w:before="90" w:after="0"/>
        <w:rPr>
          <w:rFonts w:ascii="Times New Roman" w:hAnsi="Times New Roman"/>
          <w:sz w:val="20"/>
        </w:rPr>
      </w:pPr>
      <w:r>
        <w:rPr>
          <w:rFonts w:ascii="Times New Roman" w:hAnsi="Times New Roman"/>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 </w:t>
      </w:r>
    </w:p>
    <w:p>
      <w:pPr>
        <w:pStyle w:val="TextBody"/>
        <w:spacing w:before="270" w:after="0"/>
        <w:rPr>
          <w:rFonts w:ascii="Times New Roman" w:hAnsi="Times New Roman"/>
          <w:b/>
          <w:i/>
          <w:sz w:val="20"/>
        </w:rPr>
      </w:pPr>
      <w:r>
        <w:rPr>
          <w:rFonts w:ascii="Times New Roman" w:hAnsi="Times New Roman"/>
          <w:b/>
          <w:i/>
          <w:sz w:val="20"/>
        </w:rPr>
        <w:t xml:space="preserve">Disposition of Units </w:t>
      </w:r>
    </w:p>
    <w:p>
      <w:pPr>
        <w:pStyle w:val="TextBody"/>
        <w:spacing w:before="90" w:after="0"/>
        <w:rPr>
          <w:rFonts w:ascii="Times New Roman" w:hAnsi="Times New Roman"/>
          <w:b/>
          <w:i/>
          <w:sz w:val="20"/>
        </w:rPr>
      </w:pPr>
      <w:r>
        <w:rPr>
          <w:rFonts w:ascii="Times New Roman" w:hAnsi="Times New Roman"/>
          <w:b/>
          <w:i/>
          <w:sz w:val="20"/>
        </w:rPr>
        <w:t xml:space="preserve">Recognition of Gain or Loss </w:t>
      </w:r>
    </w:p>
    <w:p>
      <w:pPr>
        <w:pStyle w:val="TextBody"/>
        <w:spacing w:before="90" w:after="0"/>
        <w:rPr>
          <w:rFonts w:ascii="Times New Roman" w:hAnsi="Times New Roman"/>
          <w:sz w:val="20"/>
        </w:rPr>
      </w:pPr>
      <w:r>
        <w:rPr>
          <w:rFonts w:ascii="Times New Roman" w:hAnsi="Times New Roman"/>
          <w:sz w:val="20"/>
        </w:rPr>
        <w:t xml:space="preserve">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spacing w:before="180" w:after="0"/>
        <w:rPr>
          <w:rFonts w:ascii="Times New Roman" w:hAnsi="Times New Roman"/>
          <w:sz w:val="20"/>
        </w:rPr>
      </w:pPr>
      <w:r>
        <w:rPr>
          <w:rFonts w:ascii="Times New Roman" w:hAnsi="Times New Roman"/>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 </w:t>
      </w:r>
    </w:p>
    <w:p>
      <w:pPr>
        <w:pStyle w:val="TextBody"/>
        <w:spacing w:before="270" w:after="0"/>
        <w:rPr>
          <w:rFonts w:ascii="Times New Roman" w:hAnsi="Times New Roman"/>
          <w:b/>
          <w:i/>
          <w:sz w:val="20"/>
        </w:rPr>
      </w:pPr>
      <w:r>
        <w:rPr>
          <w:rFonts w:ascii="Times New Roman" w:hAnsi="Times New Roman"/>
          <w:b/>
          <w:i/>
          <w:sz w:val="20"/>
        </w:rPr>
        <w:t xml:space="preserve">Allocations Between Transferors and Transferee </w:t>
      </w:r>
    </w:p>
    <w:p>
      <w:pPr>
        <w:pStyle w:val="TextBody"/>
        <w:spacing w:before="90" w:after="0"/>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spacing w:before="270" w:after="0"/>
        <w:rPr>
          <w:rFonts w:ascii="Times New Roman" w:hAnsi="Times New Roman"/>
          <w:b/>
          <w:i/>
          <w:sz w:val="20"/>
        </w:rPr>
      </w:pPr>
      <w:r>
        <w:rPr>
          <w:rFonts w:ascii="Times New Roman" w:hAnsi="Times New Roman"/>
          <w:b/>
          <w:i/>
          <w:sz w:val="20"/>
        </w:rPr>
        <w:t xml:space="preserve">Notification Requirements </w:t>
      </w:r>
    </w:p>
    <w:p>
      <w:pPr>
        <w:pStyle w:val="TextBody"/>
        <w:spacing w:before="90" w:after="0"/>
        <w:rPr>
          <w:rFonts w:ascii="Times New Roman" w:hAnsi="Times New Roman"/>
          <w:sz w:val="20"/>
        </w:rPr>
      </w:pPr>
      <w:r>
        <w:rPr>
          <w:rFonts w:ascii="Times New Roman" w:hAnsi="Times New Roman"/>
          <w:sz w:val="20"/>
        </w:rPr>
        <w:t xml:space="preserve">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 </w:t>
      </w:r>
    </w:p>
    <w:p>
      <w:pPr>
        <w:pStyle w:val="TextBody"/>
        <w:spacing w:before="270" w:after="0"/>
        <w:rPr>
          <w:rFonts w:ascii="Times New Roman" w:hAnsi="Times New Roman"/>
          <w:b/>
          <w:i/>
          <w:sz w:val="20"/>
        </w:rPr>
      </w:pPr>
      <w:r>
        <w:rPr>
          <w:rFonts w:ascii="Times New Roman" w:hAnsi="Times New Roman"/>
          <w:b/>
          <w:i/>
          <w:sz w:val="20"/>
        </w:rPr>
        <w:t xml:space="preserve">Constructive Termination </w:t>
      </w:r>
    </w:p>
    <w:p>
      <w:pPr>
        <w:pStyle w:val="TextBody"/>
        <w:spacing w:before="90" w:after="0"/>
        <w:rPr>
          <w:rFonts w:ascii="Times New Roman" w:hAnsi="Times New Roman"/>
          <w:sz w:val="20"/>
        </w:rPr>
      </w:pPr>
      <w:r>
        <w:rPr>
          <w:rFonts w:ascii="Times New Roman" w:hAnsi="Times New Roman"/>
          <w:sz w:val="20"/>
        </w:rPr>
        <w:t xml:space="preserve">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 </w:t>
      </w:r>
    </w:p>
    <w:p>
      <w:pPr>
        <w:pStyle w:val="TextBody"/>
        <w:spacing w:before="180" w:after="0"/>
        <w:rPr>
          <w:rFonts w:ascii="Times New Roman" w:hAnsi="Times New Roman"/>
          <w:sz w:val="20"/>
        </w:rPr>
      </w:pPr>
      <w:r>
        <w:rPr>
          <w:rFonts w:ascii="Times New Roman" w:hAnsi="Times New Roman"/>
          <w:sz w:val="20"/>
        </w:rPr>
        <w:t xml:space="preserve">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 </w:t>
      </w:r>
    </w:p>
    <w:p>
      <w:pPr>
        <w:pStyle w:val="TextBody"/>
        <w:spacing w:before="270" w:after="0"/>
        <w:rPr>
          <w:rFonts w:ascii="Times New Roman" w:hAnsi="Times New Roman"/>
          <w:b/>
          <w:i/>
          <w:sz w:val="20"/>
        </w:rPr>
      </w:pPr>
      <w:r>
        <w:rPr>
          <w:rFonts w:ascii="Times New Roman" w:hAnsi="Times New Roman"/>
          <w:b/>
          <w:i/>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 </w:t>
      </w:r>
    </w:p>
    <w:p>
      <w:pPr>
        <w:pStyle w:val="TextBody"/>
        <w:spacing w:before="180" w:after="0"/>
        <w:rPr>
          <w:rFonts w:ascii="Times New Roman" w:hAnsi="Times New Roman"/>
          <w:sz w:val="20"/>
        </w:rPr>
      </w:pPr>
      <w:r>
        <w:rPr>
          <w:rFonts w:ascii="Times New Roman" w:hAnsi="Times New Roman"/>
          <w:sz w:val="20"/>
        </w:rPr>
        <w:t xml:space="preserve">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spacing w:before="270" w:after="0"/>
        <w:rPr>
          <w:rFonts w:ascii="Times New Roman" w:hAnsi="Times New Roman"/>
          <w:b/>
          <w:i/>
          <w:sz w:val="20"/>
        </w:rPr>
      </w:pPr>
      <w:r>
        <w:rPr>
          <w:rFonts w:ascii="Times New Roman" w:hAnsi="Times New Roman"/>
          <w:b/>
          <w:i/>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spacing w:before="180" w:after="0"/>
        <w:rPr>
          <w:rFonts w:ascii="Times New Roman" w:hAnsi="Times New Roman"/>
          <w:sz w:val="20"/>
        </w:rPr>
      </w:pPr>
      <w:r>
        <w:rPr>
          <w:rFonts w:ascii="Times New Roman" w:hAnsi="Times New Roman"/>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disposition. More than 50% of our assets may consist of U.S. real property interests. Therefore, non-U.S. unitholders may be subject to federal income tax on gain from the sale or disposition of their units. </w:t>
      </w:r>
    </w:p>
    <w:p>
      <w:pPr>
        <w:pStyle w:val="TextBody"/>
        <w:spacing w:before="270" w:after="0"/>
        <w:rPr>
          <w:rFonts w:ascii="Times New Roman" w:hAnsi="Times New Roman"/>
          <w:b/>
          <w:i/>
          <w:sz w:val="20"/>
        </w:rPr>
      </w:pPr>
      <w:r>
        <w:rPr>
          <w:rFonts w:ascii="Times New Roman" w:hAnsi="Times New Roman"/>
          <w:b/>
          <w:i/>
          <w:sz w:val="20"/>
        </w:rPr>
        <w:t xml:space="preserve">Administrative Matters </w:t>
      </w:r>
    </w:p>
    <w:p>
      <w:pPr>
        <w:pStyle w:val="TextBody"/>
        <w:spacing w:before="90" w:after="0"/>
        <w:rPr>
          <w:rFonts w:ascii="Times New Roman" w:hAnsi="Times New Roman"/>
          <w:b/>
          <w:i/>
          <w:sz w:val="20"/>
        </w:rPr>
      </w:pPr>
      <w:r>
        <w:rPr>
          <w:rFonts w:ascii="Times New Roman" w:hAnsi="Times New Roman"/>
          <w:b/>
          <w:i/>
          <w:sz w:val="20"/>
        </w:rPr>
        <w:t xml:space="preserve">Information Returns and Audit Procedures </w:t>
      </w:r>
    </w:p>
    <w:p>
      <w:pPr>
        <w:pStyle w:val="TextBody"/>
        <w:spacing w:before="90" w:after="0"/>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spacing w:before="180" w:after="0"/>
        <w:rPr>
          <w:rFonts w:ascii="Times New Roman" w:hAnsi="Times New Roman"/>
          <w:sz w:val="20"/>
        </w:rPr>
      </w:pPr>
      <w:r>
        <w:rPr>
          <w:rFonts w:ascii="Times New Roman" w:hAnsi="Times New Roman"/>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spacing w:before="180" w:after="0"/>
        <w:rPr>
          <w:rFonts w:ascii="Times New Roman" w:hAnsi="Times New Roman"/>
          <w:sz w:val="20"/>
        </w:rPr>
      </w:pPr>
      <w:r>
        <w:rPr>
          <w:rFonts w:ascii="Times New Roman" w:hAnsi="Times New Roman"/>
          <w:sz w:val="20"/>
        </w:rPr>
        <w:t xml:space="preserve">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 </w:t>
      </w:r>
    </w:p>
    <w:p>
      <w:pPr>
        <w:pStyle w:val="TextBody"/>
        <w:spacing w:before="270" w:after="0"/>
        <w:rPr>
          <w:rFonts w:ascii="Times New Roman" w:hAnsi="Times New Roman"/>
          <w:b/>
          <w:i/>
          <w:sz w:val="20"/>
        </w:rPr>
      </w:pPr>
      <w:r>
        <w:rPr>
          <w:rFonts w:ascii="Times New Roman" w:hAnsi="Times New Roman"/>
          <w:b/>
          <w:i/>
          <w:sz w:val="20"/>
        </w:rPr>
        <w:t xml:space="preserve">Nominee Reporting </w:t>
      </w:r>
    </w:p>
    <w:p>
      <w:pPr>
        <w:pStyle w:val="TextBody"/>
        <w:spacing w:before="9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180" w:after="0"/>
        <w:rPr>
          <w:rFonts w:ascii="Times New Roman" w:hAnsi="Times New Roman"/>
          <w:sz w:val="20"/>
        </w:rPr>
      </w:pPr>
      <w:r>
        <w:rPr>
          <w:rFonts w:ascii="Times New Roman" w:hAnsi="Times New Roman"/>
          <w:sz w:val="20"/>
        </w:rPr>
        <w:t xml:space="preserve">(1) the name, address and taxpayer identification number of the beneficial owner and the nominee; </w:t>
      </w:r>
    </w:p>
    <w:p>
      <w:pPr>
        <w:pStyle w:val="TextBody"/>
        <w:spacing w:before="180" w:after="0"/>
        <w:rPr>
          <w:rFonts w:ascii="Times New Roman" w:hAnsi="Times New Roman"/>
          <w:sz w:val="20"/>
        </w:rPr>
      </w:pPr>
      <w:r>
        <w:rPr>
          <w:rFonts w:ascii="Times New Roman" w:hAnsi="Times New Roman"/>
          <w:sz w:val="20"/>
        </w:rPr>
        <w:t xml:space="preserve">(2) a statement regarding whether the beneficial owner is: </w:t>
      </w:r>
    </w:p>
    <w:p>
      <w:pPr>
        <w:pStyle w:val="TextBody"/>
        <w:spacing w:before="180" w:after="0"/>
        <w:rPr>
          <w:rFonts w:ascii="Times New Roman" w:hAnsi="Times New Roman"/>
          <w:sz w:val="20"/>
        </w:rPr>
      </w:pPr>
      <w:r>
        <w:rPr>
          <w:rFonts w:ascii="Times New Roman" w:hAnsi="Times New Roman"/>
          <w:sz w:val="20"/>
        </w:rPr>
        <w:t xml:space="preserve">(a) a non-U.S. person; </w:t>
      </w:r>
    </w:p>
    <w:p>
      <w:pPr>
        <w:pStyle w:val="TextBody"/>
        <w:spacing w:before="18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 a tax-exempt entity; </w:t>
      </w:r>
    </w:p>
    <w:p>
      <w:pPr>
        <w:pStyle w:val="TextBody"/>
        <w:spacing w:before="18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18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spacing w:before="270" w:after="0"/>
        <w:rPr>
          <w:rFonts w:ascii="Times New Roman" w:hAnsi="Times New Roman"/>
          <w:b/>
          <w:i/>
          <w:sz w:val="20"/>
        </w:rPr>
      </w:pPr>
      <w:r>
        <w:rPr>
          <w:rFonts w:ascii="Times New Roman" w:hAnsi="Times New Roman"/>
          <w:b/>
          <w:i/>
          <w:sz w:val="20"/>
        </w:rPr>
        <w:t xml:space="preserve">Accuracy-Related Penalties </w:t>
      </w:r>
    </w:p>
    <w:p>
      <w:pPr>
        <w:pStyle w:val="TextBody"/>
        <w:spacing w:before="90" w:after="0"/>
        <w:rPr>
          <w:rFonts w:ascii="Times New Roman" w:hAnsi="Times New Roman"/>
          <w:sz w:val="20"/>
        </w:rPr>
      </w:pPr>
      <w:r>
        <w:rPr>
          <w:rFonts w:ascii="Times New Roman" w:hAnsi="Times New Roman"/>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 </w:t>
      </w:r>
    </w:p>
    <w:p>
      <w:pPr>
        <w:pStyle w:val="TextBody"/>
        <w:spacing w:before="270" w:after="0"/>
        <w:rPr>
          <w:rFonts w:ascii="Times New Roman" w:hAnsi="Times New Roman"/>
          <w:b/>
          <w:i/>
          <w:sz w:val="20"/>
        </w:rPr>
      </w:pPr>
      <w:r>
        <w:rPr>
          <w:rFonts w:ascii="Times New Roman" w:hAnsi="Times New Roman"/>
          <w:b/>
          <w:i/>
          <w:sz w:val="20"/>
        </w:rPr>
        <w:t xml:space="preserve">State, Local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 </w:t>
      </w:r>
    </w:p>
    <w:p>
      <w:pPr>
        <w:pStyle w:val="TextBody"/>
        <w:spacing w:before="270" w:after="0"/>
        <w:rPr>
          <w:rFonts w:ascii="Times New Roman" w:hAnsi="Times New Roman"/>
          <w:b/>
          <w:i/>
          <w:sz w:val="20"/>
        </w:rPr>
      </w:pPr>
      <w:r>
        <w:rPr>
          <w:rFonts w:ascii="Times New Roman" w:hAnsi="Times New Roman"/>
          <w:b/>
          <w:i/>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780611_13"/>
      <w:bookmarkEnd w:id="29"/>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780611_14"/>
      <w:bookmarkEnd w:id="30"/>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31" w:name="rom780611_15"/>
      <w:bookmarkEnd w:id="31"/>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0" w:after="0"/>
        <w:rPr/>
      </w:pPr>
      <w:r>
        <w:rPr/>
        <w:t> </w:t>
      </w:r>
    </w:p>
    <w:p>
      <w:pPr>
        <w:pStyle w:val="TextBody"/>
        <w:spacing w:before="0" w:after="0"/>
        <w:jc w:val="center"/>
        <w:rPr/>
      </w:pPr>
      <w:r>
        <w:rPr/>
        <w:drawing>
          <wp:inline distT="0" distB="0" distL="0" distR="0">
            <wp:extent cx="18859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360" w:after="0"/>
        <w:jc w:val="center"/>
        <w:rPr>
          <w:rFonts w:ascii="Times New Roman" w:hAnsi="Times New Roman"/>
          <w:b/>
          <w:sz w:val="23"/>
        </w:rPr>
      </w:pPr>
      <w:r>
        <w:rPr>
          <w:rFonts w:ascii="Times New Roman" w:hAnsi="Times New Roman"/>
          <w:b/>
          <w:sz w:val="23"/>
        </w:rPr>
        <w:t xml:space="preserve">$500,000,000 2.60% Senior Notes due 2019 </w:t>
      </w:r>
    </w:p>
    <w:p>
      <w:pPr>
        <w:pStyle w:val="TextBody"/>
        <w:spacing w:before="0" w:after="0"/>
        <w:jc w:val="center"/>
        <w:rPr>
          <w:rFonts w:ascii="Times New Roman" w:hAnsi="Times New Roman"/>
          <w:b/>
          <w:sz w:val="23"/>
        </w:rPr>
      </w:pPr>
      <w:r>
        <w:rPr>
          <w:rFonts w:ascii="Times New Roman" w:hAnsi="Times New Roman"/>
          <w:b/>
          <w:sz w:val="23"/>
        </w:rPr>
        <w:t>$650,000,000 4.90% Senior Notes due 2045</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120" w:after="0"/>
        <w:jc w:val="center"/>
        <w:rPr>
          <w:rFonts w:ascii="Times New Roman" w:hAnsi="Times New Roman"/>
          <w:b/>
          <w:sz w:val="27"/>
        </w:rPr>
      </w:pPr>
      <w:r>
        <w:rPr>
          <w:rFonts w:ascii="Times New Roman" w:hAnsi="Times New Roman"/>
          <w:b/>
          <w:sz w:val="27"/>
        </w:rPr>
        <w:t xml:space="preserve">Barclays </w:t>
      </w:r>
    </w:p>
    <w:p>
      <w:pPr>
        <w:pStyle w:val="TextBody"/>
        <w:spacing w:before="120" w:after="0"/>
        <w:jc w:val="center"/>
        <w:rPr>
          <w:rFonts w:ascii="Times New Roman" w:hAnsi="Times New Roman"/>
          <w:b/>
          <w:sz w:val="27"/>
        </w:rPr>
      </w:pPr>
      <w:r>
        <w:rPr>
          <w:rFonts w:ascii="Times New Roman" w:hAnsi="Times New Roman"/>
          <w:b/>
          <w:sz w:val="27"/>
        </w:rPr>
        <w:t xml:space="preserve">SunTrust Robinson Humphrey </w:t>
      </w:r>
    </w:p>
    <w:p>
      <w:pPr>
        <w:pStyle w:val="TextBody"/>
        <w:spacing w:before="120" w:after="0"/>
        <w:jc w:val="center"/>
        <w:rPr>
          <w:rFonts w:ascii="Times New Roman" w:hAnsi="Times New Roman"/>
          <w:b/>
          <w:sz w:val="27"/>
        </w:rPr>
      </w:pPr>
      <w:r>
        <w:rPr>
          <w:rFonts w:ascii="Times New Roman" w:hAnsi="Times New Roman"/>
          <w:b/>
          <w:sz w:val="27"/>
        </w:rPr>
        <w:t xml:space="preserve">Wells Fargo Securities </w:t>
      </w:r>
    </w:p>
    <w:p>
      <w:pPr>
        <w:pStyle w:val="TextBody"/>
        <w:spacing w:before="120" w:after="0"/>
        <w:jc w:val="center"/>
        <w:rPr>
          <w:rFonts w:ascii="Times New Roman" w:hAnsi="Times New Roman"/>
          <w:b/>
          <w:sz w:val="27"/>
        </w:rPr>
      </w:pPr>
      <w:r>
        <w:rPr>
          <w:rFonts w:ascii="Times New Roman" w:hAnsi="Times New Roman"/>
          <w:b/>
          <w:sz w:val="27"/>
        </w:rPr>
        <w:t xml:space="preserve">BBVA </w:t>
      </w:r>
    </w:p>
    <w:p>
      <w:pPr>
        <w:pStyle w:val="TextBody"/>
        <w:spacing w:before="120" w:after="0"/>
        <w:jc w:val="center"/>
        <w:rPr>
          <w:rFonts w:ascii="Times New Roman" w:hAnsi="Times New Roman"/>
          <w:b/>
          <w:sz w:val="27"/>
        </w:rPr>
      </w:pPr>
      <w:r>
        <w:rPr>
          <w:rFonts w:ascii="Times New Roman" w:hAnsi="Times New Roman"/>
          <w:b/>
          <w:sz w:val="27"/>
        </w:rPr>
        <w:t xml:space="preserve">RBC Capital Markets </w:t>
      </w:r>
    </w:p>
    <w:p>
      <w:pPr>
        <w:pStyle w:val="TextBody"/>
        <w:spacing w:before="120" w:after="0"/>
        <w:jc w:val="center"/>
        <w:rPr>
          <w:rFonts w:ascii="Times New Roman" w:hAnsi="Times New Roman"/>
          <w:b/>
          <w:sz w:val="27"/>
        </w:rPr>
      </w:pPr>
      <w:r>
        <w:rPr>
          <w:rFonts w:ascii="Times New Roman" w:hAnsi="Times New Roman"/>
          <w:b/>
          <w:sz w:val="27"/>
        </w:rPr>
        <w:t xml:space="preserve">SMBC Nikko </w:t>
      </w:r>
    </w:p>
    <w:p>
      <w:pPr>
        <w:pStyle w:val="TextBody"/>
        <w:spacing w:before="240" w:after="0"/>
        <w:jc w:val="center"/>
        <w:rPr>
          <w:rFonts w:ascii="Times New Roman" w:hAnsi="Times New Roman"/>
          <w:i/>
          <w:sz w:val="20"/>
        </w:rPr>
      </w:pPr>
      <w:r>
        <w:rPr>
          <w:rFonts w:ascii="Times New Roman" w:hAnsi="Times New Roman"/>
          <w:i/>
          <w:sz w:val="20"/>
        </w:rPr>
        <w:t xml:space="preserve">Co-Managers </w:t>
      </w:r>
    </w:p>
    <w:p>
      <w:pPr>
        <w:pStyle w:val="TextBody"/>
        <w:spacing w:before="120" w:after="0"/>
        <w:jc w:val="center"/>
        <w:rPr>
          <w:rFonts w:ascii="Times New Roman" w:hAnsi="Times New Roman"/>
          <w:b/>
          <w:sz w:val="20"/>
        </w:rPr>
      </w:pPr>
      <w:r>
        <w:rPr>
          <w:rFonts w:ascii="Times New Roman" w:hAnsi="Times New Roman"/>
          <w:b/>
          <w:sz w:val="20"/>
        </w:rPr>
        <w:t xml:space="preserve">Deutsche Bank Securities </w:t>
      </w:r>
    </w:p>
    <w:p>
      <w:pPr>
        <w:pStyle w:val="TextBody"/>
        <w:spacing w:before="120" w:after="0"/>
        <w:jc w:val="center"/>
        <w:rPr>
          <w:rFonts w:ascii="Times New Roman" w:hAnsi="Times New Roman"/>
          <w:b/>
          <w:sz w:val="20"/>
        </w:rPr>
      </w:pPr>
      <w:r>
        <w:rPr>
          <w:rFonts w:ascii="Times New Roman" w:hAnsi="Times New Roman"/>
          <w:b/>
          <w:sz w:val="20"/>
        </w:rPr>
        <w:t xml:space="preserve">MUFG </w:t>
      </w:r>
    </w:p>
    <w:p>
      <w:pPr>
        <w:pStyle w:val="TextBody"/>
        <w:spacing w:before="120" w:after="0"/>
        <w:jc w:val="center"/>
        <w:rPr>
          <w:rFonts w:ascii="Times New Roman" w:hAnsi="Times New Roman"/>
          <w:b/>
          <w:sz w:val="20"/>
        </w:rPr>
      </w:pPr>
      <w:r>
        <w:rPr>
          <w:rFonts w:ascii="Times New Roman" w:hAnsi="Times New Roman"/>
          <w:b/>
          <w:sz w:val="20"/>
        </w:rPr>
        <w:t xml:space="preserve">Scotiabank </w:t>
      </w:r>
    </w:p>
    <w:p>
      <w:pPr>
        <w:pStyle w:val="TextBody"/>
        <w:spacing w:before="120" w:after="0"/>
        <w:jc w:val="center"/>
        <w:rPr>
          <w:rFonts w:ascii="Times New Roman" w:hAnsi="Times New Roman"/>
          <w:b/>
          <w:sz w:val="20"/>
        </w:rPr>
      </w:pPr>
      <w:r>
        <w:rPr>
          <w:rFonts w:ascii="Times New Roman" w:hAnsi="Times New Roman"/>
          <w:b/>
          <w:sz w:val="20"/>
        </w:rPr>
        <w:t xml:space="preserve">BMO Capital Markets </w:t>
      </w:r>
    </w:p>
    <w:p>
      <w:pPr>
        <w:pStyle w:val="TextBody"/>
        <w:spacing w:before="120" w:after="0"/>
        <w:jc w:val="center"/>
        <w:rPr>
          <w:rFonts w:ascii="Times New Roman" w:hAnsi="Times New Roman"/>
          <w:b/>
          <w:sz w:val="20"/>
        </w:rPr>
      </w:pPr>
      <w:r>
        <w:rPr>
          <w:rFonts w:ascii="Times New Roman" w:hAnsi="Times New Roman"/>
          <w:b/>
          <w:sz w:val="20"/>
        </w:rPr>
        <w:t xml:space="preserve">CIBC </w:t>
      </w:r>
    </w:p>
    <w:p>
      <w:pPr>
        <w:pStyle w:val="TextBody"/>
        <w:spacing w:before="120" w:after="0"/>
        <w:jc w:val="center"/>
        <w:rPr>
          <w:rFonts w:ascii="Times New Roman" w:hAnsi="Times New Roman"/>
          <w:b/>
          <w:sz w:val="20"/>
        </w:rPr>
      </w:pPr>
      <w:r>
        <w:rPr>
          <w:rFonts w:ascii="Times New Roman" w:hAnsi="Times New Roman"/>
          <w:b/>
          <w:sz w:val="20"/>
        </w:rPr>
        <w:t xml:space="preserve">Fifth Third Securities </w:t>
      </w:r>
    </w:p>
    <w:p>
      <w:pPr>
        <w:pStyle w:val="TextBody"/>
        <w:spacing w:before="120" w:after="0"/>
        <w:jc w:val="center"/>
        <w:rPr>
          <w:rFonts w:ascii="Times New Roman" w:hAnsi="Times New Roman"/>
          <w:b/>
          <w:sz w:val="20"/>
        </w:rPr>
      </w:pPr>
      <w:r>
        <w:rPr>
          <w:rFonts w:ascii="Times New Roman" w:hAnsi="Times New Roman"/>
          <w:b/>
          <w:sz w:val="20"/>
        </w:rPr>
        <w:t xml:space="preserve">ING </w:t>
      </w:r>
    </w:p>
    <w:p>
      <w:pPr>
        <w:pStyle w:val="TextBody"/>
        <w:spacing w:before="120" w:after="0"/>
        <w:jc w:val="center"/>
        <w:rPr>
          <w:rFonts w:ascii="Times New Roman" w:hAnsi="Times New Roman"/>
          <w:b/>
          <w:sz w:val="20"/>
        </w:rPr>
      </w:pPr>
      <w:r>
        <w:rPr>
          <w:rFonts w:ascii="Times New Roman" w:hAnsi="Times New Roman"/>
          <w:b/>
          <w:sz w:val="20"/>
        </w:rPr>
        <w:t xml:space="preserve">PNC Capital Markets LLC </w:t>
      </w:r>
    </w:p>
    <w:p>
      <w:pPr>
        <w:pStyle w:val="TextBody"/>
        <w:spacing w:before="120" w:after="0"/>
        <w:jc w:val="center"/>
        <w:rPr>
          <w:rFonts w:ascii="Times New Roman" w:hAnsi="Times New Roman"/>
          <w:b/>
          <w:sz w:val="20"/>
        </w:rPr>
      </w:pPr>
      <w:r>
        <w:rPr>
          <w:rFonts w:ascii="Times New Roman" w:hAnsi="Times New Roman"/>
          <w:b/>
          <w:sz w:val="20"/>
        </w:rPr>
        <w:t xml:space="preserve">Regions Securities LLC </w:t>
      </w:r>
    </w:p>
    <w:p>
      <w:pPr>
        <w:pStyle w:val="TextBody"/>
        <w:spacing w:before="120" w:after="0"/>
        <w:jc w:val="center"/>
        <w:rPr>
          <w:rFonts w:ascii="Times New Roman" w:hAnsi="Times New Roman"/>
          <w:b/>
          <w:sz w:val="20"/>
        </w:rPr>
      </w:pPr>
      <w:r>
        <w:rPr>
          <w:rFonts w:ascii="Times New Roman" w:hAnsi="Times New Roman"/>
          <w:b/>
          <w:sz w:val="20"/>
        </w:rPr>
        <w:t xml:space="preserve">SOCIETE GENERALE </w:t>
      </w:r>
    </w:p>
    <w:p>
      <w:pPr>
        <w:pStyle w:val="TextBody"/>
        <w:spacing w:before="120" w:after="0"/>
        <w:jc w:val="center"/>
        <w:rPr>
          <w:rFonts w:ascii="Times New Roman" w:hAnsi="Times New Roman"/>
          <w:b/>
          <w:sz w:val="20"/>
        </w:rPr>
      </w:pPr>
      <w:r>
        <w:rPr>
          <w:rFonts w:ascii="Times New Roman" w:hAnsi="Times New Roman"/>
          <w:b/>
          <w:sz w:val="20"/>
        </w:rPr>
        <w:t xml:space="preserve">US Bancorp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17"/>
        </w:rPr>
      </w:pPr>
      <w:r>
        <w:rPr>
          <w:rFonts w:ascii="Times New Roman" w:hAnsi="Times New Roman"/>
          <w:b/>
          <w:sz w:val="17"/>
        </w:rPr>
        <w:t xml:space="preserve">December 2, 2014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16" w:space="1" w:color="000000"/>
        </w:pBdr>
        <w:spacing w:lineRule="atLeast" w:line="141" w:before="0" w:after="4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88</Pages>
  <Words>44065</Words>
  <CharactersWithSpaces>270875</CharactersWithSpaces>
  <Paragraphs>3512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