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Chiang Willie CW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COO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STE.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2021 distribution date; provided, however, that 50% of the phantom units may vest prior to that date if and when PAA generates distributable cash flow of $2.30 per unit on a trailing four quarter basis.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3779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Willie CW Chiang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04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2020-01-13T23:54:54Z</dcterms:created>
  <dcterms:modified xsi:type="dcterms:W3CDTF">2020-01-13T23:54:54Z</dcterms:modified>
</cp:coreProperties>
</file>