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 w:line="24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Swanson Al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ST.,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units under Long-Term Incentive Plan (includes associated distribution equivalent rights (payable in cash)).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units will vest on the May 2021 distribution date; provided, however, that 50% of the phantom units may vest prior to that date if and when PAA generates distributable cash flow of $2.30 per unit on a trailing four quarter basis.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Al Swanson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03/26/2018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2020-01-13T23:56:29Z</dcterms:created>
  <dcterms:modified xsi:type="dcterms:W3CDTF">2020-01-13T23:56:29Z</dcterms:modified>
</cp:coreProperties>
</file>