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60"/>
        <w:spacing w:after="0" w:line="25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-238125</wp:posOffset>
            </wp:positionV>
            <wp:extent cx="128905" cy="1289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5"/>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23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1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5280025</wp:posOffset>
            </wp:positionH>
            <wp:positionV relativeFrom="paragraph">
              <wp:posOffset>-596265</wp:posOffset>
            </wp:positionV>
            <wp:extent cx="8255" cy="5969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6900"/>
                    </a:xfrm>
                    <a:prstGeom prst="rect">
                      <a:avLst/>
                    </a:prstGeom>
                    <a:noFill/>
                  </pic:spPr>
                </pic:pic>
              </a:graphicData>
            </a:graphic>
          </wp:anchor>
        </w:drawing>
        <w:drawing>
          <wp:anchor simplePos="0" relativeHeight="251657728" behindDoc="1" locked="0" layoutInCell="0" allowOverlap="1">
            <wp:simplePos x="0" y="0"/>
            <wp:positionH relativeFrom="column">
              <wp:posOffset>3973195</wp:posOffset>
            </wp:positionH>
            <wp:positionV relativeFrom="paragraph">
              <wp:posOffset>-604520</wp:posOffset>
            </wp:positionV>
            <wp:extent cx="8255" cy="6051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5155"/>
                    </a:xfrm>
                    <a:prstGeom prst="rect">
                      <a:avLst/>
                    </a:prstGeom>
                    <a:noFill/>
                  </pic:spPr>
                </pic:pic>
              </a:graphicData>
            </a:graphic>
          </wp:anchor>
        </w:drawing>
        <w:drawing>
          <wp:anchor simplePos="0" relativeHeight="251657728" behindDoc="1" locked="0" layoutInCell="0" allowOverlap="1">
            <wp:simplePos x="0" y="0"/>
            <wp:positionH relativeFrom="column">
              <wp:posOffset>3997325</wp:posOffset>
            </wp:positionH>
            <wp:positionV relativeFrom="paragraph">
              <wp:posOffset>-580390</wp:posOffset>
            </wp:positionV>
            <wp:extent cx="1266825" cy="5568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825" cy="5568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34290</wp:posOffset>
            </wp:positionV>
            <wp:extent cx="6970395" cy="15894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70395" cy="1589405"/>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20" w:space="380"/>
            <w:col w:w="8480"/>
          </w:cols>
          <w:pgMar w:left="460" w:top="216" w:right="359" w:bottom="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KAFU Holdings (QP), L.P.</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AVENUE OF THE STARS, 3RD FLOOR</w:t>
      </w:r>
    </w:p>
    <w:p>
      <w:pPr>
        <w:spacing w:after="0" w:line="321" w:lineRule="exact"/>
        <w:rPr>
          <w:sz w:val="24"/>
          <w:szCs w:val="24"/>
          <w:color w:val="auto"/>
        </w:rPr>
      </w:pPr>
    </w:p>
    <w:tbl>
      <w:tblPr>
        <w:tblLayout w:type="fixed"/>
        <w:tblInd w:w="80" w:type="dxa"/>
        <w:tblCellMar>
          <w:top w:w="0" w:type="dxa"/>
          <w:left w:w="0" w:type="dxa"/>
          <w:bottom w:w="0" w:type="dxa"/>
          <w:right w:w="0" w:type="dxa"/>
        </w:tblCellMar>
      </w:tblPr>
      <w:tr>
        <w:trPr>
          <w:trHeight w:val="17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LOS ANGELES</w:t>
            </w:r>
          </w:p>
        </w:tc>
        <w:tc>
          <w:tcPr>
            <w:tcW w:w="8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90067</w:t>
            </w:r>
          </w:p>
        </w:tc>
      </w:tr>
      <w:tr>
        <w:trPr>
          <w:trHeight w:val="146"/>
        </w:trPr>
        <w:tc>
          <w:tcPr>
            <w:tcW w:w="20" w:type="dxa"/>
            <w:vAlign w:val="bottom"/>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(City)</w:t>
            </w:r>
          </w:p>
        </w:tc>
        <w:tc>
          <w:tcPr>
            <w:tcW w:w="860" w:type="dxa"/>
            <w:vAlign w:val="bottom"/>
          </w:tcPr>
          <w:p>
            <w:pPr>
              <w:ind w:left="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820" w:type="dxa"/>
            <w:vAlign w:val="bottom"/>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03"/>
        </w:trPr>
        <w:tc>
          <w:tcPr>
            <w:tcW w:w="3820" w:type="dxa"/>
            <w:vAlign w:val="bottom"/>
          </w:tcPr>
          <w:p>
            <w:pPr>
              <w:ind w:left="60"/>
              <w:spacing w:after="0" w:line="20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PLAINS ALL AMERICAN PIPELINE LP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p>
        </w:tc>
        <w:tc>
          <w:tcPr>
            <w:tcW w:w="16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4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382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 xml:space="preserve">PAA </w:t>
            </w:r>
            <w:r>
              <w:rPr>
                <w:rFonts w:ascii="Times New Roman" w:cs="Times New Roman" w:eastAsia="Times New Roman" w:hAnsi="Times New Roman"/>
                <w:sz w:val="16"/>
                <w:szCs w:val="16"/>
                <w:color w:val="000000"/>
              </w:rPr>
              <w:t>]</w:t>
            </w:r>
          </w:p>
        </w:tc>
        <w:tc>
          <w:tcPr>
            <w:tcW w:w="480" w:type="dxa"/>
            <w:vAlign w:val="bottom"/>
          </w:tcPr>
          <w:p>
            <w:pPr>
              <w:ind w:left="260"/>
              <w:spacing w:after="0" w:line="140" w:lineRule="exact"/>
              <w:rPr>
                <w:sz w:val="20"/>
                <w:szCs w:val="20"/>
                <w:color w:val="auto"/>
              </w:rPr>
            </w:pPr>
            <w:r>
              <w:rPr>
                <w:rFonts w:ascii="Times New Roman" w:cs="Times New Roman" w:eastAsia="Times New Roman" w:hAnsi="Times New Roman"/>
                <w:sz w:val="15"/>
                <w:szCs w:val="15"/>
                <w:color w:val="0000FF"/>
              </w:rPr>
              <w:t>X</w:t>
            </w: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460" w:type="dxa"/>
            <w:vAlign w:val="bottom"/>
          </w:tcPr>
          <w:p>
            <w:pPr>
              <w:spacing w:after="0"/>
              <w:rPr>
                <w:sz w:val="12"/>
                <w:szCs w:val="12"/>
                <w:color w:val="auto"/>
              </w:rPr>
            </w:pP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40"/>
        </w:trPr>
        <w:tc>
          <w:tcPr>
            <w:tcW w:w="3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7"/>
        </w:trPr>
        <w:tc>
          <w:tcPr>
            <w:tcW w:w="3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46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X</w:t>
            </w:r>
          </w:p>
        </w:tc>
        <w:tc>
          <w:tcPr>
            <w:tcW w:w="1180" w:type="dxa"/>
            <w:vAlign w:val="bottom"/>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3820" w:type="dxa"/>
            <w:vAlign w:val="bottom"/>
            <w:tcBorders>
              <w:bottom w:val="single" w:sz="8" w:color="2C2C2C"/>
            </w:tcBorders>
          </w:tcPr>
          <w:p>
            <w:pPr>
              <w:spacing w:after="0"/>
              <w:rPr>
                <w:sz w:val="6"/>
                <w:szCs w:val="6"/>
                <w:color w:val="auto"/>
              </w:rPr>
            </w:pPr>
          </w:p>
        </w:tc>
        <w:tc>
          <w:tcPr>
            <w:tcW w:w="480" w:type="dxa"/>
            <w:vAlign w:val="bottom"/>
          </w:tcPr>
          <w:p>
            <w:pPr>
              <w:spacing w:after="0"/>
              <w:rPr>
                <w:sz w:val="6"/>
                <w:szCs w:val="6"/>
                <w:color w:val="auto"/>
              </w:rPr>
            </w:pPr>
          </w:p>
        </w:tc>
        <w:tc>
          <w:tcPr>
            <w:tcW w:w="11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460" w:type="dxa"/>
            <w:vAlign w:val="bottom"/>
            <w:vMerge w:val="continue"/>
          </w:tcPr>
          <w:p>
            <w:pPr>
              <w:spacing w:after="0"/>
              <w:rPr>
                <w:sz w:val="6"/>
                <w:szCs w:val="6"/>
                <w:color w:val="auto"/>
              </w:rPr>
            </w:pP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78"/>
        </w:trPr>
        <w:tc>
          <w:tcPr>
            <w:tcW w:w="3820" w:type="dxa"/>
            <w:vAlign w:val="bottom"/>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11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3820" w:type="dxa"/>
            <w:vAlign w:val="bottom"/>
            <w:vMerge w:val="continue"/>
          </w:tcPr>
          <w:p>
            <w:pPr>
              <w:spacing w:after="0"/>
              <w:rPr>
                <w:sz w:val="8"/>
                <w:szCs w:val="8"/>
                <w:color w:val="auto"/>
              </w:rPr>
            </w:pPr>
          </w:p>
        </w:tc>
        <w:tc>
          <w:tcPr>
            <w:tcW w:w="480" w:type="dxa"/>
            <w:vAlign w:val="bottom"/>
          </w:tcPr>
          <w:p>
            <w:pPr>
              <w:spacing w:after="0"/>
              <w:rPr>
                <w:sz w:val="8"/>
                <w:szCs w:val="8"/>
                <w:color w:val="auto"/>
              </w:rPr>
            </w:pPr>
          </w:p>
        </w:tc>
        <w:tc>
          <w:tcPr>
            <w:tcW w:w="1640" w:type="dxa"/>
            <w:vAlign w:val="bottom"/>
            <w:gridSpan w:val="2"/>
            <w:vMerge w:val="restart"/>
          </w:tcPr>
          <w:p>
            <w:pPr>
              <w:ind w:left="760"/>
              <w:spacing w:after="0"/>
              <w:rPr>
                <w:sz w:val="20"/>
                <w:szCs w:val="20"/>
                <w:color w:val="auto"/>
              </w:rPr>
            </w:pPr>
            <w:r>
              <w:rPr>
                <w:rFonts w:ascii="Times New Roman" w:cs="Times New Roman" w:eastAsia="Times New Roman" w:hAnsi="Times New Roman"/>
                <w:sz w:val="17"/>
                <w:szCs w:val="17"/>
                <w:color w:val="0000FF"/>
              </w:rPr>
              <w:t>See remarks</w:t>
            </w:r>
          </w:p>
        </w:tc>
        <w:tc>
          <w:tcPr>
            <w:tcW w:w="1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9"/>
        </w:trPr>
        <w:tc>
          <w:tcPr>
            <w:tcW w:w="38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12/31/2020</w:t>
            </w:r>
          </w:p>
        </w:tc>
        <w:tc>
          <w:tcPr>
            <w:tcW w:w="48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3820" w:type="dxa"/>
            <w:vAlign w:val="bottom"/>
            <w:vMerge w:val="continue"/>
          </w:tcPr>
          <w:p>
            <w:pPr>
              <w:spacing w:after="0"/>
              <w:rPr>
                <w:sz w:val="6"/>
                <w:szCs w:val="6"/>
                <w:color w:val="auto"/>
              </w:rPr>
            </w:pPr>
          </w:p>
        </w:tc>
        <w:tc>
          <w:tcPr>
            <w:tcW w:w="4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9"/>
        </w:trPr>
        <w:tc>
          <w:tcPr>
            <w:tcW w:w="3820" w:type="dxa"/>
            <w:vAlign w:val="bottom"/>
            <w:tcBorders>
              <w:bottom w:val="single" w:sz="8" w:color="2C2C2C"/>
            </w:tcBorders>
          </w:tcPr>
          <w:p>
            <w:pPr>
              <w:spacing w:after="0"/>
              <w:rPr>
                <w:sz w:val="13"/>
                <w:szCs w:val="13"/>
                <w:color w:val="auto"/>
              </w:rPr>
            </w:pPr>
          </w:p>
        </w:tc>
        <w:tc>
          <w:tcPr>
            <w:tcW w:w="3300" w:type="dxa"/>
            <w:vAlign w:val="bottom"/>
            <w:tcBorders>
              <w:bottom w:val="single" w:sz="8" w:color="2C2C2C"/>
            </w:tcBorders>
            <w:gridSpan w:val="4"/>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3820" w:type="dxa"/>
            <w:vAlign w:val="bottom"/>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spacing w:after="0" w:line="12" w:lineRule="exact"/>
        <w:rPr>
          <w:sz w:val="24"/>
          <w:szCs w:val="24"/>
          <w:color w:val="auto"/>
        </w:rPr>
      </w:pPr>
    </w:p>
    <w:tbl>
      <w:tblPr>
        <w:tblLayout w:type="fixed"/>
        <w:tblInd w:w="4080" w:type="dxa"/>
        <w:tblCellMar>
          <w:top w:w="0" w:type="dxa"/>
          <w:left w:w="0" w:type="dxa"/>
          <w:bottom w:w="0" w:type="dxa"/>
          <w:right w:w="0" w:type="dxa"/>
        </w:tblCellMar>
      </w:tblPr>
      <w:tr>
        <w:trPr>
          <w:trHeight w:val="171"/>
        </w:trPr>
        <w:tc>
          <w:tcPr>
            <w:tcW w:w="240" w:type="dxa"/>
            <w:vAlign w:val="bottom"/>
          </w:tcPr>
          <w:p>
            <w:pPr>
              <w:spacing w:after="0"/>
              <w:rPr>
                <w:sz w:val="14"/>
                <w:szCs w:val="14"/>
                <w:color w:val="auto"/>
              </w:rPr>
            </w:pPr>
          </w:p>
        </w:tc>
        <w:tc>
          <w:tcPr>
            <w:tcW w:w="230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9"/>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300" w:type="dxa"/>
            <w:vAlign w:val="bottom"/>
          </w:tcPr>
          <w:p>
            <w:pPr>
              <w:ind w:left="100"/>
              <w:spacing w:after="0"/>
              <w:rPr>
                <w:sz w:val="20"/>
                <w:szCs w:val="20"/>
                <w:color w:val="auto"/>
              </w:rPr>
            </w:pPr>
            <w:r>
              <w:rPr>
                <w:rFonts w:ascii="Arial" w:cs="Arial" w:eastAsia="Arial" w:hAnsi="Arial"/>
                <w:sz w:val="13"/>
                <w:szCs w:val="13"/>
                <w:color w:val="auto"/>
                <w:w w:val="96"/>
              </w:rPr>
              <w:t>Form filed by More than One Reporting</w:t>
            </w:r>
          </w:p>
        </w:tc>
        <w:tc>
          <w:tcPr>
            <w:tcW w:w="0" w:type="dxa"/>
            <w:vAlign w:val="bottom"/>
          </w:tcPr>
          <w:p>
            <w:pPr>
              <w:spacing w:after="0"/>
              <w:rPr>
                <w:sz w:val="1"/>
                <w:szCs w:val="1"/>
                <w:color w:val="auto"/>
              </w:rPr>
            </w:pPr>
          </w:p>
        </w:tc>
      </w:tr>
      <w:tr>
        <w:trPr>
          <w:trHeight w:val="117"/>
        </w:trPr>
        <w:tc>
          <w:tcPr>
            <w:tcW w:w="240" w:type="dxa"/>
            <w:vAlign w:val="bottom"/>
            <w:vMerge w:val="continue"/>
          </w:tcPr>
          <w:p>
            <w:pPr>
              <w:spacing w:after="0"/>
              <w:rPr>
                <w:sz w:val="10"/>
                <w:szCs w:val="10"/>
                <w:color w:val="auto"/>
              </w:rPr>
            </w:pPr>
          </w:p>
        </w:tc>
        <w:tc>
          <w:tcPr>
            <w:tcW w:w="230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2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-2436495</wp:posOffset>
            </wp:positionH>
            <wp:positionV relativeFrom="paragraph">
              <wp:posOffset>135890</wp:posOffset>
            </wp:positionV>
            <wp:extent cx="6970395" cy="1541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70395" cy="1541145"/>
                    </a:xfrm>
                    <a:prstGeom prst="rect">
                      <a:avLst/>
                    </a:prstGeom>
                    <a:noFill/>
                  </pic:spPr>
                </pic:pic>
              </a:graphicData>
            </a:graphic>
          </wp:anchor>
        </w:drawing>
      </w:r>
    </w:p>
    <w:p>
      <w:pPr>
        <w:spacing w:after="0" w:line="271" w:lineRule="exact"/>
        <w:rPr>
          <w:sz w:val="24"/>
          <w:szCs w:val="24"/>
          <w:color w:val="auto"/>
        </w:rPr>
      </w:pPr>
    </w:p>
    <w:p>
      <w:pPr>
        <w:sectPr>
          <w:pgSz w:w="11900" w:h="16838" w:orient="portrait"/>
          <w:cols w:equalWidth="0" w:num="2">
            <w:col w:w="3740" w:space="10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60"/>
              <w:spacing w:after="0"/>
              <w:rPr>
                <w:sz w:val="20"/>
                <w:szCs w:val="20"/>
                <w:color w:val="auto"/>
              </w:rPr>
            </w:pPr>
            <w:r>
              <w:rPr>
                <w:rFonts w:ascii="Arial" w:cs="Arial" w:eastAsia="Arial" w:hAnsi="Arial"/>
                <w:sz w:val="11"/>
                <w:szCs w:val="11"/>
                <w:b w:val="1"/>
                <w:bCs w:val="1"/>
                <w:color w:val="auto"/>
              </w:rPr>
              <w:t>2. Transaction</w:t>
            </w:r>
          </w:p>
        </w:tc>
        <w:tc>
          <w:tcPr>
            <w:tcW w:w="1100" w:type="dxa"/>
            <w:vAlign w:val="bottom"/>
            <w:gridSpan w:val="5"/>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3.</w:t>
            </w:r>
          </w:p>
        </w:tc>
        <w:tc>
          <w:tcPr>
            <w:tcW w:w="1880" w:type="dxa"/>
            <w:vAlign w:val="bottom"/>
            <w:gridSpan w:val="5"/>
          </w:tcPr>
          <w:p>
            <w:pPr>
              <w:ind w:left="20"/>
              <w:spacing w:after="0"/>
              <w:rPr>
                <w:sz w:val="20"/>
                <w:szCs w:val="20"/>
                <w:color w:val="auto"/>
              </w:rPr>
            </w:pPr>
            <w:r>
              <w:rPr>
                <w:rFonts w:ascii="Arial" w:cs="Arial" w:eastAsia="Arial" w:hAnsi="Arial"/>
                <w:sz w:val="11"/>
                <w:szCs w:val="11"/>
                <w:b w:val="1"/>
                <w:bCs w:val="1"/>
                <w:color w:val="auto"/>
              </w:rPr>
              <w:t>4. Securities Acquired (A) or</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5. Amount of</w:t>
            </w:r>
          </w:p>
        </w:tc>
        <w:tc>
          <w:tcPr>
            <w:tcW w:w="1140" w:type="dxa"/>
            <w:vAlign w:val="bottom"/>
            <w:gridSpan w:val="2"/>
          </w:tcPr>
          <w:p>
            <w:pPr>
              <w:ind w:left="320"/>
              <w:spacing w:after="0"/>
              <w:rPr>
                <w:sz w:val="20"/>
                <w:szCs w:val="20"/>
                <w:color w:val="auto"/>
              </w:rPr>
            </w:pPr>
            <w:r>
              <w:rPr>
                <w:rFonts w:ascii="Arial" w:cs="Arial" w:eastAsia="Arial" w:hAnsi="Arial"/>
                <w:sz w:val="11"/>
                <w:szCs w:val="11"/>
                <w:b w:val="1"/>
                <w:bCs w:val="1"/>
                <w:color w:val="auto"/>
              </w:rPr>
              <w:t>6. Ownership</w:t>
            </w:r>
          </w:p>
        </w:tc>
        <w:tc>
          <w:tcPr>
            <w:tcW w:w="1260" w:type="dxa"/>
            <w:vAlign w:val="bottom"/>
            <w:gridSpan w:val="5"/>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40" w:type="dxa"/>
            <w:vAlign w:val="bottom"/>
          </w:tcPr>
          <w:p>
            <w:pPr>
              <w:ind w:left="560"/>
              <w:spacing w:after="0" w:line="122" w:lineRule="exact"/>
              <w:rPr>
                <w:sz w:val="20"/>
                <w:szCs w:val="20"/>
                <w:color w:val="auto"/>
              </w:rPr>
            </w:pPr>
            <w:r>
              <w:rPr>
                <w:rFonts w:ascii="Arial" w:cs="Arial" w:eastAsia="Arial" w:hAnsi="Arial"/>
                <w:sz w:val="11"/>
                <w:szCs w:val="11"/>
                <w:b w:val="1"/>
                <w:bCs w:val="1"/>
                <w:color w:val="auto"/>
              </w:rPr>
              <w:t>Date</w:t>
            </w:r>
          </w:p>
        </w:tc>
        <w:tc>
          <w:tcPr>
            <w:tcW w:w="420" w:type="dxa"/>
            <w:vAlign w:val="bottom"/>
          </w:tcPr>
          <w:p>
            <w:pPr>
              <w:spacing w:after="0"/>
              <w:rPr>
                <w:sz w:val="10"/>
                <w:szCs w:val="10"/>
                <w:color w:val="auto"/>
              </w:rPr>
            </w:pPr>
          </w:p>
        </w:tc>
        <w:tc>
          <w:tcPr>
            <w:tcW w:w="1100" w:type="dxa"/>
            <w:vAlign w:val="bottom"/>
            <w:gridSpan w:val="5"/>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20"/>
              <w:spacing w:after="0" w:line="122" w:lineRule="exact"/>
              <w:rPr>
                <w:sz w:val="20"/>
                <w:szCs w:val="20"/>
                <w:color w:val="auto"/>
              </w:rPr>
            </w:pPr>
            <w:r>
              <w:rPr>
                <w:rFonts w:ascii="Arial" w:cs="Arial" w:eastAsia="Arial" w:hAnsi="Arial"/>
                <w:sz w:val="11"/>
                <w:szCs w:val="11"/>
                <w:b w:val="1"/>
                <w:bCs w:val="1"/>
                <w:color w:val="auto"/>
              </w:rPr>
              <w:t>Transaction</w:t>
            </w:r>
          </w:p>
        </w:tc>
        <w:tc>
          <w:tcPr>
            <w:tcW w:w="1880" w:type="dxa"/>
            <w:vAlign w:val="bottom"/>
            <w:gridSpan w:val="5"/>
          </w:tcPr>
          <w:p>
            <w:pPr>
              <w:ind w:left="20"/>
              <w:spacing w:after="0" w:line="122" w:lineRule="exact"/>
              <w:rPr>
                <w:sz w:val="20"/>
                <w:szCs w:val="20"/>
                <w:color w:val="auto"/>
              </w:rPr>
            </w:pPr>
            <w:r>
              <w:rPr>
                <w:rFonts w:ascii="Arial" w:cs="Arial" w:eastAsia="Arial" w:hAnsi="Arial"/>
                <w:sz w:val="11"/>
                <w:szCs w:val="11"/>
                <w:b w:val="1"/>
                <w:bCs w:val="1"/>
                <w:color w:val="auto"/>
              </w:rPr>
              <w:t>Disposed Of (D) (Instr. 3, 4 and</w:t>
            </w:r>
          </w:p>
        </w:tc>
        <w:tc>
          <w:tcPr>
            <w:tcW w:w="800" w:type="dxa"/>
            <w:vAlign w:val="bottom"/>
            <w:gridSpan w:val="2"/>
          </w:tcPr>
          <w:p>
            <w:pPr>
              <w:spacing w:after="0" w:line="122" w:lineRule="exact"/>
              <w:rPr>
                <w:sz w:val="20"/>
                <w:szCs w:val="20"/>
                <w:color w:val="auto"/>
              </w:rPr>
            </w:pPr>
            <w:r>
              <w:rPr>
                <w:rFonts w:ascii="Arial" w:cs="Arial" w:eastAsia="Arial" w:hAnsi="Arial"/>
                <w:sz w:val="11"/>
                <w:szCs w:val="11"/>
                <w:b w:val="1"/>
                <w:bCs w:val="1"/>
                <w:color w:val="auto"/>
              </w:rPr>
              <w:t>Securities</w:t>
            </w:r>
          </w:p>
        </w:tc>
        <w:tc>
          <w:tcPr>
            <w:tcW w:w="1140" w:type="dxa"/>
            <w:vAlign w:val="bottom"/>
            <w:gridSpan w:val="2"/>
          </w:tcPr>
          <w:p>
            <w:pPr>
              <w:ind w:left="320"/>
              <w:spacing w:after="0" w:line="122" w:lineRule="exact"/>
              <w:rPr>
                <w:sz w:val="20"/>
                <w:szCs w:val="20"/>
                <w:color w:val="auto"/>
              </w:rPr>
            </w:pPr>
            <w:r>
              <w:rPr>
                <w:rFonts w:ascii="Arial" w:cs="Arial" w:eastAsia="Arial" w:hAnsi="Arial"/>
                <w:sz w:val="11"/>
                <w:szCs w:val="11"/>
                <w:b w:val="1"/>
                <w:bCs w:val="1"/>
                <w:color w:val="auto"/>
              </w:rPr>
              <w:t>Form: Direct</w:t>
            </w:r>
          </w:p>
        </w:tc>
        <w:tc>
          <w:tcPr>
            <w:tcW w:w="1260" w:type="dxa"/>
            <w:vAlign w:val="bottom"/>
            <w:gridSpan w:val="5"/>
          </w:tcPr>
          <w:p>
            <w:pPr>
              <w:ind w:left="100"/>
              <w:spacing w:after="0" w:line="122" w:lineRule="exact"/>
              <w:rPr>
                <w:sz w:val="20"/>
                <w:szCs w:val="20"/>
                <w:color w:val="auto"/>
              </w:rPr>
            </w:pPr>
            <w:r>
              <w:rPr>
                <w:rFonts w:ascii="Arial" w:cs="Arial" w:eastAsia="Arial" w:hAnsi="Arial"/>
                <w:sz w:val="11"/>
                <w:szCs w:val="11"/>
                <w:b w:val="1"/>
                <w:bCs w:val="1"/>
                <w:color w:val="auto"/>
              </w:rPr>
              <w:t>Indirect 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60" w:type="dxa"/>
            <w:vAlign w:val="bottom"/>
            <w:gridSpan w:val="2"/>
          </w:tcPr>
          <w:p>
            <w:pPr>
              <w:ind w:left="560"/>
              <w:spacing w:after="0"/>
              <w:rPr>
                <w:sz w:val="20"/>
                <w:szCs w:val="20"/>
                <w:color w:val="auto"/>
              </w:rPr>
            </w:pPr>
            <w:r>
              <w:rPr>
                <w:rFonts w:ascii="Arial" w:cs="Arial" w:eastAsia="Arial" w:hAnsi="Arial"/>
                <w:sz w:val="11"/>
                <w:szCs w:val="11"/>
                <w:b w:val="1"/>
                <w:bCs w:val="1"/>
                <w:color w:val="auto"/>
              </w:rPr>
              <w:t>(Month/Day/Year)</w:t>
            </w:r>
          </w:p>
        </w:tc>
        <w:tc>
          <w:tcPr>
            <w:tcW w:w="400" w:type="dxa"/>
            <w:vAlign w:val="bottom"/>
            <w:gridSpan w:val="3"/>
          </w:tcPr>
          <w:p>
            <w:pPr>
              <w:ind w:left="60"/>
              <w:spacing w:after="0"/>
              <w:rPr>
                <w:sz w:val="20"/>
                <w:szCs w:val="20"/>
                <w:color w:val="auto"/>
              </w:rPr>
            </w:pPr>
            <w:r>
              <w:rPr>
                <w:rFonts w:ascii="Arial" w:cs="Arial" w:eastAsia="Arial" w:hAnsi="Arial"/>
                <w:sz w:val="11"/>
                <w:szCs w:val="11"/>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ind w:left="20"/>
              <w:spacing w:after="0"/>
              <w:rPr>
                <w:sz w:val="20"/>
                <w:szCs w:val="20"/>
                <w:color w:val="auto"/>
              </w:rPr>
            </w:pPr>
            <w:r>
              <w:rPr>
                <w:rFonts w:ascii="Arial" w:cs="Arial" w:eastAsia="Arial" w:hAnsi="Arial"/>
                <w:sz w:val="11"/>
                <w:szCs w:val="11"/>
                <w:b w:val="1"/>
                <w:bCs w:val="1"/>
                <w:color w:val="auto"/>
              </w:rPr>
              <w:t>5)</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1140" w:type="dxa"/>
            <w:vAlign w:val="bottom"/>
            <w:gridSpan w:val="2"/>
          </w:tcPr>
          <w:p>
            <w:pPr>
              <w:ind w:left="320"/>
              <w:spacing w:after="0"/>
              <w:rPr>
                <w:sz w:val="20"/>
                <w:szCs w:val="20"/>
                <w:color w:val="auto"/>
              </w:rPr>
            </w:pPr>
            <w:r>
              <w:rPr>
                <w:rFonts w:ascii="Arial" w:cs="Arial" w:eastAsia="Arial" w:hAnsi="Arial"/>
                <w:sz w:val="11"/>
                <w:szCs w:val="11"/>
                <w:b w:val="1"/>
                <w:bCs w:val="1"/>
                <w:color w:val="auto"/>
              </w:rPr>
              <w:t>(D) or Indirect</w:t>
            </w:r>
          </w:p>
        </w:tc>
        <w:tc>
          <w:tcPr>
            <w:tcW w:w="1260" w:type="dxa"/>
            <w:vAlign w:val="bottom"/>
            <w:gridSpan w:val="5"/>
          </w:tcPr>
          <w:p>
            <w:pPr>
              <w:ind w:left="100"/>
              <w:spacing w:after="0"/>
              <w:rPr>
                <w:sz w:val="20"/>
                <w:szCs w:val="20"/>
                <w:color w:val="auto"/>
              </w:rPr>
            </w:pPr>
            <w:r>
              <w:rPr>
                <w:rFonts w:ascii="Arial" w:cs="Arial" w:eastAsia="Arial" w:hAnsi="Arial"/>
                <w:sz w:val="11"/>
                <w:szCs w:val="11"/>
                <w:b w:val="1"/>
                <w:bCs w:val="1"/>
                <w:color w:val="auto"/>
              </w:rPr>
              <w:t>Ownership (Instr.</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5"/>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720" w:type="dxa"/>
            <w:vAlign w:val="bottom"/>
            <w:gridSpan w:val="3"/>
          </w:tcPr>
          <w:p>
            <w:pPr>
              <w:spacing w:after="0"/>
              <w:rPr>
                <w:sz w:val="20"/>
                <w:szCs w:val="20"/>
                <w:color w:val="auto"/>
              </w:rPr>
            </w:pPr>
            <w:r>
              <w:rPr>
                <w:rFonts w:ascii="Arial" w:cs="Arial" w:eastAsia="Arial" w:hAnsi="Arial"/>
                <w:sz w:val="11"/>
                <w:szCs w:val="11"/>
                <w:b w:val="1"/>
                <w:bCs w:val="1"/>
                <w:color w:val="auto"/>
              </w:rPr>
              <w:t>Owned Following   (I) (Instr. 4)</w:t>
            </w:r>
          </w:p>
        </w:tc>
        <w:tc>
          <w:tcPr>
            <w:tcW w:w="220" w:type="dxa"/>
            <w:vAlign w:val="bottom"/>
          </w:tcPr>
          <w:p>
            <w:pPr>
              <w:spacing w:after="0"/>
              <w:rPr>
                <w:sz w:val="11"/>
                <w:szCs w:val="11"/>
                <w:color w:val="auto"/>
              </w:rPr>
            </w:pPr>
          </w:p>
        </w:tc>
        <w:tc>
          <w:tcPr>
            <w:tcW w:w="440" w:type="dxa"/>
            <w:vAlign w:val="bottom"/>
          </w:tcPr>
          <w:p>
            <w:pPr>
              <w:ind w:left="100"/>
              <w:spacing w:after="0"/>
              <w:rPr>
                <w:sz w:val="20"/>
                <w:szCs w:val="20"/>
                <w:color w:val="auto"/>
              </w:rPr>
            </w:pPr>
            <w:r>
              <w:rPr>
                <w:rFonts w:ascii="Arial" w:cs="Arial" w:eastAsia="Arial" w:hAnsi="Arial"/>
                <w:sz w:val="11"/>
                <w:szCs w:val="11"/>
                <w:b w:val="1"/>
                <w:bCs w:val="1"/>
                <w:color w:val="auto"/>
              </w:rPr>
              <w:t>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40" w:type="dxa"/>
            <w:vAlign w:val="bottom"/>
          </w:tcPr>
          <w:p>
            <w:pPr>
              <w:spacing w:after="0"/>
              <w:rPr>
                <w:sz w:val="2"/>
                <w:szCs w:val="2"/>
                <w:color w:val="auto"/>
              </w:rPr>
            </w:pPr>
          </w:p>
        </w:tc>
        <w:tc>
          <w:tcPr>
            <w:tcW w:w="5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 or</w:t>
            </w:r>
          </w:p>
        </w:tc>
        <w:tc>
          <w:tcPr>
            <w:tcW w:w="1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Amount</w:t>
            </w:r>
          </w:p>
        </w:tc>
        <w:tc>
          <w:tcPr>
            <w:tcW w:w="500" w:type="dxa"/>
            <w:vAlign w:val="bottom"/>
            <w:vMerge w:val="continue"/>
          </w:tcPr>
          <w:p>
            <w:pPr>
              <w:spacing w:after="0"/>
              <w:rPr>
                <w:sz w:val="11"/>
                <w:szCs w:val="11"/>
                <w:color w:val="auto"/>
              </w:rPr>
            </w:pPr>
          </w:p>
        </w:tc>
        <w:tc>
          <w:tcPr>
            <w:tcW w:w="640" w:type="dxa"/>
            <w:vAlign w:val="bottom"/>
            <w:gridSpan w:val="3"/>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80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(D)</w:t>
            </w:r>
          </w:p>
        </w:tc>
        <w:tc>
          <w:tcPr>
            <w:tcW w:w="640" w:type="dxa"/>
            <w:vAlign w:val="bottom"/>
            <w:gridSpan w:val="3"/>
            <w:vMerge w:val="continue"/>
          </w:tcPr>
          <w:p>
            <w:pPr>
              <w:spacing w:after="0"/>
              <w:rPr>
                <w:sz w:val="8"/>
                <w:szCs w:val="8"/>
                <w:color w:val="auto"/>
              </w:rPr>
            </w:pPr>
          </w:p>
        </w:tc>
        <w:tc>
          <w:tcPr>
            <w:tcW w:w="80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4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0"/>
                <w:szCs w:val="20"/>
                <w:color w:val="auto"/>
              </w:rPr>
            </w:pPr>
          </w:p>
        </w:tc>
        <w:tc>
          <w:tcPr>
            <w:tcW w:w="1560" w:type="dxa"/>
            <w:vAlign w:val="bottom"/>
            <w:gridSpan w:val="2"/>
            <w:vMerge w:val="restart"/>
          </w:tcPr>
          <w:p>
            <w:pPr>
              <w:jc w:val="right"/>
              <w:ind w:right="102"/>
              <w:spacing w:after="0"/>
              <w:rPr>
                <w:sz w:val="20"/>
                <w:szCs w:val="20"/>
                <w:color w:val="auto"/>
              </w:rPr>
            </w:pPr>
            <w:r>
              <w:rPr>
                <w:rFonts w:ascii="Times New Roman" w:cs="Times New Roman" w:eastAsia="Times New Roman" w:hAnsi="Times New Roman"/>
                <w:sz w:val="17"/>
                <w:szCs w:val="17"/>
                <w:color w:val="0000FF"/>
              </w:rPr>
              <w:t>12/31/2020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J</w:t>
            </w:r>
          </w:p>
        </w:tc>
        <w:tc>
          <w:tcPr>
            <w:tcW w:w="7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21,566</w:t>
            </w:r>
          </w:p>
        </w:tc>
        <w:tc>
          <w:tcPr>
            <w:tcW w:w="50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A</w:t>
            </w:r>
          </w:p>
        </w:tc>
        <w:tc>
          <w:tcPr>
            <w:tcW w:w="180" w:type="dxa"/>
            <w:vAlign w:val="bottom"/>
          </w:tcPr>
          <w:p>
            <w:pPr>
              <w:spacing w:after="0"/>
              <w:rPr>
                <w:sz w:val="20"/>
                <w:szCs w:val="20"/>
                <w:color w:val="auto"/>
              </w:rPr>
            </w:pPr>
          </w:p>
        </w:tc>
        <w:tc>
          <w:tcPr>
            <w:tcW w:w="400" w:type="dxa"/>
            <w:vAlign w:val="bottom"/>
            <w:vMerge w:val="restart"/>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0"/>
                <w:szCs w:val="20"/>
                <w:color w:val="auto"/>
              </w:rPr>
            </w:pPr>
          </w:p>
        </w:tc>
        <w:tc>
          <w:tcPr>
            <w:tcW w:w="800" w:type="dxa"/>
            <w:vAlign w:val="bottom"/>
            <w:gridSpan w:val="2"/>
            <w:vMerge w:val="restart"/>
          </w:tcPr>
          <w:p>
            <w:pPr>
              <w:jc w:val="right"/>
              <w:ind w:right="23"/>
              <w:spacing w:after="0"/>
              <w:rPr>
                <w:sz w:val="20"/>
                <w:szCs w:val="20"/>
                <w:color w:val="auto"/>
              </w:rPr>
            </w:pPr>
            <w:r>
              <w:rPr>
                <w:rFonts w:ascii="Times New Roman" w:cs="Times New Roman" w:eastAsia="Times New Roman" w:hAnsi="Times New Roman"/>
                <w:sz w:val="17"/>
                <w:szCs w:val="17"/>
                <w:color w:val="0000FF"/>
              </w:rPr>
              <w:t>21,566</w:t>
            </w:r>
          </w:p>
        </w:tc>
        <w:tc>
          <w:tcPr>
            <w:tcW w:w="920" w:type="dxa"/>
            <w:vAlign w:val="bottom"/>
            <w:vMerge w:val="restart"/>
          </w:tcPr>
          <w:p>
            <w:pPr>
              <w:ind w:left="68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Pr>
          <w:p>
            <w:pPr>
              <w:spacing w:after="0"/>
              <w:rPr>
                <w:sz w:val="20"/>
                <w:szCs w:val="20"/>
                <w:color w:val="auto"/>
              </w:rPr>
            </w:pPr>
          </w:p>
        </w:tc>
        <w:tc>
          <w:tcPr>
            <w:tcW w:w="44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See</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06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gridSpan w:val="5"/>
            <w:vMerge w:val="restart"/>
          </w:tcPr>
          <w:p>
            <w:pPr>
              <w:ind w:left="10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1"/>
                <w:szCs w:val="21"/>
                <w:color w:val="008000"/>
                <w:vertAlign w:val="superscript"/>
              </w:rPr>
              <w:t>(1)(2)(3)</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1480" w:type="dxa"/>
            <w:vAlign w:val="bottom"/>
            <w:tcBorders>
              <w:top w:val="single" w:sz="8" w:color="2C2C2C"/>
            </w:tcBorders>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top w:val="single" w:sz="8" w:color="2C2C2C"/>
            </w:tcBorders>
          </w:tcPr>
          <w:p>
            <w:pPr>
              <w:spacing w:after="0"/>
              <w:rPr>
                <w:sz w:val="20"/>
                <w:szCs w:val="20"/>
                <w:color w:val="auto"/>
              </w:rPr>
            </w:pPr>
          </w:p>
        </w:tc>
        <w:tc>
          <w:tcPr>
            <w:tcW w:w="1560" w:type="dxa"/>
            <w:vAlign w:val="bottom"/>
            <w:tcBorders>
              <w:top w:val="single" w:sz="8" w:color="2C2C2C"/>
            </w:tcBorders>
            <w:gridSpan w:val="2"/>
            <w:vMerge w:val="restart"/>
          </w:tcPr>
          <w:p>
            <w:pPr>
              <w:jc w:val="right"/>
              <w:ind w:right="102"/>
              <w:spacing w:after="0"/>
              <w:rPr>
                <w:sz w:val="20"/>
                <w:szCs w:val="20"/>
                <w:color w:val="auto"/>
              </w:rPr>
            </w:pPr>
            <w:r>
              <w:rPr>
                <w:rFonts w:ascii="Times New Roman" w:cs="Times New Roman" w:eastAsia="Times New Roman" w:hAnsi="Times New Roman"/>
                <w:sz w:val="17"/>
                <w:szCs w:val="17"/>
                <w:color w:val="0000FF"/>
              </w:rPr>
              <w:t>12/31/2020</w:t>
            </w:r>
          </w:p>
        </w:tc>
        <w:tc>
          <w:tcPr>
            <w:tcW w:w="1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66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780" w:type="dxa"/>
            <w:vAlign w:val="bottom"/>
            <w:tcBorders>
              <w:top w:val="single" w:sz="8" w:color="2C2C2C"/>
            </w:tcBorders>
            <w:vMerge w:val="restart"/>
          </w:tcPr>
          <w:p>
            <w:pPr>
              <w:ind w:left="160"/>
              <w:spacing w:after="0"/>
              <w:rPr>
                <w:sz w:val="20"/>
                <w:szCs w:val="20"/>
                <w:color w:val="auto"/>
              </w:rPr>
            </w:pPr>
            <w:r>
              <w:rPr>
                <w:rFonts w:ascii="Times New Roman" w:cs="Times New Roman" w:eastAsia="Times New Roman" w:hAnsi="Times New Roman"/>
                <w:sz w:val="13"/>
                <w:szCs w:val="13"/>
                <w:color w:val="0000FF"/>
              </w:rPr>
              <w:t>J</w:t>
            </w:r>
          </w:p>
        </w:tc>
        <w:tc>
          <w:tcPr>
            <w:tcW w:w="740" w:type="dxa"/>
            <w:vAlign w:val="bottom"/>
            <w:tcBorders>
              <w:top w:val="single" w:sz="8" w:color="2C2C2C"/>
            </w:tcBorders>
            <w:vMerge w:val="restart"/>
          </w:tcPr>
          <w:p>
            <w:pPr>
              <w:ind w:left="120"/>
              <w:spacing w:after="0"/>
              <w:rPr>
                <w:sz w:val="20"/>
                <w:szCs w:val="20"/>
                <w:color w:val="auto"/>
              </w:rPr>
            </w:pPr>
            <w:r>
              <w:rPr>
                <w:rFonts w:ascii="Times New Roman" w:cs="Times New Roman" w:eastAsia="Times New Roman" w:hAnsi="Times New Roman"/>
                <w:sz w:val="17"/>
                <w:szCs w:val="17"/>
                <w:color w:val="0000FF"/>
              </w:rPr>
              <w:t>21,566</w:t>
            </w:r>
          </w:p>
        </w:tc>
        <w:tc>
          <w:tcPr>
            <w:tcW w:w="500" w:type="dxa"/>
            <w:vAlign w:val="bottom"/>
            <w:tcBorders>
              <w:top w:val="single" w:sz="8" w:color="2C2C2C"/>
            </w:tcBorders>
            <w:vMerge w:val="restart"/>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18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vMerge w:val="restart"/>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top w:val="single" w:sz="8" w:color="2C2C2C"/>
            </w:tcBorders>
          </w:tcPr>
          <w:p>
            <w:pPr>
              <w:spacing w:after="0"/>
              <w:rPr>
                <w:sz w:val="20"/>
                <w:szCs w:val="20"/>
                <w:color w:val="auto"/>
              </w:rPr>
            </w:pPr>
          </w:p>
        </w:tc>
        <w:tc>
          <w:tcPr>
            <w:tcW w:w="800" w:type="dxa"/>
            <w:vAlign w:val="bottom"/>
            <w:tcBorders>
              <w:top w:val="single" w:sz="8" w:color="2C2C2C"/>
            </w:tcBorders>
            <w:gridSpan w:val="2"/>
            <w:vMerge w:val="restart"/>
          </w:tcPr>
          <w:p>
            <w:pPr>
              <w:jc w:val="right"/>
              <w:ind w:right="203"/>
              <w:spacing w:after="0"/>
              <w:rPr>
                <w:sz w:val="20"/>
                <w:szCs w:val="20"/>
                <w:color w:val="auto"/>
              </w:rPr>
            </w:pPr>
            <w:r>
              <w:rPr>
                <w:rFonts w:ascii="Times New Roman" w:cs="Times New Roman" w:eastAsia="Times New Roman" w:hAnsi="Times New Roman"/>
                <w:sz w:val="17"/>
                <w:szCs w:val="17"/>
                <w:color w:val="0000FF"/>
              </w:rPr>
              <w:t>0</w:t>
            </w:r>
          </w:p>
        </w:tc>
        <w:tc>
          <w:tcPr>
            <w:tcW w:w="920" w:type="dxa"/>
            <w:vAlign w:val="bottom"/>
            <w:tcBorders>
              <w:top w:val="single" w:sz="8" w:color="2C2C2C"/>
            </w:tcBorders>
            <w:vMerge w:val="restart"/>
          </w:tcPr>
          <w:p>
            <w:pPr>
              <w:ind w:left="680"/>
              <w:spacing w:after="0"/>
              <w:rPr>
                <w:sz w:val="20"/>
                <w:szCs w:val="20"/>
                <w:color w:val="auto"/>
              </w:rPr>
            </w:pPr>
            <w:r>
              <w:rPr>
                <w:rFonts w:ascii="Times New Roman" w:cs="Times New Roman" w:eastAsia="Times New Roman" w:hAnsi="Times New Roman"/>
                <w:sz w:val="17"/>
                <w:szCs w:val="17"/>
                <w:color w:val="0000FF"/>
              </w:rPr>
              <w:t>I</w:t>
            </w:r>
          </w:p>
        </w:tc>
        <w:tc>
          <w:tcPr>
            <w:tcW w:w="22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See</w:t>
            </w:r>
          </w:p>
        </w:tc>
        <w:tc>
          <w:tcPr>
            <w:tcW w:w="700" w:type="dxa"/>
            <w:vAlign w:val="bottom"/>
            <w:tcBorders>
              <w:top w:val="single" w:sz="8" w:color="2C2C2C"/>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060" w:type="dxa"/>
            <w:vAlign w:val="bottom"/>
          </w:tcPr>
          <w:p>
            <w:pPr>
              <w:spacing w:after="0"/>
              <w:rPr>
                <w:sz w:val="10"/>
                <w:szCs w:val="10"/>
                <w:color w:val="auto"/>
              </w:rPr>
            </w:pPr>
          </w:p>
        </w:tc>
        <w:tc>
          <w:tcPr>
            <w:tcW w:w="156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5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gridSpan w:val="5"/>
            <w:vMerge w:val="restart"/>
          </w:tcPr>
          <w:p>
            <w:pPr>
              <w:ind w:left="10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1"/>
                <w:szCs w:val="21"/>
                <w:color w:val="008000"/>
                <w:vertAlign w:val="superscript"/>
              </w:rPr>
              <w:t>(1)(2)(3)</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5"/>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1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920" w:type="dxa"/>
            <w:vAlign w:val="bottom"/>
            <w:tcBorders>
              <w:top w:val="single" w:sz="8" w:color="2C2C2C"/>
            </w:tcBorders>
          </w:tcPr>
          <w:p>
            <w:pPr>
              <w:spacing w:after="0"/>
              <w:rPr>
                <w:sz w:val="18"/>
                <w:szCs w:val="18"/>
                <w:color w:val="auto"/>
              </w:rPr>
            </w:pPr>
          </w:p>
        </w:tc>
        <w:tc>
          <w:tcPr>
            <w:tcW w:w="22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320" w:type="dxa"/>
            <w:vAlign w:val="bottom"/>
            <w:gridSpan w:val="13"/>
          </w:tcPr>
          <w:p>
            <w:pPr>
              <w:ind w:left="700"/>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4"/>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120"/>
              <w:spacing w:after="0"/>
              <w:rPr>
                <w:sz w:val="20"/>
                <w:szCs w:val="20"/>
                <w:color w:val="auto"/>
              </w:rPr>
            </w:pPr>
            <w:r>
              <w:rPr>
                <w:rFonts w:ascii="Arial" w:cs="Arial" w:eastAsia="Arial" w:hAnsi="Arial"/>
                <w:sz w:val="11"/>
                <w:szCs w:val="11"/>
                <w:b w:val="1"/>
                <w:bCs w:val="1"/>
                <w:color w:val="auto"/>
              </w:rPr>
              <w:t>3. Transaction</w:t>
            </w:r>
          </w:p>
        </w:tc>
        <w:tc>
          <w:tcPr>
            <w:tcW w:w="1140" w:type="dxa"/>
            <w:vAlign w:val="bottom"/>
          </w:tcPr>
          <w:p>
            <w:pPr>
              <w:ind w:left="140"/>
              <w:spacing w:after="0"/>
              <w:rPr>
                <w:sz w:val="20"/>
                <w:szCs w:val="20"/>
                <w:color w:val="auto"/>
              </w:rPr>
            </w:pPr>
            <w:r>
              <w:rPr>
                <w:rFonts w:ascii="Arial" w:cs="Arial" w:eastAsia="Arial" w:hAnsi="Arial"/>
                <w:sz w:val="11"/>
                <w:szCs w:val="11"/>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6. Date Exercisable and</w:t>
            </w:r>
          </w:p>
        </w:tc>
        <w:tc>
          <w:tcPr>
            <w:tcW w:w="1140" w:type="dxa"/>
            <w:vAlign w:val="bottom"/>
            <w:gridSpan w:val="4"/>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9. Number of</w:t>
            </w:r>
          </w:p>
        </w:tc>
        <w:tc>
          <w:tcPr>
            <w:tcW w:w="220" w:type="dxa"/>
            <w:vAlign w:val="bottom"/>
          </w:tcPr>
          <w:p>
            <w:pPr>
              <w:spacing w:after="0"/>
              <w:rPr>
                <w:sz w:val="20"/>
                <w:szCs w:val="20"/>
                <w:color w:val="auto"/>
              </w:rPr>
            </w:pPr>
            <w:r>
              <w:rPr>
                <w:rFonts w:ascii="Arial" w:cs="Arial" w:eastAsia="Arial" w:hAnsi="Arial"/>
                <w:sz w:val="11"/>
                <w:szCs w:val="11"/>
                <w:b w:val="1"/>
                <w:bCs w:val="1"/>
                <w:color w:val="auto"/>
              </w:rPr>
              <w:t>10.</w:t>
            </w:r>
          </w:p>
        </w:tc>
        <w:tc>
          <w:tcPr>
            <w:tcW w:w="440" w:type="dxa"/>
            <w:vAlign w:val="bottom"/>
          </w:tcPr>
          <w:p>
            <w:pPr>
              <w:spacing w:after="0"/>
              <w:rPr>
                <w:sz w:val="13"/>
                <w:szCs w:val="13"/>
                <w:color w:val="auto"/>
              </w:rPr>
            </w:pPr>
          </w:p>
        </w:tc>
        <w:tc>
          <w:tcPr>
            <w:tcW w:w="820" w:type="dxa"/>
            <w:vAlign w:val="bottom"/>
            <w:gridSpan w:val="4"/>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1140" w:type="dxa"/>
            <w:vAlign w:val="bottom"/>
          </w:tcPr>
          <w:p>
            <w:pPr>
              <w:ind w:left="140"/>
              <w:spacing w:after="0"/>
              <w:rPr>
                <w:sz w:val="20"/>
                <w:szCs w:val="20"/>
                <w:color w:val="auto"/>
              </w:rPr>
            </w:pPr>
            <w:r>
              <w:rPr>
                <w:rFonts w:ascii="Arial" w:cs="Arial" w:eastAsia="Arial" w:hAnsi="Arial"/>
                <w:sz w:val="11"/>
                <w:szCs w:val="11"/>
                <w:b w:val="1"/>
                <w:bCs w:val="1"/>
                <w:color w:val="auto"/>
              </w:rPr>
              <w:t>Execution Date,</w:t>
            </w: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of</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Expiration Date</w:t>
            </w:r>
          </w:p>
        </w:tc>
        <w:tc>
          <w:tcPr>
            <w:tcW w:w="1140" w:type="dxa"/>
            <w:vAlign w:val="bottom"/>
            <w:gridSpan w:val="4"/>
          </w:tcPr>
          <w:p>
            <w:pPr>
              <w:ind w:left="80"/>
              <w:spacing w:after="0"/>
              <w:rPr>
                <w:sz w:val="20"/>
                <w:szCs w:val="20"/>
                <w:color w:val="auto"/>
              </w:rPr>
            </w:pPr>
            <w:r>
              <w:rPr>
                <w:rFonts w:ascii="Arial" w:cs="Arial" w:eastAsia="Arial" w:hAnsi="Arial"/>
                <w:sz w:val="11"/>
                <w:szCs w:val="11"/>
                <w:b w:val="1"/>
                <w:bCs w:val="1"/>
                <w:color w:val="auto"/>
              </w:rPr>
              <w:t>of Securities</w:t>
            </w:r>
          </w:p>
        </w:tc>
        <w:tc>
          <w:tcPr>
            <w:tcW w:w="6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Ownership</w:t>
            </w:r>
          </w:p>
        </w:tc>
        <w:tc>
          <w:tcPr>
            <w:tcW w:w="820" w:type="dxa"/>
            <w:vAlign w:val="bottom"/>
            <w:gridSpan w:val="4"/>
          </w:tcPr>
          <w:p>
            <w:pPr>
              <w:ind w:left="8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120"/>
              <w:spacing w:after="0"/>
              <w:rPr>
                <w:sz w:val="20"/>
                <w:szCs w:val="20"/>
                <w:color w:val="auto"/>
              </w:rPr>
            </w:pPr>
            <w:r>
              <w:rPr>
                <w:rFonts w:ascii="Arial" w:cs="Arial" w:eastAsia="Arial" w:hAnsi="Arial"/>
                <w:sz w:val="11"/>
                <w:szCs w:val="11"/>
                <w:b w:val="1"/>
                <w:bCs w:val="1"/>
                <w:color w:val="auto"/>
              </w:rPr>
              <w:t>(Month/Day/Year)</w:t>
            </w:r>
          </w:p>
        </w:tc>
        <w:tc>
          <w:tcPr>
            <w:tcW w:w="1140" w:type="dxa"/>
            <w:vAlign w:val="bottom"/>
          </w:tcPr>
          <w:p>
            <w:pPr>
              <w:ind w:left="140"/>
              <w:spacing w:after="0"/>
              <w:rPr>
                <w:sz w:val="20"/>
                <w:szCs w:val="20"/>
                <w:color w:val="auto"/>
              </w:rPr>
            </w:pPr>
            <w:r>
              <w:rPr>
                <w:rFonts w:ascii="Arial" w:cs="Arial" w:eastAsia="Arial" w:hAnsi="Arial"/>
                <w:sz w:val="11"/>
                <w:szCs w:val="11"/>
                <w:b w:val="1"/>
                <w:bCs w:val="1"/>
                <w:color w:val="auto"/>
              </w:rPr>
              <w:t>if any</w:t>
            </w: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2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gridSpan w:val="2"/>
          </w:tcPr>
          <w:p>
            <w:pPr>
              <w:ind w:left="80"/>
              <w:spacing w:after="0"/>
              <w:rPr>
                <w:sz w:val="20"/>
                <w:szCs w:val="20"/>
                <w:color w:val="auto"/>
              </w:rPr>
            </w:pPr>
            <w:r>
              <w:rPr>
                <w:rFonts w:ascii="Arial" w:cs="Arial" w:eastAsia="Arial" w:hAnsi="Arial"/>
                <w:sz w:val="11"/>
                <w:szCs w:val="11"/>
                <w:b w:val="1"/>
                <w:bCs w:val="1"/>
                <w:color w:val="auto"/>
              </w:rPr>
              <w:t>Underlying</w:t>
            </w: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140" w:type="dxa"/>
            <w:vAlign w:val="bottom"/>
          </w:tcPr>
          <w:p>
            <w:pPr>
              <w:ind w:left="140"/>
              <w:spacing w:after="0"/>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4"/>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4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4"/>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Transaction(s)</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Date</w:t>
            </w:r>
          </w:p>
        </w:tc>
        <w:tc>
          <w:tcPr>
            <w:tcW w:w="7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Expiration</w:t>
            </w: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w:t>
            </w:r>
          </w:p>
        </w:tc>
        <w:tc>
          <w:tcPr>
            <w:tcW w:w="400" w:type="dxa"/>
            <w:vAlign w:val="bottom"/>
            <w:gridSpan w:val="3"/>
            <w:vMerge w:val="restart"/>
          </w:tcPr>
          <w:p>
            <w:pPr>
              <w:ind w:left="60"/>
              <w:spacing w:after="0"/>
              <w:rPr>
                <w:sz w:val="20"/>
                <w:szCs w:val="20"/>
                <w:color w:val="auto"/>
              </w:rPr>
            </w:pPr>
            <w:r>
              <w:rPr>
                <w:rFonts w:ascii="Arial" w:cs="Arial" w:eastAsia="Arial" w:hAnsi="Arial"/>
                <w:sz w:val="11"/>
                <w:szCs w:val="11"/>
                <w:b w:val="1"/>
                <w:bCs w:val="1"/>
                <w:color w:val="auto"/>
              </w:rPr>
              <w:t>V</w:t>
            </w:r>
          </w:p>
        </w:tc>
        <w:tc>
          <w:tcPr>
            <w:tcW w:w="70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(A)  (D)</w:t>
            </w:r>
          </w:p>
        </w:tc>
        <w:tc>
          <w:tcPr>
            <w:tcW w:w="78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5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Title</w:t>
            </w:r>
          </w:p>
        </w:tc>
        <w:tc>
          <w:tcPr>
            <w:tcW w:w="180" w:type="dxa"/>
            <w:vAlign w:val="bottom"/>
          </w:tcPr>
          <w:p>
            <w:pPr>
              <w:spacing w:after="0"/>
              <w:rPr>
                <w:sz w:val="11"/>
                <w:szCs w:val="11"/>
                <w:color w:val="auto"/>
              </w:rPr>
            </w:pPr>
          </w:p>
        </w:tc>
        <w:tc>
          <w:tcPr>
            <w:tcW w:w="46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00" w:type="dxa"/>
            <w:vAlign w:val="bottom"/>
            <w:gridSpan w:val="3"/>
            <w:vMerge w:val="continue"/>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780" w:type="dxa"/>
            <w:vAlign w:val="bottom"/>
          </w:tcPr>
          <w:p>
            <w:pPr>
              <w:ind w:left="12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20"/>
              <w:spacing w:after="0"/>
              <w:rPr>
                <w:sz w:val="20"/>
                <w:szCs w:val="20"/>
                <w:color w:val="auto"/>
              </w:rPr>
            </w:pPr>
            <w:r>
              <w:rPr>
                <w:rFonts w:ascii="Arial" w:cs="Arial" w:eastAsia="Arial" w:hAnsi="Arial"/>
                <w:sz w:val="11"/>
                <w:szCs w:val="11"/>
                <w:b w:val="1"/>
                <w:bCs w:val="1"/>
                <w:color w:val="auto"/>
              </w:rPr>
              <w:t>Date</w:t>
            </w:r>
          </w:p>
        </w:tc>
        <w:tc>
          <w:tcPr>
            <w:tcW w:w="5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4"/>
            <w:vMerge w:val="restart"/>
          </w:tcPr>
          <w:p>
            <w:pPr>
              <w:ind w:left="8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Shares/Class</w:t>
            </w:r>
          </w:p>
        </w:tc>
        <w:tc>
          <w:tcPr>
            <w:tcW w:w="700" w:type="dxa"/>
            <w:vAlign w:val="bottom"/>
            <w:vMerge w:val="restart"/>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vMerge w:val="restart"/>
          </w:tcPr>
          <w:p>
            <w:pPr>
              <w:ind w:left="300"/>
              <w:spacing w:after="0"/>
              <w:rPr>
                <w:sz w:val="20"/>
                <w:szCs w:val="20"/>
                <w:color w:val="auto"/>
              </w:rPr>
            </w:pPr>
            <w:r>
              <w:rPr>
                <w:rFonts w:ascii="Times New Roman" w:cs="Times New Roman" w:eastAsia="Times New Roman" w:hAnsi="Times New Roman"/>
                <w:sz w:val="13"/>
                <w:szCs w:val="13"/>
                <w:color w:val="0000FF"/>
              </w:rPr>
              <w:t>12/31/2020</w:t>
            </w:r>
          </w:p>
        </w:tc>
        <w:tc>
          <w:tcPr>
            <w:tcW w:w="1140" w:type="dxa"/>
            <w:vAlign w:val="bottom"/>
          </w:tcPr>
          <w:p>
            <w:pPr>
              <w:spacing w:after="0"/>
              <w:rPr>
                <w:sz w:val="11"/>
                <w:szCs w:val="11"/>
                <w:color w:val="auto"/>
              </w:rPr>
            </w:pPr>
          </w:p>
        </w:tc>
        <w:tc>
          <w:tcPr>
            <w:tcW w:w="420" w:type="dxa"/>
            <w:vAlign w:val="bottom"/>
            <w:vMerge w:val="restart"/>
          </w:tcPr>
          <w:p>
            <w:pPr>
              <w:jc w:val="right"/>
              <w:ind w:right="102"/>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3"/>
                <w:szCs w:val="13"/>
                <w:color w:val="0000FF"/>
                <w:w w:val="94"/>
              </w:rPr>
              <w:t>21,566</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(1)(2)</w:t>
            </w:r>
          </w:p>
        </w:tc>
        <w:tc>
          <w:tcPr>
            <w:tcW w:w="74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(1)(2)</w:t>
            </w:r>
          </w:p>
        </w:tc>
        <w:tc>
          <w:tcPr>
            <w:tcW w:w="680" w:type="dxa"/>
            <w:vAlign w:val="bottom"/>
            <w:gridSpan w:val="2"/>
          </w:tcPr>
          <w:p>
            <w:pPr>
              <w:ind w:left="80"/>
              <w:spacing w:after="0" w:line="128" w:lineRule="exact"/>
              <w:rPr>
                <w:sz w:val="20"/>
                <w:szCs w:val="20"/>
                <w:color w:val="auto"/>
              </w:rPr>
            </w:pPr>
            <w:r>
              <w:rPr>
                <w:rFonts w:ascii="Times New Roman" w:cs="Times New Roman" w:eastAsia="Times New Roman" w:hAnsi="Times New Roman"/>
                <w:sz w:val="13"/>
                <w:szCs w:val="13"/>
                <w:color w:val="0000FF"/>
              </w:rPr>
              <w:t>Common</w:t>
            </w:r>
          </w:p>
        </w:tc>
        <w:tc>
          <w:tcPr>
            <w:tcW w:w="4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w w:val="94"/>
              </w:rPr>
              <w:t>21,566</w:t>
            </w:r>
          </w:p>
        </w:tc>
        <w:tc>
          <w:tcPr>
            <w:tcW w:w="800" w:type="dxa"/>
            <w:vAlign w:val="bottom"/>
            <w:gridSpan w:val="2"/>
            <w:vMerge w:val="restart"/>
          </w:tcPr>
          <w:p>
            <w:pPr>
              <w:ind w:left="3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15,839,726</w:t>
            </w:r>
            <w:r>
              <w:rPr>
                <w:rFonts w:ascii="Times New Roman" w:cs="Times New Roman" w:eastAsia="Times New Roman" w:hAnsi="Times New Roman"/>
                <w:sz w:val="21"/>
                <w:szCs w:val="21"/>
                <w:color w:val="008000"/>
                <w:vertAlign w:val="superscript"/>
              </w:rPr>
              <w:t>(4)</w:t>
            </w:r>
          </w:p>
        </w:tc>
        <w:tc>
          <w:tcPr>
            <w:tcW w:w="22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I</w:t>
            </w:r>
          </w:p>
        </w:tc>
        <w:tc>
          <w:tcPr>
            <w:tcW w:w="820" w:type="dxa"/>
            <w:vAlign w:val="bottom"/>
            <w:gridSpan w:val="4"/>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A Units/GP</w:t>
            </w:r>
          </w:p>
        </w:tc>
        <w:tc>
          <w:tcPr>
            <w:tcW w:w="70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140" w:type="dxa"/>
            <w:vAlign w:val="bottom"/>
          </w:tcPr>
          <w:p>
            <w:pPr>
              <w:spacing w:after="0"/>
              <w:rPr>
                <w:sz w:val="13"/>
                <w:szCs w:val="13"/>
                <w:color w:val="auto"/>
              </w:rPr>
            </w:pPr>
          </w:p>
        </w:tc>
        <w:tc>
          <w:tcPr>
            <w:tcW w:w="4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78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5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Units</w:t>
            </w:r>
          </w:p>
        </w:tc>
        <w:tc>
          <w:tcPr>
            <w:tcW w:w="180" w:type="dxa"/>
            <w:vAlign w:val="bottom"/>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vMerge w:val="continue"/>
          </w:tcPr>
          <w:p>
            <w:pPr>
              <w:spacing w:after="0"/>
              <w:rPr>
                <w:sz w:val="13"/>
                <w:szCs w:val="13"/>
                <w:color w:val="auto"/>
              </w:rPr>
            </w:pPr>
          </w:p>
        </w:tc>
        <w:tc>
          <w:tcPr>
            <w:tcW w:w="820" w:type="dxa"/>
            <w:vAlign w:val="bottom"/>
            <w:gridSpan w:val="4"/>
          </w:tcPr>
          <w:p>
            <w:pPr>
              <w:ind w:left="80"/>
              <w:spacing w:after="0" w:line="153" w:lineRule="exact"/>
              <w:rPr>
                <w:sz w:val="20"/>
                <w:szCs w:val="20"/>
                <w:color w:val="auto"/>
              </w:rPr>
            </w:pPr>
            <w:r>
              <w:rPr>
                <w:rFonts w:ascii="Times New Roman" w:cs="Times New Roman" w:eastAsia="Times New Roman" w:hAnsi="Times New Roman"/>
                <w:sz w:val="11"/>
                <w:szCs w:val="11"/>
                <w:color w:val="0000FF"/>
              </w:rPr>
              <w:t>footnote</w:t>
            </w:r>
            <w:r>
              <w:rPr>
                <w:rFonts w:ascii="Times New Roman" w:cs="Times New Roman" w:eastAsia="Times New Roman" w:hAnsi="Times New Roman"/>
                <w:sz w:val="17"/>
                <w:szCs w:val="17"/>
                <w:color w:val="008000"/>
                <w:vertAlign w:val="superscript"/>
              </w:rPr>
              <w:t>(1)(2)</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3"/>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Borders>
              <w:top w:val="single" w:sz="8" w:color="808080"/>
            </w:tcBorders>
          </w:tcPr>
          <w:p>
            <w:pPr>
              <w:spacing w:after="0"/>
              <w:rPr>
                <w:sz w:val="19"/>
                <w:szCs w:val="19"/>
                <w:color w:val="auto"/>
              </w:rPr>
            </w:pPr>
          </w:p>
        </w:tc>
        <w:tc>
          <w:tcPr>
            <w:tcW w:w="2540" w:type="dxa"/>
            <w:vAlign w:val="bottom"/>
            <w:tcBorders>
              <w:top w:val="single" w:sz="8" w:color="2C2C2C"/>
            </w:tcBorders>
            <w:gridSpan w:val="4"/>
          </w:tcPr>
          <w:p>
            <w:pPr>
              <w:ind w:left="60"/>
              <w:spacing w:after="0" w:line="227"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4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60" w:type="dxa"/>
            <w:vAlign w:val="bottom"/>
            <w:gridSpan w:val="3"/>
          </w:tcPr>
          <w:p>
            <w:pPr>
              <w:ind w:left="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KAFU Holdings (QP), L.P.</w:t>
              </w:r>
            </w:hyperlink>
          </w:p>
        </w:tc>
        <w:tc>
          <w:tcPr>
            <w:tcW w:w="11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ind w:left="20"/>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tcPr>
          <w:p>
            <w:pPr>
              <w:ind w:left="36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6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1800 AVENUE OF THE STARS, 3RD FLOOR</w:t>
            </w: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700" w:type="dxa"/>
            <w:vAlign w:val="bottom"/>
            <w:tcBorders>
              <w:bottom w:val="single" w:sz="8" w:color="9A9A9A"/>
            </w:tcBorders>
          </w:tcPr>
          <w:p>
            <w:pPr>
              <w:spacing w:after="0"/>
              <w:rPr>
                <w:sz w:val="17"/>
                <w:szCs w:val="17"/>
                <w:color w:val="auto"/>
              </w:rPr>
            </w:pPr>
          </w:p>
        </w:tc>
        <w:tc>
          <w:tcPr>
            <w:tcW w:w="1060" w:type="dxa"/>
            <w:vAlign w:val="bottom"/>
            <w:tcBorders>
              <w:bottom w:val="single" w:sz="8" w:color="9A9A9A"/>
            </w:tcBorders>
          </w:tcPr>
          <w:p>
            <w:pPr>
              <w:spacing w:after="0"/>
              <w:rPr>
                <w:sz w:val="17"/>
                <w:szCs w:val="17"/>
                <w:color w:val="auto"/>
              </w:rPr>
            </w:pPr>
          </w:p>
        </w:tc>
        <w:tc>
          <w:tcPr>
            <w:tcW w:w="1140" w:type="dxa"/>
            <w:vAlign w:val="bottom"/>
            <w:tcBorders>
              <w:bottom w:val="single" w:sz="8" w:color="9A9A9A"/>
            </w:tcBorders>
          </w:tcPr>
          <w:p>
            <w:pPr>
              <w:spacing w:after="0"/>
              <w:rPr>
                <w:sz w:val="17"/>
                <w:szCs w:val="17"/>
                <w:color w:val="auto"/>
              </w:rPr>
            </w:pPr>
          </w:p>
        </w:tc>
        <w:tc>
          <w:tcPr>
            <w:tcW w:w="420" w:type="dxa"/>
            <w:vAlign w:val="bottom"/>
            <w:tcBorders>
              <w:bottom w:val="single" w:sz="8" w:color="9A9A9A"/>
            </w:tcBorders>
          </w:tcPr>
          <w:p>
            <w:pPr>
              <w:spacing w:after="0"/>
              <w:rPr>
                <w:sz w:val="17"/>
                <w:szCs w:val="17"/>
                <w:color w:val="auto"/>
              </w:rPr>
            </w:pPr>
          </w:p>
        </w:tc>
        <w:tc>
          <w:tcPr>
            <w:tcW w:w="16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LOS ANGELES</w:t>
            </w: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90067</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ind w:left="20"/>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tcPr>
          <w:p>
            <w:pPr>
              <w:ind w:left="36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460" w:type="dxa"/>
            <w:vAlign w:val="bottom"/>
            <w:tcBorders>
              <w:bottom w:val="single" w:sz="8" w:color="2C2C2C"/>
            </w:tcBorders>
            <w:gridSpan w:val="3"/>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20" w:type="dxa"/>
            <w:vAlign w:val="bottom"/>
          </w:tcPr>
          <w:p>
            <w:pPr>
              <w:spacing w:after="0"/>
              <w:rPr>
                <w:sz w:val="6"/>
                <w:szCs w:val="6"/>
                <w:color w:val="auto"/>
              </w:rPr>
            </w:pPr>
          </w:p>
        </w:tc>
        <w:tc>
          <w:tcPr>
            <w:tcW w:w="2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420" w:type="dxa"/>
            <w:vAlign w:val="bottom"/>
            <w:gridSpan w:val="8"/>
          </w:tcPr>
          <w:p>
            <w:pPr>
              <w:ind w:left="20"/>
              <w:spacing w:after="0"/>
              <w:rPr>
                <w:rFonts w:ascii="Times New Roman" w:cs="Times New Roman" w:eastAsia="Times New Roman" w:hAnsi="Times New Roman"/>
                <w:sz w:val="20"/>
                <w:szCs w:val="20"/>
                <w:u w:val="single" w:color="auto"/>
                <w:color w:val="0000EE"/>
              </w:rPr>
            </w:pPr>
            <w:hyperlink r:id="rId16">
              <w:r>
                <w:rPr>
                  <w:rFonts w:ascii="Times New Roman" w:cs="Times New Roman" w:eastAsia="Times New Roman" w:hAnsi="Times New Roman"/>
                  <w:sz w:val="20"/>
                  <w:szCs w:val="20"/>
                  <w:u w:val="single" w:color="auto"/>
                  <w:color w:val="0000EE"/>
                </w:rPr>
                <w:t>KAYNE ANDERSON CAPITAL ADVISORS LP</w:t>
              </w:r>
            </w:hyperlink>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700" w:type="dxa"/>
            <w:vAlign w:val="bottom"/>
            <w:tcBorders>
              <w:bottom w:val="single" w:sz="8" w:color="9A9A9A"/>
            </w:tcBorders>
          </w:tcPr>
          <w:p>
            <w:pPr>
              <w:spacing w:after="0"/>
              <w:rPr>
                <w:sz w:val="11"/>
                <w:szCs w:val="11"/>
                <w:color w:val="auto"/>
              </w:rPr>
            </w:pPr>
          </w:p>
        </w:tc>
        <w:tc>
          <w:tcPr>
            <w:tcW w:w="1060" w:type="dxa"/>
            <w:vAlign w:val="bottom"/>
            <w:tcBorders>
              <w:bottom w:val="single" w:sz="8" w:color="9A9A9A"/>
            </w:tcBorders>
          </w:tcPr>
          <w:p>
            <w:pPr>
              <w:spacing w:after="0"/>
              <w:rPr>
                <w:sz w:val="11"/>
                <w:szCs w:val="11"/>
                <w:color w:val="auto"/>
              </w:rPr>
            </w:pPr>
          </w:p>
        </w:tc>
        <w:tc>
          <w:tcPr>
            <w:tcW w:w="114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160" w:type="dxa"/>
            <w:vAlign w:val="bottom"/>
            <w:tcBorders>
              <w:bottom w:val="single" w:sz="8" w:color="9A9A9A"/>
            </w:tcBorders>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ind w:left="20"/>
              <w:spacing w:after="0"/>
              <w:rPr>
                <w:sz w:val="20"/>
                <w:szCs w:val="20"/>
                <w:color w:val="auto"/>
              </w:rPr>
            </w:pPr>
            <w:r>
              <w:rPr>
                <w:rFonts w:ascii="Arial" w:cs="Arial" w:eastAsia="Arial" w:hAnsi="Arial"/>
                <w:sz w:val="13"/>
                <w:szCs w:val="13"/>
                <w:color w:val="auto"/>
              </w:rPr>
              <w:t>(Last)</w:t>
            </w:r>
          </w:p>
        </w:tc>
        <w:tc>
          <w:tcPr>
            <w:tcW w:w="70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(First)</w:t>
            </w:r>
          </w:p>
        </w:tc>
        <w:tc>
          <w:tcPr>
            <w:tcW w:w="1140" w:type="dxa"/>
            <w:vAlign w:val="bottom"/>
          </w:tcPr>
          <w:p>
            <w:pPr>
              <w:ind w:left="36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1800 AVENUE OF THE STARS</w:t>
            </w: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3RD FLOOR</w:t>
            </w:r>
          </w:p>
        </w:tc>
        <w:tc>
          <w:tcPr>
            <w:tcW w:w="10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7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LOS ANGELES</w:t>
            </w: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90067</w:t>
            </w: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6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ind w:left="20"/>
              <w:spacing w:after="0"/>
              <w:rPr>
                <w:sz w:val="20"/>
                <w:szCs w:val="20"/>
                <w:color w:val="auto"/>
              </w:rPr>
            </w:pPr>
            <w:r>
              <w:rPr>
                <w:rFonts w:ascii="Arial" w:cs="Arial" w:eastAsia="Arial" w:hAnsi="Arial"/>
                <w:sz w:val="13"/>
                <w:szCs w:val="13"/>
                <w:color w:val="auto"/>
              </w:rPr>
              <w:t>(City)</w:t>
            </w:r>
          </w:p>
        </w:tc>
        <w:tc>
          <w:tcPr>
            <w:tcW w:w="70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tcPr>
          <w:p>
            <w:pPr>
              <w:ind w:left="36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-5292725</wp:posOffset>
            </wp:positionV>
            <wp:extent cx="7034530" cy="53568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7034530" cy="5356860"/>
                    </a:xfrm>
                    <a:prstGeom prst="rect">
                      <a:avLst/>
                    </a:prstGeom>
                    <a:noFill/>
                  </pic:spPr>
                </pic:pic>
              </a:graphicData>
            </a:graphic>
          </wp:anchor>
        </w:drawing>
      </w:r>
    </w:p>
    <w:p>
      <w:pPr>
        <w:spacing w:after="0" w:line="99"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0"/>
          <w:szCs w:val="20"/>
          <w:color w:val="auto"/>
        </w:rPr>
      </w:pPr>
    </w:p>
    <w:p>
      <w:pPr>
        <w:ind w:left="40" w:right="160"/>
        <w:spacing w:after="0" w:line="234"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Eighth Amended and Restated limited partnership agreement of Plains AAP, L.P. ("AAP") provides that each limited partner holding Class A Units will have the right, subject to certain limitations, to redeem its Class A Units for common units ("Common Units") of Plains All American Pipeline, L.P. (the "Issuer") held by AAP on a one-for-one basis, by delivering Class A Units to AAP with the associated Class B Shares in Plains GP Holdings, L.P. ("PAGP") and GP Units in PAA GP Holdings LLC (if applicable), to PAGP (the "Redemption Right"). The Redemption Right does not expire. On December 31, 2020, KAFU Holdings (QP), L.P. exercised the Redemption Right with respect to an aggregate 21,566 Class A Units.</w:t>
      </w:r>
    </w:p>
    <w:p>
      <w:pPr>
        <w:spacing w:after="0" w:line="26" w:lineRule="exact"/>
        <w:rPr>
          <w:rFonts w:ascii="Times New Roman" w:cs="Times New Roman" w:eastAsia="Times New Roman" w:hAnsi="Times New Roman"/>
          <w:sz w:val="13"/>
          <w:szCs w:val="13"/>
          <w:color w:val="008000"/>
        </w:rPr>
      </w:pPr>
    </w:p>
    <w:p>
      <w:pPr>
        <w:ind w:left="40" w:right="140"/>
        <w:spacing w:after="0" w:line="249"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KAFU Holdings (QP), L.P. ("KAFU") owns an equivalent number of Class A Units, Class B Shares and GP Units. KACALP is the managing member of the manager of KAFU and may be deemed to beneficially own the Class A Units, Class B Shares and GP Units held by KAFU.</w:t>
      </w:r>
    </w:p>
    <w:p>
      <w:pPr>
        <w:spacing w:after="0" w:line="20"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transactions involve an in-kind distribution to redeeming limited partners of KAFU Holdings (QP), L.P.</w:t>
      </w:r>
    </w:p>
    <w:p>
      <w:pPr>
        <w:sectPr>
          <w:pgSz w:w="11900" w:h="16838" w:orient="portrait"/>
          <w:cols w:equalWidth="0" w:num="1">
            <w:col w:w="11080"/>
          </w:cols>
          <w:pgMar w:left="460" w:top="216" w:right="359" w:bottom="0" w:gutter="0" w:footer="0" w:header="0"/>
          <w:type w:val="continuous"/>
        </w:sectPr>
      </w:pPr>
    </w:p>
    <w:bookmarkStart w:id="1" w:name="page2"/>
    <w:bookmarkEnd w:id="1"/>
    <w:p>
      <w:pPr>
        <w:ind w:left="120" w:hanging="120"/>
        <w:spacing w:after="0"/>
        <w:tabs>
          <w:tab w:leader="none" w:pos="12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In a simultaneous transaction, KAFU exercised the exchange right provided for in the limited partnership agreement of AAP with respect to 666 Class A units. As a result, such Class A units were cancelled and</w:t>
      </w:r>
    </w:p>
    <w:p>
      <w:pPr>
        <w:spacing w:after="0" w:line="15" w:lineRule="exact"/>
        <w:rPr>
          <w:rFonts w:ascii="Times New Roman" w:cs="Times New Roman" w:eastAsia="Times New Roman" w:hAnsi="Times New Roman"/>
          <w:sz w:val="12"/>
          <w:szCs w:val="12"/>
          <w:color w:val="008000"/>
        </w:rPr>
      </w:pPr>
    </w:p>
    <w:p>
      <w:pPr>
        <w:ind w:left="220" w:hanging="220"/>
        <w:spacing w:after="0"/>
        <w:tabs>
          <w:tab w:leader="none" w:pos="220"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Class A Shares of PAGP were issued to KAFU. The number of derivative securities owned reflects both the redemption transaction reported herein and the simultaneous exchange transaction.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3"/>
          <w:szCs w:val="13"/>
          <w:color w:val="008000"/>
        </w:rPr>
        <w:t>Kevin McCarthy is a director of the managing general partner of the Issuer. Based on the relationship of Mr. McCarthy and the Reporting Persons, the Reporting Persons may be deemed directors by deputization of the Issuer. KAFU Holdings (QP), L.P., is referred to herein as the "Reporting Persons". The filing of this Statement shall not be construed as an admission that any Reporting Person is, for purposes of Section 13(d) of the Exchange Act, as amended, the beneficial owner of any security.</w:t>
      </w:r>
    </w:p>
    <w:p>
      <w:pPr>
        <w:spacing w:after="0" w:line="35"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Michael O'Neil</w:t>
            </w: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0000FF"/>
                <w:w w:val="92"/>
              </w:rPr>
              <w:t>01/04/2021</w:t>
            </w:r>
          </w:p>
        </w:tc>
      </w:tr>
      <w:tr>
        <w:trPr>
          <w:trHeight w:val="20"/>
        </w:trPr>
        <w:tc>
          <w:tcPr>
            <w:tcW w:w="12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3"/>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3520"/>
        <w:spacing w:after="0" w:line="329" w:lineRule="auto"/>
        <w:tabs>
          <w:tab w:leader="none" w:pos="13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27"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4"/>
    </w:lvl>
  </w:abstractNum>
  <w:abstractNum w:abstractNumId="2">
    <w:nsid w:val="2AE8944A"/>
    <w:multiLevelType w:val="hybridMultilevel"/>
    <w:lvl w:ilvl="0">
      <w:lvlJc w:val="left"/>
      <w:lvlText w:val="%1"/>
      <w:numFmt w:val="decimal"/>
      <w:start w:val="66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7" Type="http://schemas.openxmlformats.org/officeDocument/2006/relationships/image" Target="media/image7.png"/><Relationship Id="rId13" Type="http://schemas.openxmlformats.org/officeDocument/2006/relationships/hyperlink" Target="http://www.sec.gov/cgi-bin/browse-edgar?action=getcompany&amp;CIK=0001638385" TargetMode="External"/><Relationship Id="rId14" Type="http://schemas.openxmlformats.org/officeDocument/2006/relationships/hyperlink" Target="http://www.sec.gov/cgi-bin/browse-edgar?action=getcompany&amp;CIK=0001070423" TargetMode="External"/><Relationship Id="rId16" Type="http://schemas.openxmlformats.org/officeDocument/2006/relationships/hyperlink" Target="http://www.sec.gov/cgi-bin/browse-edgar?action=getcompany&amp;CIK=00009496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2021-01-04T15:41:25Z</dcterms:created>
  <dcterms:modified xsi:type="dcterms:W3CDTF">2021-01-04T15:41:25Z</dcterms:modified>
</cp:coreProperties>
</file>