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317066d1_8k.htm"/>
      <w:bookmarkStart w:id="1" w:name="kstm2317066d1_8k"/>
      <w:bookmarkEnd w:id="0"/>
      <w:bookmarkEnd w:id="1"/>
      <w:r>
        <w:rPr/>
        <w:t> </w:t>
      </w:r>
    </w:p>
    <w:p>
      <w:pPr>
        <w:pStyle w:val="TextBody"/>
        <w:bidi w:val="0"/>
        <w:spacing w:before="0" w:after="283"/>
        <w:jc w:val="left"/>
        <w:rPr/>
      </w:pPr>
      <w:bookmarkStart w:id="2" w:name="xdx_907_edei--EntityRegistrantName_dxL_c"/>
      <w:bookmarkEnd w:id="2"/>
      <w:r>
        <w:rPr/>
        <w:t>PLAINS ALL AMERICAN PIPELINE LP</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3" w:name="xdx_90F_edei--DocumentType_c20230524__20"/>
      <w:bookmarkEnd w:id="3"/>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 </w:t>
      </w:r>
      <w:bookmarkStart w:id="4" w:name="xdx_908_edei--DocumentPeriodEndDate_c202"/>
      <w:bookmarkEnd w:id="4"/>
      <w:r>
        <w:rPr>
          <w:rFonts w:ascii="Times New Roman;Times;Serif" w:hAnsi="Times New Roman;Times;Serif"/>
          <w:b/>
          <w:i w:val="false"/>
          <w:caps w:val="false"/>
          <w:smallCaps w:val="false"/>
          <w:sz w:val="20"/>
        </w:rPr>
        <w:t>May 24,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Plains All American Pipeline, L.P.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365" w:type="dxa"/>
        <w:jc w:val="left"/>
        <w:tblInd w:w="0" w:type="dxa"/>
        <w:tblLayout w:type="fixed"/>
        <w:tblCellMar>
          <w:top w:w="0" w:type="dxa"/>
          <w:left w:w="0" w:type="dxa"/>
          <w:bottom w:w="0" w:type="dxa"/>
          <w:right w:w="0" w:type="dxa"/>
        </w:tblCellMar>
      </w:tblPr>
      <w:tblGrid>
        <w:gridCol w:w="2375"/>
        <w:gridCol w:w="2210"/>
        <w:gridCol w:w="2780"/>
      </w:tblGrid>
      <w:tr>
        <w:trPr/>
        <w:tc>
          <w:tcPr>
            <w:tcW w:w="2375" w:type="dxa"/>
            <w:tcBorders/>
            <w:vAlign w:val="center"/>
          </w:tcPr>
          <w:p>
            <w:pPr>
              <w:pStyle w:val="TableContents"/>
              <w:bidi w:val="0"/>
              <w:spacing w:before="0" w:after="283"/>
              <w:jc w:val="center"/>
              <w:rPr>
                <w:rFonts w:ascii="Times New Roman;Times;Serif" w:hAnsi="Times New Roman;Times;Serif"/>
                <w:b/>
                <w:caps w:val="false"/>
                <w:smallCaps w:val="false"/>
                <w:sz w:val="20"/>
              </w:rPr>
            </w:pPr>
            <w:bookmarkStart w:id="5" w:name="xdx_90C_edei--EntityIncorporationStateCo"/>
            <w:bookmarkEnd w:id="5"/>
            <w:r>
              <w:rPr>
                <w:rFonts w:ascii="Times New Roman;Times;Serif" w:hAnsi="Times New Roman;Times;Serif"/>
                <w:b/>
                <w:caps w:val="false"/>
                <w:smallCaps w:val="false"/>
                <w:sz w:val="20"/>
              </w:rPr>
              <w:t>Delaware</w:t>
            </w:r>
          </w:p>
        </w:tc>
        <w:tc>
          <w:tcPr>
            <w:tcW w:w="2210" w:type="dxa"/>
            <w:tcBorders/>
            <w:vAlign w:val="center"/>
          </w:tcPr>
          <w:p>
            <w:pPr>
              <w:pStyle w:val="TableContents"/>
              <w:bidi w:val="0"/>
              <w:spacing w:before="0" w:after="283"/>
              <w:jc w:val="center"/>
              <w:rPr>
                <w:b/>
              </w:rPr>
            </w:pPr>
            <w:bookmarkStart w:id="6" w:name="xdx_909_edei--EntityFileNumber_c20230524"/>
            <w:bookmarkEnd w:id="6"/>
            <w:r>
              <w:rPr>
                <w:b/>
              </w:rPr>
              <w:t>1-14569</w:t>
            </w:r>
          </w:p>
        </w:tc>
        <w:tc>
          <w:tcPr>
            <w:tcW w:w="2780" w:type="dxa"/>
            <w:tcBorders/>
            <w:vAlign w:val="center"/>
          </w:tcPr>
          <w:p>
            <w:pPr>
              <w:pStyle w:val="TableContents"/>
              <w:bidi w:val="0"/>
              <w:spacing w:before="0" w:after="283"/>
              <w:jc w:val="center"/>
              <w:rPr>
                <w:b/>
              </w:rPr>
            </w:pPr>
            <w:bookmarkStart w:id="7" w:name="xdx_901_edei--EntityTaxIdentificationNum"/>
            <w:bookmarkEnd w:id="7"/>
            <w:r>
              <w:rPr>
                <w:b/>
              </w:rPr>
              <w:t>76-0582150</w:t>
            </w:r>
          </w:p>
        </w:tc>
      </w:tr>
      <w:tr>
        <w:trPr/>
        <w:tc>
          <w:tcPr>
            <w:tcW w:w="23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7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 xml:space="preserve">333 Clay Street, </w:t>
      </w:r>
      <w:bookmarkStart w:id="9" w:name="xdx_90D_edei--EntityAddressAddressLine2_"/>
      <w:bookmarkEnd w:id="9"/>
      <w:r>
        <w:rPr>
          <w:rFonts w:ascii="Times New Roman;Times;Serif" w:hAnsi="Times New Roman;Times;Serif"/>
          <w:b/>
          <w:i w:val="false"/>
          <w:caps w:val="false"/>
          <w:smallCaps w:val="false"/>
          <w:sz w:val="20"/>
        </w:rPr>
        <w:t xml:space="preserve">Suite 1600, </w:t>
      </w:r>
      <w:bookmarkStart w:id="10" w:name="xdx_90B_edei--EntityAddressCityOrTown_c2"/>
      <w:bookmarkEnd w:id="10"/>
      <w:r>
        <w:rPr>
          <w:rFonts w:ascii="Times New Roman;Times;Serif" w:hAnsi="Times New Roman;Times;Serif"/>
          <w:b/>
          <w:i w:val="false"/>
          <w:caps w:val="false"/>
          <w:smallCaps w:val="false"/>
          <w:sz w:val="20"/>
        </w:rPr>
        <w:t xml:space="preserve">Houston, </w:t>
      </w:r>
      <w:bookmarkStart w:id="11" w:name="xdx_905_edei--EntityAddressStateOrProvin"/>
      <w:bookmarkEnd w:id="11"/>
      <w:r>
        <w:rPr>
          <w:rFonts w:ascii="Times New Roman;Times;Serif" w:hAnsi="Times New Roman;Times;Serif"/>
          <w:b/>
          <w:i w:val="false"/>
          <w:caps w:val="false"/>
          <w:smallCaps w:val="false"/>
          <w:sz w:val="20"/>
        </w:rPr>
        <w:t xml:space="preserve">Texas </w:t>
      </w:r>
      <w:bookmarkStart w:id="12" w:name="xdx_906_edei--EntityAddressPostalZipCode"/>
      <w:bookmarkEnd w:id="12"/>
      <w:r>
        <w:rPr>
          <w:rFonts w:ascii="Times New Roman;Times;Serif" w:hAnsi="Times New Roman;Times;Serif"/>
          <w:b/>
          <w:i w:val="false"/>
          <w:caps w:val="false"/>
          <w:smallCaps w:val="false"/>
          <w:sz w:val="20"/>
        </w:rPr>
        <w:t>77002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E_edei--CityAreaCode_c20230524__20"/>
      <w:bookmarkEnd w:id="13"/>
      <w:r>
        <w:rPr>
          <w:rFonts w:ascii="Times New Roman;Times;Serif" w:hAnsi="Times New Roman;Times;Serif"/>
          <w:b/>
          <w:i w:val="false"/>
          <w:caps w:val="false"/>
          <w:smallCaps w:val="false"/>
          <w:sz w:val="20"/>
        </w:rPr>
        <w:t>713-</w:t>
      </w:r>
      <w:bookmarkStart w:id="14" w:name="xdx_902_edei--LocalPhoneNumber_c20230524"/>
      <w:bookmarkEnd w:id="14"/>
      <w:r>
        <w:rPr>
          <w:rFonts w:ascii="Times New Roman;Times;Serif" w:hAnsi="Times New Roman;Times;Serif"/>
          <w:b/>
          <w:i w:val="false"/>
          <w:caps w:val="false"/>
          <w:smallCaps w:val="false"/>
          <w:sz w:val="20"/>
        </w:rPr>
        <w:t>646-4100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6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6_edei--SolicitingMaterial_c202305"/>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C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6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945" w:type="dxa"/>
        <w:jc w:val="left"/>
        <w:tblInd w:w="0" w:type="dxa"/>
        <w:tblLayout w:type="fixed"/>
        <w:tblCellMar>
          <w:top w:w="0" w:type="dxa"/>
          <w:left w:w="0" w:type="dxa"/>
          <w:bottom w:w="0" w:type="dxa"/>
          <w:right w:w="0" w:type="dxa"/>
        </w:tblCellMar>
      </w:tblPr>
      <w:tblGrid>
        <w:gridCol w:w="1520"/>
        <w:gridCol w:w="60"/>
        <w:gridCol w:w="1610"/>
        <w:gridCol w:w="60"/>
        <w:gridCol w:w="3695"/>
      </w:tblGrid>
      <w:tr>
        <w:trPr/>
        <w:tc>
          <w:tcPr>
            <w:tcW w:w="15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vAlign w:val="center"/>
          </w:tcPr>
          <w:p>
            <w:pPr>
              <w:pStyle w:val="TableContents"/>
              <w:bidi w:val="0"/>
              <w:spacing w:before="0" w:after="283"/>
              <w:jc w:val="center"/>
              <w:rPr/>
            </w:pPr>
            <w:r>
              <w:rPr/>
              <w:t> </w:t>
            </w:r>
          </w:p>
        </w:tc>
        <w:tc>
          <w:tcPr>
            <w:tcW w:w="16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vAlign w:val="center"/>
          </w:tcPr>
          <w:p>
            <w:pPr>
              <w:pStyle w:val="TableContents"/>
              <w:bidi w:val="0"/>
              <w:spacing w:before="0" w:after="283"/>
              <w:jc w:val="center"/>
              <w:rPr/>
            </w:pPr>
            <w:r>
              <w:rPr/>
              <w:t> </w:t>
            </w:r>
          </w:p>
        </w:tc>
        <w:tc>
          <w:tcPr>
            <w:tcW w:w="36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5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B_edei--Security12bTitle_c20230524"/>
            <w:bookmarkEnd w:id="19"/>
            <w:r>
              <w:rPr>
                <w:rFonts w:ascii="Times New Roman;Times;Serif" w:hAnsi="Times New Roman;Times;Serif"/>
                <w:b w:val="false"/>
                <w:i w:val="false"/>
                <w:caps w:val="false"/>
                <w:smallCaps w:val="false"/>
                <w:sz w:val="20"/>
              </w:rPr>
              <w:t>Common Units</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4_edei--TradingSymbol_c20230524__2"/>
            <w:bookmarkEnd w:id="20"/>
            <w:r>
              <w:rPr>
                <w:rFonts w:ascii="Times New Roman;Times;Serif" w:hAnsi="Times New Roman;Times;Serif"/>
                <w:b w:val="false"/>
                <w:i w:val="false"/>
                <w:caps w:val="false"/>
                <w:smallCaps w:val="false"/>
                <w:sz w:val="20"/>
              </w:rPr>
              <w:t>PAA</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7_edei--SecurityExchangeName_c2023"/>
            <w:bookmarkEnd w:id="21"/>
            <w:r>
              <w:rPr>
                <w:rFonts w:ascii="Times New Roman;Times;Serif" w:hAnsi="Times New Roman;Times;Serif"/>
                <w:b w:val="false"/>
                <w:i w:val="false"/>
                <w:caps w:val="false"/>
                <w:smallCaps w:val="false"/>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b w:val="false"/>
          <w:i w:val="false"/>
          <w:caps w:val="false"/>
          <w:smallCaps w:val="false"/>
          <w:sz w:val="20"/>
        </w:rPr>
        <w:t xml:space="preserve">Emerging growth company  </w:t>
      </w:r>
      <w:bookmarkStart w:id="22" w:name="xdx_90D_edei--EntityEmergingGrowthCompan"/>
      <w:bookmarkEnd w:id="22"/>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830"/>
        <w:gridCol w:w="443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5.07</w:t>
            </w:r>
          </w:p>
        </w:tc>
        <w:tc>
          <w:tcPr>
            <w:tcW w:w="44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Submission of Matters to a Vote of Security Holders.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annual meeting of common unitholders and Series A Convertible Preferred unitholders (collectively, the “Unitholders”) of Plains All American Pipeline, L.P. (“PAA” or the “Partnership”) was held on May 24, 2023. At the annual meeting, the Unitholders (other than Plains AAP, L.P.) considered and voted on how to instruct PAA to vote the Class C shares of Plains GP Holdings, L.P. (“PAGP”) that PAA owns at PAGP’s annual meeting with respect to the following matters, each of which is described in greater detail in PAA’s Proxy Statement dated April 14, 2023 (the “Proxy Statement”): (i) the election of four Class I directors to serve on the board of directors of PAA GP Holdings LLC until the 2026 annual meeting; (ii) the ratification of the appointment of PricewaterhouseCoopers LLP as PAGP’s and PAA’s independent registered public accounting firm for the fiscal year ending December 31, 2023; and (iii) the approval, on a non-binding advisory basis, of our 2022 named executive officer compensation.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results for each matter presented at the PAA annual meeting were as follows (Note, for Items 1 and 3 below, which are considered non-routine matters, broker non-votes are not considered votes cast and have no impact on the outcome. Out of the 528,478,046 common units and Series A Preferred units eligible to vote on Items 1, 2 and 3, approximately 81.4%, or 429,957,815 units, were represented in person or by proxy at the PAA annual meeting):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both"/>
              <w:rPr/>
            </w:pPr>
            <w:r>
              <w:rPr/>
              <w:t> </w:t>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Unitholders (other than Plains AAP, L.P.) voted to instruct PAA to vote the PAGP Class C shares that it owns at the PAGP annual meeting on the election of four Class I directors to serve on the board of directors of PAA GP Holdings LLC until the 2026 annual meeting as follows: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8005" w:type="dxa"/>
        <w:jc w:val="left"/>
        <w:tblInd w:w="0" w:type="dxa"/>
        <w:tblLayout w:type="fixed"/>
        <w:tblCellMar>
          <w:top w:w="0" w:type="dxa"/>
          <w:left w:w="0" w:type="dxa"/>
          <w:bottom w:w="28" w:type="dxa"/>
          <w:right w:w="0" w:type="dxa"/>
        </w:tblCellMar>
      </w:tblPr>
      <w:tblGrid>
        <w:gridCol w:w="1640"/>
        <w:gridCol w:w="60"/>
        <w:gridCol w:w="1055"/>
        <w:gridCol w:w="60"/>
        <w:gridCol w:w="845"/>
        <w:gridCol w:w="60"/>
        <w:gridCol w:w="2660"/>
        <w:gridCol w:w="60"/>
        <w:gridCol w:w="1565"/>
      </w:tblGrid>
      <w:tr>
        <w:trPr/>
        <w:tc>
          <w:tcPr>
            <w:tcW w:w="164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Nominees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Withheld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 Votes Cast 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16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Willie Chiang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309,138,731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2,279,510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118,539,574</w:t>
            </w:r>
          </w:p>
        </w:tc>
      </w:tr>
      <w:tr>
        <w:trPr/>
        <w:tc>
          <w:tcPr>
            <w:tcW w:w="16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Ellen DeSanctis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309,854,944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1,563,297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118,539,574</w:t>
            </w:r>
          </w:p>
        </w:tc>
      </w:tr>
      <w:tr>
        <w:trPr/>
        <w:tc>
          <w:tcPr>
            <w:tcW w:w="16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Alexandra Pruner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302,878,188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8,540,053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118,539,574</w:t>
            </w:r>
          </w:p>
        </w:tc>
      </w:tr>
      <w:tr>
        <w:trPr/>
        <w:tc>
          <w:tcPr>
            <w:tcW w:w="16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Larry Ziemba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308,458,841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2,959,400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118,539,574</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before="0" w:after="283"/>
              <w:jc w:val="both"/>
              <w:rPr/>
            </w:pPr>
            <w:r>
              <w:rPr/>
              <w:t> </w:t>
            </w:r>
          </w:p>
        </w:tc>
        <w:tc>
          <w:tcPr>
            <w:tcW w:w="1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Unitholders (other than Plains AAP, L.P.) voted to instruct PAA to vote the PAGP Class C shares that it owns at the PAGP annual meeting on the ratification of the appointment of PricewaterhouseCoopers LLP as PAGP’s and PAA’s independent registered public accounting firm for the fiscal year ending December 31, 2023 as follows: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28" w:type="dxa"/>
          <w:right w:w="0" w:type="dxa"/>
        </w:tblCellMar>
      </w:tblPr>
      <w:tblGrid>
        <w:gridCol w:w="1070"/>
        <w:gridCol w:w="60"/>
        <w:gridCol w:w="845"/>
        <w:gridCol w:w="60"/>
        <w:gridCol w:w="860"/>
        <w:gridCol w:w="60"/>
        <w:gridCol w:w="2660"/>
        <w:gridCol w:w="60"/>
        <w:gridCol w:w="1565"/>
      </w:tblGrid>
      <w:tr>
        <w:trPr/>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 Votes Cast 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423,410,208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5,114,650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1,432,957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5"/>
        <w:gridCol w:w="9985"/>
      </w:tblGrid>
      <w:tr>
        <w:trPr/>
        <w:tc>
          <w:tcPr>
            <w:tcW w:w="75" w:type="dxa"/>
            <w:tcBorders/>
            <w:vAlign w:val="center"/>
          </w:tcPr>
          <w:p>
            <w:pPr>
              <w:pStyle w:val="TableContents"/>
              <w:bidi w:val="0"/>
              <w:spacing w:before="0" w:after="283"/>
              <w:jc w:val="both"/>
              <w:rPr/>
            </w:pPr>
            <w:r>
              <w:rPr/>
              <w:t> </w:t>
            </w:r>
          </w:p>
        </w:tc>
        <w:tc>
          <w:tcPr>
            <w:tcW w:w="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Unitholders (other than Plains AAP, L.P.) voted to instruct PAA to vote the PAGP Class C shares that it owns at the PAGP annual meeting on the approval, on a non-binding advisory basis, of our 2022 named executive officer compensation as follows: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28" w:type="dxa"/>
          <w:right w:w="0" w:type="dxa"/>
        </w:tblCellMar>
      </w:tblPr>
      <w:tblGrid>
        <w:gridCol w:w="1070"/>
        <w:gridCol w:w="60"/>
        <w:gridCol w:w="845"/>
        <w:gridCol w:w="60"/>
        <w:gridCol w:w="860"/>
        <w:gridCol w:w="60"/>
        <w:gridCol w:w="2660"/>
        <w:gridCol w:w="60"/>
        <w:gridCol w:w="1565"/>
      </w:tblGrid>
      <w:tr>
        <w:trPr/>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 Votes Cast 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305,972,882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3,281,877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2,163,481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118,539,575</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Items 1, 2 and 3, PAA Unitholders (other than Plains AAP, L.P.) voted on a “pass-through” basis by instructing PAA how to vote the PAGP Class C shares that it owns on Items 1, 2 and 3 at the PAGP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115" w:type="dxa"/>
        <w:jc w:val="left"/>
        <w:tblInd w:w="0" w:type="dxa"/>
        <w:tblLayout w:type="fixed"/>
        <w:tblCellMar>
          <w:top w:w="0" w:type="dxa"/>
          <w:left w:w="0" w:type="dxa"/>
          <w:bottom w:w="0" w:type="dxa"/>
          <w:right w:w="0" w:type="dxa"/>
        </w:tblCellMar>
      </w:tblPr>
      <w:tblGrid>
        <w:gridCol w:w="1745"/>
        <w:gridCol w:w="320"/>
        <w:gridCol w:w="545"/>
        <w:gridCol w:w="4505"/>
      </w:tblGrid>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26, 2023</w:t>
            </w:r>
          </w:p>
        </w:tc>
        <w:tc>
          <w:tcPr>
            <w:tcW w:w="537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PLAINS ALL AMERICAN PIPELINE, L.P.  </w:t>
            </w:r>
          </w:p>
        </w:tc>
      </w:tr>
      <w:tr>
        <w:trPr/>
        <w:tc>
          <w:tcPr>
            <w:tcW w:w="1745" w:type="dxa"/>
            <w:tcBorders/>
            <w:vAlign w:val="center"/>
          </w:tcPr>
          <w:p>
            <w:pPr>
              <w:pStyle w:val="TableContents"/>
              <w:bidi w:val="0"/>
              <w:spacing w:before="0" w:after="283"/>
              <w:jc w:val="left"/>
              <w:rPr/>
            </w:pPr>
            <w:r>
              <w:rPr/>
              <w:t> </w:t>
            </w:r>
          </w:p>
        </w:tc>
        <w:tc>
          <w:tcPr>
            <w:tcW w:w="5370" w:type="dxa"/>
            <w:gridSpan w:val="3"/>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5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PAA GP LLC, its general partner</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50" w:type="dxa"/>
            <w:gridSpan w:val="2"/>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5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Plains AAP, L.P., its sole member</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50" w:type="dxa"/>
            <w:gridSpan w:val="2"/>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5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Plains All American GP LLC, its general partner</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050" w:type="dxa"/>
            <w:gridSpan w:val="2"/>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50" w:type="dxa"/>
            <w:gridSpan w:val="2"/>
            <w:tcBorders>
              <w:bottom w:val="single" w:sz="8" w:space="0" w:color="000000"/>
            </w:tcBorders>
            <w:tcMar>
              <w:bottom w:w="28" w:type="dxa"/>
            </w:tcMar>
            <w:vAlign w:val="center"/>
          </w:tcPr>
          <w:p>
            <w:pPr>
              <w:pStyle w:val="TableContents"/>
              <w:bidi w:val="0"/>
              <w:spacing w:before="0" w:after="283"/>
              <w:jc w:val="left"/>
              <w:rPr/>
            </w:pPr>
            <w:r>
              <w:rPr/>
              <w:t>/s/ Richard McGee</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McGee</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General Counsel &amp;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885</Words>
  <Characters>4652</Characters>
  <CharactersWithSpaces>5540</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