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706120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August 7, 2017</w:t>
      </w: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179" w:right="359" w:bottom="1440" w:gutter="0" w:footer="0" w:header="0"/>
        </w:sectPr>
      </w:pPr>
    </w:p>
    <w:p>
      <w:pPr>
        <w:spacing w:after="0" w:line="367" w:lineRule="exact"/>
        <w:rPr>
          <w:sz w:val="24"/>
          <w:szCs w:val="24"/>
          <w:color w:val="auto"/>
        </w:rPr>
      </w:pPr>
    </w:p>
    <w:p>
      <w:pPr>
        <w:ind w:left="168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1-14569</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76-0582150</w:t>
      </w:r>
    </w:p>
    <w:p>
      <w:pPr>
        <w:spacing w:after="0" w:line="90" w:lineRule="exact"/>
        <w:rPr>
          <w:sz w:val="24"/>
          <w:szCs w:val="24"/>
          <w:color w:val="auto"/>
        </w:rPr>
      </w:pPr>
    </w:p>
    <w:p>
      <w:pPr>
        <w:sectPr>
          <w:pgSz w:w="11900" w:h="16838" w:orient="portrait"/>
          <w:cols w:equalWidth="0" w:num="3">
            <w:col w:w="4700" w:space="720"/>
            <w:col w:w="2680" w:space="720"/>
            <w:col w:w="2480"/>
          </w:cols>
          <w:pgMar w:left="240" w:top="1179" w:right="35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35" w:lineRule="exact"/>
        <w:rPr>
          <w:sz w:val="24"/>
          <w:szCs w:val="24"/>
          <w:color w:val="auto"/>
        </w:rPr>
      </w:pPr>
    </w:p>
    <w:p>
      <w:pPr>
        <w:sectPr>
          <w:pgSz w:w="11900" w:h="16838" w:orient="portrait"/>
          <w:cols w:equalWidth="0" w:num="3">
            <w:col w:w="4020" w:space="720"/>
            <w:col w:w="2560" w:space="720"/>
            <w:col w:w="3280"/>
          </w:cols>
          <w:pgMar w:left="240" w:top="1179" w:right="359" w:bottom="1440" w:gutter="0" w:footer="0" w:header="0"/>
          <w:type w:val="continuous"/>
        </w:sectPr>
      </w:pPr>
    </w:p>
    <w:p>
      <w:pPr>
        <w:ind w:left="166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300"/>
          </w:cols>
          <w:pgMar w:left="240" w:top="1179" w:right="359" w:bottom="1440" w:gutter="0" w:footer="0" w:header="0"/>
          <w:type w:val="continuous"/>
        </w:sectPr>
      </w:pPr>
    </w:p>
    <w:p>
      <w:pPr>
        <w:spacing w:after="0" w:line="245"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713-646-4100</w:t>
      </w: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4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31" w:lineRule="exact"/>
        <w:rPr>
          <w:sz w:val="24"/>
          <w:szCs w:val="24"/>
          <w:color w:val="auto"/>
        </w:rPr>
      </w:pPr>
    </w:p>
    <w:p>
      <w:pPr>
        <w:ind w:right="300"/>
        <w:spacing w:after="0" w:line="270"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318770</wp:posOffset>
            </wp:positionV>
            <wp:extent cx="70751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1714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207010</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00"/>
          </w:cols>
          <w:pgMar w:left="240" w:top="1179" w:right="359" w:bottom="1440" w:gutter="0" w:footer="0" w:header="0"/>
          <w:type w:val="continuous"/>
        </w:sectPr>
      </w:pPr>
    </w:p>
    <w:bookmarkStart w:id="1" w:name="page2"/>
    <w:bookmarkEnd w:id="1"/>
    <w:p>
      <w:pPr>
        <w:spacing w:after="0"/>
        <w:tabs>
          <w:tab w:leader="none" w:pos="2080" w:val="left"/>
        </w:tabs>
        <w:rPr>
          <w:sz w:val="20"/>
          <w:szCs w:val="20"/>
          <w:color w:val="auto"/>
        </w:rPr>
      </w:pPr>
      <w:r>
        <w:rPr>
          <w:rFonts w:ascii="Arial" w:cs="Arial" w:eastAsia="Arial" w:hAnsi="Arial"/>
          <w:sz w:val="18"/>
          <w:szCs w:val="18"/>
          <w:b w:val="1"/>
          <w:bCs w:val="1"/>
          <w:color w:val="auto"/>
        </w:rPr>
        <w:t>Item 2.02 and Item 7.01.</w:t>
      </w:r>
      <w:r>
        <w:rPr>
          <w:sz w:val="20"/>
          <w:szCs w:val="20"/>
          <w:color w:val="auto"/>
        </w:rPr>
        <w:tab/>
      </w:r>
      <w:r>
        <w:rPr>
          <w:rFonts w:ascii="Arial" w:cs="Arial" w:eastAsia="Arial" w:hAnsi="Arial"/>
          <w:sz w:val="16"/>
          <w:szCs w:val="16"/>
          <w:b w:val="1"/>
          <w:bCs w:val="1"/>
          <w:color w:val="auto"/>
        </w:rPr>
        <w:t>Results of Operations and Financial Condition; Regulation FD Disclosure.</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On August 7, 2017, the Registrant issued a press release reporting its second-quarter 2017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5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99.1 — Press Release dated August 7, 2017</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580"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8280" w:type="dxa"/>
            <w:vAlign w:val="bottom"/>
            <w:gridSpan w:val="3"/>
          </w:tcPr>
          <w:p>
            <w:pPr>
              <w:ind w:left="1580"/>
              <w:spacing w:after="0"/>
              <w:rPr>
                <w:sz w:val="20"/>
                <w:szCs w:val="20"/>
                <w:color w:val="auto"/>
              </w:rPr>
            </w:pPr>
            <w:r>
              <w:rPr>
                <w:rFonts w:ascii="Arial" w:cs="Arial" w:eastAsia="Arial" w:hAnsi="Arial"/>
                <w:sz w:val="18"/>
                <w:szCs w:val="18"/>
                <w:color w:val="auto"/>
              </w:rPr>
              <w:t>PLAINS ALL AMERICAN PIPELINE, L.P.</w:t>
            </w:r>
          </w:p>
        </w:tc>
      </w:tr>
      <w:tr>
        <w:trPr>
          <w:trHeight w:val="594"/>
        </w:trPr>
        <w:tc>
          <w:tcPr>
            <w:tcW w:w="3100" w:type="dxa"/>
            <w:vAlign w:val="bottom"/>
          </w:tcPr>
          <w:p>
            <w:pPr>
              <w:spacing w:after="0"/>
              <w:rPr>
                <w:sz w:val="24"/>
                <w:szCs w:val="24"/>
                <w:color w:val="auto"/>
              </w:rPr>
            </w:pPr>
          </w:p>
        </w:tc>
        <w:tc>
          <w:tcPr>
            <w:tcW w:w="8280" w:type="dxa"/>
            <w:vAlign w:val="bottom"/>
            <w:gridSpan w:val="3"/>
          </w:tcPr>
          <w:p>
            <w:pPr>
              <w:ind w:left="1580"/>
              <w:spacing w:after="0"/>
              <w:rPr>
                <w:sz w:val="20"/>
                <w:szCs w:val="20"/>
                <w:color w:val="auto"/>
              </w:rPr>
            </w:pPr>
            <w:r>
              <w:rPr>
                <w:rFonts w:ascii="Arial" w:cs="Arial" w:eastAsia="Arial" w:hAnsi="Arial"/>
                <w:sz w:val="18"/>
                <w:szCs w:val="18"/>
                <w:color w:val="auto"/>
              </w:rPr>
              <w:t>By:  PAA GP LLC, its general partner</w:t>
            </w:r>
          </w:p>
        </w:tc>
      </w:tr>
      <w:tr>
        <w:trPr>
          <w:trHeight w:val="594"/>
        </w:trPr>
        <w:tc>
          <w:tcPr>
            <w:tcW w:w="3100" w:type="dxa"/>
            <w:vAlign w:val="bottom"/>
          </w:tcPr>
          <w:p>
            <w:pPr>
              <w:spacing w:after="0"/>
              <w:rPr>
                <w:sz w:val="24"/>
                <w:szCs w:val="24"/>
                <w:color w:val="auto"/>
              </w:rPr>
            </w:pPr>
          </w:p>
        </w:tc>
        <w:tc>
          <w:tcPr>
            <w:tcW w:w="8280" w:type="dxa"/>
            <w:vAlign w:val="bottom"/>
            <w:gridSpan w:val="3"/>
          </w:tcPr>
          <w:p>
            <w:pPr>
              <w:ind w:left="1580"/>
              <w:spacing w:after="0"/>
              <w:rPr>
                <w:sz w:val="20"/>
                <w:szCs w:val="20"/>
                <w:color w:val="auto"/>
              </w:rPr>
            </w:pPr>
            <w:r>
              <w:rPr>
                <w:rFonts w:ascii="Arial" w:cs="Arial" w:eastAsia="Arial" w:hAnsi="Arial"/>
                <w:sz w:val="18"/>
                <w:szCs w:val="18"/>
                <w:color w:val="auto"/>
              </w:rPr>
              <w:t>By:  PLAINS AAP, L.P., its sole member</w:t>
            </w:r>
          </w:p>
        </w:tc>
      </w:tr>
      <w:tr>
        <w:trPr>
          <w:trHeight w:val="594"/>
        </w:trPr>
        <w:tc>
          <w:tcPr>
            <w:tcW w:w="3100" w:type="dxa"/>
            <w:vAlign w:val="bottom"/>
          </w:tcPr>
          <w:p>
            <w:pPr>
              <w:spacing w:after="0"/>
              <w:rPr>
                <w:sz w:val="24"/>
                <w:szCs w:val="24"/>
                <w:color w:val="auto"/>
              </w:rPr>
            </w:pPr>
          </w:p>
        </w:tc>
        <w:tc>
          <w:tcPr>
            <w:tcW w:w="8280" w:type="dxa"/>
            <w:vAlign w:val="bottom"/>
            <w:gridSpan w:val="3"/>
          </w:tcPr>
          <w:p>
            <w:pPr>
              <w:ind w:left="1580"/>
              <w:spacing w:after="0"/>
              <w:rPr>
                <w:sz w:val="20"/>
                <w:szCs w:val="20"/>
                <w:color w:val="auto"/>
              </w:rPr>
            </w:pPr>
            <w:r>
              <w:rPr>
                <w:rFonts w:ascii="Arial" w:cs="Arial" w:eastAsia="Arial" w:hAnsi="Arial"/>
                <w:sz w:val="18"/>
                <w:szCs w:val="18"/>
                <w:color w:val="auto"/>
              </w:rPr>
              <w:t>By:  PLAINS ALL AMERICAN GP LLC, its general partner</w:t>
            </w:r>
          </w:p>
        </w:tc>
      </w:tr>
      <w:tr>
        <w:trPr>
          <w:trHeight w:val="594"/>
        </w:trPr>
        <w:tc>
          <w:tcPr>
            <w:tcW w:w="3100" w:type="dxa"/>
            <w:vAlign w:val="bottom"/>
          </w:tcPr>
          <w:p>
            <w:pPr>
              <w:spacing w:after="0"/>
              <w:rPr>
                <w:sz w:val="20"/>
                <w:szCs w:val="20"/>
                <w:color w:val="auto"/>
              </w:rPr>
            </w:pPr>
            <w:r>
              <w:rPr>
                <w:rFonts w:ascii="Arial" w:cs="Arial" w:eastAsia="Arial" w:hAnsi="Arial"/>
                <w:sz w:val="18"/>
                <w:szCs w:val="18"/>
                <w:color w:val="auto"/>
              </w:rPr>
              <w:t>Date: August 7, 2017</w:t>
            </w:r>
          </w:p>
        </w:tc>
        <w:tc>
          <w:tcPr>
            <w:tcW w:w="8280" w:type="dxa"/>
            <w:vAlign w:val="bottom"/>
            <w:gridSpan w:val="3"/>
          </w:tcPr>
          <w:p>
            <w:pPr>
              <w:ind w:left="1580"/>
              <w:spacing w:after="0"/>
              <w:rPr>
                <w:sz w:val="20"/>
                <w:szCs w:val="20"/>
                <w:color w:val="auto"/>
              </w:rPr>
            </w:pPr>
            <w:r>
              <w:rPr>
                <w:rFonts w:ascii="Arial" w:cs="Arial" w:eastAsia="Arial" w:hAnsi="Arial"/>
                <w:sz w:val="18"/>
                <w:szCs w:val="18"/>
                <w:color w:val="auto"/>
              </w:rPr>
              <w:t>By:  /s/ Sharon Spurlin</w:t>
            </w:r>
          </w:p>
        </w:tc>
      </w:tr>
      <w:tr>
        <w:trPr>
          <w:trHeight w:val="27"/>
        </w:trPr>
        <w:tc>
          <w:tcPr>
            <w:tcW w:w="3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r>
      <w:tr>
        <w:trPr>
          <w:trHeight w:val="237"/>
        </w:trPr>
        <w:tc>
          <w:tcPr>
            <w:tcW w:w="3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w w:val="86"/>
              </w:rPr>
              <w:t>Name:</w:t>
            </w:r>
          </w:p>
        </w:tc>
        <w:tc>
          <w:tcPr>
            <w:tcW w:w="5760" w:type="dxa"/>
            <w:vAlign w:val="bottom"/>
          </w:tcPr>
          <w:p>
            <w:pPr>
              <w:ind w:left="320"/>
              <w:spacing w:after="0"/>
              <w:rPr>
                <w:sz w:val="20"/>
                <w:szCs w:val="20"/>
                <w:color w:val="auto"/>
              </w:rPr>
            </w:pPr>
            <w:r>
              <w:rPr>
                <w:rFonts w:ascii="Arial" w:cs="Arial" w:eastAsia="Arial" w:hAnsi="Arial"/>
                <w:sz w:val="18"/>
                <w:szCs w:val="18"/>
                <w:color w:val="auto"/>
              </w:rPr>
              <w:t>Sharon Spurlin</w:t>
            </w:r>
          </w:p>
        </w:tc>
      </w:tr>
      <w:tr>
        <w:trPr>
          <w:trHeight w:val="270"/>
        </w:trPr>
        <w:tc>
          <w:tcPr>
            <w:tcW w:w="310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Title:</w:t>
            </w:r>
          </w:p>
        </w:tc>
        <w:tc>
          <w:tcPr>
            <w:tcW w:w="5760" w:type="dxa"/>
            <w:vAlign w:val="bottom"/>
          </w:tcPr>
          <w:p>
            <w:pPr>
              <w:ind w:left="320"/>
              <w:spacing w:after="0"/>
              <w:rPr>
                <w:sz w:val="20"/>
                <w:szCs w:val="20"/>
                <w:color w:val="auto"/>
              </w:rPr>
            </w:pPr>
            <w:r>
              <w:rPr>
                <w:rFonts w:ascii="Arial" w:cs="Arial" w:eastAsia="Arial" w:hAnsi="Arial"/>
                <w:sz w:val="18"/>
                <w:szCs w:val="18"/>
                <w:i w:val="1"/>
                <w:iCs w:val="1"/>
                <w:color w:val="auto"/>
              </w:rPr>
              <w:t>Vice President and Treasurer</w:t>
            </w:r>
          </w:p>
        </w:tc>
      </w:tr>
      <w:tr>
        <w:trPr>
          <w:trHeight w:val="702"/>
        </w:trPr>
        <w:tc>
          <w:tcPr>
            <w:tcW w:w="3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60" w:type="dxa"/>
            <w:vAlign w:val="bottom"/>
          </w:tcPr>
          <w:p>
            <w:pPr>
              <w:jc w:val="right"/>
              <w:ind w:right="5570"/>
              <w:spacing w:after="0"/>
              <w:rPr>
                <w:sz w:val="20"/>
                <w:szCs w:val="20"/>
                <w:color w:val="auto"/>
              </w:rPr>
            </w:pPr>
            <w:r>
              <w:rPr>
                <w:rFonts w:ascii="Arial" w:cs="Arial" w:eastAsia="Arial" w:hAnsi="Arial"/>
                <w:sz w:val="18"/>
                <w:szCs w:val="18"/>
                <w:color w:val="auto"/>
                <w:w w:val="79"/>
              </w:rPr>
              <w:t>3</w:t>
            </w:r>
          </w:p>
        </w:tc>
      </w:tr>
    </w:tbl>
    <w:p>
      <w:pPr>
        <w:sectPr>
          <w:pgSz w:w="11900" w:h="16838" w:orient="portrait"/>
          <w:cols w:equalWidth="0" w:num="1">
            <w:col w:w="11420"/>
          </w:cols>
          <w:pgMar w:left="240" w:top="66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446405</wp:posOffset>
            </wp:positionV>
            <wp:extent cx="5848985" cy="75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Second-Quarter 2017 Results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Update 2017 Full-Year Guidance and 2018 Preliminary Forecast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Timing of Earnings Call Changed to 5:00PM CT This Evening, August 7, 2017</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(Houston — August 7, 2017) Plains All American Pipeline, L.P. (NYSE: PAA) and Plains GP Holdings (NYSE: PAGP) today reported second-quarter 2017 results.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9"/>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9"/>
          </w:tcPr>
          <w:p>
            <w:pPr>
              <w:ind w:left="240"/>
              <w:spacing w:after="0"/>
              <w:rPr>
                <w:sz w:val="20"/>
                <w:szCs w:val="20"/>
                <w:color w:val="auto"/>
              </w:rPr>
            </w:pPr>
            <w:r>
              <w:rPr>
                <w:rFonts w:ascii="Arial" w:cs="Arial" w:eastAsia="Arial" w:hAnsi="Arial"/>
                <w:sz w:val="16"/>
                <w:szCs w:val="16"/>
                <w:b w:val="1"/>
                <w:bCs w:val="1"/>
                <w:color w:val="auto"/>
              </w:rPr>
              <w:t>Six Months Ended</w:t>
            </w:r>
          </w:p>
        </w:tc>
        <w:tc>
          <w:tcPr>
            <w:tcW w:w="980" w:type="dxa"/>
            <w:vAlign w:val="bottom"/>
          </w:tcPr>
          <w:p>
            <w:pPr>
              <w:spacing w:after="0"/>
              <w:rPr>
                <w:sz w:val="17"/>
                <w:szCs w:val="17"/>
                <w:color w:val="auto"/>
              </w:rPr>
            </w:pPr>
          </w:p>
        </w:tc>
      </w:tr>
      <w:tr>
        <w:trPr>
          <w:trHeight w:val="210"/>
        </w:trPr>
        <w:tc>
          <w:tcPr>
            <w:tcW w:w="4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5"/>
          </w:tcPr>
          <w:p>
            <w:pPr>
              <w:ind w:left="580"/>
              <w:spacing w:after="0"/>
              <w:rPr>
                <w:sz w:val="20"/>
                <w:szCs w:val="20"/>
                <w:color w:val="auto"/>
              </w:rPr>
            </w:pPr>
            <w:r>
              <w:rPr>
                <w:rFonts w:ascii="Arial" w:cs="Arial" w:eastAsia="Arial" w:hAnsi="Arial"/>
                <w:sz w:val="16"/>
                <w:szCs w:val="16"/>
                <w:b w:val="1"/>
                <w:bCs w:val="1"/>
                <w:color w:val="auto"/>
                <w:w w:val="90"/>
              </w:rPr>
              <w:t>June 30,</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jc w:val="right"/>
              <w:ind w:right="293"/>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5"/>
          </w:tcPr>
          <w:p>
            <w:pPr>
              <w:jc w:val="right"/>
              <w:ind w:right="20"/>
              <w:spacing w:after="0"/>
              <w:rPr>
                <w:sz w:val="20"/>
                <w:szCs w:val="20"/>
                <w:color w:val="auto"/>
              </w:rPr>
            </w:pPr>
            <w:r>
              <w:rPr>
                <w:rFonts w:ascii="Arial" w:cs="Arial" w:eastAsia="Arial" w:hAnsi="Arial"/>
                <w:sz w:val="16"/>
                <w:szCs w:val="16"/>
                <w:b w:val="1"/>
                <w:bCs w:val="1"/>
                <w:color w:val="auto"/>
              </w:rPr>
              <w:t>June 30,</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ind w:right="334"/>
              <w:spacing w:after="0"/>
              <w:rPr>
                <w:sz w:val="20"/>
                <w:szCs w:val="20"/>
                <w:color w:val="auto"/>
              </w:rPr>
            </w:pPr>
            <w:r>
              <w:rPr>
                <w:rFonts w:ascii="Arial" w:cs="Arial" w:eastAsia="Arial" w:hAnsi="Arial"/>
                <w:sz w:val="16"/>
                <w:szCs w:val="16"/>
                <w:b w:val="1"/>
                <w:bCs w:val="1"/>
                <w:color w:val="auto"/>
              </w:rPr>
              <w:t>%</w:t>
            </w:r>
          </w:p>
        </w:tc>
      </w:tr>
      <w:tr>
        <w:trPr>
          <w:trHeight w:val="33"/>
        </w:trPr>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1"/>
        </w:trPr>
        <w:tc>
          <w:tcPr>
            <w:tcW w:w="454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GAAP Results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ind w:left="120"/>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ind w:right="212"/>
              <w:spacing w:after="0"/>
              <w:rPr>
                <w:sz w:val="20"/>
                <w:szCs w:val="20"/>
                <w:color w:val="auto"/>
              </w:rPr>
            </w:pPr>
            <w:r>
              <w:rPr>
                <w:rFonts w:ascii="Arial" w:cs="Arial" w:eastAsia="Arial" w:hAnsi="Arial"/>
                <w:sz w:val="16"/>
                <w:szCs w:val="16"/>
                <w:b w:val="1"/>
                <w:bCs w:val="1"/>
                <w:color w:val="auto"/>
              </w:rPr>
              <w:t>2016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4"/>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ind w:right="212"/>
              <w:spacing w:after="0"/>
              <w:rPr>
                <w:sz w:val="20"/>
                <w:szCs w:val="20"/>
                <w:color w:val="auto"/>
              </w:rPr>
            </w:pPr>
            <w:r>
              <w:rPr>
                <w:rFonts w:ascii="Arial" w:cs="Arial" w:eastAsia="Arial" w:hAnsi="Arial"/>
                <w:sz w:val="16"/>
                <w:szCs w:val="16"/>
                <w:b w:val="1"/>
                <w:bCs w:val="1"/>
                <w:color w:val="auto"/>
              </w:rPr>
              <w:t>2016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jc w:val="right"/>
              <w:ind w:right="134"/>
              <w:spacing w:after="0"/>
              <w:rPr>
                <w:sz w:val="20"/>
                <w:szCs w:val="20"/>
                <w:color w:val="auto"/>
              </w:rPr>
            </w:pPr>
            <w:r>
              <w:rPr>
                <w:rFonts w:ascii="Arial" w:cs="Arial" w:eastAsia="Arial" w:hAnsi="Arial"/>
                <w:sz w:val="16"/>
                <w:szCs w:val="16"/>
                <w:b w:val="1"/>
                <w:bCs w:val="1"/>
                <w:color w:val="auto"/>
              </w:rPr>
              <w:t>Change</w:t>
            </w:r>
          </w:p>
        </w:tc>
      </w:tr>
      <w:tr>
        <w:trPr>
          <w:trHeight w:val="33"/>
        </w:trPr>
        <w:tc>
          <w:tcPr>
            <w:tcW w:w="4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PAA</w:t>
            </w:r>
          </w:p>
        </w:tc>
        <w:tc>
          <w:tcPr>
            <w:tcW w:w="3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Diluted net income/(loss) per common unit</w:t>
            </w:r>
          </w:p>
        </w:tc>
        <w:tc>
          <w:tcPr>
            <w:tcW w:w="3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205 %</w:t>
            </w:r>
          </w:p>
        </w:tc>
        <w:tc>
          <w:tcPr>
            <w:tcW w:w="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0.78</w:t>
            </w:r>
          </w:p>
        </w:tc>
        <w:tc>
          <w:tcPr>
            <w:tcW w:w="40" w:type="dxa"/>
            <w:vAlign w:val="bottom"/>
          </w:tcPr>
          <w:p>
            <w:pPr>
              <w:spacing w:after="0"/>
              <w:rPr>
                <w:sz w:val="21"/>
                <w:szCs w:val="21"/>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(0.13)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7"/>
        </w:trPr>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weighted average common units outstanding</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64"/>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Distribution per common unit declared for the period</w:t>
            </w:r>
          </w:p>
        </w:tc>
        <w:tc>
          <w:tcPr>
            <w:tcW w:w="120" w:type="dxa"/>
            <w:vAlign w:val="bottom"/>
            <w:gridSpan w:val="2"/>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4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(21.4)%</w:t>
            </w:r>
          </w:p>
        </w:tc>
        <w:tc>
          <w:tcPr>
            <w:tcW w:w="14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560"/>
        </w:trPr>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9"/>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9"/>
          </w:tcPr>
          <w:p>
            <w:pPr>
              <w:ind w:left="200"/>
              <w:spacing w:after="0"/>
              <w:rPr>
                <w:sz w:val="20"/>
                <w:szCs w:val="20"/>
                <w:color w:val="auto"/>
              </w:rPr>
            </w:pPr>
            <w:r>
              <w:rPr>
                <w:rFonts w:ascii="Arial" w:cs="Arial" w:eastAsia="Arial" w:hAnsi="Arial"/>
                <w:sz w:val="16"/>
                <w:szCs w:val="16"/>
                <w:b w:val="1"/>
                <w:bCs w:val="1"/>
                <w:color w:val="auto"/>
              </w:rPr>
              <w:t>Six Months Ended</w:t>
            </w:r>
          </w:p>
        </w:tc>
        <w:tc>
          <w:tcPr>
            <w:tcW w:w="980" w:type="dxa"/>
            <w:vAlign w:val="bottom"/>
          </w:tcPr>
          <w:p>
            <w:pPr>
              <w:spacing w:after="0"/>
              <w:rPr>
                <w:sz w:val="24"/>
                <w:szCs w:val="24"/>
                <w:color w:val="auto"/>
              </w:rPr>
            </w:pPr>
          </w:p>
        </w:tc>
      </w:tr>
      <w:tr>
        <w:trPr>
          <w:trHeight w:val="210"/>
        </w:trPr>
        <w:tc>
          <w:tcPr>
            <w:tcW w:w="4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5"/>
          </w:tcPr>
          <w:p>
            <w:pPr>
              <w:ind w:left="540"/>
              <w:spacing w:after="0"/>
              <w:rPr>
                <w:sz w:val="20"/>
                <w:szCs w:val="20"/>
                <w:color w:val="auto"/>
              </w:rPr>
            </w:pPr>
            <w:r>
              <w:rPr>
                <w:rFonts w:ascii="Arial" w:cs="Arial" w:eastAsia="Arial" w:hAnsi="Arial"/>
                <w:sz w:val="16"/>
                <w:szCs w:val="16"/>
                <w:b w:val="1"/>
                <w:bCs w:val="1"/>
                <w:color w:val="auto"/>
                <w:w w:val="96"/>
              </w:rPr>
              <w:t>June 30,</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jc w:val="right"/>
              <w:ind w:right="353"/>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5"/>
          </w:tcPr>
          <w:p>
            <w:pPr>
              <w:jc w:val="right"/>
              <w:ind w:right="80"/>
              <w:spacing w:after="0"/>
              <w:rPr>
                <w:sz w:val="20"/>
                <w:szCs w:val="20"/>
                <w:color w:val="auto"/>
              </w:rPr>
            </w:pPr>
            <w:r>
              <w:rPr>
                <w:rFonts w:ascii="Arial" w:cs="Arial" w:eastAsia="Arial" w:hAnsi="Arial"/>
                <w:sz w:val="16"/>
                <w:szCs w:val="16"/>
                <w:b w:val="1"/>
                <w:bCs w:val="1"/>
                <w:color w:val="auto"/>
              </w:rPr>
              <w:t>June 30,</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ind w:right="354"/>
              <w:spacing w:after="0"/>
              <w:rPr>
                <w:sz w:val="20"/>
                <w:szCs w:val="20"/>
                <w:color w:val="auto"/>
              </w:rPr>
            </w:pPr>
            <w:r>
              <w:rPr>
                <w:rFonts w:ascii="Arial" w:cs="Arial" w:eastAsia="Arial" w:hAnsi="Arial"/>
                <w:sz w:val="16"/>
                <w:szCs w:val="16"/>
                <w:b w:val="1"/>
                <w:bCs w:val="1"/>
                <w:color w:val="auto"/>
              </w:rPr>
              <w:t>%</w:t>
            </w:r>
          </w:p>
        </w:tc>
      </w:tr>
      <w:tr>
        <w:trPr>
          <w:trHeight w:val="33"/>
        </w:trPr>
        <w:tc>
          <w:tcPr>
            <w:tcW w:w="45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4"/>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i w:val="1"/>
                <w:iCs w:val="1"/>
                <w:color w:val="auto"/>
              </w:rPr>
              <w:t xml:space="preserve">Non-GAAP Results </w:t>
            </w:r>
            <w:r>
              <w:rPr>
                <w:rFonts w:ascii="Arial" w:cs="Arial" w:eastAsia="Arial" w:hAnsi="Arial"/>
                <w:sz w:val="21"/>
                <w:szCs w:val="21"/>
                <w:b w:val="1"/>
                <w:bCs w:val="1"/>
                <w:i w:val="1"/>
                <w:iCs w:val="1"/>
                <w:color w:val="auto"/>
                <w:vertAlign w:val="superscript"/>
              </w:rPr>
              <w:t>(1)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2017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95"/>
              </w:rPr>
              <w:t>2016</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rPr>
              <w:t>Change</w:t>
            </w:r>
          </w:p>
        </w:tc>
        <w:tc>
          <w:tcPr>
            <w:tcW w:w="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2017</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w w:val="89"/>
              </w:rPr>
              <w:t>2016</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rPr>
              <w:t>Change</w:t>
            </w:r>
          </w:p>
        </w:tc>
      </w:tr>
      <w:tr>
        <w:trPr>
          <w:trHeight w:val="244"/>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 PAA</w:t>
            </w:r>
          </w:p>
        </w:tc>
        <w:tc>
          <w:tcPr>
            <w:tcW w:w="34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414</w:t>
            </w: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Diluted adjusted net income/(loss) per common unit</w:t>
            </w:r>
          </w:p>
        </w:tc>
        <w:tc>
          <w:tcPr>
            <w:tcW w:w="3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275 %</w:t>
            </w:r>
          </w:p>
        </w:tc>
        <w:tc>
          <w:tcPr>
            <w:tcW w:w="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0.47</w:t>
            </w:r>
          </w:p>
        </w:tc>
        <w:tc>
          <w:tcPr>
            <w:tcW w:w="40" w:type="dxa"/>
            <w:vAlign w:val="bottom"/>
          </w:tcPr>
          <w:p>
            <w:pPr>
              <w:spacing w:after="0"/>
              <w:rPr>
                <w:sz w:val="21"/>
                <w:szCs w:val="21"/>
                <w:color w:val="auto"/>
              </w:rPr>
            </w:pPr>
          </w:p>
        </w:tc>
        <w:tc>
          <w:tcPr>
            <w:tcW w:w="3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0.33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7"/>
        </w:trPr>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5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(2)</w:t>
            </w:r>
          </w:p>
        </w:tc>
        <w:tc>
          <w:tcPr>
            <w:tcW w:w="3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474</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963</w:t>
            </w:r>
          </w:p>
        </w:tc>
        <w:tc>
          <w:tcPr>
            <w:tcW w:w="40" w:type="dxa"/>
            <w:vAlign w:val="bottom"/>
            <w:shd w:val="clear" w:color="auto" w:fill="CCEEFF"/>
          </w:tcPr>
          <w:p>
            <w:pPr>
              <w:spacing w:after="0"/>
              <w:rPr>
                <w:sz w:val="23"/>
                <w:szCs w:val="23"/>
                <w:color w:val="auto"/>
              </w:rPr>
            </w:pPr>
          </w:p>
        </w:tc>
        <w:tc>
          <w:tcPr>
            <w:tcW w:w="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1,107</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180" w:hanging="332"/>
        <w:spacing w:after="0" w:line="232" w:lineRule="auto"/>
        <w:tabs>
          <w:tab w:leader="none" w:pos="340" w:val="left"/>
        </w:tabs>
        <w:numPr>
          <w:ilvl w:val="0"/>
          <w:numId w:val="1"/>
        </w:numPr>
        <w:rPr>
          <w:rFonts w:ascii="Arial" w:cs="Arial" w:eastAsia="Arial" w:hAnsi="Arial"/>
          <w:sz w:val="25"/>
          <w:szCs w:val="25"/>
          <w:color w:val="auto"/>
          <w:vertAlign w:val="superscript"/>
        </w:rPr>
      </w:pPr>
      <w:r>
        <w:rPr>
          <w:rFonts w:ascii="Arial" w:cs="Arial" w:eastAsia="Arial" w:hAnsi="Arial"/>
          <w:sz w:val="18"/>
          <w:szCs w:val="18"/>
          <w:color w:val="auto"/>
        </w:rPr>
        <w:t>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measures as reported in accordance with GAAP.</w:t>
      </w:r>
    </w:p>
    <w:p>
      <w:pPr>
        <w:spacing w:after="0" w:line="37"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1"/>
        </w:numPr>
        <w:rPr>
          <w:rFonts w:ascii="Arial" w:cs="Arial" w:eastAsia="Arial" w:hAnsi="Arial"/>
          <w:sz w:val="25"/>
          <w:szCs w:val="25"/>
          <w:color w:val="auto"/>
          <w:vertAlign w:val="superscript"/>
        </w:rPr>
      </w:pPr>
      <w:r>
        <w:rPr>
          <w:rFonts w:ascii="Arial" w:cs="Arial" w:eastAsia="Arial" w:hAnsi="Arial"/>
          <w:sz w:val="18"/>
          <w:szCs w:val="18"/>
          <w:color w:val="auto"/>
        </w:rPr>
        <w:t>Prior period amounts have been recast to conform to certain changes made in the fourth quarter of 2016.</w:t>
      </w:r>
    </w:p>
    <w:p>
      <w:pPr>
        <w:spacing w:after="0" w:line="202"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“This afternoon PAA reported second-quarter results in line with the guidance provided in May,” stated Greg L. Armstrong, Chairman and CEO of Plains All American Pipeline. “We continue to generate attractive year-over-year growth in our fee-based segments, as second quarter 2017 results for our Transportation and Facilities segments increased an aggregate of 10% over last year’s comparative quarterly results. Additionally, our outlook for our fee-based segments, which comprise more than 90% of our consolidated Adjusted EBITDA, remains solid. Based on completion of several projects and step ups in commitment levels, we currently expect these two fee-based segments to generate approximately 15% growth in 2018.</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3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Page 2</w:t>
      </w:r>
    </w:p>
    <w:p>
      <w:pPr>
        <w:spacing w:after="0" w:line="25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“Unfortunately, we continue to experience significant downward pressure in our margin-based Supply and Logistics segment. As a result, we updated our full-year 2017 Adjusted EBITDA guidance and our 2018 preliminary forecast. The updated 2017 guidance reflects a downward revision of $185 million, or 8%, primarily associated with the Supply &amp; Logistics segment. Our 2018 preliminary forecast now includes a range with respect to our Supply &amp; Logistics segment, from $100 million to $300 million.</w:t>
      </w:r>
    </w:p>
    <w:p>
      <w:pPr>
        <w:spacing w:after="0" w:line="187"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revisions to our updated 2017 Adjusted EBITDA guidance are associated with our Supply and Logistics activities, primarily due to a lack of visibility for crude oil and NGL arbitrage opportunities that we have historically been able to capture with our asset base and business model and margin erosion in our crude oil and NGL supply activities.</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we will discuss on our conference call, we are taking a number of actions to ensure we are responsive to the market changes experienced by our Supply and Logistics businesses. These actions include changing the way we plan to manage our distribution and taking other business, financial and balance sheet management actions.” Armstrong noted that the conference call will be held today, August 7, 2017, at 5:00 p.m. Central Time versus the originally scheduled time of Tuesday, August 8, 2017 at 10:00 a.m. Central Time.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adjusted EBITDA for the second quarter and first half of 2017 is presented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Three Months Ended</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2017</w:t>
            </w: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June 30, 2016</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5"/>
              </w:rPr>
              <w:t>Transportation</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13"/>
                <w:szCs w:val="13"/>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Supply and Logistics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5"/>
              </w:rPr>
              <w:t>Transportation</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0"/>
              </w:rPr>
              <w:t>Facilities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102"/>
              <w:spacing w:after="0" w:line="153" w:lineRule="exact"/>
              <w:rPr>
                <w:sz w:val="20"/>
                <w:szCs w:val="20"/>
                <w:color w:val="auto"/>
              </w:rPr>
            </w:pPr>
            <w:r>
              <w:rPr>
                <w:rFonts w:ascii="Arial" w:cs="Arial" w:eastAsia="Arial" w:hAnsi="Arial"/>
                <w:sz w:val="14"/>
                <w:szCs w:val="14"/>
                <w:b w:val="1"/>
                <w:bCs w:val="1"/>
                <w:color w:val="auto"/>
                <w:w w:val="92"/>
              </w:rPr>
              <w:t>Supply and</w:t>
            </w:r>
          </w:p>
        </w:tc>
        <w:tc>
          <w:tcPr>
            <w:tcW w:w="0" w:type="dxa"/>
            <w:vAlign w:val="bottom"/>
          </w:tcPr>
          <w:p>
            <w:pPr>
              <w:spacing w:after="0"/>
              <w:rPr>
                <w:sz w:val="1"/>
                <w:szCs w:val="1"/>
                <w:color w:val="auto"/>
              </w:rPr>
            </w:pPr>
          </w:p>
        </w:tc>
      </w:tr>
      <w:tr>
        <w:trPr>
          <w:trHeight w:val="192"/>
        </w:trPr>
        <w:tc>
          <w:tcPr>
            <w:tcW w:w="30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63"/>
        </w:trPr>
        <w:tc>
          <w:tcPr>
            <w:tcW w:w="3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120" w:type="dxa"/>
            <w:vAlign w:val="bottom"/>
            <w:tcBorders>
              <w:right w:val="single" w:sz="8" w:color="auto"/>
            </w:tcBorders>
            <w:shd w:val="clear" w:color="auto" w:fill="CCEEFF"/>
          </w:tcPr>
          <w:p>
            <w:pPr>
              <w:spacing w:after="0"/>
              <w:rPr>
                <w:sz w:val="22"/>
                <w:szCs w:val="22"/>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274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w w:val="87"/>
              </w:rPr>
              <w:t>Percentage change in segment adjusted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0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12%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(172)%</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EBITDA versus 2016 period</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155" w:lineRule="exact"/>
        <w:rPr>
          <w:sz w:val="20"/>
          <w:szCs w:val="20"/>
          <w:color w:val="auto"/>
        </w:rPr>
      </w:pPr>
    </w:p>
    <w:p>
      <w:pPr>
        <w:jc w:val="center"/>
        <w:ind w:left="2160"/>
        <w:spacing w:after="0"/>
        <w:rPr>
          <w:sz w:val="20"/>
          <w:szCs w:val="20"/>
          <w:color w:val="auto"/>
        </w:rPr>
      </w:pPr>
      <w:r>
        <w:rPr>
          <w:rFonts w:ascii="Arial" w:cs="Arial" w:eastAsia="Arial" w:hAnsi="Arial"/>
          <w:sz w:val="13"/>
          <w:szCs w:val="13"/>
          <w:b w:val="1"/>
          <w:bCs w:val="1"/>
          <w:color w:val="auto"/>
        </w:rPr>
        <w:t>Six Months Ended</w:t>
      </w:r>
    </w:p>
    <w:p>
      <w:pPr>
        <w:spacing w:after="0" w:line="15" w:lineRule="exact"/>
        <w:rPr>
          <w:sz w:val="20"/>
          <w:szCs w:val="20"/>
          <w:color w:val="auto"/>
        </w:rPr>
      </w:pPr>
    </w:p>
    <w:p>
      <w:pPr>
        <w:jc w:val="center"/>
        <w:ind w:left="2160"/>
        <w:spacing w:after="0"/>
        <w:rPr>
          <w:sz w:val="20"/>
          <w:szCs w:val="20"/>
          <w:color w:val="auto"/>
        </w:rPr>
      </w:pPr>
      <w:r>
        <w:rPr>
          <w:rFonts w:ascii="Arial" w:cs="Arial" w:eastAsia="Arial" w:hAnsi="Arial"/>
          <w:sz w:val="14"/>
          <w:szCs w:val="14"/>
          <w:b w:val="1"/>
          <w:bCs w:val="1"/>
          <w:color w:val="auto"/>
        </w:rPr>
        <w:t>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13335</wp:posOffset>
            </wp:positionV>
            <wp:extent cx="26758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center"/>
        <w:ind w:right="1380"/>
        <w:spacing w:after="0"/>
        <w:rPr>
          <w:sz w:val="20"/>
          <w:szCs w:val="20"/>
          <w:color w:val="auto"/>
        </w:rPr>
      </w:pPr>
      <w:r>
        <w:rPr>
          <w:rFonts w:ascii="Arial" w:cs="Arial" w:eastAsia="Arial" w:hAnsi="Arial"/>
          <w:sz w:val="13"/>
          <w:szCs w:val="13"/>
          <w:b w:val="1"/>
          <w:bCs w:val="1"/>
          <w:color w:val="auto"/>
        </w:rPr>
        <w:t>Six Months Ended</w:t>
      </w:r>
    </w:p>
    <w:p>
      <w:pPr>
        <w:spacing w:after="0" w:line="15" w:lineRule="exact"/>
        <w:rPr>
          <w:sz w:val="20"/>
          <w:szCs w:val="20"/>
          <w:color w:val="auto"/>
        </w:rPr>
      </w:pPr>
    </w:p>
    <w:p>
      <w:pPr>
        <w:jc w:val="center"/>
        <w:ind w:right="1380"/>
        <w:spacing w:after="0"/>
        <w:rPr>
          <w:sz w:val="20"/>
          <w:szCs w:val="20"/>
          <w:color w:val="auto"/>
        </w:rPr>
      </w:pPr>
      <w:r>
        <w:rPr>
          <w:rFonts w:ascii="Arial" w:cs="Arial" w:eastAsia="Arial" w:hAnsi="Arial"/>
          <w:sz w:val="14"/>
          <w:szCs w:val="14"/>
          <w:b w:val="1"/>
          <w:bCs w:val="1"/>
          <w:color w:val="auto"/>
        </w:rPr>
        <w:t>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-894715</wp:posOffset>
            </wp:positionH>
            <wp:positionV relativeFrom="paragraph">
              <wp:posOffset>13335</wp:posOffset>
            </wp:positionV>
            <wp:extent cx="24955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8180" w:space="720"/>
            <w:col w:w="2520"/>
          </w:cols>
          <w:pgMar w:left="240" w:top="341"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7"/>
              </w:rPr>
              <w:t>Transportation</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Facilities</w:t>
            </w:r>
          </w:p>
        </w:tc>
        <w:tc>
          <w:tcPr>
            <w:tcW w:w="120" w:type="dxa"/>
            <w:vAlign w:val="bottom"/>
            <w:vMerge w:val="restart"/>
          </w:tcPr>
          <w:p>
            <w:pPr>
              <w:spacing w:after="0"/>
              <w:rPr>
                <w:sz w:val="14"/>
                <w:szCs w:val="14"/>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Supply and Logistics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5"/>
              </w:rPr>
              <w:t>Transportation</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Facilities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Supply and</w:t>
            </w:r>
          </w:p>
        </w:tc>
        <w:tc>
          <w:tcPr>
            <w:tcW w:w="0" w:type="dxa"/>
            <w:vAlign w:val="bottom"/>
          </w:tcPr>
          <w:p>
            <w:pPr>
              <w:spacing w:after="0"/>
              <w:rPr>
                <w:sz w:val="1"/>
                <w:szCs w:val="1"/>
                <w:color w:val="auto"/>
              </w:rPr>
            </w:pPr>
          </w:p>
        </w:tc>
      </w:tr>
      <w:tr>
        <w:trPr>
          <w:trHeight w:val="192"/>
        </w:trPr>
        <w:tc>
          <w:tcPr>
            <w:tcW w:w="30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63"/>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c>
          <w:tcPr>
            <w:tcW w:w="120" w:type="dxa"/>
            <w:vAlign w:val="bottom"/>
            <w:tcBorders>
              <w:right w:val="single" w:sz="8" w:color="auto"/>
            </w:tcBorders>
            <w:shd w:val="clear" w:color="auto" w:fill="CCEEFF"/>
          </w:tcPr>
          <w:p>
            <w:pPr>
              <w:spacing w:after="0"/>
              <w:rPr>
                <w:sz w:val="22"/>
                <w:szCs w:val="22"/>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w w:val="86"/>
              </w:rPr>
              <w:t>Percentage change in segment adjusted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0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13%</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(90)%</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4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EBITDA versus 2016 period</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100" w:hanging="332"/>
        <w:spacing w:after="0" w:line="226" w:lineRule="auto"/>
        <w:tabs>
          <w:tab w:leader="none" w:pos="340"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During the fourth quarter of 2016, we modified our primary segment performance measure to segment adjusted EBITDA from segment profit and also modified our definition of adjusted EBITDA to exclude our proportionate share of depreciation and amortization expense associated with equity method investments. Prior-period segment amounts have been recast to reflect these changes.</w:t>
      </w:r>
    </w:p>
    <w:p>
      <w:pPr>
        <w:spacing w:after="0" w:line="204"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Second-quarter 2017 Transportation segment adjusted EBITDA increased by 9% over comparable 2016 results. This increase was primarily driven by increased volume on our Permian Basin assets including contributions from the Alpha Crude Connector gathering system that we acquired in February 2017 and contributions from newly commissioned systems, partially offset by the effects of non-core asset sales.</w:t>
      </w:r>
    </w:p>
    <w:p>
      <w:pPr>
        <w:spacing w:after="0" w:line="166"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Second-quarter 2017 Facilities segment adjusted EBITDA increased by 12% versus comparable 2016 results. This increase was primarily due to contributions from the Canadian NGL assets we acquired in August 2016, as well as higher fees at certain of our NGL storage and fractionation facilities. These increases were partially offset by lower U.S. rail terminal volumes and revenues.</w:t>
      </w:r>
    </w:p>
    <w:p>
      <w:pPr>
        <w:spacing w:after="0" w:line="181"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Second-quarter 2017 Supply and Logistics segment adjusted EBITDA decreased by 172% relative to comparable 2016 results. This decrease was consistent with our expectations and was due to continuing competition and margin compression affecting our NGL and crude oil gathering and marketing activities.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Page 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Full-Year Guidance and 2018 Preliminary Forecast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our full-year 2017 financial and operating guidance and 2018 preliminary forecast: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and Operating Guidance</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barrel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gridSpan w:val="5"/>
          </w:tcPr>
          <w:p>
            <w:pPr>
              <w:ind w:left="120"/>
              <w:spacing w:after="0"/>
              <w:rPr>
                <w:sz w:val="20"/>
                <w:szCs w:val="20"/>
                <w:color w:val="auto"/>
              </w:rPr>
            </w:pPr>
            <w:r>
              <w:rPr>
                <w:rFonts w:ascii="Arial" w:cs="Arial" w:eastAsia="Arial" w:hAnsi="Arial"/>
                <w:sz w:val="16"/>
                <w:szCs w:val="16"/>
                <w:b w:val="1"/>
                <w:bCs w:val="1"/>
                <w:color w:val="auto"/>
              </w:rPr>
              <w:t>Twelve Months Ended December 31,</w:t>
            </w:r>
          </w:p>
        </w:tc>
        <w:tc>
          <w:tcPr>
            <w:tcW w:w="160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r>
      <w:tr>
        <w:trPr>
          <w:trHeight w:val="243"/>
        </w:trPr>
        <w:tc>
          <w:tcPr>
            <w:tcW w:w="47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55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ind w:left="180"/>
              <w:spacing w:after="0"/>
              <w:rPr>
                <w:sz w:val="20"/>
                <w:szCs w:val="20"/>
                <w:color w:val="auto"/>
              </w:rPr>
            </w:pPr>
            <w:r>
              <w:rPr>
                <w:rFonts w:ascii="Arial" w:cs="Arial" w:eastAsia="Arial" w:hAnsi="Arial"/>
                <w:sz w:val="16"/>
                <w:szCs w:val="16"/>
                <w:b w:val="1"/>
                <w:bCs w:val="1"/>
                <w:color w:val="auto"/>
              </w:rPr>
              <w:t>2017 (G)</w:t>
            </w:r>
          </w:p>
        </w:tc>
        <w:tc>
          <w:tcPr>
            <w:tcW w:w="1600" w:type="dxa"/>
            <w:vAlign w:val="bottom"/>
          </w:tcPr>
          <w:p>
            <w:pPr>
              <w:ind w:left="300"/>
              <w:spacing w:after="0"/>
              <w:rPr>
                <w:sz w:val="20"/>
                <w:szCs w:val="20"/>
                <w:color w:val="auto"/>
              </w:rPr>
            </w:pPr>
            <w:r>
              <w:rPr>
                <w:rFonts w:ascii="Arial" w:cs="Arial" w:eastAsia="Arial" w:hAnsi="Arial"/>
                <w:sz w:val="16"/>
                <w:szCs w:val="16"/>
                <w:b w:val="1"/>
                <w:bCs w:val="1"/>
                <w:color w:val="auto"/>
              </w:rPr>
              <w:t xml:space="preserve">Preliminary </w:t>
            </w:r>
            <w:r>
              <w:rPr>
                <w:rFonts w:ascii="Arial" w:cs="Arial" w:eastAsia="Arial" w:hAnsi="Arial"/>
                <w:sz w:val="21"/>
                <w:szCs w:val="21"/>
                <w:b w:val="1"/>
                <w:bCs w:val="1"/>
                <w:color w:val="auto"/>
                <w:vertAlign w:val="superscript"/>
              </w:rPr>
              <w:t>(1)</w:t>
            </w:r>
          </w:p>
        </w:tc>
      </w:tr>
      <w:tr>
        <w:trPr>
          <w:trHeight w:val="231"/>
        </w:trPr>
        <w:tc>
          <w:tcPr>
            <w:tcW w:w="47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71"/>
              <w:spacing w:after="0"/>
              <w:rPr>
                <w:sz w:val="20"/>
                <w:szCs w:val="20"/>
                <w:color w:val="auto"/>
              </w:rPr>
            </w:pPr>
            <w:r>
              <w:rPr>
                <w:rFonts w:ascii="Arial" w:cs="Arial" w:eastAsia="Arial" w:hAnsi="Arial"/>
                <w:sz w:val="16"/>
                <w:szCs w:val="16"/>
                <w:color w:val="auto"/>
              </w:rPr>
              <w:t>+ / -</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 / -</w:t>
            </w: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Adjusted EBITDA</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Transportation</w:t>
            </w:r>
          </w:p>
        </w:tc>
        <w:tc>
          <w:tcPr>
            <w:tcW w:w="1040" w:type="dxa"/>
            <w:vAlign w:val="bottom"/>
          </w:tcPr>
          <w:p>
            <w:pPr>
              <w:jc w:val="right"/>
              <w:ind w:right="831"/>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1,056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Facilities</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r>
      <w:tr>
        <w:trPr>
          <w:trHeight w:val="237"/>
        </w:trPr>
        <w:tc>
          <w:tcPr>
            <w:tcW w:w="4700" w:type="dxa"/>
            <w:vAlign w:val="bottom"/>
          </w:tcPr>
          <w:p>
            <w:pPr>
              <w:ind w:left="340"/>
              <w:spacing w:after="0"/>
              <w:rPr>
                <w:sz w:val="20"/>
                <w:szCs w:val="20"/>
                <w:color w:val="auto"/>
              </w:rPr>
            </w:pPr>
            <w:r>
              <w:rPr>
                <w:rFonts w:ascii="Arial" w:cs="Arial" w:eastAsia="Arial" w:hAnsi="Arial"/>
                <w:sz w:val="18"/>
                <w:szCs w:val="18"/>
                <w:b w:val="1"/>
                <w:bCs w:val="1"/>
                <w:color w:val="auto"/>
              </w:rPr>
              <w:t>Fee-Based</w:t>
            </w:r>
          </w:p>
        </w:tc>
        <w:tc>
          <w:tcPr>
            <w:tcW w:w="1040" w:type="dxa"/>
            <w:vAlign w:val="bottom"/>
            <w:tcBorders>
              <w:top w:val="single" w:sz="8" w:color="auto"/>
            </w:tcBorders>
          </w:tcPr>
          <w:p>
            <w:pPr>
              <w:jc w:val="right"/>
              <w:ind w:right="831"/>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1,644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1,808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2,000</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$2,350</w:t>
            </w: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Supply and Logistics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100 - 300</w:t>
            </w: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Other income/(expense), net</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5"/>
                <w:szCs w:val="25"/>
                <w:b w:val="1"/>
                <w:bCs w:val="1"/>
                <w:color w:val="auto"/>
                <w:vertAlign w:val="superscript"/>
              </w:rPr>
              <w:t>(2)</w:t>
            </w:r>
          </w:p>
        </w:tc>
        <w:tc>
          <w:tcPr>
            <w:tcW w:w="1040" w:type="dxa"/>
            <w:vAlign w:val="bottom"/>
            <w:tcBorders>
              <w:bottom w:val="single" w:sz="8" w:color="auto"/>
            </w:tcBorders>
            <w:shd w:val="clear" w:color="auto" w:fill="CCEEFF"/>
          </w:tcPr>
          <w:p>
            <w:pPr>
              <w:jc w:val="right"/>
              <w:ind w:right="831"/>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2,213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2,169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2,075</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$2,450 - $2,650</w:t>
            </w: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51"/>
        </w:trPr>
        <w:tc>
          <w:tcPr>
            <w:tcW w:w="4700" w:type="dxa"/>
            <w:vAlign w:val="bottom"/>
          </w:tcPr>
          <w:p>
            <w:pPr>
              <w:ind w:left="40"/>
              <w:spacing w:after="0" w:line="251"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(3)</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Maintenance capital</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Current income tax expense</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3"/>
                <w:szCs w:val="23"/>
                <w:color w:val="auto"/>
              </w:rPr>
            </w:pPr>
          </w:p>
        </w:tc>
      </w:tr>
      <w:tr>
        <w:trPr>
          <w:trHeight w:val="304"/>
        </w:trPr>
        <w:tc>
          <w:tcPr>
            <w:tcW w:w="4700" w:type="dxa"/>
            <w:vAlign w:val="bottom"/>
            <w:tcBorders>
              <w:bottom w:val="single" w:sz="8" w:color="CCEEFF"/>
            </w:tcBorders>
          </w:tcPr>
          <w:p>
            <w:pPr>
              <w:ind w:left="40"/>
              <w:spacing w:after="0" w:line="264" w:lineRule="exact"/>
              <w:rPr>
                <w:sz w:val="20"/>
                <w:szCs w:val="20"/>
                <w:color w:val="auto"/>
              </w:rPr>
            </w:pPr>
            <w:r>
              <w:rPr>
                <w:rFonts w:ascii="Arial" w:cs="Arial" w:eastAsia="Arial" w:hAnsi="Arial"/>
                <w:sz w:val="18"/>
                <w:szCs w:val="18"/>
                <w:b w:val="1"/>
                <w:bCs w:val="1"/>
                <w:color w:val="auto"/>
              </w:rPr>
              <w:t xml:space="preserve">Implied DCF </w:t>
            </w:r>
            <w:r>
              <w:rPr>
                <w:rFonts w:ascii="Arial" w:cs="Arial" w:eastAsia="Arial" w:hAnsi="Arial"/>
                <w:sz w:val="25"/>
                <w:szCs w:val="25"/>
                <w:b w:val="1"/>
                <w:bCs w:val="1"/>
                <w:color w:val="auto"/>
                <w:vertAlign w:val="superscript"/>
              </w:rPr>
              <w:t>(2)</w:t>
            </w:r>
          </w:p>
        </w:tc>
        <w:tc>
          <w:tcPr>
            <w:tcW w:w="1040" w:type="dxa"/>
            <w:vAlign w:val="bottom"/>
            <w:tcBorders>
              <w:top w:val="single" w:sz="8" w:color="auto"/>
              <w:bottom w:val="single" w:sz="8" w:color="auto"/>
            </w:tcBorders>
          </w:tcPr>
          <w:p>
            <w:pPr>
              <w:jc w:val="right"/>
              <w:ind w:right="831"/>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1,474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1,414</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1,370</w:t>
            </w:r>
          </w:p>
        </w:tc>
        <w:tc>
          <w:tcPr>
            <w:tcW w:w="100" w:type="dxa"/>
            <w:vAlign w:val="bottom"/>
            <w:tcBorders>
              <w:bottom w:val="single" w:sz="8" w:color="CCEEFF"/>
            </w:tcBorders>
          </w:tcPr>
          <w:p>
            <w:pPr>
              <w:spacing w:after="0"/>
              <w:rPr>
                <w:sz w:val="24"/>
                <w:szCs w:val="24"/>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$1,725 - $1,925</w:t>
            </w:r>
          </w:p>
        </w:tc>
      </w:tr>
      <w:tr>
        <w:trPr>
          <w:trHeight w:val="264"/>
        </w:trPr>
        <w:tc>
          <w:tcPr>
            <w:tcW w:w="47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Operating Data</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Transportation</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60"/>
              <w:spacing w:after="0"/>
              <w:rPr>
                <w:sz w:val="20"/>
                <w:szCs w:val="20"/>
                <w:color w:val="auto"/>
              </w:rPr>
            </w:pPr>
            <w:r>
              <w:rPr>
                <w:rFonts w:ascii="Arial" w:cs="Arial" w:eastAsia="Arial" w:hAnsi="Arial"/>
                <w:sz w:val="18"/>
                <w:szCs w:val="18"/>
                <w:color w:val="auto"/>
              </w:rPr>
              <w:t>Average daily volumes (MBbls/d)</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4,453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4,637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5,295</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Segment Adjusted EBITDA per barrel</w:t>
            </w:r>
          </w:p>
        </w:tc>
        <w:tc>
          <w:tcPr>
            <w:tcW w:w="1040" w:type="dxa"/>
            <w:vAlign w:val="bottom"/>
            <w:tcBorders>
              <w:bottom w:val="single" w:sz="8" w:color="CCEEFF"/>
            </w:tcBorders>
            <w:shd w:val="clear" w:color="auto" w:fill="CCEEFF"/>
          </w:tcPr>
          <w:p>
            <w:pPr>
              <w:jc w:val="right"/>
              <w:ind w:right="831"/>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84"/>
        </w:trPr>
        <w:tc>
          <w:tcPr>
            <w:tcW w:w="4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Facilities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60"/>
              <w:spacing w:after="0"/>
              <w:rPr>
                <w:sz w:val="20"/>
                <w:szCs w:val="20"/>
                <w:color w:val="auto"/>
              </w:rPr>
            </w:pPr>
            <w:r>
              <w:rPr>
                <w:rFonts w:ascii="Arial" w:cs="Arial" w:eastAsia="Arial" w:hAnsi="Arial"/>
                <w:sz w:val="18"/>
                <w:szCs w:val="18"/>
                <w:color w:val="auto"/>
              </w:rPr>
              <w:t>Average capacity (MMBbls/Mo)</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Segment Adjusted EBITDA per barrel</w:t>
            </w:r>
          </w:p>
        </w:tc>
        <w:tc>
          <w:tcPr>
            <w:tcW w:w="1040" w:type="dxa"/>
            <w:vAlign w:val="bottom"/>
            <w:tcBorders>
              <w:bottom w:val="single" w:sz="8" w:color="CCEEFF"/>
            </w:tcBorders>
            <w:shd w:val="clear" w:color="auto" w:fill="CCEEFF"/>
          </w:tcPr>
          <w:p>
            <w:pPr>
              <w:jc w:val="right"/>
              <w:ind w:right="831"/>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84"/>
        </w:trPr>
        <w:tc>
          <w:tcPr>
            <w:tcW w:w="4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Supply and Logistics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60"/>
              <w:spacing w:after="0"/>
              <w:rPr>
                <w:sz w:val="20"/>
                <w:szCs w:val="20"/>
                <w:color w:val="auto"/>
              </w:rPr>
            </w:pPr>
            <w:r>
              <w:rPr>
                <w:rFonts w:ascii="Arial" w:cs="Arial" w:eastAsia="Arial" w:hAnsi="Arial"/>
                <w:sz w:val="18"/>
                <w:szCs w:val="18"/>
                <w:color w:val="auto"/>
              </w:rPr>
              <w:t>Average daily volumes (MBbls/d)</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1,168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Segment Adjusted EBITDA per barrel</w:t>
            </w:r>
          </w:p>
        </w:tc>
        <w:tc>
          <w:tcPr>
            <w:tcW w:w="1040" w:type="dxa"/>
            <w:vAlign w:val="bottom"/>
            <w:tcBorders>
              <w:bottom w:val="single" w:sz="8" w:color="CCEEFF"/>
            </w:tcBorders>
            <w:shd w:val="clear" w:color="auto" w:fill="CCEEFF"/>
          </w:tcPr>
          <w:p>
            <w:pPr>
              <w:jc w:val="right"/>
              <w:ind w:right="831"/>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84"/>
        </w:trPr>
        <w:tc>
          <w:tcPr>
            <w:tcW w:w="4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Expansion Capital</w:t>
            </w:r>
          </w:p>
        </w:tc>
        <w:tc>
          <w:tcPr>
            <w:tcW w:w="1040" w:type="dxa"/>
            <w:vAlign w:val="bottom"/>
            <w:tcBorders>
              <w:bottom w:val="single" w:sz="8" w:color="CCEEFF"/>
            </w:tcBorders>
            <w:shd w:val="clear" w:color="auto" w:fill="CCEEFF"/>
          </w:tcPr>
          <w:p>
            <w:pPr>
              <w:jc w:val="right"/>
              <w:ind w:right="831"/>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2,170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84"/>
        </w:trPr>
        <w:tc>
          <w:tcPr>
            <w:tcW w:w="4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25"/>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Third-Quarter Adjusted EBITDA as Percentage of Full</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4"/>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Year</w:t>
            </w: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 - 22%</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7"/>
        </w:trPr>
        <w:tc>
          <w:tcPr>
            <w:tcW w:w="47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(G) 2017 Guidance forecasts are intended to be + / - amounts.</w:t>
      </w:r>
    </w:p>
    <w:p>
      <w:pPr>
        <w:spacing w:after="0" w:line="16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4"/>
          <w:szCs w:val="14"/>
          <w:color w:val="auto"/>
        </w:rPr>
        <w:t>Represents 2018 preliminary forecast as provided on May 24, 2017 at PAA 2017 Investor Day adjusted for updated Supply and Logistics segment forecast.</w:t>
      </w:r>
    </w:p>
    <w:p>
      <w:pPr>
        <w:spacing w:after="0" w:line="163" w:lineRule="exact"/>
        <w:rPr>
          <w:rFonts w:ascii="Arial" w:cs="Arial" w:eastAsia="Arial" w:hAnsi="Arial"/>
          <w:sz w:val="12"/>
          <w:szCs w:val="12"/>
          <w:color w:val="auto"/>
        </w:rPr>
      </w:pPr>
    </w:p>
    <w:p>
      <w:pPr>
        <w:ind w:left="340" w:right="20" w:hanging="332"/>
        <w:spacing w:after="0" w:line="247"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4"/>
          <w:szCs w:val="14"/>
          <w:color w:val="auto"/>
        </w:rPr>
        <w:t>See the section of this release entitled “Non-GAAP Financial Measures and Selected Items Impacting Comparability” and the Financial Data Reconciliations table attached hereto for information regarding non-GAAP financial measures and, for the historical 2015 and 2016 periods, their reconciliation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and the periods in which such items may be recognized. Thus, a reconciliation of non-GAAP financial measures to the equivalent GAAP financial measures could result in disclosure that could be imprecise or potentially misleading.</w:t>
      </w:r>
    </w:p>
    <w:p>
      <w:pPr>
        <w:spacing w:after="0" w:line="86" w:lineRule="exact"/>
        <w:rPr>
          <w:rFonts w:ascii="Arial" w:cs="Arial" w:eastAsia="Arial" w:hAnsi="Arial"/>
          <w:sz w:val="12"/>
          <w:szCs w:val="12"/>
          <w:color w:val="auto"/>
        </w:rPr>
      </w:pP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4"/>
          <w:szCs w:val="14"/>
          <w:color w:val="auto"/>
        </w:rPr>
        <w:t>Excludes certain non-cash items impacting interest expense such as amortization of debt issuance costs and terminated interest rate swaps.</w:t>
      </w:r>
    </w:p>
    <w:p>
      <w:pPr>
        <w:spacing w:after="0" w:line="246" w:lineRule="exact"/>
        <w:rPr>
          <w:rFonts w:ascii="Arial" w:cs="Arial" w:eastAsia="Arial" w:hAnsi="Arial"/>
          <w:sz w:val="12"/>
          <w:szCs w:val="12"/>
          <w:color w:val="auto"/>
        </w:rPr>
      </w:pPr>
    </w:p>
    <w:p>
      <w:pPr>
        <w:ind w:left="5520" w:hanging="96"/>
        <w:spacing w:after="0"/>
        <w:tabs>
          <w:tab w:leader="none" w:pos="5520" w:val="left"/>
        </w:tabs>
        <w:numPr>
          <w:ilvl w:val="1"/>
          <w:numId w:val="3"/>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Page 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Q2 2017</w:t>
            </w:r>
          </w:p>
        </w:tc>
        <w:tc>
          <w:tcPr>
            <w:tcW w:w="22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Q1 2017</w:t>
            </w:r>
          </w:p>
        </w:tc>
        <w:tc>
          <w:tcPr>
            <w:tcW w:w="220" w:type="dxa"/>
            <w:vAlign w:val="bottom"/>
          </w:tcPr>
          <w:p>
            <w:pPr>
              <w:spacing w:after="0"/>
              <w:rPr>
                <w:sz w:val="18"/>
                <w:szCs w:val="18"/>
                <w:color w:val="auto"/>
              </w:rPr>
            </w:pPr>
          </w:p>
        </w:tc>
        <w:tc>
          <w:tcPr>
            <w:tcW w:w="1040" w:type="dxa"/>
            <w:vAlign w:val="bottom"/>
          </w:tcPr>
          <w:p>
            <w:pPr>
              <w:jc w:val="right"/>
              <w:ind w:right="253"/>
              <w:spacing w:after="0"/>
              <w:rPr>
                <w:sz w:val="20"/>
                <w:szCs w:val="20"/>
                <w:color w:val="auto"/>
              </w:rPr>
            </w:pPr>
            <w:r>
              <w:rPr>
                <w:rFonts w:ascii="Arial" w:cs="Arial" w:eastAsia="Arial" w:hAnsi="Arial"/>
                <w:sz w:val="16"/>
                <w:szCs w:val="16"/>
                <w:b w:val="1"/>
                <w:bCs w:val="1"/>
                <w:color w:val="auto"/>
              </w:rPr>
              <w:t>Q2 2016</w:t>
            </w:r>
          </w:p>
        </w:tc>
      </w:tr>
      <w:tr>
        <w:trPr>
          <w:trHeight w:val="33"/>
        </w:trPr>
        <w:tc>
          <w:tcPr>
            <w:tcW w:w="7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6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Distribution per Class A share declared for the period </w:t>
            </w:r>
            <w:r>
              <w:rPr>
                <w:rFonts w:ascii="Arial" w:cs="Arial" w:eastAsia="Arial" w:hAnsi="Arial"/>
                <w:sz w:val="25"/>
                <w:szCs w:val="25"/>
                <w:b w:val="1"/>
                <w:bCs w:val="1"/>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0.55</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0.62</w:t>
            </w:r>
          </w:p>
        </w:tc>
      </w:tr>
      <w:tr>
        <w:trPr>
          <w:trHeight w:val="257"/>
        </w:trPr>
        <w:tc>
          <w:tcPr>
            <w:tcW w:w="7600" w:type="dxa"/>
            <w:vAlign w:val="bottom"/>
          </w:tcPr>
          <w:p>
            <w:pPr>
              <w:ind w:left="40"/>
              <w:spacing w:after="0"/>
              <w:rPr>
                <w:sz w:val="20"/>
                <w:szCs w:val="20"/>
                <w:color w:val="auto"/>
              </w:rPr>
            </w:pPr>
            <w:r>
              <w:rPr>
                <w:rFonts w:ascii="Arial" w:cs="Arial" w:eastAsia="Arial" w:hAnsi="Arial"/>
                <w:sz w:val="18"/>
                <w:szCs w:val="18"/>
                <w:b w:val="1"/>
                <w:bCs w:val="1"/>
                <w:color w:val="auto"/>
              </w:rPr>
              <w:t>Q2 2017 distribution percentage change from prior periods</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0"/>
        </w:trPr>
        <w:tc>
          <w:tcPr>
            <w:tcW w:w="7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160" w:hanging="332"/>
        <w:spacing w:after="0" w:line="216" w:lineRule="auto"/>
        <w:tabs>
          <w:tab w:leader="none" w:pos="34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A reverse split of PAGP’s Class A shares was completed on November 15, 2016. The effect of the reverse split has been retroactively applied to all per-share amounts presented.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and PAGP will hold a conference call at 5:00 p.m. CT on Monday, August 7, 2017 to discuss the following items:</w:t>
      </w:r>
    </w:p>
    <w:p>
      <w:pPr>
        <w:spacing w:after="0" w:line="225" w:lineRule="exact"/>
        <w:rPr>
          <w:sz w:val="20"/>
          <w:szCs w:val="20"/>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PAA’s second-quarter 2017 performance;</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and operating guidance for the full year of 2017;</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Capitalization and liquidity;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PAA and PAGP’s outlook for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To access the internet webcast please go to </w:t>
      </w:r>
      <w:r>
        <w:rPr>
          <w:rFonts w:ascii="Arial" w:cs="Arial" w:eastAsia="Arial" w:hAnsi="Arial"/>
          <w:sz w:val="18"/>
          <w:szCs w:val="18"/>
          <w:u w:val="single" w:color="auto"/>
          <w:color w:val="0000FF"/>
        </w:rPr>
        <w:t>https://event.webcasts.com/starthere.jsp?ei=1153900&amp;tp_key=0fe580a410</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Alternatively, the webcast can be accessed at www.plainsallamerican.com, under the Investor Relations section of the website (Navigate to: Investor Relations / either PAA or PAGP / News &amp; Events / Quarterly Earnings). Following the live webcast, an audio replay in MP3 format will be available on the website within two hours after the end of the call and will be accessible for a period of 365 days.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and gains or losses on significant asset sales of unconsolidated entities) and adjusted for certain selected items impacting comparability (“Adjusted EBITDA”) and implied distributable cash flow (“DCF”).</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measurements that investors, rating agencies and debt holders have indicated are useful in assessing us and our results of operations. These non-GAAP measures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Page 5</w:t>
      </w:r>
    </w:p>
    <w:p>
      <w:pPr>
        <w:spacing w:after="0" w:line="252"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be adjusted to include amounts related to deficiencies associated with minimum volume commitments whereby we have billed the counterparties for their deficiency obligation and such amounts are recognized as deferred revenue in “Accounts payable and accrued liabilities” on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7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These types of variations are not separately identified in this release, but will be discussed, as applicable, in management’s discussion and analysis of operating results in our Quarterly Report on Form 10-Q.</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Implied DCF and other non-GAAP financial performance measures are reconciled to Net Income (the most directly comparable measure as reported in accordance with GAAP) for the historical periods presented in the tables attached to this release, and should be viewed in addition to, and not in lieu of, our Condensed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 the effects of competition; market distortions caused by producer over-commitments to new or recently constructed infrastructure projects, which impacts volumes, margins, returns and overall earnings; unanticipated changes in crude oil and NGL market structure, grade differentials and volatility (or lack thereof); maintenance of our credit rating and ability to receive open credit from our suppliers and trade counterparties; environmental liabilities or events that are not covered by an indemnity, insurance or existing reserves; fluctuations in refinery capacity in areas supplied by our mainlines and other factors affecting demand for various grades of crude oil, refined products and natural gas and resulting changes in pricing conditions or transportation throughput requirements; the occurrence of a natural disaster, catastrophe, terrorist attack (including eco-terrorist attacks) or other event, including attacks on our electronic and computer systems; failure to implement or capitalize, or delays in implementing or capitalizing, on expansion projects, whether due to permitting delays, permitting withdrawals or other factors;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successful integration and future performance of acquired assets or businesses and the risks associated with operating in lines of business that are distinct and separate from our historical operations; the failure to consummate, or significant delay in consummating, sales of assets or interests as a part of our strategic divestiture program; the currency exchange rate of the Canadian dollar; continued creditworthiness of, and performance by, our counterparties, including financial institutions and trading companies with which we do business; inability to recognize current revenue attributable to deficiency payments received from customers who fail to ship or move more than minimum contracted volumes until the related credits expire or are used; non-utilization of our assets and facilities; increased costs, or lack of availability, of insurance; weather interference with business operations or project construction, including the impact of extreme weather events or conditions; the availability of, and our ability to consummate, acquisition or combination opportunities; the effectiveness of our risk management activities; shortages or cost increases of supplies, materials or labor; the impact of current and future laws, rulings, governmental regulations, accounting standards and statements, and related interpretations; fluctuations in the debt and equity markets, including the price of our units at the time of</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00"/>
          </w:cols>
          <w:pgMar w:left="240" w:top="341"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Page 6</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vesting under our long-term incentive plans; risks related to the development and operation of our assets, including our ability to satisfy our contractual obligations to our customers;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as discussed in the Partnerships’ filings with the Securities and Exchange Commission.</w:t>
      </w:r>
    </w:p>
    <w:p>
      <w:pPr>
        <w:spacing w:after="0" w:line="193" w:lineRule="exact"/>
        <w:rPr>
          <w:sz w:val="20"/>
          <w:szCs w:val="20"/>
          <w:color w:val="auto"/>
        </w:rPr>
      </w:pPr>
    </w:p>
    <w:p>
      <w:pPr>
        <w:ind w:right="320" w:firstLine="648"/>
        <w:spacing w:after="0" w:line="276" w:lineRule="auto"/>
        <w:rPr>
          <w:sz w:val="20"/>
          <w:szCs w:val="20"/>
          <w:color w:val="auto"/>
        </w:rPr>
      </w:pPr>
      <w:r>
        <w:rPr>
          <w:rFonts w:ascii="Arial" w:cs="Arial" w:eastAsia="Arial" w:hAnsi="Arial"/>
          <w:sz w:val="17"/>
          <w:szCs w:val="17"/>
          <w:color w:val="auto"/>
        </w:rPr>
        <w:t>Plains All American Pipeline, L.P. is a publicly traded master limited partnership that owns and operates midstream energy infrastructure and provides logistics services for crude oil, NGLs,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approximately 5 million barrels per day of crude oil and NGL in its Transportation segment. PAA is headquartered in Houston, Texas. More information is available at www.plainsallamerican.com.</w:t>
      </w:r>
    </w:p>
    <w:p>
      <w:pPr>
        <w:spacing w:after="0" w:line="17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Plains GP Holdings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00"/>
          </w:cols>
          <w:pgMar w:left="240" w:top="341"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Page 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Three Months Ended</w:t>
            </w:r>
          </w:p>
        </w:tc>
        <w:tc>
          <w:tcPr>
            <w:tcW w:w="260" w:type="dxa"/>
            <w:vAlign w:val="bottom"/>
          </w:tcPr>
          <w:p>
            <w:pPr>
              <w:spacing w:after="0"/>
              <w:rPr>
                <w:sz w:val="17"/>
                <w:szCs w:val="17"/>
                <w:color w:val="auto"/>
              </w:rPr>
            </w:pPr>
          </w:p>
        </w:tc>
        <w:tc>
          <w:tcPr>
            <w:tcW w:w="2120" w:type="dxa"/>
            <w:vAlign w:val="bottom"/>
            <w:gridSpan w:val="4"/>
          </w:tcPr>
          <w:p>
            <w:pPr>
              <w:jc w:val="center"/>
              <w:ind w:right="151"/>
              <w:spacing w:after="0"/>
              <w:rPr>
                <w:sz w:val="20"/>
                <w:szCs w:val="20"/>
                <w:color w:val="auto"/>
              </w:rPr>
            </w:pPr>
            <w:r>
              <w:rPr>
                <w:rFonts w:ascii="Arial" w:cs="Arial" w:eastAsia="Arial" w:hAnsi="Arial"/>
                <w:sz w:val="16"/>
                <w:szCs w:val="16"/>
                <w:b w:val="1"/>
                <w:bCs w:val="1"/>
                <w:color w:val="auto"/>
                <w:w w:val="92"/>
              </w:rPr>
              <w:t>Six Months Ended</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center"/>
              <w:ind w:left="492"/>
              <w:spacing w:after="0"/>
              <w:rPr>
                <w:sz w:val="20"/>
                <w:szCs w:val="20"/>
                <w:color w:val="auto"/>
              </w:rPr>
            </w:pPr>
            <w:r>
              <w:rPr>
                <w:rFonts w:ascii="Arial" w:cs="Arial" w:eastAsia="Arial" w:hAnsi="Arial"/>
                <w:sz w:val="16"/>
                <w:szCs w:val="16"/>
                <w:b w:val="1"/>
                <w:bCs w:val="1"/>
                <w:color w:val="auto"/>
                <w:w w:val="87"/>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center"/>
              <w:ind w:left="492"/>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8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9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6,078</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9,060</w:t>
            </w:r>
          </w:p>
        </w:tc>
        <w:tc>
          <w:tcPr>
            <w:tcW w:w="0" w:type="dxa"/>
            <w:vAlign w:val="bottom"/>
          </w:tcPr>
          <w:p>
            <w:pPr>
              <w:spacing w:after="0"/>
              <w:rPr>
                <w:sz w:val="1"/>
                <w:szCs w:val="1"/>
                <w:color w:val="auto"/>
              </w:rPr>
            </w:pPr>
          </w:p>
        </w:tc>
      </w:tr>
      <w:tr>
        <w:trPr>
          <w:trHeight w:val="284"/>
        </w:trPr>
        <w:tc>
          <w:tcPr>
            <w:tcW w:w="2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1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5,320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4,224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10,912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7,571</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1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General and administrative expenses</w:t>
            </w: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7"/>
        </w:trPr>
        <w:tc>
          <w:tcPr>
            <w:tcW w:w="4820" w:type="dxa"/>
            <w:vAlign w:val="bottom"/>
            <w:gridSpan w:val="2"/>
          </w:tcPr>
          <w:p>
            <w:pPr>
              <w:ind w:left="200"/>
              <w:spacing w:after="0"/>
              <w:rPr>
                <w:sz w:val="20"/>
                <w:szCs w:val="20"/>
                <w:color w:val="auto"/>
              </w:rPr>
            </w:pPr>
            <w:r>
              <w:rPr>
                <w:rFonts w:ascii="Arial" w:cs="Arial" w:eastAsia="Arial" w:hAnsi="Arial"/>
                <w:sz w:val="18"/>
                <w:szCs w:val="18"/>
                <w:color w:val="auto"/>
              </w:rPr>
              <w:t>Total costs and expenses</w:t>
            </w:r>
          </w:p>
        </w:tc>
        <w:tc>
          <w:tcPr>
            <w:tcW w:w="1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5,821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4,804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11,897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8,633</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82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INCOME</w:t>
            </w: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82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1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Interest expense, net</w:t>
            </w: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1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7"/>
        </w:trPr>
        <w:tc>
          <w:tcPr>
            <w:tcW w:w="2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TAX</w:t>
            </w:r>
          </w:p>
        </w:tc>
        <w:tc>
          <w:tcPr>
            <w:tcW w:w="1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Current income tax expense</w:t>
            </w: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 benefit/(expense)</w:t>
            </w:r>
          </w:p>
        </w:tc>
        <w:tc>
          <w:tcPr>
            <w:tcW w:w="1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7"/>
        </w:trPr>
        <w:tc>
          <w:tcPr>
            <w:tcW w:w="2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43"/>
        </w:trPr>
        <w:tc>
          <w:tcPr>
            <w:tcW w:w="4820" w:type="dxa"/>
            <w:vAlign w:val="bottom"/>
            <w:gridSpan w:val="2"/>
          </w:tcPr>
          <w:p>
            <w:pPr>
              <w:ind w:left="200"/>
              <w:spacing w:after="0"/>
              <w:rPr>
                <w:sz w:val="20"/>
                <w:szCs w:val="20"/>
                <w:color w:val="auto"/>
              </w:rPr>
            </w:pPr>
            <w:r>
              <w:rPr>
                <w:rFonts w:ascii="Arial" w:cs="Arial" w:eastAsia="Arial" w:hAnsi="Arial"/>
                <w:sz w:val="18"/>
                <w:szCs w:val="18"/>
                <w:color w:val="auto"/>
              </w:rPr>
              <w:t>Net income attributable to noncontrolling interests</w:t>
            </w: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PAA</w:t>
            </w:r>
          </w:p>
        </w:tc>
        <w:tc>
          <w:tcPr>
            <w:tcW w:w="1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188</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COMMON UNIT:</w:t>
            </w:r>
          </w:p>
        </w:tc>
        <w:tc>
          <w:tcPr>
            <w:tcW w:w="1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200"/>
              <w:spacing w:after="0"/>
              <w:rPr>
                <w:sz w:val="20"/>
                <w:szCs w:val="20"/>
                <w:color w:val="auto"/>
              </w:rPr>
            </w:pPr>
            <w:r>
              <w:rPr>
                <w:rFonts w:ascii="Arial" w:cs="Arial" w:eastAsia="Arial" w:hAnsi="Arial"/>
                <w:sz w:val="18"/>
                <w:szCs w:val="18"/>
                <w:color w:val="auto"/>
                <w:w w:val="96"/>
              </w:rPr>
              <w:t>Net income/(loss) allocated to common unitholders — Basic</w:t>
            </w:r>
          </w:p>
        </w:tc>
        <w:tc>
          <w:tcPr>
            <w:tcW w:w="1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148</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Basic weighted average common units outstanding</w:t>
            </w:r>
          </w:p>
        </w:tc>
        <w:tc>
          <w:tcPr>
            <w:tcW w:w="1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304"/>
        </w:trPr>
        <w:tc>
          <w:tcPr>
            <w:tcW w:w="4820" w:type="dxa"/>
            <w:vAlign w:val="bottom"/>
            <w:gridSpan w:val="2"/>
          </w:tcPr>
          <w:p>
            <w:pPr>
              <w:ind w:left="200"/>
              <w:spacing w:after="0"/>
              <w:rPr>
                <w:sz w:val="20"/>
                <w:szCs w:val="20"/>
                <w:color w:val="auto"/>
              </w:rPr>
            </w:pPr>
            <w:r>
              <w:rPr>
                <w:rFonts w:ascii="Arial" w:cs="Arial" w:eastAsia="Arial" w:hAnsi="Arial"/>
                <w:sz w:val="18"/>
                <w:szCs w:val="18"/>
                <w:color w:val="auto"/>
              </w:rPr>
              <w:t>Basic net income/(loss) per common unit</w:t>
            </w:r>
          </w:p>
        </w:tc>
        <w:tc>
          <w:tcPr>
            <w:tcW w:w="1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0.21</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71"/>
        </w:trPr>
        <w:tc>
          <w:tcPr>
            <w:tcW w:w="2820" w:type="dxa"/>
            <w:vAlign w:val="bottom"/>
            <w:tcBorders>
              <w:top w:val="single" w:sz="8" w:color="CCEEFF"/>
            </w:tcBorders>
            <w:shd w:val="clear" w:color="auto" w:fill="CCEEFF"/>
          </w:tcPr>
          <w:p>
            <w:pPr>
              <w:spacing w:after="0"/>
              <w:rPr>
                <w:sz w:val="23"/>
                <w:szCs w:val="23"/>
                <w:color w:val="auto"/>
              </w:rPr>
            </w:pPr>
          </w:p>
        </w:tc>
        <w:tc>
          <w:tcPr>
            <w:tcW w:w="2000" w:type="dxa"/>
            <w:vAlign w:val="bottom"/>
            <w:tcBorders>
              <w:top w:val="single" w:sz="8" w:color="CCEEFF"/>
            </w:tcBorders>
            <w:shd w:val="clear" w:color="auto" w:fill="CCEEFF"/>
          </w:tcPr>
          <w:p>
            <w:pPr>
              <w:spacing w:after="0"/>
              <w:rPr>
                <w:sz w:val="23"/>
                <w:szCs w:val="23"/>
                <w:color w:val="auto"/>
              </w:rPr>
            </w:pPr>
          </w:p>
        </w:tc>
        <w:tc>
          <w:tcPr>
            <w:tcW w:w="17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200"/>
              <w:spacing w:after="0"/>
              <w:rPr>
                <w:sz w:val="20"/>
                <w:szCs w:val="20"/>
                <w:color w:val="auto"/>
              </w:rPr>
            </w:pPr>
            <w:r>
              <w:rPr>
                <w:rFonts w:ascii="Arial" w:cs="Arial" w:eastAsia="Arial" w:hAnsi="Arial"/>
                <w:sz w:val="18"/>
                <w:szCs w:val="18"/>
                <w:color w:val="auto"/>
                <w:w w:val="94"/>
              </w:rPr>
              <w:t>Net income/(loss) allocated to common unitholders — Diluted</w:t>
            </w:r>
          </w:p>
        </w:tc>
        <w:tc>
          <w:tcPr>
            <w:tcW w:w="1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148</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Diluted weighted average common units outstanding</w:t>
            </w:r>
          </w:p>
        </w:tc>
        <w:tc>
          <w:tcPr>
            <w:tcW w:w="1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64"/>
        </w:trPr>
        <w:tc>
          <w:tcPr>
            <w:tcW w:w="4820" w:type="dxa"/>
            <w:vAlign w:val="bottom"/>
            <w:gridSpan w:val="2"/>
          </w:tcPr>
          <w:p>
            <w:pPr>
              <w:ind w:left="200"/>
              <w:spacing w:after="0"/>
              <w:rPr>
                <w:sz w:val="20"/>
                <w:szCs w:val="20"/>
                <w:color w:val="auto"/>
              </w:rPr>
            </w:pPr>
            <w:r>
              <w:rPr>
                <w:rFonts w:ascii="Arial" w:cs="Arial" w:eastAsia="Arial" w:hAnsi="Arial"/>
                <w:sz w:val="18"/>
                <w:szCs w:val="18"/>
                <w:color w:val="auto"/>
              </w:rPr>
              <w:t>Diluted net income/(loss) per common unit</w:t>
            </w:r>
          </w:p>
        </w:tc>
        <w:tc>
          <w:tcPr>
            <w:tcW w:w="1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0.21</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NON-GAAP ADJUSTED RESULTS</w:t>
            </w:r>
          </w:p>
        </w:tc>
        <w:tc>
          <w:tcPr>
            <w:tcW w:w="1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820" w:type="dxa"/>
            <w:vAlign w:val="bottom"/>
            <w:gridSpan w:val="2"/>
            <w:vMerge w:val="continue"/>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 millions, except per unit data)</w:t>
            </w:r>
          </w:p>
        </w:tc>
        <w:tc>
          <w:tcPr>
            <w:tcW w:w="20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Three Months Ended</w:t>
            </w:r>
          </w:p>
        </w:tc>
        <w:tc>
          <w:tcPr>
            <w:tcW w:w="260" w:type="dxa"/>
            <w:vAlign w:val="bottom"/>
          </w:tcPr>
          <w:p>
            <w:pPr>
              <w:spacing w:after="0"/>
              <w:rPr>
                <w:sz w:val="24"/>
                <w:szCs w:val="24"/>
                <w:color w:val="auto"/>
              </w:rPr>
            </w:pPr>
          </w:p>
        </w:tc>
        <w:tc>
          <w:tcPr>
            <w:tcW w:w="2120" w:type="dxa"/>
            <w:vAlign w:val="bottom"/>
            <w:gridSpan w:val="4"/>
          </w:tcPr>
          <w:p>
            <w:pPr>
              <w:jc w:val="center"/>
              <w:ind w:right="151"/>
              <w:spacing w:after="0"/>
              <w:rPr>
                <w:sz w:val="20"/>
                <w:szCs w:val="20"/>
                <w:color w:val="auto"/>
              </w:rPr>
            </w:pPr>
            <w:r>
              <w:rPr>
                <w:rFonts w:ascii="Arial" w:cs="Arial" w:eastAsia="Arial" w:hAnsi="Arial"/>
                <w:sz w:val="16"/>
                <w:szCs w:val="16"/>
                <w:b w:val="1"/>
                <w:bCs w:val="1"/>
                <w:color w:val="auto"/>
                <w:w w:val="92"/>
              </w:rPr>
              <w:t>Six Months Ended</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center"/>
              <w:ind w:left="492"/>
              <w:spacing w:after="0"/>
              <w:rPr>
                <w:sz w:val="20"/>
                <w:szCs w:val="20"/>
                <w:color w:val="auto"/>
              </w:rPr>
            </w:pPr>
            <w:r>
              <w:rPr>
                <w:rFonts w:ascii="Arial" w:cs="Arial" w:eastAsia="Arial" w:hAnsi="Arial"/>
                <w:sz w:val="16"/>
                <w:szCs w:val="16"/>
                <w:b w:val="1"/>
                <w:bCs w:val="1"/>
                <w:color w:val="auto"/>
                <w:w w:val="87"/>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center"/>
              <w:ind w:left="492"/>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8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 PAA</w:t>
            </w:r>
          </w:p>
        </w:tc>
        <w:tc>
          <w:tcPr>
            <w:tcW w:w="17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adjusted net income/(loss) per common unit</w:t>
            </w:r>
          </w:p>
        </w:tc>
        <w:tc>
          <w:tcPr>
            <w:tcW w:w="17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17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960" w:type="dxa"/>
            <w:vAlign w:val="bottom"/>
            <w:gridSpan w:val="2"/>
          </w:tcPr>
          <w:p>
            <w:pPr>
              <w:jc w:val="right"/>
              <w:ind w:right="690"/>
              <w:spacing w:after="0"/>
              <w:rPr>
                <w:sz w:val="20"/>
                <w:szCs w:val="20"/>
                <w:color w:val="auto"/>
              </w:rPr>
            </w:pPr>
            <w:r>
              <w:rPr>
                <w:rFonts w:ascii="Arial" w:cs="Arial" w:eastAsia="Arial" w:hAnsi="Arial"/>
                <w:sz w:val="18"/>
                <w:szCs w:val="18"/>
                <w:color w:val="auto"/>
              </w:rPr>
              <w:t>- more -</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2"/>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6"/>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4820" w:type="dxa"/>
            <w:vAlign w:val="bottom"/>
            <w:gridSpan w:val="2"/>
          </w:tcPr>
          <w:p>
            <w:pPr>
              <w:ind w:left="1800"/>
              <w:spacing w:after="0"/>
              <w:rPr>
                <w:sz w:val="20"/>
                <w:szCs w:val="20"/>
                <w:color w:val="auto"/>
              </w:rPr>
            </w:pPr>
            <w:r>
              <w:rPr>
                <w:rFonts w:ascii="Arial" w:cs="Arial" w:eastAsia="Arial" w:hAnsi="Arial"/>
                <w:sz w:val="18"/>
                <w:szCs w:val="18"/>
                <w:b w:val="1"/>
                <w:bCs w:val="1"/>
                <w:color w:val="auto"/>
              </w:rPr>
              <w:t>333 Clay Street, Suite 1600</w:t>
            </w:r>
          </w:p>
        </w:tc>
        <w:tc>
          <w:tcPr>
            <w:tcW w:w="19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4"/>
              </w:rPr>
              <w:t>Houston, Texas 77002</w:t>
            </w:r>
          </w:p>
        </w:tc>
        <w:tc>
          <w:tcPr>
            <w:tcW w:w="920" w:type="dxa"/>
            <w:vAlign w:val="bottom"/>
          </w:tcPr>
          <w:p>
            <w:pPr>
              <w:spacing w:after="0"/>
              <w:rPr>
                <w:sz w:val="24"/>
                <w:szCs w:val="24"/>
                <w:color w:val="auto"/>
              </w:rPr>
            </w:pPr>
          </w:p>
        </w:tc>
        <w:tc>
          <w:tcPr>
            <w:tcW w:w="2480" w:type="dxa"/>
            <w:vAlign w:val="bottom"/>
            <w:gridSpan w:val="6"/>
          </w:tcPr>
          <w:p>
            <w:pPr>
              <w:jc w:val="right"/>
              <w:ind w:right="212"/>
              <w:spacing w:after="0"/>
              <w:rPr>
                <w:sz w:val="20"/>
                <w:szCs w:val="20"/>
                <w:color w:val="auto"/>
              </w:rPr>
            </w:pPr>
            <w:r>
              <w:rPr>
                <w:rFonts w:ascii="Arial" w:cs="Arial" w:eastAsia="Arial" w:hAnsi="Arial"/>
                <w:sz w:val="18"/>
                <w:szCs w:val="18"/>
                <w:b w:val="1"/>
                <w:bCs w:val="1"/>
                <w:color w:val="auto"/>
                <w:w w:val="90"/>
              </w:rPr>
              <w:t>713-646-4100 / 866-809-1291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292"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Page 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111"/>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51"/>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3,528</w:t>
            </w:r>
          </w:p>
        </w:tc>
        <w:tc>
          <w:tcPr>
            <w:tcW w:w="8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4,272</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14,322</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13,872</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2,596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Linefill and base gas</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inventory</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Other long-term assets, net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25,004</w:t>
            </w:r>
          </w:p>
        </w:tc>
        <w:tc>
          <w:tcPr>
            <w:tcW w:w="8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24,210</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2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PARTNERS' CAPITAL</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3,757</w:t>
            </w:r>
          </w:p>
        </w:tc>
        <w:tc>
          <w:tcPr>
            <w:tcW w:w="8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4,664</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notes, net of unamortized discounts and debt issuance costs</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9,874</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Other long-term debt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37"/>
        </w:trPr>
        <w:tc>
          <w:tcPr>
            <w:tcW w:w="8420" w:type="dxa"/>
            <w:vAlign w:val="bottom"/>
            <w:gridSpan w:val="2"/>
          </w:tcPr>
          <w:p>
            <w:pPr>
              <w:ind w:left="20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14,503</w:t>
            </w:r>
          </w:p>
        </w:tc>
        <w:tc>
          <w:tcPr>
            <w:tcW w:w="80" w:type="dxa"/>
            <w:vAlign w:val="bottom"/>
            <w:tcBorders>
              <w:top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15,394</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820" w:type="dxa"/>
            <w:vAlign w:val="bottom"/>
            <w:shd w:val="clear" w:color="auto" w:fill="CCEEFF"/>
          </w:tcPr>
          <w:p>
            <w:pPr>
              <w:spacing w:after="0"/>
              <w:rPr>
                <w:sz w:val="24"/>
                <w:szCs w:val="24"/>
                <w:color w:val="auto"/>
              </w:rPr>
            </w:pPr>
          </w:p>
        </w:tc>
        <w:tc>
          <w:tcPr>
            <w:tcW w:w="5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Partners' capital excluding noncontrolling interests</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10,444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8,759</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7"/>
        </w:trPr>
        <w:tc>
          <w:tcPr>
            <w:tcW w:w="8420" w:type="dxa"/>
            <w:vAlign w:val="bottom"/>
            <w:gridSpan w:val="2"/>
          </w:tcPr>
          <w:p>
            <w:pPr>
              <w:ind w:left="200"/>
              <w:spacing w:after="0"/>
              <w:rPr>
                <w:sz w:val="20"/>
                <w:szCs w:val="20"/>
                <w:color w:val="auto"/>
              </w:rPr>
            </w:pPr>
            <w:r>
              <w:rPr>
                <w:rFonts w:ascii="Arial" w:cs="Arial" w:eastAsia="Arial" w:hAnsi="Arial"/>
                <w:sz w:val="18"/>
                <w:szCs w:val="18"/>
                <w:color w:val="auto"/>
              </w:rPr>
              <w:t>Total partners' capital</w:t>
            </w:r>
          </w:p>
        </w:tc>
        <w:tc>
          <w:tcPr>
            <w:tcW w:w="1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10,501</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8,816</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25,004</w:t>
            </w:r>
          </w:p>
        </w:tc>
        <w:tc>
          <w:tcPr>
            <w:tcW w:w="8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24,210</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4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 millions)</w:t>
            </w:r>
          </w:p>
        </w:tc>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8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15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471"/>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7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2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Short-term debt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1,114</w:t>
            </w:r>
          </w:p>
        </w:tc>
        <w:tc>
          <w:tcPr>
            <w:tcW w:w="8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10,040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10,124</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11,154</w:t>
            </w:r>
          </w:p>
        </w:tc>
        <w:tc>
          <w:tcPr>
            <w:tcW w:w="8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11,839</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2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10,040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10,124</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Partners' capital</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10,501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8,816</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book capitalization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20,541</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18,940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Total book capitalization, including short-term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21,655</w:t>
            </w:r>
          </w:p>
        </w:tc>
        <w:tc>
          <w:tcPr>
            <w:tcW w:w="80" w:type="dxa"/>
            <w:vAlign w:val="bottom"/>
          </w:tcPr>
          <w:p>
            <w:pPr>
              <w:spacing w:after="0"/>
              <w:rPr>
                <w:sz w:val="24"/>
                <w:szCs w:val="24"/>
                <w:color w:val="auto"/>
              </w:rPr>
            </w:pPr>
          </w:p>
        </w:tc>
        <w:tc>
          <w:tcPr>
            <w:tcW w:w="2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20,655</w:t>
            </w:r>
          </w:p>
        </w:tc>
        <w:tc>
          <w:tcPr>
            <w:tcW w:w="0" w:type="dxa"/>
            <w:vAlign w:val="bottom"/>
          </w:tcPr>
          <w:p>
            <w:pPr>
              <w:spacing w:after="0"/>
              <w:rPr>
                <w:sz w:val="1"/>
                <w:szCs w:val="1"/>
                <w:color w:val="auto"/>
              </w:rPr>
            </w:pPr>
          </w:p>
        </w:tc>
      </w:tr>
      <w:tr>
        <w:trPr>
          <w:trHeight w:val="271"/>
        </w:trPr>
        <w:tc>
          <w:tcPr>
            <w:tcW w:w="2820" w:type="dxa"/>
            <w:vAlign w:val="bottom"/>
            <w:tcBorders>
              <w:top w:val="single" w:sz="8" w:color="CCEEFF"/>
            </w:tcBorders>
            <w:shd w:val="clear" w:color="auto" w:fill="CCEEFF"/>
          </w:tcPr>
          <w:p>
            <w:pPr>
              <w:spacing w:after="0"/>
              <w:rPr>
                <w:sz w:val="23"/>
                <w:szCs w:val="23"/>
                <w:color w:val="auto"/>
              </w:rPr>
            </w:pPr>
          </w:p>
        </w:tc>
        <w:tc>
          <w:tcPr>
            <w:tcW w:w="56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Long-term debt-to-total book capitalization</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debt-to-total book capitalization, including short-term debt</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820" w:type="dxa"/>
            <w:vAlign w:val="bottom"/>
            <w:shd w:val="clear" w:color="auto" w:fill="CCEEFF"/>
          </w:tcPr>
          <w:p>
            <w:pPr>
              <w:spacing w:after="0"/>
              <w:rPr>
                <w:sz w:val="2"/>
                <w:szCs w:val="2"/>
                <w:color w:val="auto"/>
              </w:rPr>
            </w:pPr>
          </w:p>
        </w:tc>
        <w:tc>
          <w:tcPr>
            <w:tcW w:w="5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140" w:hanging="332"/>
        <w:spacing w:after="0" w:line="226" w:lineRule="auto"/>
        <w:tabs>
          <w:tab w:leader="none" w:pos="34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As of June 30, 2017 and December 31, 2016, short-term debt includes borrowings of approximately $1,099 million and $1,303 million, respectively, for short-term hedged inventory purchases and borrowings of approximately $12 million and $410 million, respectively, for cash margin deposits with our clearing brokers, which are associated with financial derivatives used for hedging purposes.</w:t>
      </w:r>
    </w:p>
    <w:p>
      <w:pPr>
        <w:spacing w:after="0" w:line="230" w:lineRule="exact"/>
        <w:rPr>
          <w:rFonts w:ascii="Arial" w:cs="Arial" w:eastAsia="Arial" w:hAnsi="Arial"/>
          <w:sz w:val="25"/>
          <w:szCs w:val="25"/>
          <w:color w:val="auto"/>
          <w:vertAlign w:val="superscript"/>
        </w:rPr>
      </w:pPr>
    </w:p>
    <w:p>
      <w:pPr>
        <w:ind w:left="5520" w:hanging="96"/>
        <w:spacing w:after="0"/>
        <w:tabs>
          <w:tab w:leader="none" w:pos="5520" w:val="left"/>
        </w:tabs>
        <w:numPr>
          <w:ilvl w:val="1"/>
          <w:numId w:val="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Page 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52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3"/>
              </w:rPr>
              <w:t>Three Months Ended</w:t>
            </w:r>
          </w:p>
        </w:tc>
        <w:tc>
          <w:tcPr>
            <w:tcW w:w="23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Six Months Ended</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1600" w:type="dxa"/>
            <w:vAlign w:val="bottom"/>
            <w:gridSpan w:val="3"/>
          </w:tcPr>
          <w:p>
            <w:pPr>
              <w:jc w:val="center"/>
              <w:ind w:left="751"/>
              <w:spacing w:after="0"/>
              <w:rPr>
                <w:sz w:val="20"/>
                <w:szCs w:val="20"/>
                <w:color w:val="auto"/>
              </w:rPr>
            </w:pPr>
            <w:r>
              <w:rPr>
                <w:rFonts w:ascii="Arial" w:cs="Arial" w:eastAsia="Arial" w:hAnsi="Arial"/>
                <w:sz w:val="16"/>
                <w:szCs w:val="16"/>
                <w:b w:val="1"/>
                <w:bCs w:val="1"/>
                <w:color w:val="auto"/>
                <w:w w:val="87"/>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left="751"/>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520" w:type="dxa"/>
            <w:vAlign w:val="bottom"/>
          </w:tcPr>
          <w:p>
            <w:pPr>
              <w:spacing w:after="0"/>
              <w:rPr>
                <w:sz w:val="20"/>
                <w:szCs w:val="20"/>
                <w:color w:val="auto"/>
              </w:rPr>
            </w:pPr>
          </w:p>
        </w:tc>
        <w:tc>
          <w:tcPr>
            <w:tcW w:w="116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14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3"/>
              </w:rPr>
              <w:t>Transportation segment (average daily volumes in thousands of barrels per day):</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Tariff activities volumes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Crude oil pipelines (by region):</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5"/>
                <w:szCs w:val="25"/>
                <w:color w:val="auto"/>
                <w:vertAlign w:val="superscript"/>
              </w:rPr>
              <w:t>(2)</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2,761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2,614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5"/>
                <w:szCs w:val="25"/>
                <w:color w:val="auto"/>
                <w:vertAlign w:val="superscript"/>
              </w:rPr>
              <w:t>(2)</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43"/>
        </w:trPr>
        <w:tc>
          <w:tcPr>
            <w:tcW w:w="6520" w:type="dxa"/>
            <w:vAlign w:val="bottom"/>
          </w:tcPr>
          <w:p>
            <w:pPr>
              <w:ind w:left="360"/>
              <w:spacing w:after="0"/>
              <w:rPr>
                <w:sz w:val="20"/>
                <w:szCs w:val="20"/>
                <w:color w:val="auto"/>
              </w:rPr>
            </w:pPr>
            <w:r>
              <w:rPr>
                <w:rFonts w:ascii="Arial" w:cs="Arial" w:eastAsia="Arial" w:hAnsi="Arial"/>
                <w:sz w:val="18"/>
                <w:szCs w:val="18"/>
                <w:color w:val="auto"/>
              </w:rPr>
              <w:t>Western</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5"/>
                <w:szCs w:val="25"/>
                <w:color w:val="auto"/>
                <w:vertAlign w:val="superscript"/>
              </w:rPr>
              <w:t>(2)</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43"/>
        </w:trPr>
        <w:tc>
          <w:tcPr>
            <w:tcW w:w="6520" w:type="dxa"/>
            <w:vAlign w:val="bottom"/>
          </w:tcPr>
          <w:p>
            <w:pPr>
              <w:ind w:left="360"/>
              <w:spacing w:after="0"/>
              <w:rPr>
                <w:sz w:val="20"/>
                <w:szCs w:val="20"/>
                <w:color w:val="auto"/>
              </w:rPr>
            </w:pPr>
            <w:r>
              <w:rPr>
                <w:rFonts w:ascii="Arial" w:cs="Arial" w:eastAsia="Arial" w:hAnsi="Arial"/>
                <w:sz w:val="18"/>
                <w:szCs w:val="18"/>
                <w:color w:val="auto"/>
              </w:rPr>
              <w:t>Gulf Coast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5"/>
                <w:szCs w:val="25"/>
                <w:color w:val="auto"/>
                <w:vertAlign w:val="superscript"/>
              </w:rPr>
              <w:t>(2)</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43"/>
        </w:trPr>
        <w:tc>
          <w:tcPr>
            <w:tcW w:w="6520" w:type="dxa"/>
            <w:vAlign w:val="bottom"/>
          </w:tcPr>
          <w:p>
            <w:pPr>
              <w:ind w:left="360"/>
              <w:spacing w:after="0"/>
              <w:rPr>
                <w:sz w:val="20"/>
                <w:szCs w:val="20"/>
                <w:color w:val="auto"/>
              </w:rPr>
            </w:pPr>
            <w:r>
              <w:rPr>
                <w:rFonts w:ascii="Arial" w:cs="Arial" w:eastAsia="Arial" w:hAnsi="Arial"/>
                <w:sz w:val="18"/>
                <w:szCs w:val="18"/>
                <w:color w:val="auto"/>
              </w:rPr>
              <w:t>Canada</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Crude oil pipelines</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4,484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4,404</w:t>
            </w:r>
          </w:p>
        </w:tc>
        <w:tc>
          <w:tcPr>
            <w:tcW w:w="0" w:type="dxa"/>
            <w:vAlign w:val="bottom"/>
          </w:tcPr>
          <w:p>
            <w:pPr>
              <w:spacing w:after="0"/>
              <w:rPr>
                <w:sz w:val="1"/>
                <w:szCs w:val="1"/>
                <w:color w:val="auto"/>
              </w:rPr>
            </w:pP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NGL pipelines</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Tariff activities total volumes</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4,584</w:t>
            </w:r>
          </w:p>
        </w:tc>
        <w:tc>
          <w:tcPr>
            <w:tcW w:w="0" w:type="dxa"/>
            <w:vAlign w:val="bottom"/>
          </w:tcPr>
          <w:p>
            <w:pPr>
              <w:spacing w:after="0"/>
              <w:rPr>
                <w:sz w:val="1"/>
                <w:szCs w:val="1"/>
                <w:color w:val="auto"/>
              </w:rPr>
            </w:pP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Trucking volumes</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segment total volumes</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5,163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4,781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4,960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4,694</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5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Facilities segment (average monthly volumes):</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00"/>
              <w:spacing w:after="0"/>
              <w:rPr>
                <w:sz w:val="20"/>
                <w:szCs w:val="20"/>
                <w:color w:val="auto"/>
              </w:rPr>
            </w:pPr>
            <w:r>
              <w:rPr>
                <w:rFonts w:ascii="Arial" w:cs="Arial" w:eastAsia="Arial" w:hAnsi="Arial"/>
                <w:sz w:val="18"/>
                <w:szCs w:val="18"/>
                <w:color w:val="auto"/>
              </w:rPr>
              <w:t>Crude oil, refined products and NGL terminalling and storage (average monthly</w:t>
            </w:r>
          </w:p>
        </w:tc>
        <w:tc>
          <w:tcPr>
            <w:tcW w:w="1160" w:type="dxa"/>
            <w:vAlign w:val="bottom"/>
            <w:vMerge w:val="restart"/>
          </w:tcPr>
          <w:p>
            <w:pPr>
              <w:jc w:val="right"/>
              <w:ind w:right="31"/>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vMerge w:val="restart"/>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1140" w:type="dxa"/>
            <w:vAlign w:val="bottom"/>
            <w:vMerge w:val="restart"/>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7"/>
        </w:trPr>
        <w:tc>
          <w:tcPr>
            <w:tcW w:w="6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capacity in millions of barrels)</w:t>
            </w:r>
          </w:p>
        </w:tc>
        <w:tc>
          <w:tcPr>
            <w:tcW w:w="11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Rail load / unload volumes (average volumes in thousands of barrels per day)</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5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Natural gas storage (average monthly working capacity in billions of cubic feet)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51"/>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NGL fractionation (average volumes in thousands of barrels per day)</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6520" w:type="dxa"/>
            <w:vAlign w:val="bottom"/>
            <w:tcBorders>
              <w:bottom w:val="single" w:sz="8" w:color="CCEEFF"/>
            </w:tcBorders>
          </w:tcPr>
          <w:p>
            <w:pPr>
              <w:ind w:left="40"/>
              <w:spacing w:after="0" w:line="257" w:lineRule="exact"/>
              <w:rPr>
                <w:sz w:val="20"/>
                <w:szCs w:val="20"/>
                <w:color w:val="auto"/>
              </w:rPr>
            </w:pPr>
            <w:r>
              <w:rPr>
                <w:rFonts w:ascii="Arial" w:cs="Arial" w:eastAsia="Arial" w:hAnsi="Arial"/>
                <w:sz w:val="18"/>
                <w:szCs w:val="18"/>
                <w:color w:val="auto"/>
                <w:w w:val="96"/>
              </w:rPr>
              <w:t xml:space="preserve">Facilities segment total volumes (average monthly volumes in millions of barrels) </w:t>
            </w:r>
            <w:r>
              <w:rPr>
                <w:rFonts w:ascii="Arial" w:cs="Arial" w:eastAsia="Arial" w:hAnsi="Arial"/>
                <w:sz w:val="25"/>
                <w:szCs w:val="25"/>
                <w:color w:val="auto"/>
                <w:w w:val="96"/>
                <w:vertAlign w:val="superscript"/>
              </w:rPr>
              <w:t>(3)</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64"/>
        </w:trPr>
        <w:tc>
          <w:tcPr>
            <w:tcW w:w="65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w w:val="92"/>
              </w:rPr>
              <w:t>Supply and Logistics segment (average daily volumes in thousands of barrels per</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20" w:type="dxa"/>
            <w:vAlign w:val="bottom"/>
          </w:tcPr>
          <w:p>
            <w:pPr>
              <w:ind w:left="200"/>
              <w:spacing w:after="0"/>
              <w:rPr>
                <w:sz w:val="20"/>
                <w:szCs w:val="20"/>
                <w:color w:val="auto"/>
              </w:rPr>
            </w:pPr>
            <w:r>
              <w:rPr>
                <w:rFonts w:ascii="Arial" w:cs="Arial" w:eastAsia="Arial" w:hAnsi="Arial"/>
                <w:sz w:val="18"/>
                <w:szCs w:val="18"/>
                <w:b w:val="1"/>
                <w:bCs w:val="1"/>
                <w:color w:val="auto"/>
              </w:rPr>
              <w:t>day):</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Crude oil lease gathering purchases</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NGL sales</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Waterborne cargos</w:t>
            </w:r>
          </w:p>
        </w:tc>
        <w:tc>
          <w:tcPr>
            <w:tcW w:w="160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6520" w:type="dxa"/>
            <w:vAlign w:val="bottom"/>
          </w:tcPr>
          <w:p>
            <w:pPr>
              <w:ind w:left="360"/>
              <w:spacing w:after="0"/>
              <w:rPr>
                <w:sz w:val="20"/>
                <w:szCs w:val="20"/>
                <w:color w:val="auto"/>
              </w:rPr>
            </w:pPr>
            <w:r>
              <w:rPr>
                <w:rFonts w:ascii="Arial" w:cs="Arial" w:eastAsia="Arial" w:hAnsi="Arial"/>
                <w:sz w:val="18"/>
                <w:szCs w:val="18"/>
                <w:color w:val="auto"/>
              </w:rPr>
              <w:t>Supply and Logistics segment total volumes</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1,150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9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5"/>
          <w:szCs w:val="25"/>
          <w:color w:val="auto"/>
          <w:vertAlign w:val="superscript"/>
        </w:rPr>
      </w:pPr>
      <w:r>
        <w:rPr>
          <w:rFonts w:ascii="Arial" w:cs="Arial" w:eastAsia="Arial" w:hAnsi="Arial"/>
          <w:sz w:val="15"/>
          <w:szCs w:val="15"/>
          <w:color w:val="auto"/>
        </w:rPr>
        <w:t>Average volumes are calculated as total volumes for the period (attributable to our interest) divided by the number of days or months in the period.</w:t>
      </w:r>
    </w:p>
    <w:p>
      <w:pPr>
        <w:spacing w:after="0" w:line="50" w:lineRule="exact"/>
        <w:rPr>
          <w:rFonts w:ascii="Arial" w:cs="Arial" w:eastAsia="Arial" w:hAnsi="Arial"/>
          <w:sz w:val="25"/>
          <w:szCs w:val="25"/>
          <w:color w:val="auto"/>
          <w:vertAlign w:val="superscript"/>
        </w:rPr>
      </w:pPr>
    </w:p>
    <w:p>
      <w:pPr>
        <w:ind w:left="340" w:hanging="332"/>
        <w:spacing w:after="0" w:line="187" w:lineRule="auto"/>
        <w:tabs>
          <w:tab w:leader="none" w:pos="340" w:val="left"/>
        </w:tabs>
        <w:numPr>
          <w:ilvl w:val="0"/>
          <w:numId w:val="7"/>
        </w:numPr>
        <w:rPr>
          <w:rFonts w:ascii="Arial" w:cs="Arial" w:eastAsia="Arial" w:hAnsi="Arial"/>
          <w:sz w:val="20"/>
          <w:szCs w:val="20"/>
          <w:color w:val="auto"/>
          <w:vertAlign w:val="superscript"/>
        </w:rPr>
      </w:pPr>
      <w:r>
        <w:rPr>
          <w:rFonts w:ascii="Arial" w:cs="Arial" w:eastAsia="Arial" w:hAnsi="Arial"/>
          <w:sz w:val="13"/>
          <w:szCs w:val="13"/>
          <w:color w:val="auto"/>
        </w:rPr>
        <w:t>Region includes volumes (attributable to our interest) from pipelines owned by unconsolidated entities.</w:t>
      </w:r>
    </w:p>
    <w:p>
      <w:pPr>
        <w:spacing w:after="0" w:line="50" w:lineRule="exact"/>
        <w:rPr>
          <w:rFonts w:ascii="Arial" w:cs="Arial" w:eastAsia="Arial" w:hAnsi="Arial"/>
          <w:sz w:val="20"/>
          <w:szCs w:val="20"/>
          <w:color w:val="auto"/>
          <w:vertAlign w:val="superscript"/>
        </w:rPr>
      </w:pPr>
    </w:p>
    <w:p>
      <w:pPr>
        <w:jc w:val="both"/>
        <w:ind w:left="340" w:hanging="332"/>
        <w:spacing w:after="0" w:line="210" w:lineRule="auto"/>
        <w:tabs>
          <w:tab w:leader="none" w:pos="340" w:val="left"/>
        </w:tabs>
        <w:numPr>
          <w:ilvl w:val="0"/>
          <w:numId w:val="7"/>
        </w:numPr>
        <w:rPr>
          <w:rFonts w:ascii="Arial" w:cs="Arial" w:eastAsia="Arial" w:hAnsi="Arial"/>
          <w:sz w:val="25"/>
          <w:szCs w:val="25"/>
          <w:color w:val="auto"/>
          <w:vertAlign w:val="superscript"/>
        </w:rPr>
      </w:pPr>
      <w:r>
        <w:rPr>
          <w:rFonts w:ascii="Arial" w:cs="Arial" w:eastAsia="Arial" w:hAnsi="Arial"/>
          <w:sz w:val="15"/>
          <w:szCs w:val="15"/>
          <w:color w:val="auto"/>
        </w:rPr>
        <w:t>Facilities segment total volumes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226" w:lineRule="exact"/>
        <w:rPr>
          <w:rFonts w:ascii="Arial" w:cs="Arial" w:eastAsia="Arial" w:hAnsi="Arial"/>
          <w:sz w:val="25"/>
          <w:szCs w:val="25"/>
          <w:color w:val="auto"/>
          <w:vertAlign w:val="superscript"/>
        </w:rPr>
      </w:pPr>
    </w:p>
    <w:p>
      <w:pPr>
        <w:ind w:left="5520" w:hanging="96"/>
        <w:spacing w:after="0"/>
        <w:tabs>
          <w:tab w:leader="none" w:pos="5520" w:val="left"/>
        </w:tabs>
        <w:numPr>
          <w:ilvl w:val="1"/>
          <w:numId w:val="7"/>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Page 10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 PER COMMON UNIT</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7"/>
                <w:szCs w:val="17"/>
                <w:color w:val="auto"/>
              </w:rPr>
            </w:pPr>
          </w:p>
        </w:tc>
        <w:tc>
          <w:tcPr>
            <w:tcW w:w="2120" w:type="dxa"/>
            <w:vAlign w:val="bottom"/>
            <w:gridSpan w:val="4"/>
          </w:tcPr>
          <w:p>
            <w:pPr>
              <w:jc w:val="right"/>
              <w:ind w:right="451"/>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Common Unit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PAA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302</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Series A preferred units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Distributions to general partner</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97"/>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income/(loss) allocated to common unitholders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71"/>
        </w:trPr>
        <w:tc>
          <w:tcPr>
            <w:tcW w:w="65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Basic weighted average common units outstanding</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398</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84"/>
        </w:trPr>
        <w:tc>
          <w:tcPr>
            <w:tcW w:w="6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30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net income/(loss) per common unit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r>
      <w:tr>
        <w:trPr>
          <w:trHeight w:val="271"/>
        </w:trPr>
        <w:tc>
          <w:tcPr>
            <w:tcW w:w="65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Diluted Net Income per Common Unit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PAA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Distributions to Series A preferred units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general partner</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income/(loss) allocated to common unitholders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71"/>
        </w:trPr>
        <w:tc>
          <w:tcPr>
            <w:tcW w:w="6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units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LTIP units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weighted average common units outstanding</w:t>
            </w:r>
          </w:p>
        </w:tc>
        <w:tc>
          <w:tcPr>
            <w:tcW w:w="2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398</w:t>
            </w:r>
          </w:p>
        </w:tc>
      </w:tr>
      <w:tr>
        <w:trPr>
          <w:trHeight w:val="271"/>
        </w:trPr>
        <w:tc>
          <w:tcPr>
            <w:tcW w:w="65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Diluted net income/(loss) per common unit </w:t>
            </w:r>
            <w:r>
              <w:rPr>
                <w:rFonts w:ascii="Arial" w:cs="Arial" w:eastAsia="Arial" w:hAnsi="Arial"/>
                <w:sz w:val="25"/>
                <w:szCs w:val="25"/>
                <w:color w:val="auto"/>
                <w:vertAlign w:val="superscript"/>
              </w:rPr>
              <w:t>(3)</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40" w:hanging="332"/>
        <w:spacing w:after="0" w:line="239"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We calculate net income/(loss) allocated to common unitholders based on the distributions pertaining to the current period’s net income. After adjusting for the appropriate period’s distributions, the remaining undistributed earnings or excess distributions over earnings (“undistributed loss”), if any, are allocated to the general partner, common unitholders and participating securities in accordance with the contractual terms of our partnership agreement in effect for the period and as further prescribed under the two-class method. The Simplification Transactions, which closed on November 15, 2016, simplified our governance structure and permanently eliminated our IDRs and the economic rights associated with our 2% general partner interest. As such, beginning with the distribution pertaining to the fourth quarter of 2016, our general partner is no longer entitled to receive distributions on these interests.</w:t>
      </w:r>
    </w:p>
    <w:p>
      <w:pPr>
        <w:spacing w:after="0" w:line="43" w:lineRule="exact"/>
        <w:rPr>
          <w:rFonts w:ascii="Arial" w:cs="Arial" w:eastAsia="Arial" w:hAnsi="Arial"/>
          <w:sz w:val="25"/>
          <w:szCs w:val="25"/>
          <w:color w:val="auto"/>
          <w:vertAlign w:val="superscript"/>
        </w:rPr>
      </w:pPr>
    </w:p>
    <w:p>
      <w:pPr>
        <w:ind w:left="340" w:hanging="332"/>
        <w:spacing w:after="0" w:line="235"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 Such LTIP awards were excluded from the calculation of diluted net loss per common unit for the three and six months ended June 30, 2016 as the effect was antidilutive.</w:t>
      </w:r>
    </w:p>
    <w:p>
      <w:pPr>
        <w:spacing w:after="0" w:line="42" w:lineRule="exact"/>
        <w:rPr>
          <w:rFonts w:ascii="Arial" w:cs="Arial" w:eastAsia="Arial" w:hAnsi="Arial"/>
          <w:sz w:val="25"/>
          <w:szCs w:val="25"/>
          <w:color w:val="auto"/>
          <w:vertAlign w:val="superscript"/>
        </w:rPr>
      </w:pPr>
    </w:p>
    <w:p>
      <w:pPr>
        <w:ind w:left="340" w:right="60" w:hanging="332"/>
        <w:spacing w:after="0" w:line="216"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 possible conversion of our Series A preferred units was excluded from the calculation of diluted net income/(loss) per common unit for the three and six months ended June 30, 2017 and 2016 as the effect was antidilutive.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Page 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2017</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2016</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w w:val="93"/>
              </w:rPr>
              <w:t>Facilities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Supply and</w:t>
            </w:r>
          </w:p>
        </w:tc>
        <w:tc>
          <w:tcPr>
            <w:tcW w:w="140" w:type="dxa"/>
            <w:vAlign w:val="bottom"/>
          </w:tcPr>
          <w:p>
            <w:pPr>
              <w:spacing w:after="0"/>
              <w:rPr>
                <w:sz w:val="13"/>
                <w:szCs w:val="13"/>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center"/>
              <w:ind w:right="92"/>
              <w:spacing w:after="0"/>
              <w:rPr>
                <w:sz w:val="20"/>
                <w:szCs w:val="20"/>
                <w:color w:val="auto"/>
              </w:rPr>
            </w:pPr>
            <w:r>
              <w:rPr>
                <w:rFonts w:ascii="Arial" w:cs="Arial" w:eastAsia="Arial" w:hAnsi="Arial"/>
                <w:sz w:val="14"/>
                <w:szCs w:val="14"/>
                <w:b w:val="1"/>
                <w:bCs w:val="1"/>
                <w:color w:val="auto"/>
                <w:w w:val="90"/>
              </w:rPr>
              <w:t>Facilities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192"/>
              <w:spacing w:after="0" w:line="153" w:lineRule="exact"/>
              <w:rPr>
                <w:sz w:val="20"/>
                <w:szCs w:val="20"/>
                <w:color w:val="auto"/>
              </w:rPr>
            </w:pPr>
            <w:r>
              <w:rPr>
                <w:rFonts w:ascii="Arial" w:cs="Arial" w:eastAsia="Arial" w:hAnsi="Arial"/>
                <w:sz w:val="14"/>
                <w:szCs w:val="14"/>
                <w:b w:val="1"/>
                <w:bCs w:val="1"/>
                <w:color w:val="auto"/>
              </w:rPr>
              <w:t>Supply and</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Logistics</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5"/>
                <w:szCs w:val="25"/>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5,783</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4,652</w:t>
            </w:r>
          </w:p>
        </w:tc>
        <w:tc>
          <w:tcPr>
            <w:tcW w:w="0" w:type="dxa"/>
            <w:vAlign w:val="bottom"/>
          </w:tcPr>
          <w:p>
            <w:pPr>
              <w:spacing w:after="0"/>
              <w:rPr>
                <w:sz w:val="1"/>
                <w:szCs w:val="1"/>
                <w:color w:val="auto"/>
              </w:rPr>
            </w:pPr>
          </w:p>
        </w:tc>
      </w:tr>
      <w:tr>
        <w:trPr>
          <w:trHeight w:val="270"/>
        </w:trPr>
        <w:tc>
          <w:tcPr>
            <w:tcW w:w="32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(5,708)</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(4,566)</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 (3)</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8"/>
              </w:rPr>
              <w:t>Equity-indexed compensation expense -</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field operating costs</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general and administrative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(3) (4)</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8"/>
              </w:rPr>
              <w:t>Equity-indexed compensation expense -</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Equity earnings in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(5)</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00"/>
              <w:spacing w:after="0"/>
              <w:rPr>
                <w:sz w:val="20"/>
                <w:szCs w:val="20"/>
                <w:color w:val="auto"/>
              </w:rPr>
            </w:pPr>
            <w:r>
              <w:rPr>
                <w:rFonts w:ascii="Arial" w:cs="Arial" w:eastAsia="Arial" w:hAnsi="Arial"/>
                <w:sz w:val="18"/>
                <w:szCs w:val="18"/>
                <w:color w:val="auto"/>
              </w:rPr>
              <w:t>Depreciation and amortization of</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60"/>
              <w:spacing w:after="0"/>
              <w:rPr>
                <w:sz w:val="20"/>
                <w:szCs w:val="20"/>
                <w:color w:val="auto"/>
              </w:rPr>
            </w:pPr>
            <w:r>
              <w:rPr>
                <w:rFonts w:ascii="Arial" w:cs="Arial" w:eastAsia="Arial" w:hAnsi="Arial"/>
                <w:sz w:val="18"/>
                <w:szCs w:val="18"/>
                <w:color w:val="auto"/>
              </w:rPr>
              <w:t>unconsolidated entities</w:t>
            </w:r>
          </w:p>
        </w:tc>
        <w:tc>
          <w:tcPr>
            <w:tcW w:w="1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(Gains)/losses from derivative activities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net of inventory valuation adjustments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w w:val="91"/>
              </w:rPr>
              <w:t>Long-term inventory costing adjustments</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Deficiencies under minimum volume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commitments, net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w w:val="96"/>
              </w:rPr>
              <w:t>Equity-indexed compensation expense</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3"/>
              </w:rPr>
              <w:t>Net gain on foreign currency revaluation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rPr>
              <w:t>Line 901 incident</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4"/>
              </w:rPr>
              <w:t>Significant acquisition-related expenses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8"/>
                <w:szCs w:val="18"/>
                <w:color w:val="auto"/>
              </w:rPr>
              <w:t>Maintenance capital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85" w:lineRule="exact"/>
        <w:rPr>
          <w:sz w:val="20"/>
          <w:szCs w:val="20"/>
          <w:color w:val="auto"/>
        </w:rPr>
      </w:pPr>
    </w:p>
    <w:p>
      <w:pPr>
        <w:ind w:left="340" w:right="300" w:hanging="332"/>
        <w:spacing w:after="0" w:line="221" w:lineRule="auto"/>
        <w:tabs>
          <w:tab w:leader="none" w:pos="340" w:val="left"/>
        </w:tabs>
        <w:numPr>
          <w:ilvl w:val="0"/>
          <w:numId w:val="9"/>
        </w:numPr>
        <w:rPr>
          <w:rFonts w:ascii="Arial" w:cs="Arial" w:eastAsia="Arial" w:hAnsi="Arial"/>
          <w:sz w:val="27"/>
          <w:szCs w:val="27"/>
          <w:color w:val="auto"/>
          <w:vertAlign w:val="superscript"/>
        </w:rPr>
      </w:pPr>
      <w:r>
        <w:rPr>
          <w:rFonts w:ascii="Arial" w:cs="Arial" w:eastAsia="Arial" w:hAnsi="Arial"/>
          <w:sz w:val="16"/>
          <w:szCs w:val="16"/>
          <w:color w:val="auto"/>
        </w:rPr>
        <w:t>During the fourth quarter of 2016, we modified our primary segment performance measure to segment adjusted EBITDA from segment profit. Segment adjusted EBITDA forms the basis of our internal financial reporting and is the primary measure used by our Chief Operating Decision Maker (“CODM”) in assessing performance and allocating resources among our operating segments. Prior period segment amounts have been recast to reflect this change.</w:t>
      </w:r>
    </w:p>
    <w:p>
      <w:pPr>
        <w:ind w:left="340" w:hanging="332"/>
        <w:spacing w:after="0" w:line="184" w:lineRule="auto"/>
        <w:tabs>
          <w:tab w:leader="none" w:pos="340" w:val="left"/>
        </w:tabs>
        <w:numPr>
          <w:ilvl w:val="0"/>
          <w:numId w:val="9"/>
        </w:numPr>
        <w:rPr>
          <w:rFonts w:ascii="Arial" w:cs="Arial" w:eastAsia="Arial" w:hAnsi="Arial"/>
          <w:sz w:val="29"/>
          <w:szCs w:val="29"/>
          <w:color w:val="auto"/>
          <w:vertAlign w:val="superscript"/>
        </w:rPr>
      </w:pPr>
      <w:r>
        <w:rPr>
          <w:rFonts w:ascii="Arial" w:cs="Arial" w:eastAsia="Arial" w:hAnsi="Arial"/>
          <w:sz w:val="17"/>
          <w:szCs w:val="17"/>
          <w:color w:val="auto"/>
        </w:rPr>
        <w:t>Includes intersegment amounts.</w:t>
      </w:r>
    </w:p>
    <w:p>
      <w:pPr>
        <w:spacing w:after="0" w:line="51" w:lineRule="exact"/>
        <w:rPr>
          <w:rFonts w:ascii="Arial" w:cs="Arial" w:eastAsia="Arial" w:hAnsi="Arial"/>
          <w:sz w:val="29"/>
          <w:szCs w:val="29"/>
          <w:color w:val="auto"/>
          <w:vertAlign w:val="superscript"/>
        </w:rPr>
      </w:pPr>
    </w:p>
    <w:p>
      <w:pPr>
        <w:ind w:left="340" w:right="360" w:hanging="332"/>
        <w:spacing w:after="0" w:line="185" w:lineRule="auto"/>
        <w:tabs>
          <w:tab w:leader="none" w:pos="340" w:val="left"/>
        </w:tabs>
        <w:numPr>
          <w:ilvl w:val="0"/>
          <w:numId w:val="9"/>
        </w:numPr>
        <w:rPr>
          <w:rFonts w:ascii="Arial" w:cs="Arial" w:eastAsia="Arial" w:hAnsi="Arial"/>
          <w:sz w:val="29"/>
          <w:szCs w:val="29"/>
          <w:color w:val="auto"/>
          <w:vertAlign w:val="superscript"/>
        </w:rPr>
      </w:pPr>
      <w:r>
        <w:rPr>
          <w:rFonts w:ascii="Arial" w:cs="Arial" w:eastAsia="Arial" w:hAnsi="Arial"/>
          <w:sz w:val="17"/>
          <w:szCs w:val="17"/>
          <w:color w:val="auto"/>
        </w:rPr>
        <w:t>Field operating costs and Segment general and administrative expenses exclude equity-indexed compensation expense, which is presented separately in the table above.</w:t>
      </w:r>
    </w:p>
    <w:p>
      <w:pPr>
        <w:spacing w:after="0" w:line="37" w:lineRule="exact"/>
        <w:rPr>
          <w:rFonts w:ascii="Arial" w:cs="Arial" w:eastAsia="Arial" w:hAnsi="Arial"/>
          <w:sz w:val="29"/>
          <w:szCs w:val="29"/>
          <w:color w:val="auto"/>
          <w:vertAlign w:val="superscript"/>
        </w:rPr>
      </w:pPr>
    </w:p>
    <w:p>
      <w:pPr>
        <w:ind w:left="340" w:right="700" w:hanging="332"/>
        <w:spacing w:after="0" w:line="220"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7" w:lineRule="exact"/>
        <w:rPr>
          <w:rFonts w:ascii="Arial" w:cs="Arial" w:eastAsia="Arial" w:hAnsi="Arial"/>
          <w:sz w:val="25"/>
          <w:szCs w:val="25"/>
          <w:color w:val="auto"/>
          <w:vertAlign w:val="superscript"/>
        </w:rPr>
      </w:pPr>
    </w:p>
    <w:p>
      <w:pPr>
        <w:ind w:left="340" w:right="280" w:hanging="332"/>
        <w:spacing w:after="0" w:line="207" w:lineRule="auto"/>
        <w:tabs>
          <w:tab w:leader="none" w:pos="340" w:val="left"/>
        </w:tabs>
        <w:numPr>
          <w:ilvl w:val="0"/>
          <w:numId w:val="9"/>
        </w:numPr>
        <w:rPr>
          <w:rFonts w:ascii="Arial" w:cs="Arial" w:eastAsia="Arial" w:hAnsi="Arial"/>
          <w:sz w:val="29"/>
          <w:szCs w:val="29"/>
          <w:color w:val="auto"/>
          <w:vertAlign w:val="superscript"/>
        </w:rPr>
      </w:pPr>
      <w:r>
        <w:rPr>
          <w:rFonts w:ascii="Arial" w:cs="Arial" w:eastAsia="Arial" w:hAnsi="Arial"/>
          <w:sz w:val="17"/>
          <w:szCs w:val="17"/>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31" w:lineRule="exact"/>
        <w:rPr>
          <w:rFonts w:ascii="Arial" w:cs="Arial" w:eastAsia="Arial" w:hAnsi="Arial"/>
          <w:sz w:val="29"/>
          <w:szCs w:val="29"/>
          <w:color w:val="auto"/>
          <w:vertAlign w:val="superscript"/>
        </w:rPr>
      </w:pPr>
    </w:p>
    <w:p>
      <w:pPr>
        <w:ind w:left="5520" w:hanging="96"/>
        <w:spacing w:after="0"/>
        <w:tabs>
          <w:tab w:leader="none" w:pos="5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Page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Six Months Ended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Six Months Ended</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2017</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2016</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Transportation</w:t>
            </w:r>
          </w:p>
        </w:tc>
        <w:tc>
          <w:tcPr>
            <w:tcW w:w="180" w:type="dxa"/>
            <w:vAlign w:val="bottom"/>
          </w:tcPr>
          <w:p>
            <w:pPr>
              <w:spacing w:after="0"/>
              <w:rPr>
                <w:sz w:val="13"/>
                <w:szCs w:val="13"/>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Facilities</w:t>
            </w:r>
          </w:p>
        </w:tc>
        <w:tc>
          <w:tcPr>
            <w:tcW w:w="180" w:type="dxa"/>
            <w:vAlign w:val="bottom"/>
          </w:tcPr>
          <w:p>
            <w:pPr>
              <w:spacing w:after="0"/>
              <w:rPr>
                <w:sz w:val="13"/>
                <w:szCs w:val="13"/>
                <w:color w:val="auto"/>
              </w:rPr>
            </w:pPr>
          </w:p>
        </w:tc>
        <w:tc>
          <w:tcPr>
            <w:tcW w:w="1300" w:type="dxa"/>
            <w:vAlign w:val="bottom"/>
            <w:gridSpan w:val="3"/>
          </w:tcPr>
          <w:p>
            <w:pPr>
              <w:jc w:val="center"/>
              <w:ind w:right="440"/>
              <w:spacing w:after="0" w:line="153" w:lineRule="exact"/>
              <w:rPr>
                <w:sz w:val="20"/>
                <w:szCs w:val="20"/>
                <w:color w:val="auto"/>
              </w:rPr>
            </w:pPr>
            <w:r>
              <w:rPr>
                <w:rFonts w:ascii="Arial" w:cs="Arial" w:eastAsia="Arial" w:hAnsi="Arial"/>
                <w:sz w:val="14"/>
                <w:szCs w:val="14"/>
                <w:b w:val="1"/>
                <w:bCs w:val="1"/>
                <w:color w:val="auto"/>
                <w:w w:val="92"/>
              </w:rPr>
              <w:t>Supply and</w:t>
            </w:r>
          </w:p>
        </w:tc>
        <w:tc>
          <w:tcPr>
            <w:tcW w:w="14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Transportation</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Facilities</w:t>
            </w:r>
          </w:p>
        </w:tc>
        <w:tc>
          <w:tcPr>
            <w:tcW w:w="200" w:type="dxa"/>
            <w:vAlign w:val="bottom"/>
          </w:tcPr>
          <w:p>
            <w:pPr>
              <w:spacing w:after="0"/>
              <w:rPr>
                <w:sz w:val="13"/>
                <w:szCs w:val="13"/>
                <w:color w:val="auto"/>
              </w:rPr>
            </w:pPr>
          </w:p>
        </w:tc>
        <w:tc>
          <w:tcPr>
            <w:tcW w:w="1060" w:type="dxa"/>
            <w:vAlign w:val="bottom"/>
          </w:tcPr>
          <w:p>
            <w:pPr>
              <w:jc w:val="right"/>
              <w:ind w:right="192"/>
              <w:spacing w:after="0" w:line="153" w:lineRule="exact"/>
              <w:rPr>
                <w:sz w:val="20"/>
                <w:szCs w:val="20"/>
                <w:color w:val="auto"/>
              </w:rPr>
            </w:pPr>
            <w:r>
              <w:rPr>
                <w:rFonts w:ascii="Arial" w:cs="Arial" w:eastAsia="Arial" w:hAnsi="Arial"/>
                <w:sz w:val="14"/>
                <w:szCs w:val="14"/>
                <w:b w:val="1"/>
                <w:bCs w:val="1"/>
                <w:color w:val="auto"/>
              </w:rPr>
              <w:t>Supply and</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Logistics</w:t>
            </w: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272"/>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70"/>
        </w:trPr>
        <w:tc>
          <w:tcPr>
            <w:tcW w:w="32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5"/>
                <w:szCs w:val="25"/>
                <w:color w:val="auto"/>
                <w:vertAlign w:val="superscript"/>
              </w:rPr>
              <w:t>(2)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814</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582</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12,184</w:t>
            </w:r>
          </w:p>
        </w:tc>
        <w:tc>
          <w:tcPr>
            <w:tcW w:w="140" w:type="dxa"/>
            <w:vAlign w:val="bottom"/>
            <w:tcBorders>
              <w:top w:val="single" w:sz="8" w:color="CCEEFF"/>
              <w:right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787</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535</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8,473</w:t>
            </w:r>
          </w:p>
        </w:tc>
        <w:tc>
          <w:tcPr>
            <w:tcW w:w="0" w:type="dxa"/>
            <w:vAlign w:val="bottom"/>
          </w:tcPr>
          <w:p>
            <w:pPr>
              <w:spacing w:after="0"/>
              <w:rPr>
                <w:sz w:val="1"/>
                <w:szCs w:val="1"/>
                <w:color w:val="auto"/>
              </w:rPr>
            </w:pPr>
          </w:p>
        </w:tc>
      </w:tr>
      <w:tr>
        <w:trPr>
          <w:trHeight w:val="270"/>
        </w:trPr>
        <w:tc>
          <w:tcPr>
            <w:tcW w:w="32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(11,678)</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(8,243)</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 (3)</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8"/>
              </w:rPr>
              <w:t>Equity-indexed compensation expense -</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field operating costs</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general and administrative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(3) (4)</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8"/>
              </w:rPr>
              <w:t>Equity-indexed compensation expense -</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Equity earnings in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(5)</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00"/>
              <w:spacing w:after="0"/>
              <w:rPr>
                <w:sz w:val="20"/>
                <w:szCs w:val="20"/>
                <w:color w:val="auto"/>
              </w:rPr>
            </w:pPr>
            <w:r>
              <w:rPr>
                <w:rFonts w:ascii="Arial" w:cs="Arial" w:eastAsia="Arial" w:hAnsi="Arial"/>
                <w:sz w:val="18"/>
                <w:szCs w:val="18"/>
                <w:color w:val="auto"/>
              </w:rPr>
              <w:t>Depreciation and amortization of</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60"/>
              <w:spacing w:after="0"/>
              <w:rPr>
                <w:sz w:val="20"/>
                <w:szCs w:val="20"/>
                <w:color w:val="auto"/>
              </w:rPr>
            </w:pPr>
            <w:r>
              <w:rPr>
                <w:rFonts w:ascii="Arial" w:cs="Arial" w:eastAsia="Arial" w:hAnsi="Arial"/>
                <w:sz w:val="18"/>
                <w:szCs w:val="18"/>
                <w:color w:val="auto"/>
              </w:rPr>
              <w:t>unconsolidated entities</w:t>
            </w:r>
          </w:p>
        </w:tc>
        <w:tc>
          <w:tcPr>
            <w:tcW w:w="1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(Gains)/losses from derivative activities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net of inventory valuation adjustments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w w:val="91"/>
              </w:rPr>
              <w:t>Long-term inventory costing adjustments</w:t>
            </w:r>
          </w:p>
        </w:tc>
        <w:tc>
          <w:tcPr>
            <w:tcW w:w="1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Deficiencies under minimum volume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commitments, net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w w:val="96"/>
              </w:rPr>
              <w:t>Equity-indexed compensation expense</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(gain)/loss on foreign currency</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revaluation</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rPr>
              <w:t>Line 901 incident</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4"/>
              </w:rPr>
              <w:t>Significant acquisition-related expenses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6" w:lineRule="exact"/>
        <w:rPr>
          <w:sz w:val="20"/>
          <w:szCs w:val="20"/>
          <w:color w:val="auto"/>
        </w:rPr>
      </w:pPr>
    </w:p>
    <w:p>
      <w:pPr>
        <w:ind w:left="340" w:right="100" w:hanging="332"/>
        <w:spacing w:after="0" w:line="211" w:lineRule="auto"/>
        <w:tabs>
          <w:tab w:leader="none" w:pos="340" w:val="left"/>
        </w:tabs>
        <w:numPr>
          <w:ilvl w:val="0"/>
          <w:numId w:val="10"/>
        </w:numPr>
        <w:rPr>
          <w:rFonts w:ascii="Arial" w:cs="Arial" w:eastAsia="Arial" w:hAnsi="Arial"/>
          <w:sz w:val="28"/>
          <w:szCs w:val="28"/>
          <w:color w:val="auto"/>
          <w:vertAlign w:val="superscript"/>
        </w:rPr>
      </w:pPr>
      <w:r>
        <w:rPr>
          <w:rFonts w:ascii="Arial" w:cs="Arial" w:eastAsia="Arial" w:hAnsi="Arial"/>
          <w:sz w:val="17"/>
          <w:szCs w:val="17"/>
          <w:color w:val="auto"/>
        </w:rPr>
        <w:t>During the fourth quarter of 2016, we modified our primary segment performance measure to segment adjusted EBITDA from segment profit. Segment adjusted EBITDA forms the basis of our internal financial reporting and is the primary measure used by our CODM in assessing performance and allocating resources among our operating segments. Prior period segment amounts have been recast to reflect this change.</w:t>
      </w:r>
    </w:p>
    <w:p>
      <w:pPr>
        <w:ind w:left="340" w:hanging="332"/>
        <w:spacing w:after="0" w:line="184" w:lineRule="auto"/>
        <w:tabs>
          <w:tab w:leader="none" w:pos="34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Includes intersegment amounts.</w:t>
      </w:r>
    </w:p>
    <w:p>
      <w:pPr>
        <w:spacing w:after="0" w:line="49" w:lineRule="exact"/>
        <w:rPr>
          <w:rFonts w:ascii="Arial" w:cs="Arial" w:eastAsia="Arial" w:hAnsi="Arial"/>
          <w:sz w:val="29"/>
          <w:szCs w:val="29"/>
          <w:color w:val="auto"/>
          <w:vertAlign w:val="superscript"/>
        </w:rPr>
      </w:pPr>
    </w:p>
    <w:p>
      <w:pPr>
        <w:ind w:left="340" w:right="180" w:hanging="332"/>
        <w:spacing w:after="0" w:line="182" w:lineRule="auto"/>
        <w:tabs>
          <w:tab w:leader="none" w:pos="34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35" w:lineRule="exact"/>
        <w:rPr>
          <w:rFonts w:ascii="Arial" w:cs="Arial" w:eastAsia="Arial" w:hAnsi="Arial"/>
          <w:sz w:val="29"/>
          <w:szCs w:val="29"/>
          <w:color w:val="auto"/>
          <w:vertAlign w:val="superscript"/>
        </w:rPr>
      </w:pPr>
    </w:p>
    <w:p>
      <w:pPr>
        <w:ind w:left="340" w:right="520" w:hanging="332"/>
        <w:spacing w:after="0" w:line="211" w:lineRule="auto"/>
        <w:tabs>
          <w:tab w:leader="none" w:pos="340"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4" w:lineRule="exact"/>
        <w:rPr>
          <w:rFonts w:ascii="Arial" w:cs="Arial" w:eastAsia="Arial" w:hAnsi="Arial"/>
          <w:sz w:val="26"/>
          <w:szCs w:val="26"/>
          <w:color w:val="auto"/>
          <w:vertAlign w:val="superscript"/>
        </w:rPr>
      </w:pPr>
    </w:p>
    <w:p>
      <w:pPr>
        <w:ind w:left="340" w:right="120" w:hanging="332"/>
        <w:spacing w:after="0" w:line="201" w:lineRule="auto"/>
        <w:tabs>
          <w:tab w:leader="none" w:pos="34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18" w:lineRule="exact"/>
        <w:rPr>
          <w:rFonts w:ascii="Arial" w:cs="Arial" w:eastAsia="Arial" w:hAnsi="Arial"/>
          <w:sz w:val="29"/>
          <w:szCs w:val="29"/>
          <w:color w:val="auto"/>
          <w:vertAlign w:val="superscript"/>
        </w:rPr>
      </w:pPr>
    </w:p>
    <w:p>
      <w:pPr>
        <w:ind w:left="5520" w:hanging="96"/>
        <w:spacing w:after="0"/>
        <w:tabs>
          <w:tab w:leader="none" w:pos="5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Page 13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04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4"/>
          </w:tcPr>
          <w:p>
            <w:pPr>
              <w:jc w:val="right"/>
              <w:ind w:right="451"/>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6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gridSpan w:val="3"/>
          </w:tcPr>
          <w:p>
            <w:pPr>
              <w:jc w:val="right"/>
              <w:ind w:right="452"/>
              <w:spacing w:after="0"/>
              <w:rPr>
                <w:sz w:val="20"/>
                <w:szCs w:val="20"/>
                <w:color w:val="auto"/>
              </w:rPr>
            </w:pPr>
            <w:r>
              <w:rPr>
                <w:rFonts w:ascii="Arial" w:cs="Arial" w:eastAsia="Arial" w:hAnsi="Arial"/>
                <w:sz w:val="16"/>
                <w:szCs w:val="16"/>
                <w:b w:val="1"/>
                <w:bCs w:val="1"/>
                <w:color w:val="auto"/>
              </w:rPr>
              <w:t>June 30,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r>
      <w:tr>
        <w:trPr>
          <w:trHeight w:val="33"/>
        </w:trPr>
        <w:tc>
          <w:tcPr>
            <w:tcW w:w="65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5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Selected Items Impacting Comparability: </w:t>
            </w:r>
            <w:r>
              <w:rPr>
                <w:rFonts w:ascii="Arial" w:cs="Arial" w:eastAsia="Arial" w:hAnsi="Arial"/>
                <w:sz w:val="25"/>
                <w:szCs w:val="25"/>
                <w:b w:val="1"/>
                <w:bCs w:val="1"/>
                <w:color w:val="auto"/>
                <w:vertAlign w:val="superscript"/>
              </w:rPr>
              <w:t>(1)</w:t>
            </w:r>
          </w:p>
        </w:tc>
        <w:tc>
          <w:tcPr>
            <w:tcW w:w="7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Gains/(losses) from derivative activities net of inventory valuation adjustments </w:t>
            </w:r>
            <w:r>
              <w:rPr>
                <w:rFonts w:ascii="Arial" w:cs="Arial" w:eastAsia="Arial" w:hAnsi="Arial"/>
                <w:sz w:val="25"/>
                <w:szCs w:val="25"/>
                <w:color w:val="auto"/>
                <w:vertAlign w:val="superscript"/>
              </w:rPr>
              <w:t>(2)</w:t>
            </w:r>
          </w:p>
        </w:tc>
        <w:tc>
          <w:tcPr>
            <w:tcW w:w="780" w:type="dxa"/>
            <w:vAlign w:val="bottom"/>
          </w:tcPr>
          <w:p>
            <w:pPr>
              <w:jc w:val="right"/>
              <w:ind w:right="574"/>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760" w:type="dxa"/>
            <w:vAlign w:val="bottom"/>
          </w:tcPr>
          <w:p>
            <w:pPr>
              <w:jc w:val="right"/>
              <w:ind w:right="552"/>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3"/>
              </w:rPr>
              <w:t>(93)</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(3)</w:t>
            </w:r>
          </w:p>
        </w:tc>
        <w:tc>
          <w:tcPr>
            <w:tcW w:w="78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5"/>
                <w:szCs w:val="25"/>
                <w:color w:val="auto"/>
                <w:vertAlign w:val="superscript"/>
              </w:rPr>
              <w:t>(4)</w:t>
            </w:r>
          </w:p>
        </w:tc>
        <w:tc>
          <w:tcPr>
            <w:tcW w:w="780" w:type="dxa"/>
            <w:vAlign w:val="bottom"/>
          </w:tcPr>
          <w:p>
            <w:pPr>
              <w:spacing w:after="0"/>
              <w:rPr>
                <w:sz w:val="23"/>
                <w:szCs w:val="23"/>
                <w:color w:val="auto"/>
              </w:rPr>
            </w:pPr>
          </w:p>
        </w:tc>
        <w:tc>
          <w:tcPr>
            <w:tcW w:w="40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(5)</w:t>
            </w:r>
          </w:p>
        </w:tc>
        <w:tc>
          <w:tcPr>
            <w:tcW w:w="78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5"/>
                <w:szCs w:val="25"/>
                <w:color w:val="auto"/>
                <w:vertAlign w:val="superscript"/>
              </w:rPr>
              <w:t>(6)</w:t>
            </w:r>
          </w:p>
        </w:tc>
        <w:tc>
          <w:tcPr>
            <w:tcW w:w="780" w:type="dxa"/>
            <w:vAlign w:val="bottom"/>
          </w:tcPr>
          <w:p>
            <w:pPr>
              <w:spacing w:after="0"/>
              <w:rPr>
                <w:sz w:val="23"/>
                <w:szCs w:val="23"/>
                <w:color w:val="auto"/>
              </w:rPr>
            </w:pPr>
          </w:p>
        </w:tc>
        <w:tc>
          <w:tcPr>
            <w:tcW w:w="40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5"/>
                <w:szCs w:val="25"/>
                <w:color w:val="auto"/>
                <w:vertAlign w:val="superscript"/>
              </w:rPr>
              <w:t>(7)</w:t>
            </w:r>
          </w:p>
        </w:tc>
        <w:tc>
          <w:tcPr>
            <w:tcW w:w="78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5"/>
                <w:szCs w:val="25"/>
                <w:color w:val="auto"/>
                <w:vertAlign w:val="superscript"/>
              </w:rPr>
              <w:t>(8)</w:t>
            </w:r>
          </w:p>
        </w:tc>
        <w:tc>
          <w:tcPr>
            <w:tcW w:w="7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44"/>
        </w:trPr>
        <w:tc>
          <w:tcPr>
            <w:tcW w:w="65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Selected items impacting comparability - Adjusted EBITDA</w:t>
            </w:r>
          </w:p>
        </w:tc>
        <w:tc>
          <w:tcPr>
            <w:tcW w:w="780" w:type="dxa"/>
            <w:vAlign w:val="bottom"/>
            <w:tcBorders>
              <w:top w:val="single" w:sz="8" w:color="auto"/>
              <w:bottom w:val="single" w:sz="8" w:color="CCEEFF"/>
            </w:tcBorders>
            <w:shd w:val="clear" w:color="auto" w:fill="CCEEFF"/>
          </w:tcPr>
          <w:p>
            <w:pPr>
              <w:jc w:val="right"/>
              <w:ind w:right="574"/>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ind w:right="552"/>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Losses from derivative activities </w:t>
            </w:r>
            <w:r>
              <w:rPr>
                <w:rFonts w:ascii="Arial" w:cs="Arial" w:eastAsia="Arial" w:hAnsi="Arial"/>
                <w:sz w:val="25"/>
                <w:szCs w:val="25"/>
                <w:color w:val="auto"/>
                <w:vertAlign w:val="superscript"/>
              </w:rPr>
              <w:t>(2)</w:t>
            </w:r>
          </w:p>
        </w:tc>
        <w:tc>
          <w:tcPr>
            <w:tcW w:w="7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effect on selected items impacting comparability</w:t>
            </w:r>
          </w:p>
        </w:tc>
        <w:tc>
          <w:tcPr>
            <w:tcW w:w="7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r>
      <w:tr>
        <w:trPr>
          <w:trHeight w:val="257"/>
        </w:trPr>
        <w:tc>
          <w:tcPr>
            <w:tcW w:w="6520" w:type="dxa"/>
            <w:vAlign w:val="bottom"/>
          </w:tcPr>
          <w:p>
            <w:pPr>
              <w:ind w:left="200"/>
              <w:spacing w:after="0"/>
              <w:rPr>
                <w:sz w:val="20"/>
                <w:szCs w:val="20"/>
                <w:color w:val="auto"/>
              </w:rPr>
            </w:pPr>
            <w:r>
              <w:rPr>
                <w:rFonts w:ascii="Arial" w:cs="Arial" w:eastAsia="Arial" w:hAnsi="Arial"/>
                <w:sz w:val="18"/>
                <w:szCs w:val="18"/>
                <w:color w:val="auto"/>
                <w:w w:val="97"/>
              </w:rPr>
              <w:t>Selected items impacting comparability - Adjusted net income attributable to PAA</w:t>
            </w:r>
          </w:p>
        </w:tc>
        <w:tc>
          <w:tcPr>
            <w:tcW w:w="78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0"/>
        </w:trPr>
        <w:tc>
          <w:tcPr>
            <w:tcW w:w="65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Certain of our non-GAAP financial measures may not be impacted by each of the selected items impacting comparability.</w:t>
      </w:r>
    </w:p>
    <w:p>
      <w:pPr>
        <w:spacing w:after="0" w:line="54" w:lineRule="exact"/>
        <w:rPr>
          <w:rFonts w:ascii="Arial" w:cs="Arial" w:eastAsia="Arial" w:hAnsi="Arial"/>
          <w:sz w:val="24"/>
          <w:szCs w:val="24"/>
          <w:color w:val="auto"/>
          <w:vertAlign w:val="superscript"/>
        </w:rPr>
      </w:pPr>
    </w:p>
    <w:p>
      <w:pPr>
        <w:ind w:left="340" w:right="20" w:hanging="332"/>
        <w:spacing w:after="0" w:line="236" w:lineRule="auto"/>
        <w:tabs>
          <w:tab w:leader="none" w:pos="340" w:val="left"/>
        </w:tabs>
        <w:numPr>
          <w:ilvl w:val="0"/>
          <w:numId w:val="11"/>
        </w:numPr>
        <w:rPr>
          <w:rFonts w:ascii="Arial" w:cs="Arial" w:eastAsia="Arial" w:hAnsi="Arial"/>
          <w:sz w:val="23"/>
          <w:szCs w:val="23"/>
          <w:color w:val="auto"/>
          <w:vertAlign w:val="superscript"/>
        </w:rPr>
      </w:pPr>
      <w:r>
        <w:rPr>
          <w:rFonts w:ascii="Arial" w:cs="Arial" w:eastAsia="Arial" w:hAnsi="Arial"/>
          <w:sz w:val="14"/>
          <w:szCs w:val="14"/>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43" w:lineRule="exact"/>
        <w:rPr>
          <w:rFonts w:ascii="Arial" w:cs="Arial" w:eastAsia="Arial" w:hAnsi="Arial"/>
          <w:sz w:val="23"/>
          <w:szCs w:val="23"/>
          <w:color w:val="auto"/>
          <w:vertAlign w:val="superscript"/>
        </w:rPr>
      </w:pPr>
    </w:p>
    <w:p>
      <w:pPr>
        <w:ind w:left="340" w:right="180" w:hanging="332"/>
        <w:spacing w:after="0" w:line="250" w:lineRule="auto"/>
        <w:tabs>
          <w:tab w:leader="none" w:pos="340" w:val="left"/>
        </w:tabs>
        <w:numPr>
          <w:ilvl w:val="0"/>
          <w:numId w:val="11"/>
        </w:numPr>
        <w:rPr>
          <w:rFonts w:ascii="Arial" w:cs="Arial" w:eastAsia="Arial" w:hAnsi="Arial"/>
          <w:sz w:val="21"/>
          <w:szCs w:val="21"/>
          <w:color w:val="auto"/>
          <w:vertAlign w:val="superscript"/>
        </w:rPr>
      </w:pPr>
      <w:r>
        <w:rPr>
          <w:rFonts w:ascii="Arial" w:cs="Arial" w:eastAsia="Arial" w:hAnsi="Arial"/>
          <w:sz w:val="13"/>
          <w:szCs w:val="13"/>
          <w:color w:val="auto"/>
        </w:rPr>
        <w:t>We carry crude oil and NGL inventory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37" w:lineRule="exact"/>
        <w:rPr>
          <w:rFonts w:ascii="Arial" w:cs="Arial" w:eastAsia="Arial" w:hAnsi="Arial"/>
          <w:sz w:val="21"/>
          <w:szCs w:val="21"/>
          <w:color w:val="auto"/>
          <w:vertAlign w:val="superscript"/>
        </w:rPr>
      </w:pPr>
    </w:p>
    <w:p>
      <w:pPr>
        <w:ind w:left="340" w:right="40" w:hanging="332"/>
        <w:spacing w:after="0" w:line="266" w:lineRule="auto"/>
        <w:tabs>
          <w:tab w:leader="none" w:pos="340" w:val="left"/>
        </w:tabs>
        <w:numPr>
          <w:ilvl w:val="0"/>
          <w:numId w:val="11"/>
        </w:numPr>
        <w:rPr>
          <w:rFonts w:ascii="Arial" w:cs="Arial" w:eastAsia="Arial" w:hAnsi="Arial"/>
          <w:sz w:val="21"/>
          <w:szCs w:val="21"/>
          <w:color w:val="auto"/>
          <w:vertAlign w:val="superscript"/>
        </w:rPr>
      </w:pPr>
      <w:r>
        <w:rPr>
          <w:rFonts w:ascii="Arial" w:cs="Arial" w:eastAsia="Arial" w:hAnsi="Arial"/>
          <w:sz w:val="13"/>
          <w:szCs w:val="13"/>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31" w:lineRule="exact"/>
        <w:rPr>
          <w:rFonts w:ascii="Arial" w:cs="Arial" w:eastAsia="Arial" w:hAnsi="Arial"/>
          <w:sz w:val="21"/>
          <w:szCs w:val="21"/>
          <w:color w:val="auto"/>
          <w:vertAlign w:val="superscript"/>
        </w:rPr>
      </w:pPr>
    </w:p>
    <w:p>
      <w:pPr>
        <w:ind w:left="340" w:right="60" w:hanging="332"/>
        <w:spacing w:after="0" w:line="220" w:lineRule="auto"/>
        <w:tabs>
          <w:tab w:leader="none" w:pos="34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46" w:lineRule="exact"/>
        <w:rPr>
          <w:rFonts w:ascii="Arial" w:cs="Arial" w:eastAsia="Arial" w:hAnsi="Arial"/>
          <w:sz w:val="24"/>
          <w:szCs w:val="24"/>
          <w:color w:val="auto"/>
          <w:vertAlign w:val="superscript"/>
        </w:rPr>
      </w:pPr>
    </w:p>
    <w:p>
      <w:pPr>
        <w:ind w:left="340" w:right="20" w:hanging="332"/>
        <w:spacing w:after="0" w:line="193" w:lineRule="auto"/>
        <w:tabs>
          <w:tab w:leader="none" w:pos="34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spacing w:after="0" w:line="1" w:lineRule="exact"/>
        <w:rPr>
          <w:rFonts w:ascii="Arial" w:cs="Arial" w:eastAsia="Arial" w:hAnsi="Arial"/>
          <w:sz w:val="24"/>
          <w:szCs w:val="24"/>
          <w:color w:val="auto"/>
          <w:vertAlign w:val="superscript"/>
        </w:rPr>
      </w:pPr>
    </w:p>
    <w:p>
      <w:pPr>
        <w:ind w:left="340" w:hanging="332"/>
        <w:spacing w:after="0" w:line="208" w:lineRule="auto"/>
        <w:tabs>
          <w:tab w:leader="none" w:pos="340" w:val="left"/>
        </w:tabs>
        <w:numPr>
          <w:ilvl w:val="0"/>
          <w:numId w:val="11"/>
        </w:numPr>
        <w:rPr>
          <w:rFonts w:ascii="Arial" w:cs="Arial" w:eastAsia="Arial" w:hAnsi="Arial"/>
          <w:sz w:val="23"/>
          <w:szCs w:val="23"/>
          <w:color w:val="auto"/>
          <w:vertAlign w:val="superscript"/>
        </w:rPr>
      </w:pPr>
      <w:r>
        <w:rPr>
          <w:rFonts w:ascii="Arial" w:cs="Arial" w:eastAsia="Arial" w:hAnsi="Arial"/>
          <w:sz w:val="14"/>
          <w:szCs w:val="14"/>
          <w:color w:val="auto"/>
        </w:rPr>
        <w:t>Includes costs recognized during the period related to the Line 901 incident that occurred in May 2015, net of amounts we believe are probable of recovery from insurance.</w:t>
      </w:r>
    </w:p>
    <w:p>
      <w:pPr>
        <w:spacing w:after="0" w:line="55" w:lineRule="exact"/>
        <w:rPr>
          <w:rFonts w:ascii="Arial" w:cs="Arial" w:eastAsia="Arial" w:hAnsi="Arial"/>
          <w:sz w:val="23"/>
          <w:szCs w:val="23"/>
          <w:color w:val="auto"/>
          <w:vertAlign w:val="superscript"/>
        </w:rPr>
      </w:pPr>
    </w:p>
    <w:p>
      <w:pPr>
        <w:ind w:left="340" w:hanging="332"/>
        <w:spacing w:after="0" w:line="182" w:lineRule="auto"/>
        <w:tabs>
          <w:tab w:leader="none" w:pos="340" w:val="left"/>
        </w:tabs>
        <w:numPr>
          <w:ilvl w:val="0"/>
          <w:numId w:val="11"/>
        </w:numPr>
        <w:rPr>
          <w:rFonts w:ascii="Arial" w:cs="Arial" w:eastAsia="Arial" w:hAnsi="Arial"/>
          <w:sz w:val="20"/>
          <w:szCs w:val="20"/>
          <w:color w:val="auto"/>
          <w:vertAlign w:val="superscript"/>
        </w:rPr>
      </w:pPr>
      <w:r>
        <w:rPr>
          <w:rFonts w:ascii="Arial" w:cs="Arial" w:eastAsia="Arial" w:hAnsi="Arial"/>
          <w:sz w:val="13"/>
          <w:szCs w:val="13"/>
          <w:color w:val="auto"/>
        </w:rPr>
        <w:t>Includes acquisition-related expenses associated with the Alpha Crude Connector acquisition.</w:t>
      </w:r>
    </w:p>
    <w:p>
      <w:pPr>
        <w:spacing w:after="0" w:line="225" w:lineRule="exact"/>
        <w:rPr>
          <w:rFonts w:ascii="Arial" w:cs="Arial" w:eastAsia="Arial" w:hAnsi="Arial"/>
          <w:sz w:val="20"/>
          <w:szCs w:val="20"/>
          <w:color w:val="auto"/>
          <w:vertAlign w:val="superscript"/>
        </w:rPr>
      </w:pPr>
    </w:p>
    <w:p>
      <w:pPr>
        <w:ind w:left="5520" w:hanging="96"/>
        <w:spacing w:after="0"/>
        <w:tabs>
          <w:tab w:leader="none" w:pos="5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Page 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7"/>
                <w:szCs w:val="17"/>
                <w:color w:val="auto"/>
              </w:rPr>
            </w:pPr>
          </w:p>
        </w:tc>
        <w:tc>
          <w:tcPr>
            <w:tcW w:w="2120" w:type="dxa"/>
            <w:vAlign w:val="bottom"/>
            <w:gridSpan w:val="4"/>
          </w:tcPr>
          <w:p>
            <w:pPr>
              <w:jc w:val="right"/>
              <w:ind w:right="451"/>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to Adjusted EBITDA and Implied DCF Reconciliation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304</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Income tax (benefit)/expense</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w:t>
            </w:r>
          </w:p>
        </w:tc>
      </w:tr>
      <w:tr>
        <w:trPr>
          <w:trHeight w:val="270"/>
        </w:trPr>
        <w:tc>
          <w:tcPr>
            <w:tcW w:w="65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25</w:t>
            </w:r>
          </w:p>
        </w:tc>
      </w:tr>
      <w:tr>
        <w:trPr>
          <w:trHeight w:val="270"/>
        </w:trPr>
        <w:tc>
          <w:tcPr>
            <w:tcW w:w="65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5"/>
                <w:szCs w:val="25"/>
                <w:color w:val="auto"/>
                <w:vertAlign w:val="superscript"/>
              </w:rPr>
              <w:t>(2)</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219</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1,107</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(3)</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Maintenance capital</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income tax expense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65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Adjusted equity earnings in unconsolidated entities, net of distributions </w:t>
            </w:r>
            <w:r>
              <w:rPr>
                <w:rFonts w:ascii="Arial" w:cs="Arial" w:eastAsia="Arial" w:hAnsi="Arial"/>
                <w:sz w:val="25"/>
                <w:szCs w:val="25"/>
                <w:color w:val="auto"/>
                <w:vertAlign w:val="superscript"/>
              </w:rPr>
              <w:t>(4)</w:t>
            </w:r>
          </w:p>
        </w:tc>
        <w:tc>
          <w:tcPr>
            <w:tcW w:w="26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65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5"/>
                <w:szCs w:val="25"/>
                <w:color w:val="auto"/>
                <w:vertAlign w:val="superscript"/>
              </w:rPr>
              <w:t>(5)</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64"/>
        </w:trPr>
        <w:tc>
          <w:tcPr>
            <w:tcW w:w="652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Implied DCF </w:t>
            </w:r>
            <w:r>
              <w:rPr>
                <w:rFonts w:ascii="Arial" w:cs="Arial" w:eastAsia="Arial" w:hAnsi="Arial"/>
                <w:sz w:val="25"/>
                <w:szCs w:val="25"/>
                <w:color w:val="auto"/>
                <w:vertAlign w:val="superscript"/>
              </w:rPr>
              <w:t>(6)</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754</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Adjustment to add back our proportionate share of depreciation and amortization expense and gains or losses on significant asset sales of unconsolidated entities.</w:t>
      </w:r>
    </w:p>
    <w:p>
      <w:pPr>
        <w:spacing w:after="0" w:line="54" w:lineRule="exact"/>
        <w:rPr>
          <w:rFonts w:ascii="Arial" w:cs="Arial" w:eastAsia="Arial" w:hAnsi="Arial"/>
          <w:sz w:val="24"/>
          <w:szCs w:val="24"/>
          <w:color w:val="auto"/>
          <w:vertAlign w:val="superscript"/>
        </w:rPr>
      </w:pPr>
    </w:p>
    <w:p>
      <w:pPr>
        <w:ind w:left="340" w:hanging="332"/>
        <w:spacing w:after="0" w:line="183" w:lineRule="auto"/>
        <w:tabs>
          <w:tab w:leader="none" w:pos="340" w:val="left"/>
        </w:tabs>
        <w:numPr>
          <w:ilvl w:val="0"/>
          <w:numId w:val="12"/>
        </w:numPr>
        <w:rPr>
          <w:rFonts w:ascii="Arial" w:cs="Arial" w:eastAsia="Arial" w:hAnsi="Arial"/>
          <w:sz w:val="23"/>
          <w:szCs w:val="23"/>
          <w:color w:val="auto"/>
          <w:vertAlign w:val="superscript"/>
        </w:rPr>
      </w:pPr>
      <w:r>
        <w:rPr>
          <w:rFonts w:ascii="Arial" w:cs="Arial" w:eastAsia="Arial" w:hAnsi="Arial"/>
          <w:sz w:val="15"/>
          <w:szCs w:val="15"/>
          <w:color w:val="auto"/>
        </w:rPr>
        <w:t>Certain of our non-GAAP financial measures may not be impacted by each of the selected items impacting comparability.</w:t>
      </w:r>
    </w:p>
    <w:p>
      <w:pPr>
        <w:spacing w:after="0" w:line="54" w:lineRule="exact"/>
        <w:rPr>
          <w:rFonts w:ascii="Arial" w:cs="Arial" w:eastAsia="Arial" w:hAnsi="Arial"/>
          <w:sz w:val="23"/>
          <w:szCs w:val="23"/>
          <w:color w:val="auto"/>
          <w:vertAlign w:val="superscript"/>
        </w:rPr>
      </w:pPr>
    </w:p>
    <w:p>
      <w:pPr>
        <w:ind w:left="340" w:hanging="332"/>
        <w:spacing w:after="0" w:line="183" w:lineRule="auto"/>
        <w:tabs>
          <w:tab w:leader="none" w:pos="340" w:val="left"/>
        </w:tabs>
        <w:numPr>
          <w:ilvl w:val="0"/>
          <w:numId w:val="12"/>
        </w:numPr>
        <w:rPr>
          <w:rFonts w:ascii="Arial" w:cs="Arial" w:eastAsia="Arial" w:hAnsi="Arial"/>
          <w:sz w:val="23"/>
          <w:szCs w:val="23"/>
          <w:color w:val="auto"/>
          <w:vertAlign w:val="superscript"/>
        </w:rPr>
      </w:pPr>
      <w:r>
        <w:rPr>
          <w:rFonts w:ascii="Arial" w:cs="Arial" w:eastAsia="Arial" w:hAnsi="Arial"/>
          <w:sz w:val="15"/>
          <w:szCs w:val="15"/>
          <w:color w:val="auto"/>
        </w:rPr>
        <w:t>Excludes certain non-cash items impacting interest expense such as amortization of debt issuance costs and terminated interest rate swaps.</w:t>
      </w:r>
    </w:p>
    <w:p>
      <w:pPr>
        <w:spacing w:after="0" w:line="54" w:lineRule="exact"/>
        <w:rPr>
          <w:rFonts w:ascii="Arial" w:cs="Arial" w:eastAsia="Arial" w:hAnsi="Arial"/>
          <w:sz w:val="23"/>
          <w:szCs w:val="23"/>
          <w:color w:val="auto"/>
          <w:vertAlign w:val="superscript"/>
        </w:rPr>
      </w:pPr>
    </w:p>
    <w:p>
      <w:pPr>
        <w:ind w:left="340" w:right="100" w:hanging="332"/>
        <w:spacing w:after="0" w:line="187" w:lineRule="auto"/>
        <w:tabs>
          <w:tab w:leader="none" w:pos="340" w:val="left"/>
        </w:tabs>
        <w:numPr>
          <w:ilvl w:val="0"/>
          <w:numId w:val="12"/>
        </w:numPr>
        <w:rPr>
          <w:rFonts w:ascii="Arial" w:cs="Arial" w:eastAsia="Arial" w:hAnsi="Arial"/>
          <w:sz w:val="28"/>
          <w:szCs w:val="28"/>
          <w:color w:val="auto"/>
          <w:vertAlign w:val="superscript"/>
        </w:rPr>
      </w:pPr>
      <w:r>
        <w:rPr>
          <w:rFonts w:ascii="Arial" w:cs="Arial" w:eastAsia="Arial" w:hAnsi="Arial"/>
          <w:sz w:val="17"/>
          <w:szCs w:val="17"/>
          <w:color w:val="auto"/>
        </w:rPr>
        <w:t>Represents the difference between non-cash equity earnings in unconsolidated entities (adjusted for our proportionate share of depreciation and amortization and gains or losses on significant asset sales) and cash distributions received from such entities.</w:t>
      </w:r>
    </w:p>
    <w:p>
      <w:pPr>
        <w:spacing w:after="0" w:line="1" w:lineRule="exact"/>
        <w:rPr>
          <w:rFonts w:ascii="Arial" w:cs="Arial" w:eastAsia="Arial" w:hAnsi="Arial"/>
          <w:sz w:val="28"/>
          <w:szCs w:val="28"/>
          <w:color w:val="auto"/>
          <w:vertAlign w:val="superscript"/>
        </w:rPr>
      </w:pPr>
    </w:p>
    <w:p>
      <w:pPr>
        <w:ind w:left="340" w:hanging="332"/>
        <w:spacing w:after="0" w:line="191" w:lineRule="auto"/>
        <w:tabs>
          <w:tab w:leader="none" w:pos="340" w:val="left"/>
        </w:tabs>
        <w:numPr>
          <w:ilvl w:val="0"/>
          <w:numId w:val="12"/>
        </w:numPr>
        <w:rPr>
          <w:rFonts w:ascii="Arial" w:cs="Arial" w:eastAsia="Arial" w:hAnsi="Arial"/>
          <w:sz w:val="28"/>
          <w:szCs w:val="28"/>
          <w:color w:val="auto"/>
          <w:vertAlign w:val="superscript"/>
        </w:rPr>
      </w:pPr>
      <w:r>
        <w:rPr>
          <w:rFonts w:ascii="Arial" w:cs="Arial" w:eastAsia="Arial" w:hAnsi="Arial"/>
          <w:sz w:val="17"/>
          <w:szCs w:val="17"/>
          <w:color w:val="auto"/>
        </w:rPr>
        <w:t>Includes cash distributions that pertain to the current period’s net income, which are paid in the subsequent period.</w:t>
      </w:r>
    </w:p>
    <w:p>
      <w:pPr>
        <w:spacing w:after="0" w:line="54" w:lineRule="exact"/>
        <w:rPr>
          <w:rFonts w:ascii="Arial" w:cs="Arial" w:eastAsia="Arial" w:hAnsi="Arial"/>
          <w:sz w:val="28"/>
          <w:szCs w:val="28"/>
          <w:color w:val="auto"/>
          <w:vertAlign w:val="superscript"/>
        </w:rPr>
      </w:pPr>
    </w:p>
    <w:p>
      <w:pPr>
        <w:ind w:left="340" w:right="280" w:hanging="332"/>
        <w:spacing w:after="0" w:line="187" w:lineRule="auto"/>
        <w:tabs>
          <w:tab w:leader="none" w:pos="340" w:val="left"/>
        </w:tabs>
        <w:numPr>
          <w:ilvl w:val="0"/>
          <w:numId w:val="12"/>
        </w:numPr>
        <w:rPr>
          <w:rFonts w:ascii="Arial" w:cs="Arial" w:eastAsia="Arial" w:hAnsi="Arial"/>
          <w:sz w:val="28"/>
          <w:szCs w:val="28"/>
          <w:color w:val="auto"/>
          <w:vertAlign w:val="superscript"/>
        </w:rPr>
      </w:pPr>
      <w:r>
        <w:rPr>
          <w:rFonts w:ascii="Arial" w:cs="Arial" w:eastAsia="Arial" w:hAnsi="Arial"/>
          <w:sz w:val="17"/>
          <w:szCs w:val="17"/>
          <w:color w:val="auto"/>
        </w:rPr>
        <w:t>Including net costs recognized during the periods related to the Line 901 incident that occurred in May 2015, Implied DCF would have been $277 million and $580 million for the three and six months ended June 30, 2017, respectively.</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7"/>
                <w:szCs w:val="17"/>
                <w:color w:val="auto"/>
              </w:rPr>
            </w:pPr>
          </w:p>
        </w:tc>
        <w:tc>
          <w:tcPr>
            <w:tcW w:w="2120" w:type="dxa"/>
            <w:vAlign w:val="bottom"/>
            <w:gridSpan w:val="4"/>
          </w:tcPr>
          <w:p>
            <w:pPr>
              <w:jc w:val="right"/>
              <w:ind w:right="451"/>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5"/>
        </w:trPr>
        <w:tc>
          <w:tcPr>
            <w:tcW w:w="65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Net Income Per Common Unit to Adjusted Net Income Per Common Unit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41"/>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Reconciliation</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Basic net income/(loss) per common unit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(0.13)</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Selected items impacting comparability </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0.46</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Basic adjusted net income/(loss) per common unit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0.33</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0"/>
        </w:trPr>
        <w:tc>
          <w:tcPr>
            <w:tcW w:w="6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Diluted net income/(loss) per common unit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(0.13)</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Selected items impacting comparability </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0.46</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Diluted adjusted net income/(loss) per common unit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4955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13" w:lineRule="exact"/>
        <w:rPr>
          <w:sz w:val="20"/>
          <w:szCs w:val="20"/>
          <w:color w:val="auto"/>
        </w:rPr>
      </w:pPr>
    </w:p>
    <w:p>
      <w:pPr>
        <w:ind w:left="340" w:right="340" w:hanging="332"/>
        <w:spacing w:after="0" w:line="194" w:lineRule="auto"/>
        <w:tabs>
          <w:tab w:leader="none" w:pos="340" w:val="left"/>
        </w:tabs>
        <w:numPr>
          <w:ilvl w:val="0"/>
          <w:numId w:val="13"/>
        </w:numPr>
        <w:rPr>
          <w:rFonts w:ascii="Arial" w:cs="Arial" w:eastAsia="Arial" w:hAnsi="Arial"/>
          <w:sz w:val="28"/>
          <w:szCs w:val="28"/>
          <w:color w:val="auto"/>
          <w:vertAlign w:val="superscript"/>
        </w:rPr>
      </w:pPr>
      <w:r>
        <w:rPr>
          <w:rFonts w:ascii="Arial" w:cs="Arial" w:eastAsia="Arial" w:hAnsi="Arial"/>
          <w:sz w:val="17"/>
          <w:szCs w:val="17"/>
          <w:color w:val="auto"/>
        </w:rPr>
        <w:t>See the “Selected Items Impacting Comparability” and the “Computation of Basic and Diluted Adjusted Net Income Per Common Unit” tables for additional information.</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Page 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373"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Twelve Months Ended</w:t>
      </w:r>
    </w:p>
    <w:p>
      <w:pPr>
        <w:spacing w:after="0" w:line="2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2015</w:t>
            </w:r>
          </w:p>
        </w:tc>
      </w:tr>
      <w:tr>
        <w:trPr>
          <w:trHeight w:val="33"/>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to Adjusted EBITDA and Implied DCF Reconciliation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906</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w:t>
            </w:r>
          </w:p>
        </w:tc>
      </w:tr>
      <w:tr>
        <w:trPr>
          <w:trHeight w:val="243"/>
        </w:trPr>
        <w:tc>
          <w:tcPr>
            <w:tcW w:w="902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100</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w:t>
            </w:r>
          </w:p>
        </w:tc>
      </w:tr>
      <w:tr>
        <w:trPr>
          <w:trHeight w:val="270"/>
        </w:trPr>
        <w:tc>
          <w:tcPr>
            <w:tcW w:w="90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45</w:t>
            </w:r>
          </w:p>
        </w:tc>
      </w:tr>
      <w:tr>
        <w:trPr>
          <w:trHeight w:val="27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Selected items impacting comparability - Adjusted EBITDA</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2,169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2,213</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43"/>
        </w:trPr>
        <w:tc>
          <w:tcPr>
            <w:tcW w:w="9020" w:type="dxa"/>
            <w:vAlign w:val="bottom"/>
          </w:tcPr>
          <w:p>
            <w:pPr>
              <w:ind w:left="200"/>
              <w:spacing w:after="0"/>
              <w:rPr>
                <w:sz w:val="20"/>
                <w:szCs w:val="20"/>
                <w:color w:val="auto"/>
              </w:rPr>
            </w:pPr>
            <w:r>
              <w:rPr>
                <w:rFonts w:ascii="Arial" w:cs="Arial" w:eastAsia="Arial" w:hAnsi="Arial"/>
                <w:sz w:val="18"/>
                <w:szCs w:val="18"/>
                <w:color w:val="auto"/>
              </w:rPr>
              <w:t>Maintenance capital</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70"/>
        </w:trPr>
        <w:tc>
          <w:tcPr>
            <w:tcW w:w="90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Adjusted equity earnings in unconsolidated entities, net of distributions </w:t>
            </w:r>
            <w:r>
              <w:rPr>
                <w:rFonts w:ascii="Arial" w:cs="Arial" w:eastAsia="Arial" w:hAnsi="Arial"/>
                <w:sz w:val="25"/>
                <w:szCs w:val="25"/>
                <w:color w:val="auto"/>
                <w:vertAlign w:val="superscript"/>
              </w:rPr>
              <w:t>(3)</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90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5"/>
                <w:szCs w:val="25"/>
                <w:color w:val="auto"/>
                <w:vertAlign w:val="superscript"/>
              </w:rPr>
              <w:t>(4)</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9020" w:type="dxa"/>
            <w:vAlign w:val="bottom"/>
          </w:tcPr>
          <w:p>
            <w:pPr>
              <w:ind w:left="40"/>
              <w:spacing w:after="0"/>
              <w:rPr>
                <w:sz w:val="20"/>
                <w:szCs w:val="20"/>
                <w:color w:val="auto"/>
              </w:rPr>
            </w:pPr>
            <w:r>
              <w:rPr>
                <w:rFonts w:ascii="Arial" w:cs="Arial" w:eastAsia="Arial" w:hAnsi="Arial"/>
                <w:sz w:val="18"/>
                <w:szCs w:val="18"/>
                <w:color w:val="auto"/>
              </w:rPr>
              <w:t>Implied DCF</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1,474</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Adjustment to add back our proportionate share of depreciation and amortization expense and gains or losses on significant asset sales of unconsolidated entities.</w:t>
      </w:r>
    </w:p>
    <w:p>
      <w:pPr>
        <w:spacing w:after="0" w:line="54" w:lineRule="exact"/>
        <w:rPr>
          <w:rFonts w:ascii="Arial" w:cs="Arial" w:eastAsia="Arial" w:hAnsi="Arial"/>
          <w:sz w:val="24"/>
          <w:szCs w:val="24"/>
          <w:color w:val="auto"/>
          <w:vertAlign w:val="superscript"/>
        </w:rPr>
      </w:pPr>
    </w:p>
    <w:p>
      <w:pPr>
        <w:ind w:left="340" w:hanging="332"/>
        <w:spacing w:after="0" w:line="183" w:lineRule="auto"/>
        <w:tabs>
          <w:tab w:leader="none" w:pos="340" w:val="left"/>
        </w:tabs>
        <w:numPr>
          <w:ilvl w:val="0"/>
          <w:numId w:val="14"/>
        </w:numPr>
        <w:rPr>
          <w:rFonts w:ascii="Arial" w:cs="Arial" w:eastAsia="Arial" w:hAnsi="Arial"/>
          <w:sz w:val="23"/>
          <w:szCs w:val="23"/>
          <w:color w:val="auto"/>
          <w:vertAlign w:val="superscript"/>
        </w:rPr>
      </w:pPr>
      <w:r>
        <w:rPr>
          <w:rFonts w:ascii="Arial" w:cs="Arial" w:eastAsia="Arial" w:hAnsi="Arial"/>
          <w:sz w:val="15"/>
          <w:szCs w:val="15"/>
          <w:color w:val="auto"/>
        </w:rPr>
        <w:t>Excludes certain non-cash items impacting interest expense such as amortization of debt issuance costs and terminated interest rate swaps.</w:t>
      </w:r>
    </w:p>
    <w:p>
      <w:pPr>
        <w:spacing w:after="0" w:line="54" w:lineRule="exact"/>
        <w:rPr>
          <w:rFonts w:ascii="Arial" w:cs="Arial" w:eastAsia="Arial" w:hAnsi="Arial"/>
          <w:sz w:val="23"/>
          <w:szCs w:val="23"/>
          <w:color w:val="auto"/>
          <w:vertAlign w:val="superscript"/>
        </w:rPr>
      </w:pPr>
    </w:p>
    <w:p>
      <w:pPr>
        <w:ind w:left="340" w:right="100" w:hanging="332"/>
        <w:spacing w:after="0" w:line="187" w:lineRule="auto"/>
        <w:tabs>
          <w:tab w:leader="none" w:pos="340"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auto"/>
        </w:rPr>
        <w:t>Represents the difference between non-cash equity earnings in unconsolidated entities (adjusted for our proportionate share of depreciation and amortization and gains or losses on significant asset sales) and cash distributions received from such entities.</w:t>
      </w:r>
    </w:p>
    <w:p>
      <w:pPr>
        <w:spacing w:after="0" w:line="1" w:lineRule="exact"/>
        <w:rPr>
          <w:rFonts w:ascii="Arial" w:cs="Arial" w:eastAsia="Arial" w:hAnsi="Arial"/>
          <w:sz w:val="28"/>
          <w:szCs w:val="28"/>
          <w:color w:val="auto"/>
          <w:vertAlign w:val="superscript"/>
        </w:rPr>
      </w:pPr>
    </w:p>
    <w:p>
      <w:pPr>
        <w:ind w:left="340" w:hanging="332"/>
        <w:spacing w:after="0" w:line="191" w:lineRule="auto"/>
        <w:tabs>
          <w:tab w:leader="none" w:pos="340"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auto"/>
        </w:rPr>
        <w:t>Includes cash distributions that pertain to the current period’s net income, which are paid in the subsequent period.</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Page 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7"/>
                <w:szCs w:val="17"/>
                <w:color w:val="auto"/>
              </w:rPr>
            </w:pPr>
          </w:p>
        </w:tc>
        <w:tc>
          <w:tcPr>
            <w:tcW w:w="2120" w:type="dxa"/>
            <w:vAlign w:val="bottom"/>
            <w:gridSpan w:val="4"/>
          </w:tcPr>
          <w:p>
            <w:pPr>
              <w:jc w:val="right"/>
              <w:ind w:right="450"/>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6"/>
                <w:szCs w:val="16"/>
                <w:b w:val="1"/>
                <w:bCs w:val="1"/>
                <w:color w:val="auto"/>
              </w:rPr>
              <w:t>2016</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Adjusted Net Income per Common Unit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PAA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302</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w w:val="93"/>
              </w:rPr>
              <w:t xml:space="preserve">Selected items impacting comparability - Adjusted net income attributable to PAA </w:t>
            </w:r>
            <w:r>
              <w:rPr>
                <w:rFonts w:ascii="Arial" w:cs="Arial" w:eastAsia="Arial" w:hAnsi="Arial"/>
                <w:sz w:val="25"/>
                <w:szCs w:val="25"/>
                <w:color w:val="auto"/>
                <w:w w:val="93"/>
                <w:vertAlign w:val="superscript"/>
              </w:rPr>
              <w:t>(2)</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Adjusted net income attributable to PAA</w:t>
            </w:r>
          </w:p>
        </w:tc>
        <w:tc>
          <w:tcPr>
            <w:tcW w:w="26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491</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Series A preferred units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Distributions to general partner</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97"/>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Adjusted net income/(loss) allocated to common unitholders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w:t>
            </w:r>
          </w:p>
        </w:tc>
      </w:tr>
      <w:tr>
        <w:trPr>
          <w:trHeight w:val="217"/>
        </w:trPr>
        <w:tc>
          <w:tcPr>
            <w:tcW w:w="6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Basic weighted average common units outstanding</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398</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0"/>
        </w:trPr>
        <w:tc>
          <w:tcPr>
            <w:tcW w:w="6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30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adjusted net income/(loss) per common unit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0.33</w:t>
            </w:r>
          </w:p>
        </w:tc>
      </w:tr>
      <w:tr>
        <w:trPr>
          <w:trHeight w:val="217"/>
        </w:trPr>
        <w:tc>
          <w:tcPr>
            <w:tcW w:w="6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Diluted Adjusted Net Income per Common Unit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PAA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r>
      <w:tr>
        <w:trPr>
          <w:trHeight w:val="270"/>
        </w:trPr>
        <w:tc>
          <w:tcPr>
            <w:tcW w:w="6520" w:type="dxa"/>
            <w:vAlign w:val="bottom"/>
            <w:tcBorders>
              <w:bottom w:val="single" w:sz="8" w:color="CCEEFF"/>
            </w:tcBorders>
          </w:tcPr>
          <w:p>
            <w:pPr>
              <w:ind w:left="200"/>
              <w:spacing w:after="0" w:line="270" w:lineRule="exact"/>
              <w:rPr>
                <w:sz w:val="20"/>
                <w:szCs w:val="20"/>
                <w:color w:val="auto"/>
              </w:rPr>
            </w:pPr>
            <w:r>
              <w:rPr>
                <w:rFonts w:ascii="Arial" w:cs="Arial" w:eastAsia="Arial" w:hAnsi="Arial"/>
                <w:sz w:val="18"/>
                <w:szCs w:val="18"/>
                <w:color w:val="auto"/>
                <w:w w:val="93"/>
              </w:rPr>
              <w:t xml:space="preserve">Selected items impacting comparability - Adjusted net income attributable to PAA </w:t>
            </w:r>
            <w:r>
              <w:rPr>
                <w:rFonts w:ascii="Arial" w:cs="Arial" w:eastAsia="Arial" w:hAnsi="Arial"/>
                <w:sz w:val="25"/>
                <w:szCs w:val="25"/>
                <w:color w:val="auto"/>
                <w:w w:val="93"/>
                <w:vertAlign w:val="superscript"/>
              </w:rPr>
              <w:t>(2)</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w:t>
            </w: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 PAA</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Distributions to Series A preferred units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general partner</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income/(loss) allocated to common unitholders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7"/>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units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LTIP units </w:t>
            </w:r>
            <w:r>
              <w:rPr>
                <w:rFonts w:ascii="Arial" w:cs="Arial" w:eastAsia="Arial" w:hAnsi="Arial"/>
                <w:sz w:val="25"/>
                <w:szCs w:val="25"/>
                <w:color w:val="auto"/>
                <w:vertAlign w:val="superscript"/>
              </w:rPr>
              <w:t>(3)</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97"/>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weighted average common units outstanding</w:t>
            </w:r>
          </w:p>
        </w:tc>
        <w:tc>
          <w:tcPr>
            <w:tcW w:w="2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399</w:t>
            </w:r>
          </w:p>
        </w:tc>
      </w:tr>
      <w:tr>
        <w:trPr>
          <w:trHeight w:val="217"/>
        </w:trPr>
        <w:tc>
          <w:tcPr>
            <w:tcW w:w="6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Diluted adjusted net income/(loss) per common unit </w:t>
            </w:r>
            <w:r>
              <w:rPr>
                <w:rFonts w:ascii="Arial" w:cs="Arial" w:eastAsia="Arial" w:hAnsi="Arial"/>
                <w:sz w:val="25"/>
                <w:szCs w:val="25"/>
                <w:color w:val="auto"/>
                <w:vertAlign w:val="superscript"/>
              </w:rPr>
              <w:t>(4)</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0.33</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88" w:lineRule="exact"/>
        <w:rPr>
          <w:sz w:val="20"/>
          <w:szCs w:val="20"/>
          <w:color w:val="auto"/>
        </w:rPr>
      </w:pPr>
    </w:p>
    <w:p>
      <w:pPr>
        <w:jc w:val="both"/>
        <w:ind w:left="340" w:right="140" w:hanging="332"/>
        <w:spacing w:after="0" w:line="259" w:lineRule="auto"/>
        <w:tabs>
          <w:tab w:leader="none" w:pos="340" w:val="left"/>
        </w:tabs>
        <w:numPr>
          <w:ilvl w:val="0"/>
          <w:numId w:val="15"/>
        </w:numPr>
        <w:rPr>
          <w:rFonts w:ascii="Arial" w:cs="Arial" w:eastAsia="Arial" w:hAnsi="Arial"/>
          <w:sz w:val="25"/>
          <w:szCs w:val="25"/>
          <w:color w:val="auto"/>
          <w:vertAlign w:val="superscript"/>
        </w:rPr>
      </w:pPr>
      <w:r>
        <w:rPr>
          <w:rFonts w:ascii="Arial" w:cs="Arial" w:eastAsia="Arial" w:hAnsi="Arial"/>
          <w:sz w:val="15"/>
          <w:szCs w:val="15"/>
          <w:color w:val="auto"/>
        </w:rPr>
        <w:t>We calculate adjusted net income/(loss) allocated to common unitholders based on the distributions pertaining to the current period’s net income. After adjusting for the appropriate period’s distributions, the remaining undistributed earnings or excess distributions over earnings (“undistributed loss”), if any, are allocated to the general partner, common unitholders and participating securities in accordance with the contractual terms of our partnership agreement in effect for the period and as further prescribed under the two-class method. The Simplification Transactions, which closed on November 15, 2016, simplified our governance structure and permanently eliminated our IDRs and the economic rights associated with our 2% general partner interest. As such, beginning with the distribution pertaining to the fourth quarter of 2016, our general partner is no longer entitled to receive distributions from these interests.</w:t>
      </w:r>
    </w:p>
    <w:p>
      <w:pPr>
        <w:ind w:left="340" w:hanging="332"/>
        <w:spacing w:after="0" w:line="191" w:lineRule="auto"/>
        <w:tabs>
          <w:tab w:leader="none" w:pos="340" w:val="left"/>
        </w:tabs>
        <w:numPr>
          <w:ilvl w:val="0"/>
          <w:numId w:val="15"/>
        </w:numPr>
        <w:rPr>
          <w:rFonts w:ascii="Arial" w:cs="Arial" w:eastAsia="Arial" w:hAnsi="Arial"/>
          <w:sz w:val="28"/>
          <w:szCs w:val="28"/>
          <w:color w:val="auto"/>
          <w:vertAlign w:val="superscript"/>
        </w:rPr>
      </w:pPr>
      <w:r>
        <w:rPr>
          <w:rFonts w:ascii="Arial" w:cs="Arial" w:eastAsia="Arial" w:hAnsi="Arial"/>
          <w:sz w:val="17"/>
          <w:szCs w:val="17"/>
          <w:color w:val="auto"/>
        </w:rPr>
        <w:t>Certain of our non-GAAP financial measures may not be impacted by each of the selected items impacting comparability.</w:t>
      </w:r>
    </w:p>
    <w:p>
      <w:pPr>
        <w:spacing w:after="0" w:line="56" w:lineRule="exact"/>
        <w:rPr>
          <w:rFonts w:ascii="Arial" w:cs="Arial" w:eastAsia="Arial" w:hAnsi="Arial"/>
          <w:sz w:val="28"/>
          <w:szCs w:val="28"/>
          <w:color w:val="auto"/>
          <w:vertAlign w:val="superscript"/>
        </w:rPr>
      </w:pPr>
    </w:p>
    <w:p>
      <w:pPr>
        <w:ind w:left="340" w:right="20" w:hanging="332"/>
        <w:spacing w:after="0" w:line="241" w:lineRule="auto"/>
        <w:tabs>
          <w:tab w:leader="none" w:pos="340" w:val="left"/>
        </w:tabs>
        <w:numPr>
          <w:ilvl w:val="0"/>
          <w:numId w:val="15"/>
        </w:numPr>
        <w:rPr>
          <w:rFonts w:ascii="Arial" w:cs="Arial" w:eastAsia="Arial" w:hAnsi="Arial"/>
          <w:sz w:val="25"/>
          <w:szCs w:val="25"/>
          <w:color w:val="auto"/>
          <w:vertAlign w:val="superscript"/>
        </w:rPr>
      </w:pPr>
      <w:r>
        <w:rPr>
          <w:rFonts w:ascii="Arial" w:cs="Arial" w:eastAsia="Arial" w:hAnsi="Arial"/>
          <w:sz w:val="15"/>
          <w:szCs w:val="15"/>
          <w:color w:val="auto"/>
        </w:rPr>
        <w:t>Our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 Such LTIP awards were excluded from the calculation of diluted adjusted net loss per common unit for the three months ended June 30, 2016 as the effect was antidilutive.</w:t>
      </w:r>
    </w:p>
    <w:p>
      <w:pPr>
        <w:spacing w:after="0" w:line="42" w:lineRule="exact"/>
        <w:rPr>
          <w:rFonts w:ascii="Arial" w:cs="Arial" w:eastAsia="Arial" w:hAnsi="Arial"/>
          <w:sz w:val="25"/>
          <w:szCs w:val="25"/>
          <w:color w:val="auto"/>
          <w:vertAlign w:val="superscript"/>
        </w:rPr>
      </w:pPr>
    </w:p>
    <w:p>
      <w:pPr>
        <w:ind w:left="340" w:right="120" w:hanging="332"/>
        <w:spacing w:after="0" w:line="193" w:lineRule="auto"/>
        <w:tabs>
          <w:tab w:leader="none" w:pos="340" w:val="left"/>
        </w:tabs>
        <w:numPr>
          <w:ilvl w:val="0"/>
          <w:numId w:val="15"/>
        </w:numPr>
        <w:rPr>
          <w:rFonts w:ascii="Arial" w:cs="Arial" w:eastAsia="Arial" w:hAnsi="Arial"/>
          <w:sz w:val="28"/>
          <w:szCs w:val="28"/>
          <w:color w:val="auto"/>
          <w:vertAlign w:val="superscript"/>
        </w:rPr>
      </w:pPr>
      <w:r>
        <w:rPr>
          <w:rFonts w:ascii="Arial" w:cs="Arial" w:eastAsia="Arial" w:hAnsi="Arial"/>
          <w:sz w:val="17"/>
          <w:szCs w:val="17"/>
          <w:color w:val="auto"/>
        </w:rPr>
        <w:t>The possible conversion of our Series A preferred units was excluded from the calculation of diluted adjusted net income/(loss) per common unit for the three and six months ended June 30, 2017 and 2016 as the effect was antidilutive.</w:t>
      </w:r>
    </w:p>
    <w:p>
      <w:pPr>
        <w:spacing w:after="0" w:line="234" w:lineRule="exact"/>
        <w:rPr>
          <w:rFonts w:ascii="Arial" w:cs="Arial" w:eastAsia="Arial" w:hAnsi="Arial"/>
          <w:sz w:val="28"/>
          <w:szCs w:val="28"/>
          <w:color w:val="auto"/>
          <w:vertAlign w:val="superscript"/>
        </w:rPr>
      </w:pPr>
    </w:p>
    <w:p>
      <w:pPr>
        <w:ind w:left="5520" w:hanging="96"/>
        <w:spacing w:after="0"/>
        <w:tabs>
          <w:tab w:leader="none" w:pos="55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Page 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June 30, 2017</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June 30, 2016</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Consolidating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32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PAA</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w w:val="89"/>
              </w:rPr>
              <w:t xml:space="preserve">Adjustments </w:t>
            </w:r>
            <w:r>
              <w:rPr>
                <w:rFonts w:ascii="Arial" w:cs="Arial" w:eastAsia="Arial" w:hAnsi="Arial"/>
                <w:sz w:val="21"/>
                <w:szCs w:val="21"/>
                <w:b w:val="1"/>
                <w:bCs w:val="1"/>
                <w:color w:val="auto"/>
                <w:w w:val="89"/>
                <w:vertAlign w:val="superscript"/>
              </w:rPr>
              <w:t>(2)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PAGP</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PAA</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w w:val="87"/>
              </w:rPr>
              <w:t xml:space="preserve">Adjustments </w:t>
            </w:r>
            <w:r>
              <w:rPr>
                <w:rFonts w:ascii="Arial" w:cs="Arial" w:eastAsia="Arial" w:hAnsi="Arial"/>
                <w:sz w:val="21"/>
                <w:szCs w:val="21"/>
                <w:b w:val="1"/>
                <w:bCs w:val="1"/>
                <w:color w:val="auto"/>
                <w:w w:val="87"/>
                <w:vertAlign w:val="superscript"/>
              </w:rPr>
              <w:t>(2)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PAGP</w:t>
            </w: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6,078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6,078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4,950</w:t>
            </w:r>
          </w:p>
        </w:tc>
        <w:tc>
          <w:tcPr>
            <w:tcW w:w="0" w:type="dxa"/>
            <w:vAlign w:val="bottom"/>
          </w:tcPr>
          <w:p>
            <w:pPr>
              <w:spacing w:after="0"/>
              <w:rPr>
                <w:sz w:val="1"/>
                <w:szCs w:val="1"/>
                <w:color w:val="auto"/>
              </w:rPr>
            </w:pPr>
          </w:p>
        </w:tc>
      </w:tr>
      <w:tr>
        <w:trPr>
          <w:trHeight w:val="284"/>
        </w:trPr>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5,320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5,320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4,224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7"/>
        </w:trPr>
        <w:tc>
          <w:tcPr>
            <w:tcW w:w="3200" w:type="dxa"/>
            <w:vAlign w:val="bottom"/>
          </w:tcPr>
          <w:p>
            <w:pPr>
              <w:ind w:left="20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5,821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5,822</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4,805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Equity earnings in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7"/>
        </w:trPr>
        <w:tc>
          <w:tcPr>
            <w:tcW w:w="32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TAX</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Current income tax expense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benefit/(expense)</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7"/>
        </w:trPr>
        <w:tc>
          <w:tcPr>
            <w:tcW w:w="32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3200" w:type="dxa"/>
            <w:vAlign w:val="bottom"/>
          </w:tcPr>
          <w:p>
            <w:pPr>
              <w:ind w:left="200"/>
              <w:spacing w:after="0"/>
              <w:rPr>
                <w:sz w:val="20"/>
                <w:szCs w:val="20"/>
                <w:color w:val="auto"/>
              </w:rPr>
            </w:pPr>
            <w:r>
              <w:rPr>
                <w:rFonts w:ascii="Arial" w:cs="Arial" w:eastAsia="Arial" w:hAnsi="Arial"/>
                <w:sz w:val="18"/>
                <w:szCs w:val="18"/>
                <w:color w:val="auto"/>
              </w:rPr>
              <w:t>Net income attributable to</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188</w:t>
            </w:r>
          </w:p>
        </w:tc>
        <w:tc>
          <w:tcPr>
            <w:tcW w:w="120" w:type="dxa"/>
            <w:vAlign w:val="bottom"/>
            <w:vMerge w:val="restart"/>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PAGP</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2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CLASS A SHARE</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4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 PER CLASS A SHARE</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450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10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50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10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b w:val="1"/>
                <w:bCs w:val="1"/>
                <w:color w:val="auto"/>
              </w:rPr>
              <w:t>DILUTED WEIGHTED AVERAGE CLASS A SHARES OUTSTANDING</w:t>
            </w: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80" w:hanging="332"/>
        <w:spacing w:after="0" w:line="216" w:lineRule="auto"/>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A reverse split of PAGP’s Class A shares was completed on November 15, 2016. The effect of the reverse split has been retroactively applied to all share and per-share amounts presented.</w:t>
      </w:r>
    </w:p>
    <w:p>
      <w:pPr>
        <w:spacing w:after="0" w:line="1" w:lineRule="exact"/>
        <w:rPr>
          <w:rFonts w:ascii="Arial" w:cs="Arial" w:eastAsia="Arial" w:hAnsi="Arial"/>
          <w:sz w:val="25"/>
          <w:szCs w:val="25"/>
          <w:color w:val="auto"/>
          <w:vertAlign w:val="superscript"/>
        </w:rPr>
      </w:pPr>
    </w:p>
    <w:p>
      <w:pPr>
        <w:ind w:left="340" w:hanging="332"/>
        <w:spacing w:after="0" w:line="225" w:lineRule="auto"/>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29" w:lineRule="exact"/>
        <w:rPr>
          <w:rFonts w:ascii="Arial" w:cs="Arial" w:eastAsia="Arial" w:hAnsi="Arial"/>
          <w:sz w:val="25"/>
          <w:szCs w:val="25"/>
          <w:color w:val="auto"/>
          <w:vertAlign w:val="superscript"/>
        </w:rPr>
      </w:pPr>
    </w:p>
    <w:p>
      <w:pPr>
        <w:ind w:left="5520" w:hanging="96"/>
        <w:spacing w:after="0"/>
        <w:tabs>
          <w:tab w:leader="none" w:pos="55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Page 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Six Months Ended</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Six Months Ended</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June 30, 2017</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June 30, 2016</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Consolidating</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Consolidating</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32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PAA</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w w:val="87"/>
              </w:rPr>
              <w:t xml:space="preserve">Adjustments </w:t>
            </w:r>
            <w:r>
              <w:rPr>
                <w:rFonts w:ascii="Arial" w:cs="Arial" w:eastAsia="Arial" w:hAnsi="Arial"/>
                <w:sz w:val="21"/>
                <w:szCs w:val="21"/>
                <w:b w:val="1"/>
                <w:bCs w:val="1"/>
                <w:color w:val="auto"/>
                <w:w w:val="87"/>
                <w:vertAlign w:val="superscript"/>
              </w:rPr>
              <w:t>(2)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PAGP</w:t>
            </w: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PAA</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w w:val="89"/>
              </w:rPr>
              <w:t xml:space="preserve">Adjustments </w:t>
            </w:r>
            <w:r>
              <w:rPr>
                <w:rFonts w:ascii="Arial" w:cs="Arial" w:eastAsia="Arial" w:hAnsi="Arial"/>
                <w:sz w:val="21"/>
                <w:szCs w:val="21"/>
                <w:b w:val="1"/>
                <w:bCs w:val="1"/>
                <w:color w:val="auto"/>
                <w:w w:val="89"/>
                <w:vertAlign w:val="superscript"/>
              </w:rPr>
              <w:t>(2)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PAGP</w:t>
            </w: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12,745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9,060</w:t>
            </w:r>
          </w:p>
        </w:tc>
        <w:tc>
          <w:tcPr>
            <w:tcW w:w="0" w:type="dxa"/>
            <w:vAlign w:val="bottom"/>
          </w:tcPr>
          <w:p>
            <w:pPr>
              <w:spacing w:after="0"/>
              <w:rPr>
                <w:sz w:val="1"/>
                <w:szCs w:val="1"/>
                <w:color w:val="auto"/>
              </w:rPr>
            </w:pPr>
          </w:p>
        </w:tc>
      </w:tr>
      <w:tr>
        <w:trPr>
          <w:trHeight w:val="284"/>
        </w:trPr>
        <w:tc>
          <w:tcPr>
            <w:tcW w:w="3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10,912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10,912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7,571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7,571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7"/>
        </w:trPr>
        <w:tc>
          <w:tcPr>
            <w:tcW w:w="3200" w:type="dxa"/>
            <w:vAlign w:val="bottom"/>
          </w:tcPr>
          <w:p>
            <w:pPr>
              <w:ind w:left="20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11,897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11,901</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8,633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8,635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844</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Equity earnings in unconsolidated entities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7"/>
        </w:trPr>
        <w:tc>
          <w:tcPr>
            <w:tcW w:w="3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TAX</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Current income tax expense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 benefit/(expense)</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7"/>
        </w:trPr>
        <w:tc>
          <w:tcPr>
            <w:tcW w:w="3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9"/>
        </w:trPr>
        <w:tc>
          <w:tcPr>
            <w:tcW w:w="3200" w:type="dxa"/>
            <w:vAlign w:val="bottom"/>
          </w:tcPr>
          <w:p>
            <w:pPr>
              <w:ind w:left="200"/>
              <w:spacing w:after="0"/>
              <w:rPr>
                <w:sz w:val="20"/>
                <w:szCs w:val="20"/>
                <w:color w:val="auto"/>
              </w:rPr>
            </w:pPr>
            <w:r>
              <w:rPr>
                <w:rFonts w:ascii="Arial" w:cs="Arial" w:eastAsia="Arial" w:hAnsi="Arial"/>
                <w:sz w:val="18"/>
                <w:szCs w:val="18"/>
                <w:color w:val="auto"/>
              </w:rPr>
              <w:t>Net income attributable to</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NET INCOME ATTRIBUTABLE TO</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632</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PAGP</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 PER CLASS A SHARE</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0.47</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4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DILUTED NET INCOME PER CLASS A SHARE</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0.47</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4340" w:type="dxa"/>
            <w:vAlign w:val="bottom"/>
            <w:gridSpan w:val="3"/>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4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4340" w:type="dxa"/>
            <w:vAlign w:val="bottom"/>
            <w:gridSpan w:val="3"/>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4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8"/>
                <w:szCs w:val="18"/>
                <w:b w:val="1"/>
                <w:bCs w:val="1"/>
                <w:color w:val="auto"/>
              </w:rPr>
              <w:t>DILUTED WEIGHTED AVERAGE CLASS A SHARES OUTSTANDING</w:t>
            </w: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60" w:hanging="332"/>
        <w:spacing w:after="0" w:line="216" w:lineRule="auto"/>
        <w:tabs>
          <w:tab w:leader="none" w:pos="34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A reverse split of PAGP’s Class A shares was completed on November 15, 2016. The effect of the reverse split has been retroactively applied to all share and per-share amounts presented.</w:t>
      </w:r>
    </w:p>
    <w:p>
      <w:pPr>
        <w:spacing w:after="0" w:line="1" w:lineRule="exact"/>
        <w:rPr>
          <w:rFonts w:ascii="Arial" w:cs="Arial" w:eastAsia="Arial" w:hAnsi="Arial"/>
          <w:sz w:val="25"/>
          <w:szCs w:val="25"/>
          <w:color w:val="auto"/>
          <w:vertAlign w:val="superscript"/>
        </w:rPr>
      </w:pPr>
    </w:p>
    <w:p>
      <w:pPr>
        <w:ind w:left="340" w:hanging="332"/>
        <w:spacing w:after="0" w:line="225" w:lineRule="auto"/>
        <w:tabs>
          <w:tab w:leader="none" w:pos="34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29" w:lineRule="exact"/>
        <w:rPr>
          <w:rFonts w:ascii="Arial" w:cs="Arial" w:eastAsia="Arial" w:hAnsi="Arial"/>
          <w:sz w:val="25"/>
          <w:szCs w:val="25"/>
          <w:color w:val="auto"/>
          <w:vertAlign w:val="superscript"/>
        </w:rPr>
      </w:pPr>
    </w:p>
    <w:p>
      <w:pPr>
        <w:ind w:left="5520" w:hanging="96"/>
        <w:spacing w:after="0"/>
        <w:tabs>
          <w:tab w:leader="none" w:pos="55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00"/>
          </w:cols>
          <w:pgMar w:left="240" w:top="341"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Page 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June 30, 2017</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December 31, 2016</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3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Consolidating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03"/>
        </w:trPr>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2"/>
          </w:tcPr>
          <w:p>
            <w:pPr>
              <w:ind w:left="160"/>
              <w:spacing w:after="0"/>
              <w:rPr>
                <w:sz w:val="20"/>
                <w:szCs w:val="20"/>
                <w:color w:val="auto"/>
              </w:rPr>
            </w:pPr>
            <w:r>
              <w:rPr>
                <w:rFonts w:ascii="Arial" w:cs="Arial" w:eastAsia="Arial" w:hAnsi="Arial"/>
                <w:sz w:val="16"/>
                <w:szCs w:val="16"/>
                <w:b w:val="1"/>
                <w:bCs w:val="1"/>
                <w:color w:val="auto"/>
              </w:rPr>
              <w:t>PAA</w:t>
            </w:r>
          </w:p>
        </w:tc>
        <w:tc>
          <w:tcPr>
            <w:tcW w:w="18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 xml:space="preserve">Adjustments </w:t>
            </w:r>
            <w:r>
              <w:rPr>
                <w:rFonts w:ascii="Arial" w:cs="Arial" w:eastAsia="Arial" w:hAnsi="Arial"/>
                <w:sz w:val="21"/>
                <w:szCs w:val="21"/>
                <w:b w:val="1"/>
                <w:bCs w:val="1"/>
                <w:color w:val="auto"/>
                <w:w w:val="89"/>
                <w:vertAlign w:val="superscript"/>
              </w:rPr>
              <w:t>(1)</w:t>
            </w:r>
          </w:p>
        </w:tc>
        <w:tc>
          <w:tcPr>
            <w:tcW w:w="240" w:type="dxa"/>
            <w:vAlign w:val="bottom"/>
          </w:tcPr>
          <w:p>
            <w:pPr>
              <w:spacing w:after="0"/>
              <w:rPr>
                <w:sz w:val="24"/>
                <w:szCs w:val="24"/>
                <w:color w:val="auto"/>
              </w:rPr>
            </w:pPr>
          </w:p>
        </w:tc>
        <w:tc>
          <w:tcPr>
            <w:tcW w:w="1120" w:type="dxa"/>
            <w:vAlign w:val="bottom"/>
            <w:gridSpan w:val="3"/>
          </w:tcPr>
          <w:p>
            <w:pPr>
              <w:ind w:left="120"/>
              <w:spacing w:after="0"/>
              <w:rPr>
                <w:sz w:val="20"/>
                <w:szCs w:val="20"/>
                <w:color w:val="auto"/>
              </w:rPr>
            </w:pPr>
            <w:r>
              <w:rPr>
                <w:rFonts w:ascii="Arial" w:cs="Arial" w:eastAsia="Arial" w:hAnsi="Arial"/>
                <w:sz w:val="16"/>
                <w:szCs w:val="16"/>
                <w:b w:val="1"/>
                <w:bCs w:val="1"/>
                <w:color w:val="auto"/>
              </w:rPr>
              <w:t>PAGP</w:t>
            </w:r>
          </w:p>
        </w:tc>
        <w:tc>
          <w:tcPr>
            <w:tcW w:w="260" w:type="dxa"/>
            <w:vAlign w:val="bottom"/>
          </w:tcPr>
          <w:p>
            <w:pPr>
              <w:spacing w:after="0"/>
              <w:rPr>
                <w:sz w:val="24"/>
                <w:szCs w:val="24"/>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PAA</w:t>
            </w: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 xml:space="preserve">Adjustments </w:t>
            </w:r>
            <w:r>
              <w:rPr>
                <w:rFonts w:ascii="Arial" w:cs="Arial" w:eastAsia="Arial" w:hAnsi="Arial"/>
                <w:sz w:val="21"/>
                <w:szCs w:val="21"/>
                <w:b w:val="1"/>
                <w:bCs w:val="1"/>
                <w:color w:val="auto"/>
                <w:w w:val="87"/>
                <w:vertAlign w:val="superscript"/>
              </w:rPr>
              <w:t>(1)</w:t>
            </w:r>
          </w:p>
        </w:tc>
        <w:tc>
          <w:tcPr>
            <w:tcW w:w="240" w:type="dxa"/>
            <w:vAlign w:val="bottom"/>
          </w:tcPr>
          <w:p>
            <w:pPr>
              <w:spacing w:after="0"/>
              <w:rPr>
                <w:sz w:val="24"/>
                <w:szCs w:val="24"/>
                <w:color w:val="auto"/>
              </w:rPr>
            </w:pPr>
          </w:p>
        </w:tc>
        <w:tc>
          <w:tcPr>
            <w:tcW w:w="900" w:type="dxa"/>
            <w:vAlign w:val="bottom"/>
          </w:tcPr>
          <w:p>
            <w:pPr>
              <w:jc w:val="right"/>
              <w:ind w:right="270"/>
              <w:spacing w:after="0"/>
              <w:rPr>
                <w:sz w:val="20"/>
                <w:szCs w:val="20"/>
                <w:color w:val="auto"/>
              </w:rPr>
            </w:pPr>
            <w:r>
              <w:rPr>
                <w:rFonts w:ascii="Arial" w:cs="Arial" w:eastAsia="Arial" w:hAnsi="Arial"/>
                <w:sz w:val="16"/>
                <w:szCs w:val="16"/>
                <w:b w:val="1"/>
                <w:bCs w:val="1"/>
                <w:color w:val="auto"/>
              </w:rPr>
              <w:t>PAGP</w:t>
            </w:r>
          </w:p>
        </w:tc>
      </w:tr>
      <w:tr>
        <w:trPr>
          <w:trHeight w:val="244"/>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3,528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3,531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4,272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4,275</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14,338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13,890</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2,596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2,344</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2,343</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Deferred tax asset</w:t>
            </w: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2,214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2,214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1,876</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Linefill and base gas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Long-term inventory</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193</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919</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r>
        <w:trPr>
          <w:trHeight w:val="297"/>
        </w:trPr>
        <w:tc>
          <w:tcPr>
            <w:tcW w:w="32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25,004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2,231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27,235</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24,210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26,103</w:t>
            </w:r>
          </w:p>
        </w:tc>
      </w:tr>
      <w:tr>
        <w:trPr>
          <w:trHeight w:val="271"/>
        </w:trPr>
        <w:tc>
          <w:tcPr>
            <w:tcW w:w="3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25"/>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LIABILITIES AND PARTNERS'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3200" w:type="dxa"/>
            <w:vAlign w:val="bottom"/>
          </w:tcPr>
          <w:p>
            <w:pPr>
              <w:ind w:left="200"/>
              <w:spacing w:after="0"/>
              <w:rPr>
                <w:sz w:val="20"/>
                <w:szCs w:val="20"/>
                <w:color w:val="auto"/>
              </w:rPr>
            </w:pPr>
            <w:r>
              <w:rPr>
                <w:rFonts w:ascii="Arial" w:cs="Arial" w:eastAsia="Arial" w:hAnsi="Arial"/>
                <w:sz w:val="18"/>
                <w:szCs w:val="18"/>
                <w:b w:val="1"/>
                <w:bCs w:val="1"/>
                <w:color w:val="auto"/>
              </w:rPr>
              <w:t>CAPITAL</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4,666</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2"/>
              </w:rPr>
              <w:t>Senior notes, net of unamortized discounts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and debt issuance costs</w:t>
            </w:r>
          </w:p>
        </w:tc>
        <w:tc>
          <w:tcPr>
            <w:tcW w:w="2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9,878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9,878</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9,874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9,874</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credits</w:t>
            </w:r>
          </w:p>
        </w:tc>
        <w:tc>
          <w:tcPr>
            <w:tcW w:w="2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706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606</w:t>
            </w:r>
          </w:p>
        </w:tc>
      </w:tr>
      <w:tr>
        <w:trPr>
          <w:trHeight w:val="27"/>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14,505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15,396</w:t>
            </w:r>
          </w:p>
        </w:tc>
      </w:tr>
      <w:tr>
        <w:trPr>
          <w:trHeight w:val="284"/>
        </w:trPr>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Partners' capital excluding noncontrolling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10,444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2,578</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1,737</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10,095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10,152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8,913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8,970</w:t>
            </w:r>
          </w:p>
        </w:tc>
      </w:tr>
      <w:tr>
        <w:trPr>
          <w:trHeight w:val="27"/>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partners' capital</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12,730</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10,707</w:t>
            </w:r>
          </w:p>
        </w:tc>
      </w:tr>
      <w:tr>
        <w:trPr>
          <w:trHeight w:val="257"/>
        </w:trPr>
        <w:tc>
          <w:tcPr>
            <w:tcW w:w="3200" w:type="dxa"/>
            <w:vAlign w:val="bottom"/>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25,004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2,231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27,235</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24,210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26,103</w:t>
            </w:r>
          </w:p>
        </w:tc>
      </w:tr>
      <w:tr>
        <w:trPr>
          <w:trHeight w:val="20"/>
        </w:trPr>
        <w:tc>
          <w:tcPr>
            <w:tcW w:w="3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Page 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 PER CLASS A SHARE</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7"/>
                <w:szCs w:val="17"/>
                <w:color w:val="auto"/>
              </w:rPr>
            </w:pPr>
          </w:p>
        </w:tc>
        <w:tc>
          <w:tcPr>
            <w:tcW w:w="2120" w:type="dxa"/>
            <w:vAlign w:val="bottom"/>
            <w:gridSpan w:val="4"/>
          </w:tcPr>
          <w:p>
            <w:pPr>
              <w:jc w:val="right"/>
              <w:ind w:right="45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Class A Share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Net income attributable to PAGP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weighted average Class A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84"/>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net income per Class A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 per Class A Share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5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Incremental net income attributable to PAGP resulting from assumed exchange of</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AAP units and AAP Management Units</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9"/>
        </w:trPr>
        <w:tc>
          <w:tcPr>
            <w:tcW w:w="6520" w:type="dxa"/>
            <w:vAlign w:val="bottom"/>
          </w:tcPr>
          <w:p>
            <w:pPr>
              <w:ind w:left="180"/>
              <w:spacing w:after="0"/>
              <w:rPr>
                <w:sz w:val="20"/>
                <w:szCs w:val="20"/>
                <w:color w:val="auto"/>
              </w:rPr>
            </w:pPr>
            <w:r>
              <w:rPr>
                <w:rFonts w:ascii="Arial" w:cs="Arial" w:eastAsia="Arial" w:hAnsi="Arial"/>
                <w:sz w:val="18"/>
                <w:szCs w:val="18"/>
                <w:color w:val="auto"/>
                <w:w w:val="97"/>
              </w:rPr>
              <w:t>Net income attributable to PAGP including incremental net income from assumed</w:t>
            </w: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7"/>
        </w:trPr>
        <w:tc>
          <w:tcPr>
            <w:tcW w:w="65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exchange of AAP units and AAP Management Units</w:t>
            </w:r>
          </w:p>
        </w:tc>
        <w:tc>
          <w:tcPr>
            <w:tcW w:w="260" w:type="dxa"/>
            <w:vAlign w:val="bottom"/>
            <w:tcBorders>
              <w:bottom w:val="single" w:sz="8" w:color="auto"/>
            </w:tcBorders>
            <w:vMerge w:val="continue"/>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65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Basic weighted average Class A shares outstanding</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Dilutive shares resulting from assumed exchange of AAP units and AAP</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Management Units</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8"/>
                <w:szCs w:val="18"/>
                <w:color w:val="auto"/>
              </w:rPr>
              <w:t>Diluted weighted average Class A shares outstanding</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65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Diluted net income per Class A share </w:t>
            </w:r>
            <w:r>
              <w:rPr>
                <w:rFonts w:ascii="Arial" w:cs="Arial" w:eastAsia="Arial" w:hAnsi="Arial"/>
                <w:sz w:val="25"/>
                <w:szCs w:val="25"/>
                <w:color w:val="auto"/>
                <w:vertAlign w:val="superscript"/>
              </w:rPr>
              <w:t>(2)</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right="80" w:hanging="332"/>
        <w:spacing w:after="0" w:line="216"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A reverse split of PAGP’s Class A shares was completed on November 15, 2016. The effect of the reverse split has been retroactively applied to all share and per-share amounts presented.</w:t>
      </w:r>
    </w:p>
    <w:p>
      <w:pPr>
        <w:spacing w:after="0" w:line="41" w:lineRule="exact"/>
        <w:rPr>
          <w:rFonts w:ascii="Arial" w:cs="Arial" w:eastAsia="Arial" w:hAnsi="Arial"/>
          <w:sz w:val="25"/>
          <w:szCs w:val="25"/>
          <w:color w:val="auto"/>
          <w:vertAlign w:val="superscript"/>
        </w:rPr>
      </w:pPr>
    </w:p>
    <w:p>
      <w:pPr>
        <w:ind w:left="340" w:right="280" w:hanging="332"/>
        <w:spacing w:after="0" w:line="216"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For the three and six months ended June 30, 2017, the possible exchange of any AAP units and certain AAP Management Units would not have had a dilutive effect on basic net income per Class A share.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gridSpan w:val="3"/>
          </w:tcPr>
          <w:p>
            <w:pPr>
              <w:spacing w:after="0"/>
              <w:rPr>
                <w:sz w:val="20"/>
                <w:szCs w:val="20"/>
                <w:color w:val="auto"/>
              </w:rPr>
            </w:pPr>
            <w:r>
              <w:rPr>
                <w:rFonts w:ascii="Arial" w:cs="Arial" w:eastAsia="Arial" w:hAnsi="Arial"/>
                <w:sz w:val="18"/>
                <w:szCs w:val="18"/>
                <w:color w:val="auto"/>
              </w:rPr>
              <w:t>Contacts:</w:t>
            </w:r>
          </w:p>
        </w:tc>
        <w:tc>
          <w:tcPr>
            <w:tcW w:w="284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453"/>
        </w:trPr>
        <w:tc>
          <w:tcPr>
            <w:tcW w:w="4380" w:type="dxa"/>
            <w:vAlign w:val="bottom"/>
            <w:gridSpan w:val="3"/>
          </w:tcPr>
          <w:p>
            <w:pPr>
              <w:ind w:left="40"/>
              <w:spacing w:after="0"/>
              <w:rPr>
                <w:sz w:val="20"/>
                <w:szCs w:val="20"/>
                <w:color w:val="auto"/>
              </w:rPr>
            </w:pPr>
            <w:r>
              <w:rPr>
                <w:rFonts w:ascii="Arial" w:cs="Arial" w:eastAsia="Arial" w:hAnsi="Arial"/>
                <w:sz w:val="18"/>
                <w:szCs w:val="18"/>
                <w:color w:val="auto"/>
              </w:rPr>
              <w:t>Roy Lamoreaux</w:t>
            </w:r>
          </w:p>
        </w:tc>
        <w:tc>
          <w:tcPr>
            <w:tcW w:w="2840" w:type="dxa"/>
            <w:vAlign w:val="bottom"/>
          </w:tcPr>
          <w:p>
            <w:pPr>
              <w:ind w:left="1360"/>
              <w:spacing w:after="0"/>
              <w:rPr>
                <w:sz w:val="20"/>
                <w:szCs w:val="20"/>
                <w:color w:val="auto"/>
              </w:rPr>
            </w:pPr>
            <w:r>
              <w:rPr>
                <w:rFonts w:ascii="Arial" w:cs="Arial" w:eastAsia="Arial" w:hAnsi="Arial"/>
                <w:sz w:val="18"/>
                <w:szCs w:val="18"/>
                <w:color w:val="auto"/>
              </w:rPr>
              <w:t>Brett Magill</w:t>
            </w:r>
          </w:p>
        </w:tc>
        <w:tc>
          <w:tcPr>
            <w:tcW w:w="4180" w:type="dxa"/>
            <w:vAlign w:val="bottom"/>
          </w:tcPr>
          <w:p>
            <w:pPr>
              <w:spacing w:after="0"/>
              <w:rPr>
                <w:sz w:val="24"/>
                <w:szCs w:val="24"/>
                <w:color w:val="auto"/>
              </w:rPr>
            </w:pPr>
          </w:p>
        </w:tc>
      </w:tr>
      <w:tr>
        <w:trPr>
          <w:trHeight w:val="270"/>
        </w:trPr>
        <w:tc>
          <w:tcPr>
            <w:tcW w:w="4380" w:type="dxa"/>
            <w:vAlign w:val="bottom"/>
            <w:gridSpan w:val="3"/>
          </w:tcPr>
          <w:p>
            <w:pPr>
              <w:ind w:left="40"/>
              <w:spacing w:after="0"/>
              <w:rPr>
                <w:sz w:val="20"/>
                <w:szCs w:val="20"/>
                <w:color w:val="auto"/>
              </w:rPr>
            </w:pPr>
            <w:r>
              <w:rPr>
                <w:rFonts w:ascii="Arial" w:cs="Arial" w:eastAsia="Arial" w:hAnsi="Arial"/>
                <w:sz w:val="18"/>
                <w:szCs w:val="18"/>
                <w:color w:val="auto"/>
              </w:rPr>
              <w:t>Vice President, Investor Relations &amp; Communications</w:t>
            </w:r>
          </w:p>
        </w:tc>
        <w:tc>
          <w:tcPr>
            <w:tcW w:w="7020" w:type="dxa"/>
            <w:vAlign w:val="bottom"/>
            <w:gridSpan w:val="2"/>
          </w:tcPr>
          <w:p>
            <w:pPr>
              <w:ind w:left="1360"/>
              <w:spacing w:after="0"/>
              <w:rPr>
                <w:sz w:val="20"/>
                <w:szCs w:val="20"/>
                <w:color w:val="auto"/>
              </w:rPr>
            </w:pPr>
            <w:r>
              <w:rPr>
                <w:rFonts w:ascii="Arial" w:cs="Arial" w:eastAsia="Arial" w:hAnsi="Arial"/>
                <w:sz w:val="18"/>
                <w:szCs w:val="18"/>
                <w:color w:val="auto"/>
              </w:rPr>
              <w:t>Manager, Investor Relations</w:t>
            </w:r>
          </w:p>
        </w:tc>
      </w:tr>
      <w:tr>
        <w:trPr>
          <w:trHeight w:val="270"/>
        </w:trPr>
        <w:tc>
          <w:tcPr>
            <w:tcW w:w="4380" w:type="dxa"/>
            <w:vAlign w:val="bottom"/>
            <w:gridSpan w:val="3"/>
          </w:tcPr>
          <w:p>
            <w:pPr>
              <w:ind w:left="40"/>
              <w:spacing w:after="0"/>
              <w:rPr>
                <w:sz w:val="20"/>
                <w:szCs w:val="20"/>
                <w:color w:val="auto"/>
              </w:rPr>
            </w:pPr>
            <w:r>
              <w:rPr>
                <w:rFonts w:ascii="Arial" w:cs="Arial" w:eastAsia="Arial" w:hAnsi="Arial"/>
                <w:sz w:val="18"/>
                <w:szCs w:val="18"/>
                <w:color w:val="auto"/>
              </w:rPr>
              <w:t>(866) 809-1291</w:t>
            </w:r>
          </w:p>
        </w:tc>
        <w:tc>
          <w:tcPr>
            <w:tcW w:w="2840" w:type="dxa"/>
            <w:vAlign w:val="bottom"/>
          </w:tcPr>
          <w:p>
            <w:pPr>
              <w:ind w:left="1360"/>
              <w:spacing w:after="0"/>
              <w:rPr>
                <w:sz w:val="20"/>
                <w:szCs w:val="20"/>
                <w:color w:val="auto"/>
              </w:rPr>
            </w:pPr>
            <w:r>
              <w:rPr>
                <w:rFonts w:ascii="Arial" w:cs="Arial" w:eastAsia="Arial" w:hAnsi="Arial"/>
                <w:sz w:val="18"/>
                <w:szCs w:val="18"/>
                <w:color w:val="auto"/>
              </w:rPr>
              <w:t>(866) 809-1291</w:t>
            </w:r>
          </w:p>
        </w:tc>
        <w:tc>
          <w:tcPr>
            <w:tcW w:w="4180" w:type="dxa"/>
            <w:vAlign w:val="bottom"/>
          </w:tcPr>
          <w:p>
            <w:pPr>
              <w:spacing w:after="0"/>
              <w:rPr>
                <w:sz w:val="23"/>
                <w:szCs w:val="23"/>
                <w:color w:val="auto"/>
              </w:rPr>
            </w:pPr>
          </w:p>
        </w:tc>
      </w:tr>
      <w:tr>
        <w:trPr>
          <w:trHeight w:val="702"/>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840" w:type="dxa"/>
            <w:vAlign w:val="bottom"/>
          </w:tcPr>
          <w:p>
            <w:pPr>
              <w:jc w:val="right"/>
              <w:ind w:right="1290"/>
              <w:spacing w:after="0"/>
              <w:rPr>
                <w:sz w:val="20"/>
                <w:szCs w:val="20"/>
                <w:color w:val="auto"/>
              </w:rPr>
            </w:pPr>
            <w:r>
              <w:rPr>
                <w:rFonts w:ascii="Arial" w:cs="Arial" w:eastAsia="Arial" w:hAnsi="Arial"/>
                <w:sz w:val="18"/>
                <w:szCs w:val="18"/>
                <w:color w:val="auto"/>
              </w:rPr>
              <w:t>###</w:t>
            </w:r>
          </w:p>
        </w:tc>
        <w:tc>
          <w:tcPr>
            <w:tcW w:w="4180" w:type="dxa"/>
            <w:vAlign w:val="bottom"/>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74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tcPr>
          <w:p>
            <w:pPr>
              <w:spacing w:after="0"/>
              <w:rPr>
                <w:sz w:val="21"/>
                <w:szCs w:val="21"/>
                <w:color w:val="auto"/>
              </w:rPr>
            </w:pPr>
          </w:p>
        </w:tc>
        <w:tc>
          <w:tcPr>
            <w:tcW w:w="4180" w:type="dxa"/>
            <w:vAlign w:val="bottom"/>
            <w:tcBorders>
              <w:bottom w:val="single" w:sz="8" w:color="auto"/>
            </w:tcBorders>
          </w:tcPr>
          <w:p>
            <w:pPr>
              <w:spacing w:after="0"/>
              <w:rPr>
                <w:sz w:val="21"/>
                <w:szCs w:val="21"/>
                <w:color w:val="auto"/>
              </w:rPr>
            </w:pPr>
          </w:p>
        </w:tc>
      </w:tr>
      <w:tr>
        <w:trPr>
          <w:trHeight w:val="345"/>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740" w:type="dxa"/>
            <w:vAlign w:val="bottom"/>
          </w:tcPr>
          <w:p>
            <w:pPr>
              <w:ind w:left="1060"/>
              <w:spacing w:after="0"/>
              <w:rPr>
                <w:sz w:val="20"/>
                <w:szCs w:val="20"/>
                <w:color w:val="auto"/>
              </w:rPr>
            </w:pPr>
            <w:r>
              <w:rPr>
                <w:rFonts w:ascii="Arial" w:cs="Arial" w:eastAsia="Arial" w:hAnsi="Arial"/>
                <w:sz w:val="18"/>
                <w:szCs w:val="18"/>
                <w:b w:val="1"/>
                <w:bCs w:val="1"/>
                <w:color w:val="auto"/>
              </w:rPr>
              <w:t>333 Clay Street, Suite 1600</w:t>
            </w:r>
          </w:p>
        </w:tc>
        <w:tc>
          <w:tcPr>
            <w:tcW w:w="2840" w:type="dxa"/>
            <w:vAlign w:val="bottom"/>
          </w:tcPr>
          <w:p>
            <w:pPr>
              <w:ind w:left="460"/>
              <w:spacing w:after="0"/>
              <w:rPr>
                <w:sz w:val="20"/>
                <w:szCs w:val="20"/>
                <w:color w:val="auto"/>
              </w:rPr>
            </w:pPr>
            <w:r>
              <w:rPr>
                <w:rFonts w:ascii="Arial" w:cs="Arial" w:eastAsia="Arial" w:hAnsi="Arial"/>
                <w:sz w:val="18"/>
                <w:szCs w:val="18"/>
                <w:b w:val="1"/>
                <w:bCs w:val="1"/>
                <w:color w:val="auto"/>
              </w:rPr>
              <w:t>Houston, Texas 77002</w:t>
            </w:r>
          </w:p>
        </w:tc>
        <w:tc>
          <w:tcPr>
            <w:tcW w:w="4180" w:type="dxa"/>
            <w:vAlign w:val="bottom"/>
          </w:tcPr>
          <w:p>
            <w:pPr>
              <w:jc w:val="right"/>
              <w:ind w:right="1550"/>
              <w:spacing w:after="0"/>
              <w:rPr>
                <w:sz w:val="20"/>
                <w:szCs w:val="20"/>
                <w:color w:val="auto"/>
              </w:rPr>
            </w:pPr>
            <w:r>
              <w:rPr>
                <w:rFonts w:ascii="Arial" w:cs="Arial" w:eastAsia="Arial" w:hAnsi="Arial"/>
                <w:sz w:val="18"/>
                <w:szCs w:val="18"/>
                <w:b w:val="1"/>
                <w:bCs w:val="1"/>
                <w:color w:val="auto"/>
              </w:rPr>
              <w:t>713-646-4100 / 866-809-1291</w:t>
            </w:r>
          </w:p>
        </w:tc>
      </w:tr>
    </w:tbl>
    <w:p>
      <w:pPr>
        <w:spacing w:after="0" w:line="1" w:lineRule="exact"/>
        <w:rPr>
          <w:sz w:val="20"/>
          <w:szCs w:val="20"/>
          <w:color w:val="auto"/>
        </w:rPr>
      </w:pP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1"/>
    </w:lvl>
    <w:lvl w:ilvl="1">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lvl w:ilvl="1">
      <w:lvlJc w:val="left"/>
      <w:lvlText w:val="-"/>
      <w:numFmt w:val="bullet"/>
      <w:start w:val="1"/>
    </w:lvl>
  </w:abstractNum>
  <w:abstractNum w:abstractNumId="6">
    <w:nsid w:val="3352255A"/>
    <w:multiLevelType w:val="hybridMultilevel"/>
    <w:lvl w:ilvl="0">
      <w:lvlJc w:val="left"/>
      <w:lvlText w:val="(%1)"/>
      <w:numFmt w:val="decimal"/>
      <w:start w:val="1"/>
    </w:lvl>
    <w:lvl w:ilvl="1">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lvl w:ilvl="1">
      <w:lvlJc w:val="left"/>
      <w:lvlText w:val="-"/>
      <w:numFmt w:val="bullet"/>
      <w:start w:val="1"/>
    </w:lvl>
  </w:abstractNum>
  <w:abstractNum w:abstractNumId="9">
    <w:nsid w:val="7FDCC233"/>
    <w:multiLevelType w:val="hybridMultilevel"/>
    <w:lvl w:ilvl="0">
      <w:lvlJc w:val="left"/>
      <w:lvlText w:val="(%1)"/>
      <w:numFmt w:val="decimal"/>
      <w:start w:val="1"/>
    </w:lvl>
    <w:lvl w:ilvl="1">
      <w:lvlJc w:val="left"/>
      <w:lvlText w:val="-"/>
      <w:numFmt w:val="bullet"/>
      <w:start w:val="1"/>
    </w:lvl>
  </w:abstractNum>
  <w:abstractNum w:abstractNumId="10">
    <w:nsid w:val="1BEFD79F"/>
    <w:multiLevelType w:val="hybridMultilevel"/>
    <w:lvl w:ilvl="0">
      <w:lvlJc w:val="left"/>
      <w:lvlText w:val="(%1)"/>
      <w:numFmt w:val="decimal"/>
      <w:start w:val="1"/>
    </w:lvl>
    <w:lvl w:ilvl="1">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lvl w:ilvl="1">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
      <w:numFmt w:val="bullet"/>
      <w:start w:val="1"/>
    </w:lvl>
  </w:abstractNum>
  <w:abstractNum w:abstractNumId="16">
    <w:nsid w:val="431BD7B7"/>
    <w:multiLevelType w:val="hybridMultilevel"/>
    <w:lvl w:ilvl="0">
      <w:lvlJc w:val="left"/>
      <w:lvlText w:val="(%1)"/>
      <w:numFmt w:val="decimal"/>
      <w:start w:val="1"/>
    </w:lvl>
    <w:lvl w:ilvl="1">
      <w:lvlJc w:val="left"/>
      <w:lvlText w:val="-"/>
      <w:numFmt w:val="bullet"/>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2020-01-17T23:20:15Z</dcterms:created>
  <dcterms:modified xsi:type="dcterms:W3CDTF">2020-01-17T23:20:15Z</dcterms:modified>
</cp:coreProperties>
</file>