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92075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83185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83185</wp:posOffset>
            </wp:positionV>
            <wp:extent cx="3627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Check the following box if a fee is being paid with this statement </w:t>
      </w:r>
      <w:r>
        <w:rPr>
          <w:rFonts w:ascii="MS PGothic" w:cs="MS PGothic" w:eastAsia="MS PGothic" w:hAnsi="MS PGothic"/>
          <w:sz w:val="18"/>
          <w:szCs w:val="18"/>
          <w:color w:val="auto"/>
        </w:rPr>
        <w:t>☐</w:t>
      </w:r>
      <w:r>
        <w:rPr>
          <w:rFonts w:ascii="Arial" w:cs="Arial" w:eastAsia="Arial" w:hAnsi="Arial"/>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3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CUSIP NO. 72651A207</w:t>
            </w:r>
          </w:p>
        </w:tc>
        <w:tc>
          <w:tcPr>
            <w:tcW w:w="440" w:type="dxa"/>
            <w:vAlign w:val="bottom"/>
          </w:tcPr>
          <w:p>
            <w:pPr>
              <w:spacing w:after="0"/>
              <w:rPr>
                <w:sz w:val="20"/>
                <w:szCs w:val="20"/>
                <w:color w:val="auto"/>
              </w:rPr>
            </w:pPr>
          </w:p>
        </w:tc>
        <w:tc>
          <w:tcPr>
            <w:tcW w:w="6660" w:type="dxa"/>
            <w:vAlign w:val="bottom"/>
          </w:tcPr>
          <w:p>
            <w:pPr>
              <w:ind w:left="2860"/>
              <w:spacing w:after="0"/>
              <w:rPr>
                <w:sz w:val="20"/>
                <w:szCs w:val="20"/>
                <w:color w:val="auto"/>
              </w:rPr>
            </w:pPr>
            <w:r>
              <w:rPr>
                <w:rFonts w:ascii="Arial" w:cs="Arial" w:eastAsia="Arial" w:hAnsi="Arial"/>
                <w:sz w:val="18"/>
                <w:szCs w:val="18"/>
                <w:color w:val="auto"/>
              </w:rPr>
              <w:t>13G</w:t>
            </w:r>
          </w:p>
        </w:tc>
        <w:tc>
          <w:tcPr>
            <w:tcW w:w="2020" w:type="dxa"/>
            <w:vAlign w:val="bottom"/>
          </w:tcPr>
          <w:p>
            <w:pPr>
              <w:ind w:left="420"/>
              <w:spacing w:after="0"/>
              <w:rPr>
                <w:sz w:val="20"/>
                <w:szCs w:val="20"/>
                <w:color w:val="auto"/>
              </w:rPr>
            </w:pPr>
            <w:r>
              <w:rPr>
                <w:rFonts w:ascii="Arial" w:cs="Arial" w:eastAsia="Arial" w:hAnsi="Arial"/>
                <w:sz w:val="18"/>
                <w:szCs w:val="18"/>
                <w:color w:val="auto"/>
                <w:w w:val="88"/>
              </w:rPr>
              <w:t>PAGE 2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gridSpan w:val="4"/>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S.S. or I.R.S. IDENTIFICATION NO. OF ABOVE PERSON</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(A)  KAYNE ANDERSON CAPITAL ADVISORS, L.P. - 95-4486379</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00" w:type="dxa"/>
            <w:vAlign w:val="bottom"/>
            <w:tcBorders>
              <w:left w:val="single" w:sz="8" w:color="auto"/>
              <w:right w:val="single" w:sz="8" w:color="auto"/>
            </w:tcBorders>
          </w:tcPr>
          <w:p>
            <w:pPr>
              <w:spacing w:after="0"/>
              <w:rPr>
                <w:sz w:val="5"/>
                <w:szCs w:val="5"/>
                <w:color w:val="auto"/>
              </w:rPr>
            </w:pPr>
          </w:p>
        </w:tc>
        <w:tc>
          <w:tcPr>
            <w:tcW w:w="8000" w:type="dxa"/>
            <w:vAlign w:val="bottom"/>
            <w:gridSpan w:val="4"/>
            <w:vMerge w:val="continue"/>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000" w:type="dxa"/>
            <w:vAlign w:val="bottom"/>
            <w:gridSpan w:val="4"/>
          </w:tcPr>
          <w:p>
            <w:pPr>
              <w:ind w:left="40"/>
              <w:spacing w:after="0"/>
              <w:rPr>
                <w:sz w:val="20"/>
                <w:szCs w:val="20"/>
                <w:color w:val="auto"/>
              </w:rPr>
            </w:pPr>
            <w:r>
              <w:rPr>
                <w:rFonts w:ascii="Arial" w:cs="Arial" w:eastAsia="Arial" w:hAnsi="Arial"/>
                <w:sz w:val="18"/>
                <w:szCs w:val="18"/>
                <w:color w:val="auto"/>
              </w:rPr>
              <w:t>(B)  RICHARD A. KAYNE</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8000" w:type="dxa"/>
            <w:vAlign w:val="bottom"/>
            <w:tcBorders>
              <w:bottom w:val="single" w:sz="8" w:color="auto"/>
            </w:tcBorders>
            <w:gridSpan w:val="4"/>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9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660" w:type="dxa"/>
            <w:vAlign w:val="bottom"/>
            <w:shd w:val="clear" w:color="auto" w:fill="BFBFBF"/>
          </w:tcPr>
          <w:p>
            <w:pPr>
              <w:spacing w:after="0"/>
              <w:rPr>
                <w:sz w:val="20"/>
                <w:szCs w:val="20"/>
                <w:color w:val="auto"/>
              </w:rPr>
            </w:pPr>
          </w:p>
        </w:tc>
        <w:tc>
          <w:tcPr>
            <w:tcW w:w="20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6660" w:type="dxa"/>
            <w:vAlign w:val="bottom"/>
            <w:shd w:val="clear" w:color="auto" w:fill="BFBFBF"/>
          </w:tcPr>
          <w:p>
            <w:pPr>
              <w:spacing w:after="0"/>
              <w:rPr>
                <w:sz w:val="24"/>
                <w:szCs w:val="24"/>
                <w:color w:val="auto"/>
              </w:rPr>
            </w:pPr>
          </w:p>
        </w:tc>
        <w:tc>
          <w:tcPr>
            <w:tcW w:w="20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60" w:type="dxa"/>
            <w:vAlign w:val="bottom"/>
            <w:tcBorders>
              <w:bottom w:val="single" w:sz="8" w:color="auto"/>
            </w:tcBorders>
            <w:shd w:val="clear" w:color="auto" w:fill="BFBFBF"/>
          </w:tcPr>
          <w:p>
            <w:pPr>
              <w:spacing w:after="0"/>
              <w:rPr>
                <w:sz w:val="23"/>
                <w:szCs w:val="23"/>
                <w:color w:val="auto"/>
              </w:rPr>
            </w:pPr>
          </w:p>
        </w:tc>
        <w:tc>
          <w:tcPr>
            <w:tcW w:w="2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0" w:type="dxa"/>
            <w:vAlign w:val="bottom"/>
            <w:gridSpan w:val="4"/>
          </w:tcPr>
          <w:p>
            <w:pPr>
              <w:ind w:left="40"/>
              <w:spacing w:after="0"/>
              <w:rPr>
                <w:sz w:val="20"/>
                <w:szCs w:val="20"/>
                <w:color w:val="auto"/>
              </w:rPr>
            </w:pPr>
            <w:r>
              <w:rPr>
                <w:rFonts w:ascii="Arial" w:cs="Arial" w:eastAsia="Arial" w:hAnsi="Arial"/>
                <w:sz w:val="18"/>
                <w:szCs w:val="18"/>
                <w:color w:val="auto"/>
              </w:rPr>
              <w:t>(A)  IS A CALIFORNIA LIMITED PARTNERSHIP</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000" w:type="dxa"/>
            <w:vAlign w:val="bottom"/>
            <w:gridSpan w:val="4"/>
          </w:tcPr>
          <w:p>
            <w:pPr>
              <w:ind w:left="40"/>
              <w:spacing w:after="0"/>
              <w:rPr>
                <w:sz w:val="20"/>
                <w:szCs w:val="20"/>
                <w:color w:val="auto"/>
              </w:rPr>
            </w:pPr>
            <w:r>
              <w:rPr>
                <w:rFonts w:ascii="Arial" w:cs="Arial" w:eastAsia="Arial" w:hAnsi="Arial"/>
                <w:sz w:val="18"/>
                <w:szCs w:val="18"/>
                <w:color w:val="auto"/>
              </w:rPr>
              <w:t>(B)  UNITED STATES</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(A) 0</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(B) 690,673</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40" w:type="dxa"/>
            <w:vAlign w:val="bottom"/>
          </w:tcPr>
          <w:p>
            <w:pPr>
              <w:spacing w:after="0"/>
              <w:rPr>
                <w:sz w:val="21"/>
                <w:szCs w:val="21"/>
                <w:color w:val="auto"/>
              </w:rPr>
            </w:pPr>
          </w:p>
        </w:tc>
        <w:tc>
          <w:tcPr>
            <w:tcW w:w="440" w:type="dxa"/>
            <w:vAlign w:val="bottom"/>
            <w:tcBorders>
              <w:right w:val="single" w:sz="8" w:color="auto"/>
            </w:tcBorders>
            <w:vMerge w:val="continue"/>
          </w:tcPr>
          <w:p>
            <w:pPr>
              <w:spacing w:after="0"/>
              <w:rPr>
                <w:sz w:val="21"/>
                <w:szCs w:val="21"/>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(A) 7,080,719</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(B) 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gridSpan w:val="2"/>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66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4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66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6660" w:type="dxa"/>
            <w:vAlign w:val="bottom"/>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(A) 0</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(B) 690,673</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(A) 7,080,719</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(B) 0</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gridSpan w:val="2"/>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 7,080,719</w:t>
            </w: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89"/>
              </w:rPr>
              <w:t>(B) 690,673</w:t>
            </w:r>
          </w:p>
        </w:tc>
        <w:tc>
          <w:tcPr>
            <w:tcW w:w="4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9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66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66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(A) IA</w:t>
            </w: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(B) IN</w:t>
            </w:r>
          </w:p>
        </w:tc>
        <w:tc>
          <w:tcPr>
            <w:tcW w:w="4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60" w:type="dxa"/>
            <w:vAlign w:val="bottom"/>
          </w:tcPr>
          <w:p>
            <w:pPr>
              <w:ind w:left="1120"/>
              <w:spacing w:after="0"/>
              <w:rPr>
                <w:sz w:val="20"/>
                <w:szCs w:val="20"/>
                <w:color w:val="auto"/>
              </w:rPr>
            </w:pPr>
            <w:r>
              <w:rPr>
                <w:rFonts w:ascii="Arial" w:cs="Arial" w:eastAsia="Arial" w:hAnsi="Arial"/>
                <w:sz w:val="18"/>
                <w:szCs w:val="18"/>
                <w:color w:val="auto"/>
              </w:rPr>
              <w:t>*SEE INSTRUCTIONS BEFORE FILLING OUT!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60" w:type="dxa"/>
            <w:vAlign w:val="bottom"/>
          </w:tcPr>
          <w:p>
            <w:pPr>
              <w:ind w:left="2580"/>
              <w:spacing w:after="0"/>
              <w:rPr>
                <w:sz w:val="20"/>
                <w:szCs w:val="20"/>
                <w:color w:val="auto"/>
              </w:rPr>
            </w:pPr>
            <w:r>
              <w:rPr>
                <w:rFonts w:ascii="Arial" w:cs="Arial" w:eastAsia="Arial" w:hAnsi="Arial"/>
                <w:sz w:val="14"/>
                <w:szCs w:val="14"/>
                <w:color w:val="auto"/>
              </w:rPr>
              <w:t>PAGE 2 OF 8</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ind w:left="20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0"/>
                <w:szCs w:val="20"/>
                <w:color w:val="auto"/>
              </w:rPr>
            </w:pP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1640" w:type="dxa"/>
            <w:vAlign w:val="bottom"/>
          </w:tcPr>
          <w:p>
            <w:pPr>
              <w:ind w:left="60"/>
              <w:spacing w:after="0"/>
              <w:rPr>
                <w:sz w:val="20"/>
                <w:szCs w:val="20"/>
                <w:color w:val="auto"/>
              </w:rPr>
            </w:pPr>
            <w:r>
              <w:rPr>
                <w:rFonts w:ascii="Arial" w:cs="Arial" w:eastAsia="Arial" w:hAnsi="Arial"/>
                <w:sz w:val="18"/>
                <w:szCs w:val="18"/>
                <w:color w:val="auto"/>
              </w:rPr>
              <w:t>Issuer:</w:t>
            </w:r>
          </w:p>
        </w:tc>
        <w:tc>
          <w:tcPr>
            <w:tcW w:w="4420" w:type="dxa"/>
            <w:vAlign w:val="bottom"/>
          </w:tcPr>
          <w:p>
            <w:pPr>
              <w:ind w:left="480"/>
              <w:spacing w:after="0"/>
              <w:rPr>
                <w:sz w:val="20"/>
                <w:szCs w:val="20"/>
                <w:color w:val="auto"/>
              </w:rPr>
            </w:pPr>
            <w:r>
              <w:rPr>
                <w:rFonts w:ascii="Arial" w:cs="Arial" w:eastAsia="Arial" w:hAnsi="Arial"/>
                <w:sz w:val="18"/>
                <w:szCs w:val="18"/>
                <w:color w:val="auto"/>
              </w:rPr>
              <w:t>Plains GP Holdings, L.P.</w:t>
            </w:r>
          </w:p>
        </w:tc>
        <w:tc>
          <w:tcPr>
            <w:tcW w:w="19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1640" w:type="dxa"/>
            <w:vAlign w:val="bottom"/>
          </w:tcPr>
          <w:p>
            <w:pPr>
              <w:ind w:left="60"/>
              <w:spacing w:after="0"/>
              <w:rPr>
                <w:sz w:val="20"/>
                <w:szCs w:val="20"/>
                <w:color w:val="auto"/>
              </w:rPr>
            </w:pPr>
            <w:r>
              <w:rPr>
                <w:rFonts w:ascii="Arial" w:cs="Arial" w:eastAsia="Arial" w:hAnsi="Arial"/>
                <w:sz w:val="18"/>
                <w:szCs w:val="18"/>
                <w:color w:val="auto"/>
              </w:rPr>
              <w:t>Address:</w:t>
            </w:r>
          </w:p>
        </w:tc>
        <w:tc>
          <w:tcPr>
            <w:tcW w:w="4420" w:type="dxa"/>
            <w:vAlign w:val="bottom"/>
          </w:tcPr>
          <w:p>
            <w:pPr>
              <w:ind w:left="480"/>
              <w:spacing w:after="0"/>
              <w:rPr>
                <w:sz w:val="20"/>
                <w:szCs w:val="20"/>
                <w:color w:val="auto"/>
              </w:rPr>
            </w:pPr>
            <w:r>
              <w:rPr>
                <w:rFonts w:ascii="Arial" w:cs="Arial" w:eastAsia="Arial" w:hAnsi="Arial"/>
                <w:sz w:val="18"/>
                <w:szCs w:val="18"/>
                <w:color w:val="auto"/>
              </w:rPr>
              <w:t>333 Clay Street Suite #600</w:t>
            </w:r>
          </w:p>
        </w:tc>
        <w:tc>
          <w:tcPr>
            <w:tcW w:w="19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Houston, TX 77002</w:t>
            </w:r>
          </w:p>
        </w:tc>
        <w:tc>
          <w:tcPr>
            <w:tcW w:w="1900" w:type="dxa"/>
            <w:vAlign w:val="bottom"/>
          </w:tcPr>
          <w:p>
            <w:pPr>
              <w:spacing w:after="0"/>
              <w:rPr>
                <w:sz w:val="20"/>
                <w:szCs w:val="20"/>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1640" w:type="dxa"/>
            <w:vAlign w:val="bottom"/>
          </w:tcPr>
          <w:p>
            <w:pPr>
              <w:ind w:left="60"/>
              <w:spacing w:after="0"/>
              <w:rPr>
                <w:sz w:val="20"/>
                <w:szCs w:val="20"/>
                <w:color w:val="auto"/>
              </w:rPr>
            </w:pPr>
            <w:r>
              <w:rPr>
                <w:rFonts w:ascii="Arial" w:cs="Arial" w:eastAsia="Arial" w:hAnsi="Arial"/>
                <w:sz w:val="18"/>
                <w:szCs w:val="18"/>
                <w:color w:val="auto"/>
              </w:rPr>
              <w:t>Filing Persons:</w:t>
            </w:r>
          </w:p>
        </w:tc>
        <w:tc>
          <w:tcPr>
            <w:tcW w:w="4420" w:type="dxa"/>
            <w:vAlign w:val="bottom"/>
          </w:tcPr>
          <w:p>
            <w:pPr>
              <w:ind w:left="480"/>
              <w:spacing w:after="0"/>
              <w:rPr>
                <w:sz w:val="20"/>
                <w:szCs w:val="20"/>
                <w:color w:val="auto"/>
              </w:rPr>
            </w:pPr>
            <w:r>
              <w:rPr>
                <w:rFonts w:ascii="Arial" w:cs="Arial" w:eastAsia="Arial" w:hAnsi="Arial"/>
                <w:sz w:val="18"/>
                <w:szCs w:val="18"/>
                <w:color w:val="auto"/>
              </w:rPr>
              <w:t>Kayne Anderson</w:t>
            </w:r>
          </w:p>
        </w:tc>
        <w:tc>
          <w:tcPr>
            <w:tcW w:w="1900" w:type="dxa"/>
            <w:vAlign w:val="bottom"/>
          </w:tcPr>
          <w:p>
            <w:pPr>
              <w:ind w:left="40"/>
              <w:spacing w:after="0"/>
              <w:rPr>
                <w:sz w:val="20"/>
                <w:szCs w:val="20"/>
                <w:color w:val="auto"/>
              </w:rPr>
            </w:pPr>
            <w:r>
              <w:rPr>
                <w:rFonts w:ascii="Arial" w:cs="Arial" w:eastAsia="Arial" w:hAnsi="Arial"/>
                <w:sz w:val="18"/>
                <w:szCs w:val="18"/>
                <w:color w:val="auto"/>
              </w:rPr>
              <w:t>Richard A. Kayne</w:t>
            </w: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Capital Advisors, L.P.</w:t>
            </w:r>
          </w:p>
        </w:tc>
        <w:tc>
          <w:tcPr>
            <w:tcW w:w="19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1640" w:type="dxa"/>
            <w:vAlign w:val="bottom"/>
          </w:tcPr>
          <w:p>
            <w:pPr>
              <w:ind w:left="60"/>
              <w:spacing w:after="0"/>
              <w:rPr>
                <w:sz w:val="20"/>
                <w:szCs w:val="20"/>
                <w:color w:val="auto"/>
              </w:rPr>
            </w:pPr>
            <w:r>
              <w:rPr>
                <w:rFonts w:ascii="Arial" w:cs="Arial" w:eastAsia="Arial" w:hAnsi="Arial"/>
                <w:sz w:val="18"/>
                <w:szCs w:val="18"/>
                <w:color w:val="auto"/>
              </w:rPr>
              <w:t>Addresses:</w:t>
            </w:r>
          </w:p>
        </w:tc>
        <w:tc>
          <w:tcPr>
            <w:tcW w:w="4420" w:type="dxa"/>
            <w:vAlign w:val="bottom"/>
          </w:tcPr>
          <w:p>
            <w:pPr>
              <w:ind w:left="480"/>
              <w:spacing w:after="0"/>
              <w:rPr>
                <w:sz w:val="20"/>
                <w:szCs w:val="20"/>
                <w:color w:val="auto"/>
              </w:rPr>
            </w:pPr>
            <w:r>
              <w:rPr>
                <w:rFonts w:ascii="Arial" w:cs="Arial" w:eastAsia="Arial" w:hAnsi="Arial"/>
                <w:sz w:val="18"/>
                <w:szCs w:val="18"/>
                <w:color w:val="auto"/>
              </w:rPr>
              <w:t>1800 Avenue of the Stars,</w:t>
            </w:r>
          </w:p>
        </w:tc>
        <w:tc>
          <w:tcPr>
            <w:tcW w:w="1900" w:type="dxa"/>
            <w:vAlign w:val="bottom"/>
          </w:tcPr>
          <w:p>
            <w:pPr>
              <w:ind w:left="40"/>
              <w:spacing w:after="0"/>
              <w:rPr>
                <w:sz w:val="20"/>
                <w:szCs w:val="20"/>
                <w:color w:val="auto"/>
              </w:rPr>
            </w:pPr>
            <w:r>
              <w:rPr>
                <w:rFonts w:ascii="Arial" w:cs="Arial" w:eastAsia="Arial" w:hAnsi="Arial"/>
                <w:sz w:val="18"/>
                <w:szCs w:val="18"/>
                <w:color w:val="auto"/>
                <w:w w:val="88"/>
              </w:rPr>
              <w:t>1800 Avenue of the Stars,</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Third Floor</w:t>
            </w:r>
          </w:p>
        </w:tc>
        <w:tc>
          <w:tcPr>
            <w:tcW w:w="1900" w:type="dxa"/>
            <w:vAlign w:val="bottom"/>
          </w:tcPr>
          <w:p>
            <w:pPr>
              <w:ind w:left="40"/>
              <w:spacing w:after="0"/>
              <w:rPr>
                <w:sz w:val="20"/>
                <w:szCs w:val="20"/>
                <w:color w:val="auto"/>
              </w:rPr>
            </w:pPr>
            <w:r>
              <w:rPr>
                <w:rFonts w:ascii="Arial" w:cs="Arial" w:eastAsia="Arial" w:hAnsi="Arial"/>
                <w:sz w:val="18"/>
                <w:szCs w:val="18"/>
                <w:color w:val="auto"/>
              </w:rPr>
              <w:t>Third Floor</w:t>
            </w: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Los Angeles, CA 90067</w:t>
            </w:r>
          </w:p>
        </w:tc>
        <w:tc>
          <w:tcPr>
            <w:tcW w:w="1900" w:type="dxa"/>
            <w:vAlign w:val="bottom"/>
          </w:tcPr>
          <w:p>
            <w:pPr>
              <w:ind w:left="40"/>
              <w:spacing w:after="0"/>
              <w:rPr>
                <w:sz w:val="20"/>
                <w:szCs w:val="20"/>
                <w:color w:val="auto"/>
              </w:rPr>
            </w:pPr>
            <w:r>
              <w:rPr>
                <w:rFonts w:ascii="Arial" w:cs="Arial" w:eastAsia="Arial" w:hAnsi="Arial"/>
                <w:sz w:val="18"/>
                <w:szCs w:val="18"/>
                <w:color w:val="auto"/>
                <w:w w:val="97"/>
              </w:rPr>
              <w:t>Los Angeles, CA 90067</w:t>
            </w:r>
          </w:p>
        </w:tc>
      </w:tr>
      <w:tr>
        <w:trPr>
          <w:trHeight w:val="418"/>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(c)</w:t>
            </w:r>
          </w:p>
        </w:tc>
        <w:tc>
          <w:tcPr>
            <w:tcW w:w="164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4420" w:type="dxa"/>
            <w:vAlign w:val="bottom"/>
          </w:tcPr>
          <w:p>
            <w:pPr>
              <w:ind w:left="480"/>
              <w:spacing w:after="0"/>
              <w:rPr>
                <w:sz w:val="20"/>
                <w:szCs w:val="20"/>
                <w:color w:val="auto"/>
              </w:rPr>
            </w:pPr>
            <w:r>
              <w:rPr>
                <w:rFonts w:ascii="Arial" w:cs="Arial" w:eastAsia="Arial" w:hAnsi="Arial"/>
                <w:sz w:val="18"/>
                <w:szCs w:val="18"/>
                <w:color w:val="auto"/>
                <w:w w:val="92"/>
              </w:rPr>
              <w:t>Kayne Anderson Capital Advisors, L.P. is a California</w:t>
            </w:r>
          </w:p>
        </w:tc>
        <w:tc>
          <w:tcPr>
            <w:tcW w:w="19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limited partnership</w:t>
            </w:r>
          </w:p>
        </w:tc>
        <w:tc>
          <w:tcPr>
            <w:tcW w:w="19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Richard A. Kayne is a U.S. Citizen</w:t>
            </w:r>
          </w:p>
        </w:tc>
        <w:tc>
          <w:tcPr>
            <w:tcW w:w="19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(d)</w:t>
            </w:r>
          </w:p>
        </w:tc>
        <w:tc>
          <w:tcPr>
            <w:tcW w:w="1640" w:type="dxa"/>
            <w:vAlign w:val="bottom"/>
          </w:tcPr>
          <w:p>
            <w:pPr>
              <w:ind w:left="60"/>
              <w:spacing w:after="0"/>
              <w:rPr>
                <w:sz w:val="20"/>
                <w:szCs w:val="20"/>
                <w:color w:val="auto"/>
              </w:rPr>
            </w:pPr>
            <w:r>
              <w:rPr>
                <w:rFonts w:ascii="Arial" w:cs="Arial" w:eastAsia="Arial" w:hAnsi="Arial"/>
                <w:sz w:val="18"/>
                <w:szCs w:val="18"/>
                <w:color w:val="auto"/>
              </w:rPr>
              <w:t>Title of Class</w:t>
            </w:r>
          </w:p>
        </w:tc>
        <w:tc>
          <w:tcPr>
            <w:tcW w:w="4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8"/>
                <w:szCs w:val="18"/>
                <w:color w:val="auto"/>
              </w:rPr>
              <w:t>of Securities:</w:t>
            </w:r>
          </w:p>
        </w:tc>
        <w:tc>
          <w:tcPr>
            <w:tcW w:w="442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19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(e)</w:t>
            </w:r>
          </w:p>
        </w:tc>
        <w:tc>
          <w:tcPr>
            <w:tcW w:w="164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4420" w:type="dxa"/>
            <w:vAlign w:val="bottom"/>
          </w:tcPr>
          <w:p>
            <w:pPr>
              <w:ind w:left="480"/>
              <w:spacing w:after="0"/>
              <w:rPr>
                <w:sz w:val="20"/>
                <w:szCs w:val="20"/>
                <w:color w:val="auto"/>
              </w:rPr>
            </w:pPr>
            <w:r>
              <w:rPr>
                <w:rFonts w:ascii="Arial" w:cs="Arial" w:eastAsia="Arial" w:hAnsi="Arial"/>
                <w:sz w:val="18"/>
                <w:szCs w:val="18"/>
                <w:color w:val="auto"/>
              </w:rPr>
              <w:t>72651A207</w:t>
            </w:r>
          </w:p>
        </w:tc>
        <w:tc>
          <w:tcPr>
            <w:tcW w:w="1900" w:type="dxa"/>
            <w:vAlign w:val="bottom"/>
          </w:tcPr>
          <w:p>
            <w:pPr>
              <w:spacing w:after="0"/>
              <w:rPr>
                <w:sz w:val="24"/>
                <w:szCs w:val="24"/>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25" w:lineRule="exact"/>
        <w:rPr>
          <w:sz w:val="20"/>
          <w:szCs w:val="20"/>
          <w:color w:val="auto"/>
        </w:rPr>
      </w:pPr>
    </w:p>
    <w:p>
      <w:pPr>
        <w:ind w:left="20" w:right="560" w:firstLine="798"/>
        <w:spacing w:after="0" w:line="555" w:lineRule="auto"/>
        <w:tabs>
          <w:tab w:leader="none" w:pos="1154" w:val="left"/>
        </w:tabs>
        <w:numPr>
          <w:ilvl w:val="0"/>
          <w:numId w:val="1"/>
        </w:numPr>
        <w:rPr>
          <w:rFonts w:ascii="Arial" w:cs="Arial" w:eastAsia="Arial" w:hAnsi="Arial"/>
          <w:sz w:val="18"/>
          <w:szCs w:val="18"/>
          <w:color w:val="auto"/>
        </w:rPr>
      </w:pPr>
      <w:r>
        <w:rPr>
          <w:rFonts w:ascii="Arial" w:cs="Arial" w:eastAsia="Arial" w:hAnsi="Arial"/>
          <w:sz w:val="18"/>
          <w:szCs w:val="18"/>
          <w:color w:val="auto"/>
        </w:rPr>
        <w:t>Kayne Anderson Capital Advisors, L.P., is an investment adviser registered under section 203 of the Investment Advisers Act of 1940. Item 4. Ownership</w:t>
      </w:r>
    </w:p>
    <w:p>
      <w:pPr>
        <w:spacing w:after="0" w:line="1" w:lineRule="exact"/>
        <w:rPr>
          <w:rFonts w:ascii="Arial" w:cs="Arial" w:eastAsia="Arial" w:hAnsi="Arial"/>
          <w:sz w:val="18"/>
          <w:szCs w:val="18"/>
          <w:color w:val="auto"/>
        </w:rPr>
      </w:pPr>
    </w:p>
    <w:p>
      <w:pPr>
        <w:ind w:left="1180" w:hanging="348"/>
        <w:spacing w:after="0"/>
        <w:tabs>
          <w:tab w:leader="none" w:pos="11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Kayne Anderson Capital Advisors, L.P. Managed Accounts</w:t>
            </w:r>
          </w:p>
        </w:tc>
        <w:tc>
          <w:tcPr>
            <w:tcW w:w="3520" w:type="dxa"/>
            <w:vAlign w:val="bottom"/>
          </w:tcPr>
          <w:p>
            <w:pPr>
              <w:jc w:val="right"/>
              <w:spacing w:after="0"/>
              <w:rPr>
                <w:sz w:val="20"/>
                <w:szCs w:val="20"/>
                <w:color w:val="auto"/>
              </w:rPr>
            </w:pPr>
            <w:r>
              <w:rPr>
                <w:rFonts w:ascii="Arial" w:cs="Arial" w:eastAsia="Arial" w:hAnsi="Arial"/>
                <w:sz w:val="18"/>
                <w:szCs w:val="18"/>
                <w:color w:val="auto"/>
              </w:rPr>
              <w:t>7,080,719</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Richard A. Kayne</w:t>
            </w:r>
          </w:p>
        </w:tc>
        <w:tc>
          <w:tcPr>
            <w:tcW w:w="3520" w:type="dxa"/>
            <w:vAlign w:val="bottom"/>
          </w:tcPr>
          <w:p>
            <w:pPr>
              <w:jc w:val="right"/>
              <w:spacing w:after="0"/>
              <w:rPr>
                <w:sz w:val="20"/>
                <w:szCs w:val="20"/>
                <w:color w:val="auto"/>
              </w:rPr>
            </w:pPr>
            <w:r>
              <w:rPr>
                <w:rFonts w:ascii="Arial" w:cs="Arial" w:eastAsia="Arial" w:hAnsi="Arial"/>
                <w:sz w:val="18"/>
                <w:szCs w:val="18"/>
                <w:color w:val="auto"/>
              </w:rPr>
              <w:t>690,673</w:t>
            </w:r>
          </w:p>
        </w:tc>
      </w:tr>
      <w:tr>
        <w:trPr>
          <w:trHeight w:val="486"/>
        </w:trPr>
        <w:tc>
          <w:tcPr>
            <w:tcW w:w="7040" w:type="dxa"/>
            <w:vAlign w:val="bottom"/>
          </w:tcPr>
          <w:p>
            <w:pPr>
              <w:spacing w:after="0"/>
              <w:rPr>
                <w:sz w:val="20"/>
                <w:szCs w:val="20"/>
                <w:color w:val="auto"/>
              </w:rPr>
            </w:pPr>
            <w:r>
              <w:rPr>
                <w:rFonts w:ascii="Arial" w:cs="Arial" w:eastAsia="Arial" w:hAnsi="Arial"/>
                <w:sz w:val="18"/>
                <w:szCs w:val="18"/>
                <w:color w:val="auto"/>
              </w:rPr>
              <w:t>(b)  Percent of Class:</w:t>
            </w:r>
          </w:p>
        </w:tc>
        <w:tc>
          <w:tcPr>
            <w:tcW w:w="3520" w:type="dxa"/>
            <w:vAlign w:val="bottom"/>
          </w:tcPr>
          <w:p>
            <w:pPr>
              <w:jc w:val="right"/>
              <w:spacing w:after="0"/>
              <w:rPr>
                <w:sz w:val="20"/>
                <w:szCs w:val="20"/>
                <w:color w:val="auto"/>
              </w:rPr>
            </w:pPr>
            <w:r>
              <w:rPr>
                <w:rFonts w:ascii="Arial" w:cs="Arial" w:eastAsia="Arial" w:hAnsi="Arial"/>
                <w:sz w:val="18"/>
                <w:szCs w:val="18"/>
                <w:color w:val="auto"/>
              </w:rPr>
              <w:t>(A) 4.44%</w:t>
            </w:r>
          </w:p>
        </w:tc>
      </w:tr>
      <w:tr>
        <w:trPr>
          <w:trHeight w:val="243"/>
        </w:trPr>
        <w:tc>
          <w:tcPr>
            <w:tcW w:w="7040" w:type="dxa"/>
            <w:vAlign w:val="bottom"/>
          </w:tcPr>
          <w:p>
            <w:pPr>
              <w:spacing w:after="0"/>
              <w:rPr>
                <w:sz w:val="21"/>
                <w:szCs w:val="21"/>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(B) 0.43%</w:t>
            </w:r>
          </w:p>
        </w:tc>
      </w:tr>
    </w:tbl>
    <w:p>
      <w:pPr>
        <w:spacing w:after="0" w:line="256" w:lineRule="exact"/>
        <w:rPr>
          <w:sz w:val="20"/>
          <w:szCs w:val="20"/>
          <w:color w:val="auto"/>
        </w:rPr>
      </w:pPr>
    </w:p>
    <w:p>
      <w:pPr>
        <w:ind w:left="840"/>
        <w:spacing w:after="0"/>
        <w:tabs>
          <w:tab w:leader="none" w:pos="11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Number of shares as to which such person has:</w:t>
      </w:r>
    </w:p>
    <w:p>
      <w:pPr>
        <w:spacing w:after="0" w:line="36"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vote or direct to vote</w:t>
            </w:r>
          </w:p>
        </w:tc>
        <w:tc>
          <w:tcPr>
            <w:tcW w:w="3480" w:type="dxa"/>
            <w:vAlign w:val="bottom"/>
          </w:tcPr>
          <w:p>
            <w:pPr>
              <w:jc w:val="right"/>
              <w:spacing w:after="0"/>
              <w:rPr>
                <w:sz w:val="20"/>
                <w:szCs w:val="20"/>
                <w:color w:val="auto"/>
              </w:rPr>
            </w:pPr>
            <w:r>
              <w:rPr>
                <w:rFonts w:ascii="Arial" w:cs="Arial" w:eastAsia="Arial" w:hAnsi="Arial"/>
                <w:sz w:val="18"/>
                <w:szCs w:val="18"/>
                <w:color w:val="auto"/>
              </w:rPr>
              <w:t>(A) 0</w:t>
            </w:r>
          </w:p>
        </w:tc>
      </w:tr>
      <w:tr>
        <w:trPr>
          <w:trHeight w:val="243"/>
        </w:trPr>
        <w:tc>
          <w:tcPr>
            <w:tcW w:w="4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690,673</w:t>
            </w:r>
          </w:p>
        </w:tc>
      </w:tr>
      <w:tr>
        <w:trPr>
          <w:trHeight w:val="243"/>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vote or direct the vote</w:t>
            </w:r>
          </w:p>
        </w:tc>
        <w:tc>
          <w:tcPr>
            <w:tcW w:w="3480" w:type="dxa"/>
            <w:vAlign w:val="bottom"/>
          </w:tcPr>
          <w:p>
            <w:pPr>
              <w:jc w:val="right"/>
              <w:spacing w:after="0"/>
              <w:rPr>
                <w:sz w:val="20"/>
                <w:szCs w:val="20"/>
                <w:color w:val="auto"/>
              </w:rPr>
            </w:pPr>
            <w:r>
              <w:rPr>
                <w:rFonts w:ascii="Arial" w:cs="Arial" w:eastAsia="Arial" w:hAnsi="Arial"/>
                <w:sz w:val="18"/>
                <w:szCs w:val="18"/>
                <w:color w:val="auto"/>
              </w:rPr>
              <w:t>(A) 7,080,719</w:t>
            </w:r>
          </w:p>
        </w:tc>
      </w:tr>
      <w:tr>
        <w:trPr>
          <w:trHeight w:val="243"/>
        </w:trPr>
        <w:tc>
          <w:tcPr>
            <w:tcW w:w="4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0</w:t>
            </w:r>
          </w:p>
        </w:tc>
      </w:tr>
      <w:tr>
        <w:trPr>
          <w:trHeight w:val="243"/>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dispose or direct the disposition</w:t>
            </w:r>
          </w:p>
        </w:tc>
        <w:tc>
          <w:tcPr>
            <w:tcW w:w="3480" w:type="dxa"/>
            <w:vAlign w:val="bottom"/>
          </w:tcPr>
          <w:p>
            <w:pPr>
              <w:jc w:val="right"/>
              <w:spacing w:after="0"/>
              <w:rPr>
                <w:sz w:val="20"/>
                <w:szCs w:val="20"/>
                <w:color w:val="auto"/>
              </w:rPr>
            </w:pPr>
            <w:r>
              <w:rPr>
                <w:rFonts w:ascii="Arial" w:cs="Arial" w:eastAsia="Arial" w:hAnsi="Arial"/>
                <w:sz w:val="18"/>
                <w:szCs w:val="18"/>
                <w:color w:val="auto"/>
              </w:rPr>
              <w:t>(A) 0</w:t>
            </w:r>
          </w:p>
        </w:tc>
      </w:tr>
      <w:tr>
        <w:trPr>
          <w:trHeight w:val="243"/>
        </w:trPr>
        <w:tc>
          <w:tcPr>
            <w:tcW w:w="4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690,673</w:t>
            </w:r>
          </w:p>
        </w:tc>
      </w:tr>
      <w:tr>
        <w:trPr>
          <w:trHeight w:val="243"/>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dispose or direct the disposition of</w:t>
            </w:r>
          </w:p>
        </w:tc>
        <w:tc>
          <w:tcPr>
            <w:tcW w:w="3480" w:type="dxa"/>
            <w:vAlign w:val="bottom"/>
          </w:tcPr>
          <w:p>
            <w:pPr>
              <w:jc w:val="right"/>
              <w:spacing w:after="0"/>
              <w:rPr>
                <w:sz w:val="20"/>
                <w:szCs w:val="20"/>
                <w:color w:val="auto"/>
              </w:rPr>
            </w:pPr>
            <w:r>
              <w:rPr>
                <w:rFonts w:ascii="Arial" w:cs="Arial" w:eastAsia="Arial" w:hAnsi="Arial"/>
                <w:sz w:val="18"/>
                <w:szCs w:val="18"/>
                <w:color w:val="auto"/>
              </w:rPr>
              <w:t>(A) 7,080,719</w:t>
            </w:r>
          </w:p>
        </w:tc>
      </w:tr>
      <w:tr>
        <w:trPr>
          <w:trHeight w:val="243"/>
        </w:trPr>
        <w:tc>
          <w:tcPr>
            <w:tcW w:w="4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0</w:t>
            </w: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Plains GP Holdings, L.P. (Issuer)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3" w:lineRule="exact"/>
        <w:rPr>
          <w:sz w:val="20"/>
          <w:szCs w:val="20"/>
          <w:color w:val="auto"/>
        </w:rPr>
      </w:pPr>
    </w:p>
    <w:p>
      <w:pPr>
        <w:jc w:val="both"/>
        <w:ind w:left="82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ind w:left="820" w:right="106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Not applicable.</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3"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7"/>
          <w:szCs w:val="17"/>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Plains GP Holdings, L.P. (Issuer)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April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DAVID J. SHLADOVSKY</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198"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April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jc w:val="center"/>
        <w:ind w:right="74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(cover page)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 (Issuer)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820" w:hanging="809"/>
        <w:spacing w:after="0" w:line="342" w:lineRule="auto"/>
        <w:tabs>
          <w:tab w:leader="none" w:pos="800" w:val="left"/>
        </w:tabs>
        <w:rPr>
          <w:sz w:val="20"/>
          <w:szCs w:val="20"/>
          <w:color w:val="auto"/>
        </w:rPr>
      </w:pPr>
      <w:r>
        <w:rPr>
          <w:rFonts w:ascii="Arial" w:cs="Arial" w:eastAsia="Arial" w:hAnsi="Arial"/>
          <w:sz w:val="18"/>
          <w:szCs w:val="18"/>
          <w:color w:val="auto"/>
        </w:rPr>
        <w:t>Box 9.</w:t>
      </w:r>
      <w:r>
        <w:rPr>
          <w:sz w:val="20"/>
          <w:szCs w:val="20"/>
          <w:color w:val="auto"/>
        </w:rPr>
        <w:tab/>
      </w:r>
      <w:r>
        <w:rPr>
          <w:rFonts w:ascii="Arial" w:cs="Arial" w:eastAsia="Arial" w:hAnsi="Arial"/>
          <w:sz w:val="16"/>
          <w:szCs w:val="16"/>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51"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UNDERTAKING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jointly to file the attached Statement of Beneficial Ownership on Schedule 13G with the U.S. Securities Exchange Commission and Plains GP Holdings, L.P.</w:t>
      </w:r>
    </w:p>
    <w:p>
      <w:pPr>
        <w:spacing w:after="0" w:line="19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u w:val="single" w:color="auto"/>
          <w:color w:val="auto"/>
        </w:rPr>
        <w:t>April 4, 2019</w:t>
      </w:r>
    </w:p>
    <w:p>
      <w:pPr>
        <w:spacing w:after="0" w:line="240"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jc w:val="center"/>
        <w:ind w:right="74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2019-12-03T14:51:40Z</dcterms:created>
  <dcterms:modified xsi:type="dcterms:W3CDTF">2019-12-03T14:51:40Z</dcterms:modified>
</cp:coreProperties>
</file>