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0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1600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440" w:type="dxa"/>
            <w:vAlign w:val="bottom"/>
            <w:gridSpan w:val="6"/>
          </w:tcPr>
          <w:p>
            <w:pPr>
              <w:spacing w:after="0" w:line="20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PAA</w:t>
              </w:r>
              <w:r>
                <w:rPr>
                  <w:rFonts w:ascii="Arial" w:cs="Arial" w:eastAsia="Arial" w:hAnsi="Arial"/>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7"/>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11"/>
                <w:szCs w:val="11"/>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12/31/2021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1" w:lineRule="exact"/>
        <w:rPr>
          <w:sz w:val="20"/>
          <w:szCs w:val="20"/>
          <w:color w:val="auto"/>
        </w:rPr>
      </w:pPr>
    </w:p>
    <w:p>
      <w:pPr>
        <w:sectPr>
          <w:pgSz w:w="11900" w:h="16906"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7"/>
                <w:szCs w:val="17"/>
                <w:color w:val="0000FF"/>
                <w:w w:val="97"/>
              </w:rPr>
              <w:t>Common Units (Limited Partner Interests</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7"/>
                <w:szCs w:val="17"/>
                <w:color w:val="0000FF"/>
              </w:rPr>
              <w:t>12/31/2021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740" w:type="dxa"/>
            <w:vAlign w:val="bottom"/>
            <w:vMerge w:val="restart"/>
          </w:tcPr>
          <w:p>
            <w:pPr>
              <w:ind w:left="140"/>
              <w:spacing w:after="0"/>
              <w:rPr>
                <w:sz w:val="20"/>
                <w:szCs w:val="20"/>
                <w:color w:val="auto"/>
              </w:rPr>
            </w:pPr>
            <w:r>
              <w:rPr>
                <w:rFonts w:ascii="Arial" w:cs="Arial" w:eastAsia="Arial" w:hAnsi="Arial"/>
                <w:sz w:val="17"/>
                <w:szCs w:val="17"/>
                <w:color w:val="0000FF"/>
                <w:w w:val="94"/>
              </w:rPr>
              <w:t>140,505</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580" w:type="dxa"/>
            <w:vAlign w:val="bottom"/>
            <w:gridSpan w:val="3"/>
            <w:vMerge w:val="restart"/>
          </w:tcPr>
          <w:p>
            <w:pPr>
              <w:jc w:val="right"/>
              <w:ind w:right="40"/>
              <w:spacing w:after="0" w:line="382" w:lineRule="exact"/>
              <w:rPr>
                <w:sz w:val="20"/>
                <w:szCs w:val="20"/>
                <w:color w:val="auto"/>
              </w:rPr>
            </w:pPr>
            <w:r>
              <w:rPr>
                <w:rFonts w:ascii="Arial" w:cs="Arial" w:eastAsia="Arial" w:hAnsi="Arial"/>
                <w:sz w:val="34"/>
                <w:szCs w:val="34"/>
                <w:color w:val="000000"/>
                <w:w w:val="88"/>
                <w:vertAlign w:val="subscript"/>
              </w:rPr>
              <w:t>$</w:t>
            </w:r>
            <w:r>
              <w:rPr>
                <w:rFonts w:ascii="Arial" w:cs="Arial" w:eastAsia="Arial" w:hAnsi="Arial"/>
                <w:sz w:val="34"/>
                <w:szCs w:val="34"/>
                <w:color w:val="0000FF"/>
                <w:w w:val="88"/>
                <w:vertAlign w:val="subscript"/>
              </w:rPr>
              <w:t>0</w:t>
            </w:r>
            <w:r>
              <w:rPr>
                <w:rFonts w:ascii="Arial" w:cs="Arial" w:eastAsia="Arial" w:hAnsi="Arial"/>
                <w:sz w:val="11"/>
                <w:szCs w:val="11"/>
                <w:color w:val="008000"/>
                <w:w w:val="88"/>
              </w:rPr>
              <w:t>(1)(2)</w:t>
            </w:r>
          </w:p>
        </w:tc>
        <w:tc>
          <w:tcPr>
            <w:tcW w:w="1220" w:type="dxa"/>
            <w:vAlign w:val="bottom"/>
            <w:gridSpan w:val="2"/>
            <w:vMerge w:val="restart"/>
          </w:tcPr>
          <w:p>
            <w:pPr>
              <w:ind w:left="140"/>
              <w:spacing w:after="0"/>
              <w:rPr>
                <w:sz w:val="20"/>
                <w:szCs w:val="20"/>
                <w:color w:val="auto"/>
              </w:rPr>
            </w:pPr>
            <w:r>
              <w:rPr>
                <w:rFonts w:ascii="Arial" w:cs="Arial" w:eastAsia="Arial" w:hAnsi="Arial"/>
                <w:sz w:val="17"/>
                <w:szCs w:val="17"/>
                <w:color w:val="0000FF"/>
              </w:rPr>
              <w:t>241,485,177</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80" w:type="dxa"/>
            <w:vAlign w:val="bottom"/>
            <w:gridSpan w:val="7"/>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80" w:type="dxa"/>
            <w:vAlign w:val="bottom"/>
            <w:gridSpan w:val="18"/>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PAA GP Holdings LLC</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333 CLAY STREET</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Plains AAP, L.P.</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333 CLAY STREET</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Plains All American GP LLC</w:t>
        </w:r>
      </w:hyperlink>
    </w:p>
    <w:p>
      <w:pPr>
        <w:sectPr>
          <w:pgSz w:w="11900" w:h="16906"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906"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48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948940"/>
                    </a:xfrm>
                    <a:prstGeom prst="rect">
                      <a:avLst/>
                    </a:prstGeom>
                    <a:noFill/>
                  </pic:spPr>
                </pic:pic>
              </a:graphicData>
            </a:graphic>
          </wp:anchor>
        </w:drawing>
        <w:t>333 CLAY STREET</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1600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380" w:type="dxa"/>
            <w:vAlign w:val="bottom"/>
          </w:tcPr>
          <w:p>
            <w:pPr>
              <w:ind w:left="26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1" w:lineRule="exact"/>
              <w:rPr>
                <w:rFonts w:ascii="Arial" w:cs="Arial" w:eastAsia="Arial" w:hAnsi="Arial"/>
                <w:sz w:val="21"/>
                <w:szCs w:val="21"/>
                <w:color w:val="0000EE"/>
                <w:w w:val="96"/>
              </w:rPr>
            </w:pPr>
            <w:hyperlink r:id="rId18">
              <w:r>
                <w:rPr>
                  <w:rFonts w:ascii="Arial" w:cs="Arial" w:eastAsia="Arial" w:hAnsi="Arial"/>
                  <w:sz w:val="21"/>
                  <w:szCs w:val="21"/>
                  <w:color w:val="0000EE"/>
                  <w:w w:val="96"/>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380" w:type="dxa"/>
            <w:vAlign w:val="bottom"/>
          </w:tcPr>
          <w:p>
            <w:pPr>
              <w:ind w:left="26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right="4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December 31, 2021, KAFU Holdings (QP), L.P. exercised the Redemption Right with respect to 140,505 AAP Class A units, resulting in the cancellation of such AAP Class A units and the distribution of 140,505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30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01/04/2022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9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6" Type="http://schemas.openxmlformats.org/officeDocument/2006/relationships/hyperlink" Target="http://www.sec.gov/cgi-bin/browse-edgar?action=getcompany&amp;CIK=0001490402" TargetMode="External"/><Relationship Id="rId18"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2022-01-04T16:41:53Z</dcterms:created>
  <dcterms:modified xsi:type="dcterms:W3CDTF">2022-01-04T16:41:53Z</dcterms:modified>
</cp:coreProperties>
</file>