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2, 2021</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21" w:right="359" w:bottom="1440" w:gutter="0" w:footer="0" w:header="0"/>
        </w:sectPr>
      </w:pPr>
    </w:p>
    <w:p>
      <w:pPr>
        <w:spacing w:after="0" w:line="3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360"/>
          </w:cols>
          <w:pgMar w:left="320" w:top="1421"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1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20"/>
          </w:cols>
          <w:pgMar w:left="320" w:top="1421" w:right="35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09"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2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64770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right="120" w:firstLine="180"/>
        <w:spacing w:after="0" w:line="257" w:lineRule="auto"/>
        <w:rPr>
          <w:sz w:val="20"/>
          <w:szCs w:val="20"/>
          <w:color w:val="auto"/>
        </w:rPr>
      </w:pPr>
      <w:r>
        <w:rPr>
          <w:rFonts w:ascii="Arial" w:cs="Arial" w:eastAsia="Arial" w:hAnsi="Arial"/>
          <w:sz w:val="18"/>
          <w:szCs w:val="18"/>
          <w:color w:val="auto"/>
        </w:rPr>
        <w:t>On November 2, 2021, the Registrant issued a press release reporting its third-quarter 2021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1280" w:type="dxa"/>
            <w:vAlign w:val="bottom"/>
            <w:gridSpan w:val="2"/>
          </w:tcPr>
          <w:p>
            <w:pPr>
              <w:ind w:left="660"/>
              <w:spacing w:after="0"/>
              <w:rPr>
                <w:sz w:val="20"/>
                <w:szCs w:val="20"/>
                <w:color w:val="auto"/>
              </w:rPr>
            </w:pPr>
            <w:r>
              <w:rPr>
                <w:rFonts w:ascii="Arial" w:cs="Arial" w:eastAsia="Arial" w:hAnsi="Arial"/>
                <w:sz w:val="16"/>
                <w:szCs w:val="16"/>
                <w:b w:val="1"/>
                <w:bCs w:val="1"/>
                <w:color w:val="auto"/>
              </w:rPr>
              <w:t>Exhibit</w:t>
            </w:r>
          </w:p>
        </w:tc>
        <w:tc>
          <w:tcPr>
            <w:tcW w:w="6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8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Number</w:t>
            </w:r>
          </w:p>
        </w:tc>
        <w:tc>
          <w:tcPr>
            <w:tcW w:w="6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1200" w:type="dxa"/>
            <w:vAlign w:val="bottom"/>
            <w:tcBorders>
              <w:top w:val="single" w:sz="8" w:color="auto"/>
            </w:tcBorders>
          </w:tcPr>
          <w:p>
            <w:pPr>
              <w:jc w:val="right"/>
              <w:ind w:right="36"/>
              <w:spacing w:after="0" w:line="185" w:lineRule="exact"/>
              <w:rPr>
                <w:sz w:val="20"/>
                <w:szCs w:val="20"/>
                <w:color w:val="auto"/>
              </w:rPr>
            </w:pPr>
            <w:r>
              <w:rPr>
                <w:rFonts w:ascii="Arial" w:cs="Arial" w:eastAsia="Arial" w:hAnsi="Arial"/>
                <w:sz w:val="18"/>
                <w:szCs w:val="18"/>
                <w:color w:val="auto"/>
              </w:rPr>
              <w:t>99.1</w:t>
            </w: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20" w:type="dxa"/>
            <w:vAlign w:val="bottom"/>
            <w:tcBorders>
              <w:top w:val="single" w:sz="8" w:color="auto"/>
              <w:bottom w:val="single" w:sz="8" w:color="0000FF"/>
            </w:tcBorders>
          </w:tcPr>
          <w:p>
            <w:pPr>
              <w:spacing w:after="0" w:line="185"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November 2, 2021</w:t>
              </w:r>
            </w:hyperlink>
          </w:p>
        </w:tc>
        <w:tc>
          <w:tcPr>
            <w:tcW w:w="3860" w:type="dxa"/>
            <w:vAlign w:val="bottom"/>
            <w:tcBorders>
              <w:top w:val="single" w:sz="8" w:color="auto"/>
            </w:tcBorders>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60" w:type="dxa"/>
            <w:vAlign w:val="bottom"/>
            <w:gridSpan w:val="2"/>
          </w:tcPr>
          <w:p>
            <w:pPr>
              <w:jc w:val="right"/>
              <w:ind w:right="56"/>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7"/>
        </w:trPr>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gridSpan w:val="3"/>
          </w:tcPr>
          <w:p>
            <w:pPr>
              <w:jc w:val="right"/>
              <w:ind w:right="3539"/>
              <w:spacing w:after="0"/>
              <w:rPr>
                <w:sz w:val="20"/>
                <w:szCs w:val="20"/>
                <w:color w:val="auto"/>
              </w:rPr>
            </w:pPr>
            <w:r>
              <w:rPr>
                <w:rFonts w:ascii="Arial" w:cs="Arial" w:eastAsia="Arial" w:hAnsi="Arial"/>
                <w:sz w:val="18"/>
                <w:szCs w:val="18"/>
                <w:color w:val="auto"/>
              </w:rPr>
              <w:t>2</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700" w:firstLine="18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PLAINS ALL AMERICAN PIPELINE, L.P.</w:t>
            </w:r>
          </w:p>
        </w:tc>
      </w:tr>
      <w:tr>
        <w:trPr>
          <w:trHeight w:val="499"/>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PAA GP LLC, its general partner</w:t>
            </w:r>
          </w:p>
        </w:tc>
      </w:tr>
      <w:tr>
        <w:trPr>
          <w:trHeight w:val="500"/>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Plains AAP, L.P., its sole member</w:t>
            </w:r>
          </w:p>
        </w:tc>
      </w:tr>
      <w:tr>
        <w:trPr>
          <w:trHeight w:val="499"/>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Plains All American GP LLC, its general partner</w:t>
            </w:r>
          </w:p>
        </w:tc>
      </w:tr>
      <w:tr>
        <w:trPr>
          <w:trHeight w:val="499"/>
        </w:trPr>
        <w:tc>
          <w:tcPr>
            <w:tcW w:w="3140" w:type="dxa"/>
            <w:vAlign w:val="bottom"/>
          </w:tcPr>
          <w:p>
            <w:pPr>
              <w:spacing w:after="0"/>
              <w:rPr>
                <w:sz w:val="20"/>
                <w:szCs w:val="20"/>
                <w:color w:val="auto"/>
              </w:rPr>
            </w:pPr>
            <w:r>
              <w:rPr>
                <w:rFonts w:ascii="Arial" w:cs="Arial" w:eastAsia="Arial" w:hAnsi="Arial"/>
                <w:sz w:val="18"/>
                <w:szCs w:val="18"/>
                <w:color w:val="auto"/>
              </w:rPr>
              <w:t>Date: November 2, 2021</w:t>
            </w: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/s/ Sharon Spurlin</w:t>
            </w:r>
          </w:p>
        </w:tc>
      </w:tr>
      <w:tr>
        <w:trPr>
          <w:trHeight w:val="222"/>
        </w:trPr>
        <w:tc>
          <w:tcPr>
            <w:tcW w:w="3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Sharon Spurlin</w:t>
            </w:r>
          </w:p>
        </w:tc>
      </w:tr>
      <w:tr>
        <w:trPr>
          <w:trHeight w:val="230"/>
        </w:trPr>
        <w:tc>
          <w:tcPr>
            <w:tcW w:w="3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80" w:type="dxa"/>
            <w:vAlign w:val="bottom"/>
          </w:tcPr>
          <w:p>
            <w:pPr>
              <w:ind w:left="160"/>
              <w:spacing w:after="0"/>
              <w:rPr>
                <w:sz w:val="20"/>
                <w:szCs w:val="20"/>
                <w:color w:val="auto"/>
              </w:rPr>
            </w:pPr>
            <w:r>
              <w:rPr>
                <w:rFonts w:ascii="Arial" w:cs="Arial" w:eastAsia="Arial" w:hAnsi="Arial"/>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445770</wp:posOffset>
            </wp:positionV>
            <wp:extent cx="4946015" cy="77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4601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Plains All American Reports Third-Quarter 2021 Results</w:t>
      </w:r>
    </w:p>
    <w:p>
      <w:pPr>
        <w:spacing w:after="0" w:line="249"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Houston, TX – November 2, 2021– Plains All American Pipeline, L.P. (Nasdaq: PAA) and Plains GP Holdings (Nasdaq: PAGP) today reported third-quarter 2021 results and provided the following updates:</w:t>
      </w:r>
    </w:p>
    <w:p>
      <w:pPr>
        <w:spacing w:after="0" w:line="231" w:lineRule="exact"/>
        <w:rPr>
          <w:sz w:val="20"/>
          <w:szCs w:val="20"/>
          <w:color w:val="auto"/>
        </w:rPr>
      </w:pPr>
    </w:p>
    <w:p>
      <w:pPr>
        <w:ind w:left="660" w:right="300" w:hanging="328"/>
        <w:spacing w:after="0" w:line="33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7"/>
          <w:szCs w:val="17"/>
          <w:color w:val="auto"/>
        </w:rPr>
        <w:t>Successfully completed formation of Plains Oryx Permian Basin strategic joint venture (closed October 5th); cashless transaction, debt-free entity, near-term free cash flow accretive to Plains and Oryx, with targeted JV synergies of $50–$100 million or more</w:t>
      </w:r>
    </w:p>
    <w:p>
      <w:pPr>
        <w:spacing w:after="0" w:line="167" w:lineRule="exact"/>
        <w:rPr>
          <w:rFonts w:ascii="Arial" w:cs="Arial" w:eastAsia="Arial" w:hAnsi="Arial"/>
          <w:sz w:val="18"/>
          <w:szCs w:val="18"/>
          <w:color w:val="auto"/>
        </w:rPr>
      </w:pPr>
    </w:p>
    <w:p>
      <w:pPr>
        <w:ind w:left="660" w:right="18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Reported a net loss for the period of $59 million, including the non-cash impact of an approximately $220 million asset impairment charge</w:t>
      </w:r>
    </w:p>
    <w:p>
      <w:pPr>
        <w:spacing w:after="0" w:line="250" w:lineRule="exact"/>
        <w:rPr>
          <w:rFonts w:ascii="Arial" w:cs="Arial" w:eastAsia="Arial" w:hAnsi="Arial"/>
          <w:sz w:val="22"/>
          <w:szCs w:val="22"/>
          <w:color w:val="auto"/>
        </w:rPr>
      </w:pPr>
    </w:p>
    <w:p>
      <w:pPr>
        <w:ind w:left="660" w:right="160" w:hanging="328"/>
        <w:spacing w:after="0" w:line="261" w:lineRule="auto"/>
        <w:tabs>
          <w:tab w:leader="none" w:pos="655" w:val="left"/>
        </w:tabs>
        <w:numPr>
          <w:ilvl w:val="0"/>
          <w:numId w:val="2"/>
        </w:numPr>
        <w:rPr>
          <w:rFonts w:ascii="Arial" w:cs="Arial" w:eastAsia="Arial" w:hAnsi="Arial"/>
          <w:sz w:val="21"/>
          <w:szCs w:val="21"/>
          <w:color w:val="auto"/>
        </w:rPr>
      </w:pPr>
      <w:r>
        <w:rPr>
          <w:rFonts w:ascii="Arial" w:cs="Arial" w:eastAsia="Arial" w:hAnsi="Arial"/>
          <w:sz w:val="19"/>
          <w:szCs w:val="19"/>
          <w:color w:val="auto"/>
        </w:rPr>
        <w:t>Reported third-quarter Adjusted EBITDA of $519 million and maintained full-year 2021 Adjusted EBITDA guidance of +/- $2.175 billion (includes approximately $40 million impact of Fort Saskatchewan incident and other timing-related items)</w:t>
      </w:r>
    </w:p>
    <w:p>
      <w:pPr>
        <w:spacing w:after="0" w:line="228" w:lineRule="exact"/>
        <w:rPr>
          <w:rFonts w:ascii="Arial" w:cs="Arial" w:eastAsia="Arial" w:hAnsi="Arial"/>
          <w:sz w:val="21"/>
          <w:szCs w:val="21"/>
          <w:color w:val="auto"/>
        </w:rPr>
      </w:pPr>
    </w:p>
    <w:p>
      <w:pPr>
        <w:ind w:left="660" w:right="62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Increased forecasted 2021 Free Cash Flow after Distributions by $50 million to +/- $1.4 billion, or +/- $500 million excluding proceeds from asset sales</w:t>
      </w:r>
    </w:p>
    <w:p>
      <w:pPr>
        <w:spacing w:after="0" w:line="250" w:lineRule="exact"/>
        <w:rPr>
          <w:rFonts w:ascii="Arial" w:cs="Arial" w:eastAsia="Arial" w:hAnsi="Arial"/>
          <w:sz w:val="22"/>
          <w:szCs w:val="22"/>
          <w:color w:val="auto"/>
        </w:rPr>
      </w:pPr>
    </w:p>
    <w:p>
      <w:pPr>
        <w:ind w:left="660" w:right="18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Reduced 2021 capital (investment and maintenance) guidance by an additional $50 million to +/- $455 million, approximately 30% below February guidance</w:t>
      </w:r>
    </w:p>
    <w:p>
      <w:pPr>
        <w:spacing w:after="0" w:line="24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Reduced total debt by approximately $650 million in the period and by approximately $1 billion since year-end 2020</w:t>
      </w:r>
    </w:p>
    <w:p>
      <w:pPr>
        <w:spacing w:after="0" w:line="249" w:lineRule="exact"/>
        <w:rPr>
          <w:rFonts w:ascii="Arial" w:cs="Arial" w:eastAsia="Arial" w:hAnsi="Arial"/>
          <w:sz w:val="22"/>
          <w:szCs w:val="22"/>
          <w:color w:val="auto"/>
        </w:rPr>
      </w:pPr>
    </w:p>
    <w:p>
      <w:pPr>
        <w:ind w:left="660" w:right="30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Continued utilizing the November 2020 repurchase authorization during the period, bringing total cumulative repurchases to $167 million, or 18.1 million PAA common units</w:t>
      </w:r>
    </w:p>
    <w:p>
      <w:pPr>
        <w:spacing w:after="0" w:line="200" w:lineRule="exact"/>
        <w:rPr>
          <w:sz w:val="20"/>
          <w:szCs w:val="20"/>
          <w:color w:val="auto"/>
        </w:rPr>
      </w:pPr>
    </w:p>
    <w:p>
      <w:pPr>
        <w:spacing w:after="0" w:line="266" w:lineRule="exact"/>
        <w:rPr>
          <w:sz w:val="20"/>
          <w:szCs w:val="20"/>
          <w:color w:val="auto"/>
        </w:rPr>
      </w:pPr>
    </w:p>
    <w:p>
      <w:pPr>
        <w:ind w:right="160" w:firstLine="648"/>
        <w:spacing w:after="0" w:line="316" w:lineRule="auto"/>
        <w:rPr>
          <w:sz w:val="20"/>
          <w:szCs w:val="20"/>
          <w:color w:val="auto"/>
        </w:rPr>
      </w:pPr>
      <w:r>
        <w:rPr>
          <w:rFonts w:ascii="Arial" w:cs="Arial" w:eastAsia="Arial" w:hAnsi="Arial"/>
          <w:sz w:val="16"/>
          <w:szCs w:val="16"/>
          <w:color w:val="auto"/>
        </w:rPr>
        <w:t>“We delivered third-quarter results that exceeded our expectations, increased our full-year Free Cash Flow outlook and maintained full-year Adjusted EBITDA guidance despite the impact of non-recurring and timing-related items,” stated Willie Chiang, Chairman and CEO of Plains. “Importantly, we continue to execute across multiple key initiatives, all of which are aimed at maximizing free cash flow to reinforce our balance sheet and generate attractive returns for our equity holders. Integration of the Plains Oryx Permian Basin joint venture is well underway, and we are increasingly confident in the synergies the JV is positioned to capture, the value of the operating leverage embedded within our system, and the magnitude of production growth the basin is positioned to deliver over the next several years.”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50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1,361</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1,256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117" w:lineRule="exact"/>
        <w:rPr>
          <w:sz w:val="20"/>
          <w:szCs w:val="20"/>
          <w:color w:val="auto"/>
        </w:rPr>
      </w:pPr>
    </w:p>
    <w:p>
      <w:pPr>
        <w:ind w:left="340" w:right="20" w:hanging="332"/>
        <w:spacing w:after="0" w:line="238"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Reported results for the nine months ended September 30, 2021 include aggregate non-cash asset impairments of approximately $695 million related to the sale of our gas storage assets and the write-down of certain crude oil terminal assets. Reported results for the nine months ended September 30, 2020 include aggregate non-cash goodwill and asset impairments and the write-down of certain of our investments in unconsolidated entities totaling $3.3 billion, representing a nine-month net loss of $4.55 after tax per common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9"/>
                <w:szCs w:val="9"/>
                <w:b w:val="1"/>
                <w:bCs w:val="1"/>
                <w:i w:val="1"/>
                <w:iCs w:val="1"/>
                <w:color w:val="auto"/>
              </w:rPr>
              <w:t>(1)</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Free Cash Flow after Distributions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3" w:lineRule="exact"/>
        <w:rPr>
          <w:sz w:val="20"/>
          <w:szCs w:val="20"/>
          <w:color w:val="auto"/>
        </w:rPr>
      </w:pPr>
    </w:p>
    <w:p>
      <w:pPr>
        <w:jc w:val="both"/>
        <w:ind w:left="340" w:right="260" w:hanging="332"/>
        <w:spacing w:after="0" w:line="269"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140"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5"/>
          </w:tcPr>
          <w:p>
            <w:pPr>
              <w:ind w:left="1340"/>
              <w:spacing w:after="0"/>
              <w:rPr>
                <w:sz w:val="20"/>
                <w:szCs w:val="20"/>
                <w:color w:val="auto"/>
              </w:rPr>
            </w:pPr>
            <w:r>
              <w:rPr>
                <w:rFonts w:ascii="Arial" w:cs="Arial" w:eastAsia="Arial" w:hAnsi="Arial"/>
                <w:sz w:val="16"/>
                <w:szCs w:val="16"/>
                <w:b w:val="1"/>
                <w:bCs w:val="1"/>
                <w:color w:val="auto"/>
                <w:w w:val="95"/>
              </w:rPr>
              <w:t>Segment Adjusted EBITDA</w:t>
            </w: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Facilities</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Supply and Logistics</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6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Three Months Ended September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160" w:type="dxa"/>
            <w:vAlign w:val="bottom"/>
            <w:gridSpan w:val="2"/>
          </w:tcPr>
          <w:p>
            <w:pPr>
              <w:spacing w:after="0" w:line="203" w:lineRule="exact"/>
              <w:rPr>
                <w:sz w:val="20"/>
                <w:szCs w:val="20"/>
                <w:color w:val="auto"/>
              </w:rPr>
            </w:pPr>
            <w:r>
              <w:rPr>
                <w:rFonts w:ascii="Arial" w:cs="Arial" w:eastAsia="Arial" w:hAnsi="Arial"/>
                <w:sz w:val="18"/>
                <w:szCs w:val="18"/>
                <w:color w:val="auto"/>
              </w:rPr>
              <w:t>Three Months Ended September 30, 2020</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444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ind w:left="840"/>
              <w:spacing w:after="0" w:line="203" w:lineRule="exact"/>
              <w:rPr>
                <w:sz w:val="20"/>
                <w:szCs w:val="20"/>
                <w:color w:val="auto"/>
              </w:rPr>
            </w:pPr>
            <w:r>
              <w:rPr>
                <w:rFonts w:ascii="Arial" w:cs="Arial" w:eastAsia="Arial" w:hAnsi="Arial"/>
                <w:sz w:val="18"/>
                <w:szCs w:val="18"/>
                <w:color w:val="auto"/>
              </w:rPr>
              <w:t>176</w:t>
            </w:r>
          </w:p>
        </w:tc>
        <w:tc>
          <w:tcPr>
            <w:tcW w:w="100" w:type="dxa"/>
            <w:vAlign w:val="bottom"/>
          </w:tcPr>
          <w:p>
            <w:pPr>
              <w:spacing w:after="0"/>
              <w:rPr>
                <w:sz w:val="17"/>
                <w:szCs w:val="17"/>
                <w:color w:val="auto"/>
              </w:rPr>
            </w:pPr>
          </w:p>
        </w:tc>
        <w:tc>
          <w:tcPr>
            <w:tcW w:w="6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2020 period</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i w:val="1"/>
                <w:iCs w:val="1"/>
                <w:color w:val="auto"/>
                <w:w w:val="95"/>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60" w:type="dxa"/>
            <w:vAlign w:val="bottom"/>
            <w:tcBorders>
              <w:top w:val="single" w:sz="8" w:color="CCEEFF"/>
              <w:bottom w:val="single" w:sz="8" w:color="CCEEFF"/>
            </w:tcBorders>
            <w:gridSpan w:val="2"/>
            <w:vMerge w:val="restart"/>
          </w:tcPr>
          <w:p>
            <w:pPr>
              <w:spacing w:after="0" w:line="163" w:lineRule="exact"/>
              <w:rPr>
                <w:sz w:val="20"/>
                <w:szCs w:val="20"/>
                <w:color w:val="auto"/>
              </w:rPr>
            </w:pPr>
            <w:r>
              <w:rPr>
                <w:rFonts w:ascii="Arial" w:cs="Arial" w:eastAsia="Arial" w:hAnsi="Arial"/>
                <w:sz w:val="18"/>
                <w:szCs w:val="18"/>
                <w:b w:val="1"/>
                <w:bCs w:val="1"/>
                <w:i w:val="1"/>
                <w:iCs w:val="1"/>
                <w:color w:val="auto"/>
                <w:w w:val="94"/>
              </w:rPr>
              <w:t>Percentage change in Segment Adjusted EBITDA versus 2020 period further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tcPr>
          <w:p>
            <w:pPr>
              <w:spacing w:after="0"/>
              <w:rPr>
                <w:sz w:val="10"/>
                <w:szCs w:val="10"/>
                <w:color w:val="auto"/>
              </w:rPr>
            </w:pPr>
          </w:p>
        </w:tc>
        <w:tc>
          <w:tcPr>
            <w:tcW w:w="6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(4)%</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restart"/>
          </w:tcPr>
          <w:p>
            <w:pPr>
              <w:ind w:left="860"/>
              <w:spacing w:after="0"/>
              <w:rPr>
                <w:sz w:val="20"/>
                <w:szCs w:val="20"/>
                <w:color w:val="auto"/>
              </w:rPr>
            </w:pPr>
            <w:r>
              <w:rPr>
                <w:rFonts w:ascii="Arial" w:cs="Arial" w:eastAsia="Arial" w:hAnsi="Arial"/>
                <w:sz w:val="18"/>
                <w:szCs w:val="18"/>
                <w:b w:val="1"/>
                <w:bCs w:val="1"/>
                <w:i w:val="1"/>
                <w:iCs w:val="1"/>
                <w:color w:val="auto"/>
                <w:w w:val="95"/>
              </w:rPr>
              <w:t>(26)%</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160" w:type="dxa"/>
            <w:vAlign w:val="bottom"/>
            <w:gridSpan w:val="2"/>
          </w:tcPr>
          <w:p>
            <w:pPr>
              <w:ind w:left="160"/>
              <w:spacing w:after="0" w:line="202" w:lineRule="exact"/>
              <w:rPr>
                <w:sz w:val="20"/>
                <w:szCs w:val="20"/>
                <w:color w:val="auto"/>
              </w:rPr>
            </w:pPr>
            <w:r>
              <w:rPr>
                <w:rFonts w:ascii="Arial" w:cs="Arial" w:eastAsia="Arial" w:hAnsi="Arial"/>
                <w:sz w:val="18"/>
                <w:szCs w:val="18"/>
                <w:b w:val="1"/>
                <w:bCs w:val="1"/>
                <w:i w:val="1"/>
                <w:iCs w:val="1"/>
                <w:color w:val="auto"/>
              </w:rPr>
              <w:t xml:space="preserve">adjusted for impact of divested assets </w:t>
            </w:r>
            <w:r>
              <w:rPr>
                <w:rFonts w:ascii="Arial" w:cs="Arial" w:eastAsia="Arial" w:hAnsi="Arial"/>
                <w:sz w:val="23"/>
                <w:szCs w:val="23"/>
                <w:b w:val="1"/>
                <w:bCs w:val="1"/>
                <w:i w:val="1"/>
                <w:i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1340"/>
              <w:spacing w:after="0"/>
              <w:rPr>
                <w:sz w:val="20"/>
                <w:szCs w:val="20"/>
                <w:color w:val="auto"/>
              </w:rPr>
            </w:pPr>
            <w:r>
              <w:rPr>
                <w:rFonts w:ascii="Arial" w:cs="Arial" w:eastAsia="Arial" w:hAnsi="Arial"/>
                <w:sz w:val="16"/>
                <w:szCs w:val="16"/>
                <w:b w:val="1"/>
                <w:bCs w:val="1"/>
                <w:color w:val="auto"/>
                <w:w w:val="95"/>
              </w:rPr>
              <w:t>Segment Adjusted EBITDA</w:t>
            </w: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Facilities</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Supply and Logistics</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6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160" w:type="dxa"/>
            <w:vAlign w:val="bottom"/>
            <w:gridSpan w:val="2"/>
          </w:tcPr>
          <w:p>
            <w:pPr>
              <w:spacing w:after="0" w:line="203" w:lineRule="exact"/>
              <w:rPr>
                <w:sz w:val="20"/>
                <w:szCs w:val="20"/>
                <w:color w:val="auto"/>
              </w:rPr>
            </w:pPr>
            <w:r>
              <w:rPr>
                <w:rFonts w:ascii="Arial" w:cs="Arial" w:eastAsia="Arial" w:hAnsi="Arial"/>
                <w:sz w:val="18"/>
                <w:szCs w:val="18"/>
                <w:color w:val="auto"/>
              </w:rPr>
              <w:t>Nine Months Ended September 30, 2020</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1,233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ind w:left="840"/>
              <w:spacing w:after="0" w:line="203" w:lineRule="exact"/>
              <w:rPr>
                <w:sz w:val="20"/>
                <w:szCs w:val="20"/>
                <w:color w:val="auto"/>
              </w:rPr>
            </w:pPr>
            <w:r>
              <w:rPr>
                <w:rFonts w:ascii="Arial" w:cs="Arial" w:eastAsia="Arial" w:hAnsi="Arial"/>
                <w:sz w:val="18"/>
                <w:szCs w:val="18"/>
                <w:color w:val="auto"/>
              </w:rPr>
              <w:t>560</w:t>
            </w:r>
          </w:p>
        </w:tc>
        <w:tc>
          <w:tcPr>
            <w:tcW w:w="100" w:type="dxa"/>
            <w:vAlign w:val="bottom"/>
          </w:tcPr>
          <w:p>
            <w:pPr>
              <w:spacing w:after="0"/>
              <w:rPr>
                <w:sz w:val="17"/>
                <w:szCs w:val="17"/>
                <w:color w:val="auto"/>
              </w:rPr>
            </w:pPr>
          </w:p>
        </w:tc>
        <w:tc>
          <w:tcPr>
            <w:tcW w:w="6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2020 period</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i w:val="1"/>
                <w:iCs w:val="1"/>
                <w:color w:val="auto"/>
                <w:w w:val="95"/>
              </w:rPr>
              <w:t>(24)%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60" w:type="dxa"/>
            <w:vAlign w:val="bottom"/>
            <w:tcBorders>
              <w:top w:val="single" w:sz="8" w:color="CCEEFF"/>
              <w:bottom w:val="single" w:sz="8" w:color="CCEEFF"/>
            </w:tcBorders>
            <w:gridSpan w:val="2"/>
            <w:vMerge w:val="restart"/>
          </w:tcPr>
          <w:p>
            <w:pPr>
              <w:spacing w:after="0" w:line="163" w:lineRule="exact"/>
              <w:rPr>
                <w:sz w:val="20"/>
                <w:szCs w:val="20"/>
                <w:color w:val="auto"/>
              </w:rPr>
            </w:pPr>
            <w:r>
              <w:rPr>
                <w:rFonts w:ascii="Arial" w:cs="Arial" w:eastAsia="Arial" w:hAnsi="Arial"/>
                <w:sz w:val="18"/>
                <w:szCs w:val="18"/>
                <w:b w:val="1"/>
                <w:bCs w:val="1"/>
                <w:i w:val="1"/>
                <w:iCs w:val="1"/>
                <w:color w:val="auto"/>
                <w:w w:val="94"/>
              </w:rPr>
              <w:t>Percentage change in Segment Adjusted EBITDA versus 2020 period further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tcPr>
          <w:p>
            <w:pPr>
              <w:spacing w:after="0"/>
              <w:rPr>
                <w:sz w:val="10"/>
                <w:szCs w:val="10"/>
                <w:color w:val="auto"/>
              </w:rPr>
            </w:pPr>
          </w:p>
        </w:tc>
        <w:tc>
          <w:tcPr>
            <w:tcW w:w="6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restart"/>
          </w:tcPr>
          <w:p>
            <w:pPr>
              <w:ind w:left="860"/>
              <w:spacing w:after="0"/>
              <w:rPr>
                <w:sz w:val="20"/>
                <w:szCs w:val="20"/>
                <w:color w:val="auto"/>
              </w:rPr>
            </w:pPr>
            <w:r>
              <w:rPr>
                <w:rFonts w:ascii="Arial" w:cs="Arial" w:eastAsia="Arial" w:hAnsi="Arial"/>
                <w:sz w:val="18"/>
                <w:szCs w:val="18"/>
                <w:b w:val="1"/>
                <w:bCs w:val="1"/>
                <w:i w:val="1"/>
                <w:iCs w:val="1"/>
                <w:color w:val="auto"/>
                <w:w w:val="95"/>
              </w:rPr>
              <w:t>(20)%</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160" w:type="dxa"/>
            <w:vAlign w:val="bottom"/>
            <w:gridSpan w:val="2"/>
          </w:tcPr>
          <w:p>
            <w:pPr>
              <w:ind w:left="160"/>
              <w:spacing w:after="0" w:line="202" w:lineRule="exact"/>
              <w:rPr>
                <w:sz w:val="20"/>
                <w:szCs w:val="20"/>
                <w:color w:val="auto"/>
              </w:rPr>
            </w:pPr>
            <w:r>
              <w:rPr>
                <w:rFonts w:ascii="Arial" w:cs="Arial" w:eastAsia="Arial" w:hAnsi="Arial"/>
                <w:sz w:val="18"/>
                <w:szCs w:val="18"/>
                <w:b w:val="1"/>
                <w:bCs w:val="1"/>
                <w:i w:val="1"/>
                <w:iCs w:val="1"/>
                <w:color w:val="auto"/>
              </w:rPr>
              <w:t xml:space="preserve">adjusted for impact of divested assets </w:t>
            </w:r>
            <w:r>
              <w:rPr>
                <w:rFonts w:ascii="Arial" w:cs="Arial" w:eastAsia="Arial" w:hAnsi="Arial"/>
                <w:sz w:val="23"/>
                <w:szCs w:val="23"/>
                <w:b w:val="1"/>
                <w:bCs w:val="1"/>
                <w:i w:val="1"/>
                <w:i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306" w:lineRule="exact"/>
        <w:rPr>
          <w:sz w:val="20"/>
          <w:szCs w:val="20"/>
          <w:color w:val="auto"/>
        </w:rPr>
      </w:pPr>
    </w:p>
    <w:p>
      <w:pPr>
        <w:ind w:left="340" w:right="220" w:hanging="332"/>
        <w:spacing w:after="0" w:line="269" w:lineRule="auto"/>
        <w:tabs>
          <w:tab w:leader="none" w:pos="32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Estimated impact of divestitures completed during 2020 and 2021, assuming an effective date of January 1, 2020. Divested assets primarily included certain NGL storage terminals, Los Angeles Basin crude oil storage terminals and natural gas storage facilities that were previously included in our Facilities segment and the sale of a portion of our interest in a joint venture pipeline that was previously reported in our Transportation segment.</w:t>
      </w:r>
    </w:p>
    <w:p>
      <w:pPr>
        <w:spacing w:after="0" w:line="31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Third-quarter 2021 Transportation Segment Adjusted EBITDA decreased 4% versus comparable 2020 results primarily due to lower tariffs on certain long-haul volumes partially offset by an overall increase in tariff volumes.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Third-quarter 2021 Facilities Segment Adjusted EBITDA decreased 35% versus comparable 2020 results primarily due to the impact of asset sales and reduced NGL intersegment fees.</w:t>
      </w:r>
    </w:p>
    <w:p>
      <w:pPr>
        <w:spacing w:after="0" w:line="19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Third-quarter 2021 Supply and Logistics Segment Adjusted EBITDA decreased versus comparable 2020 results primarily due to contango margins realized in the third quarter of 2020, partially offset by reduced NGL intersegment fees.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6"/>
              </w:rPr>
              <w:t>Twelve Months Ended December 31,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 (G)</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6"/>
                <w:szCs w:val="16"/>
                <w:color w:val="auto"/>
              </w:rPr>
              <w:t>+ / -</w:t>
            </w: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1020" w:type="dxa"/>
            <w:vAlign w:val="bottom"/>
          </w:tcPr>
          <w:p>
            <w:pPr>
              <w:jc w:val="right"/>
              <w:ind w:right="81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Facilities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6320" w:type="dxa"/>
            <w:vAlign w:val="bottom"/>
          </w:tcPr>
          <w:p>
            <w:pPr>
              <w:ind w:left="300"/>
              <w:spacing w:after="0"/>
              <w:rPr>
                <w:sz w:val="20"/>
                <w:szCs w:val="20"/>
                <w:color w:val="auto"/>
              </w:rPr>
            </w:pPr>
            <w:r>
              <w:rPr>
                <w:rFonts w:ascii="Arial" w:cs="Arial" w:eastAsia="Arial" w:hAnsi="Arial"/>
                <w:sz w:val="18"/>
                <w:szCs w:val="18"/>
                <w:b w:val="1"/>
                <w:bCs w:val="1"/>
                <w:color w:val="auto"/>
              </w:rPr>
              <w:t>Fee-Based</w:t>
            </w:r>
          </w:p>
        </w:tc>
        <w:tc>
          <w:tcPr>
            <w:tcW w:w="1020" w:type="dxa"/>
            <w:vAlign w:val="bottom"/>
          </w:tcPr>
          <w:p>
            <w:pPr>
              <w:jc w:val="right"/>
              <w:ind w:right="81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2,427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2,347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2,200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Supply and Logistics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(2)</w:t>
            </w:r>
          </w:p>
        </w:tc>
        <w:tc>
          <w:tcPr>
            <w:tcW w:w="102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180"/>
              <w:spacing w:after="0" w:line="243"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(407)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(415)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(2)</w:t>
            </w:r>
          </w:p>
        </w:tc>
        <w:tc>
          <w:tcPr>
            <w:tcW w:w="1020" w:type="dxa"/>
            <w:vAlign w:val="bottom"/>
          </w:tcPr>
          <w:p>
            <w:pPr>
              <w:jc w:val="right"/>
              <w:ind w:right="81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2,376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1,565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(4)</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Implied DCF Available to Common Unitholders</w:t>
            </w:r>
          </w:p>
        </w:tc>
        <w:tc>
          <w:tcPr>
            <w:tcW w:w="102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1,365</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Implied DCF per Common Unit and Common Unit Equivalent </w:t>
            </w:r>
            <w:r>
              <w:rPr>
                <w:rFonts w:ascii="Arial" w:cs="Arial" w:eastAsia="Arial" w:hAnsi="Arial"/>
                <w:sz w:val="23"/>
                <w:szCs w:val="23"/>
                <w:b w:val="1"/>
                <w:bCs w:val="1"/>
                <w:color w:val="auto"/>
                <w:vertAlign w:val="superscript"/>
              </w:rPr>
              <w:t>(2)</w:t>
            </w:r>
          </w:p>
        </w:tc>
        <w:tc>
          <w:tcPr>
            <w:tcW w:w="1020" w:type="dxa"/>
            <w:vAlign w:val="bottom"/>
          </w:tcPr>
          <w:p>
            <w:pPr>
              <w:jc w:val="right"/>
              <w:ind w:right="81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(5)</w:t>
            </w:r>
          </w:p>
        </w:tc>
        <w:tc>
          <w:tcPr>
            <w:tcW w:w="1020" w:type="dxa"/>
            <w:vAlign w:val="bottom"/>
          </w:tcPr>
          <w:p>
            <w:pPr>
              <w:jc w:val="right"/>
              <w:ind w:right="81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Unit Distribution Coverage Ratio</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2.17x</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2.57x</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2.64x</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(2)</w:t>
            </w:r>
          </w:p>
        </w:tc>
        <w:tc>
          <w:tcPr>
            <w:tcW w:w="102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80"/>
              <w:spacing w:after="0"/>
              <w:rPr>
                <w:sz w:val="20"/>
                <w:szCs w:val="20"/>
                <w:color w:val="auto"/>
              </w:rPr>
            </w:pPr>
            <w:r>
              <w:rPr>
                <w:rFonts w:ascii="Arial" w:cs="Arial" w:eastAsia="Arial" w:hAnsi="Arial"/>
                <w:sz w:val="18"/>
                <w:szCs w:val="18"/>
                <w:b w:val="1"/>
                <w:bCs w:val="1"/>
                <w:color w:val="auto"/>
              </w:rPr>
              <w:t>Transportation</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volumes (MBbls/d)</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30"/>
        </w:trPr>
        <w:tc>
          <w:tcPr>
            <w:tcW w:w="632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1020" w:type="dxa"/>
            <w:vAlign w:val="bottom"/>
          </w:tcPr>
          <w:p>
            <w:pPr>
              <w:jc w:val="right"/>
              <w:ind w:right="81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b w:val="1"/>
                <w:bCs w:val="1"/>
                <w:color w:val="auto"/>
              </w:rPr>
              <w:t>Facilities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capacity (MMBbls/Mo)</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632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1020" w:type="dxa"/>
            <w:vAlign w:val="bottom"/>
          </w:tcPr>
          <w:p>
            <w:pPr>
              <w:jc w:val="right"/>
              <w:ind w:right="81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b w:val="1"/>
                <w:bCs w:val="1"/>
                <w:color w:val="auto"/>
              </w:rPr>
              <w:t>Supply and Logistics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volumes (MBbls/d)</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30"/>
        </w:trPr>
        <w:tc>
          <w:tcPr>
            <w:tcW w:w="632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1020" w:type="dxa"/>
            <w:vAlign w:val="bottom"/>
          </w:tcPr>
          <w:p>
            <w:pPr>
              <w:jc w:val="right"/>
              <w:ind w:right="81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Investment Capital</w:t>
            </w:r>
          </w:p>
        </w:tc>
        <w:tc>
          <w:tcPr>
            <w:tcW w:w="1020" w:type="dxa"/>
            <w:vAlign w:val="bottom"/>
          </w:tcPr>
          <w:p>
            <w:pPr>
              <w:jc w:val="right"/>
              <w:ind w:right="81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1,340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(G) 2021 Guidance forecasts are intended to be + / - amounts.</w:t>
      </w:r>
    </w:p>
    <w:p>
      <w:pPr>
        <w:spacing w:after="0" w:line="117" w:lineRule="exact"/>
        <w:rPr>
          <w:sz w:val="20"/>
          <w:szCs w:val="20"/>
          <w:color w:val="auto"/>
        </w:rPr>
      </w:pPr>
    </w:p>
    <w:p>
      <w:pPr>
        <w:ind w:left="340" w:right="400" w:hanging="332"/>
        <w:spacing w:after="0" w:line="234"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 net” as reported on our Condensed Consolidated Statements of Operations, adjusted for selected items impacting comparability of $(17) million and $(36) million for the twelve months ended December 31, 2019 and 2020, respectively. See the “Selected Items Impacting Comparability” table for additional information.</w:t>
      </w:r>
    </w:p>
    <w:p>
      <w:pPr>
        <w:spacing w:after="0" w:line="256"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41" w:lineRule="exact"/>
        <w:rPr>
          <w:sz w:val="20"/>
          <w:szCs w:val="20"/>
          <w:color w:val="auto"/>
        </w:rPr>
      </w:pPr>
    </w:p>
    <w:p>
      <w:pPr>
        <w:ind w:left="340" w:right="120" w:hanging="332"/>
        <w:spacing w:after="0" w:line="244"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for information regarding non-GAAP financial measures and, for the historical 2019 and 2020 periods, see the Non-GAAP Reconciliation tables attached hereto for a reconciliation of such non-GAAP financial measures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such items and the periods in which such items may be recognized. Thus, a reconciliation of non-GAAP financial measures to the equivalent GAAP financial measures could result in disclosure that could be imprecise or potentially misleading.</w:t>
      </w:r>
    </w:p>
    <w:p>
      <w:pPr>
        <w:spacing w:after="0" w:line="57"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68" w:lineRule="exact"/>
        <w:rPr>
          <w:rFonts w:ascii="Arial" w:cs="Arial" w:eastAsia="Arial" w:hAnsi="Arial"/>
          <w:sz w:val="22"/>
          <w:szCs w:val="22"/>
          <w:color w:val="auto"/>
          <w:vertAlign w:val="superscript"/>
        </w:rPr>
      </w:pPr>
    </w:p>
    <w:p>
      <w:pPr>
        <w:ind w:left="340" w:right="220" w:hanging="332"/>
        <w:spacing w:after="0" w:line="237"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2019 and 2020. 2021(G) reflects the current annualized distribution requirement of $2.10 per Series A preferred unit and the current annualized distribution requirement of $61.25 per Series B preferred unit.</w:t>
      </w:r>
    </w:p>
    <w:p>
      <w:pPr>
        <w:spacing w:after="0" w:line="70"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Cash distributions per common unit paid during 2019 and 2020. 2021(G) reflects the current annualized distribution rate of $0.72 per common unit.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PAA and PAGP will hold a joint conference call at 4:00 p.m. CT on Tuesday, November 2, 2021 to discuss the following items:</w:t>
      </w:r>
    </w:p>
    <w:p>
      <w:pPr>
        <w:spacing w:after="0" w:line="117"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third-quarter 2021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https://edge.media-server.com/mmc/p/mharyy4f.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Alternatively, the webcast can be accessed on our website (www.plainsallamerican.com) under Investor Relations (Navigate to: Investor Relations</w:t>
      </w:r>
    </w:p>
    <w:p>
      <w:pPr>
        <w:spacing w:after="0" w:line="46" w:lineRule="exact"/>
        <w:rPr>
          <w:sz w:val="20"/>
          <w:szCs w:val="20"/>
          <w:color w:val="auto"/>
        </w:rPr>
      </w:pPr>
    </w:p>
    <w:p>
      <w:pPr>
        <w:jc w:val="both"/>
        <w:ind w:right="380" w:firstLine="8"/>
        <w:spacing w:after="0" w:line="255" w:lineRule="auto"/>
        <w:tabs>
          <w:tab w:leader="none" w:pos="95"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17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proportionate share of depreciation and amortization and write-downs related to cancelled projects of unconsolidated entities), gains and losses on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and asset impairments, goodwill impairment losses and gains on and impairments of investments in unconsolidated entities, adjusted for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selected items impacting comparability (“Adjusted EBITDA”), Implied Distributable Cash Flow (“DCF”), Free Cash Flow and Free Cash Flow after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Distributions. Our definition and calculation of certain non-GAAP financial measures may not be comparable to similarly-titled measures of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companies. Adjusted EBITDA, Implied DCF and certain other non-GAAP financial performance measures are reconciled to Net Income/(Loss), and Free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 and Free Cash Flow after Distributions are reconciled to Net Cash Provided by Operating Activities (the most directly comparable measures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reported in accordance with GAAP) for the historical periods presented in the tables attached to this release, and should be viewed in addition to, and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lieu of, our Condensed Consolidated Financial Statements and accompanying notes. In addition, we encourage you to visit our website 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www.plainsallamerican.com (in particular the section under “Financial Information” entitled “Non-GAAP Reconciliations” within the 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tab), which presents a reconciliation of our commonly used non-GAAP and supplemental financial measures.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 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8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12"/>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5"/>
                <w:szCs w:val="15"/>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5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10,814</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28,837</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19,637</w:t>
            </w:r>
          </w:p>
        </w:tc>
        <w:tc>
          <w:tcPr>
            <w:tcW w:w="20" w:type="dxa"/>
            <w:vAlign w:val="bottom"/>
            <w:tcBorders>
              <w:top w:val="single" w:sz="8" w:color="auto"/>
            </w:tcBorders>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OPERATING INCOME/(LOSS)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Gain on/(impairment of) investments in unconsolidated entities, net</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income/(expense), net</w:t>
            </w:r>
          </w:p>
        </w:tc>
        <w:tc>
          <w:tcPr>
            <w:tcW w:w="1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r>
      <w:tr>
        <w:trPr>
          <w:trHeight w:val="196"/>
        </w:trPr>
        <w:tc>
          <w:tcPr>
            <w:tcW w:w="2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INCOME/(LOSS) BEFORE TAX</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(2,548)</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benefit</w:t>
            </w:r>
          </w:p>
        </w:tc>
        <w:tc>
          <w:tcPr>
            <w:tcW w:w="1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tcPr>
          <w:p>
            <w:pPr>
              <w:spacing w:after="0"/>
              <w:rPr>
                <w:sz w:val="19"/>
                <w:szCs w:val="19"/>
                <w:color w:val="auto"/>
              </w:rPr>
            </w:pPr>
          </w:p>
        </w:tc>
      </w:tr>
      <w:tr>
        <w:trPr>
          <w:trHeight w:val="196"/>
        </w:trPr>
        <w:tc>
          <w:tcPr>
            <w:tcW w:w="2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5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15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 PER COMMON UNIT:</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income/(loss) allocated to common unitholders — Basic and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w w:val="91"/>
              </w:rPr>
              <w:t>Basic and diluted weighted average common units outstanding</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 net income/(loss) per common unit</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shd w:val="clear" w:color="auto" w:fill="CCEEFF"/>
          </w:tcPr>
          <w:p>
            <w:pPr>
              <w:spacing w:after="0"/>
              <w:rPr>
                <w:sz w:val="19"/>
                <w:szCs w:val="19"/>
                <w:color w:val="auto"/>
              </w:rPr>
            </w:pPr>
          </w:p>
        </w:tc>
      </w:tr>
      <w:tr>
        <w:trPr>
          <w:trHeight w:val="72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00" w:type="dxa"/>
            <w:vAlign w:val="bottom"/>
          </w:tcPr>
          <w:p>
            <w:pPr>
              <w:ind w:left="620"/>
              <w:spacing w:after="0"/>
              <w:rPr>
                <w:sz w:val="20"/>
                <w:szCs w:val="20"/>
                <w:color w:val="auto"/>
              </w:rPr>
            </w:pPr>
            <w:r>
              <w:rPr>
                <w:rFonts w:ascii="Arial" w:cs="Arial" w:eastAsia="Arial" w:hAnsi="Arial"/>
                <w:sz w:val="18"/>
                <w:szCs w:val="18"/>
                <w:color w:val="auto"/>
              </w:rPr>
              <w:t>- more -</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2"/>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1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Houston, Texas 77002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Current assets (including Cash and cash equivalents of $191 and $22, respectively)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4,874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operating lease right-of-use assets, net</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assets, net</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 and deferred credits</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Noncontrolling interests</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partners’ capital</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720" w:type="dxa"/>
            <w:vAlign w:val="bottom"/>
            <w:gridSpan w:val="3"/>
            <w:vMerge w:val="continue"/>
          </w:tcPr>
          <w:p>
            <w:pPr>
              <w:spacing w:after="0"/>
              <w:rPr>
                <w:sz w:val="24"/>
                <w:szCs w:val="24"/>
                <w:color w:val="auto"/>
              </w:rPr>
            </w:pPr>
          </w:p>
        </w:tc>
        <w:tc>
          <w:tcPr>
            <w:tcW w:w="2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Partners’ capital</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18,493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19,951</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right="350"/>
              <w:spacing w:after="0"/>
              <w:rPr>
                <w:sz w:val="20"/>
                <w:szCs w:val="20"/>
                <w:color w:val="auto"/>
              </w:rPr>
            </w:pPr>
            <w:r>
              <w:rPr>
                <w:rFonts w:ascii="Arial" w:cs="Arial" w:eastAsia="Arial" w:hAnsi="Arial"/>
                <w:sz w:val="18"/>
                <w:szCs w:val="18"/>
                <w:color w:val="auto"/>
                <w:w w:val="91"/>
              </w:rPr>
              <w:t>- more -</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2780" w:type="dxa"/>
            <w:vAlign w:val="bottom"/>
            <w:gridSpan w:val="3"/>
          </w:tcPr>
          <w:p>
            <w:pPr>
              <w:jc w:val="right"/>
              <w:spacing w:after="0"/>
              <w:rPr>
                <w:sz w:val="20"/>
                <w:szCs w:val="20"/>
                <w:color w:val="auto"/>
              </w:rPr>
            </w:pPr>
            <w:r>
              <w:rPr>
                <w:rFonts w:ascii="Arial" w:cs="Arial" w:eastAsia="Arial" w:hAnsi="Arial"/>
                <w:sz w:val="18"/>
                <w:szCs w:val="18"/>
                <w:b w:val="1"/>
                <w:bCs w:val="1"/>
                <w:color w:val="auto"/>
              </w:rPr>
              <w:t>713-646-4100 / 866-809-1291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Common Unit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(2,562)</w:t>
            </w:r>
          </w:p>
        </w:tc>
      </w:tr>
      <w:tr>
        <w:trPr>
          <w:trHeight w:val="230"/>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9"/>
        </w:trPr>
        <w:tc>
          <w:tcPr>
            <w:tcW w:w="62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(2) (3)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16"/>
        </w:trPr>
        <w:tc>
          <w:tcPr>
            <w:tcW w:w="38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Basic and diluted net income/(loss) per common unit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r>
      <w:tr>
        <w:trPr>
          <w:trHeight w:val="20"/>
        </w:trPr>
        <w:tc>
          <w:tcPr>
            <w:tcW w:w="3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9"/>
        </w:trPr>
        <w:tc>
          <w:tcPr>
            <w:tcW w:w="388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36" w:lineRule="exact"/>
        <w:rPr>
          <w:sz w:val="20"/>
          <w:szCs w:val="20"/>
          <w:color w:val="auto"/>
        </w:rPr>
      </w:pPr>
    </w:p>
    <w:p>
      <w:pPr>
        <w:ind w:left="340" w:right="100" w:hanging="332"/>
        <w:spacing w:after="0" w:line="226"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300" w:hanging="332"/>
        <w:spacing w:after="0" w:line="218"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nine months ended September 30, 2021 and 2020 as the effect was antidilutive.</w:t>
      </w:r>
    </w:p>
    <w:p>
      <w:pPr>
        <w:spacing w:after="0" w:line="30" w:lineRule="exact"/>
        <w:rPr>
          <w:rFonts w:ascii="Arial" w:cs="Arial" w:eastAsia="Arial" w:hAnsi="Arial"/>
          <w:sz w:val="23"/>
          <w:szCs w:val="23"/>
          <w:color w:val="auto"/>
          <w:vertAlign w:val="superscript"/>
        </w:rPr>
      </w:pPr>
    </w:p>
    <w:p>
      <w:pPr>
        <w:ind w:left="340" w:right="20" w:hanging="332"/>
        <w:spacing w:after="0" w:line="228"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nine months ended September 30, 2021 and 2020, the effect of equity-indexed compensation plan awards was antidilutive, or did not change the presentation of diluted weighted average common units outstanding or diluted net income/(loss) per common unit.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Adjusted Net Income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175"/>
        </w:trPr>
        <w:tc>
          <w:tcPr>
            <w:tcW w:w="62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Selected items impacting comparability - Adjusted net income attributable to PAA</w:t>
            </w:r>
          </w:p>
        </w:tc>
        <w:tc>
          <w:tcPr>
            <w:tcW w:w="7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w:t>
            </w:r>
          </w:p>
        </w:tc>
        <w:tc>
          <w:tcPr>
            <w:tcW w:w="236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8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0.22</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88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Adjusted Net Income per Common Unit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175"/>
        </w:trPr>
        <w:tc>
          <w:tcPr>
            <w:tcW w:w="624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3"/>
              </w:rPr>
              <w:t>Selected items impacting comparability - Adjusted net income attributable to PAA</w:t>
            </w:r>
          </w:p>
        </w:tc>
        <w:tc>
          <w:tcPr>
            <w:tcW w:w="74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(2)</w:t>
            </w:r>
          </w:p>
        </w:tc>
        <w:tc>
          <w:tcPr>
            <w:tcW w:w="23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8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Effect of dilutive securities: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8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160" w:hanging="332"/>
        <w:spacing w:after="0" w:line="224" w:lineRule="auto"/>
        <w:tabs>
          <w:tab w:leader="none" w:pos="32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5" w:lineRule="exact"/>
        <w:rPr>
          <w:rFonts w:ascii="Arial" w:cs="Arial" w:eastAsia="Arial" w:hAnsi="Arial"/>
          <w:sz w:val="19"/>
          <w:szCs w:val="19"/>
          <w:color w:val="auto"/>
          <w:vertAlign w:val="superscript"/>
        </w:rPr>
      </w:pPr>
    </w:p>
    <w:p>
      <w:pPr>
        <w:ind w:left="340" w:right="460" w:hanging="332"/>
        <w:spacing w:after="0" w:line="217" w:lineRule="auto"/>
        <w:tabs>
          <w:tab w:leader="none" w:pos="32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 See the “Selected Items Impacting Comparability” table for additional information.</w:t>
      </w:r>
    </w:p>
    <w:p>
      <w:pPr>
        <w:spacing w:after="0" w:line="34" w:lineRule="exact"/>
        <w:rPr>
          <w:rFonts w:ascii="Arial" w:cs="Arial" w:eastAsia="Arial" w:hAnsi="Arial"/>
          <w:sz w:val="19"/>
          <w:szCs w:val="19"/>
          <w:color w:val="auto"/>
          <w:vertAlign w:val="superscript"/>
        </w:rPr>
      </w:pPr>
    </w:p>
    <w:p>
      <w:pPr>
        <w:ind w:left="340" w:right="140" w:hanging="332"/>
        <w:spacing w:after="0" w:line="217" w:lineRule="auto"/>
        <w:tabs>
          <w:tab w:leader="none" w:pos="32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 possible conversion of our Series A preferred units was excluded from the calculation of diluted net income per common unit for the three and nine months ended September 30, 2021 and 2020 as the effect was antidilutive.</w:t>
      </w:r>
    </w:p>
    <w:p>
      <w:pPr>
        <w:spacing w:after="0" w:line="34" w:lineRule="exact"/>
        <w:rPr>
          <w:rFonts w:ascii="Arial" w:cs="Arial" w:eastAsia="Arial" w:hAnsi="Arial"/>
          <w:sz w:val="19"/>
          <w:szCs w:val="19"/>
          <w:color w:val="auto"/>
          <w:vertAlign w:val="superscript"/>
        </w:rPr>
      </w:pPr>
    </w:p>
    <w:p>
      <w:pPr>
        <w:ind w:left="340" w:right="200" w:hanging="332"/>
        <w:spacing w:after="0" w:line="228" w:lineRule="auto"/>
        <w:tabs>
          <w:tab w:leader="none" w:pos="32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nine months ended September 30, 2021 and 2020, the effect of equity-indexed compensation plan awards was antidilutive.</w:t>
      </w:r>
    </w:p>
    <w:p>
      <w:pPr>
        <w:spacing w:after="0" w:line="161" w:lineRule="exact"/>
        <w:rPr>
          <w:rFonts w:ascii="Arial" w:cs="Arial" w:eastAsia="Arial" w:hAnsi="Arial"/>
          <w:sz w:val="19"/>
          <w:szCs w:val="19"/>
          <w:color w:val="auto"/>
          <w:vertAlign w:val="superscript"/>
        </w:rPr>
      </w:pPr>
    </w:p>
    <w:p>
      <w:pPr>
        <w:ind w:left="5440" w:hanging="106"/>
        <w:spacing w:after="0"/>
        <w:tabs>
          <w:tab w:leader="none" w:pos="5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3"/>
              </w:rPr>
              <w:t>(3.72)</w:t>
            </w:r>
          </w:p>
        </w:tc>
      </w:tr>
      <w:tr>
        <w:trPr>
          <w:trHeight w:val="230"/>
        </w:trPr>
        <w:tc>
          <w:tcPr>
            <w:tcW w:w="62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0.37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0.71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85"/>
              </w:rPr>
              <w:t>4.98</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1.26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3"/>
              </w:rPr>
              <w:t>(3.72)</w:t>
            </w:r>
          </w:p>
        </w:tc>
      </w:tr>
      <w:tr>
        <w:trPr>
          <w:trHeight w:val="230"/>
        </w:trPr>
        <w:tc>
          <w:tcPr>
            <w:tcW w:w="62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0.37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0.71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85"/>
              </w:rPr>
              <w:t>4.98</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1.26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34" w:lineRule="exact"/>
        <w:rPr>
          <w:sz w:val="20"/>
          <w:szCs w:val="20"/>
          <w:color w:val="auto"/>
        </w:rPr>
      </w:pPr>
    </w:p>
    <w:p>
      <w:pPr>
        <w:ind w:left="340" w:right="360" w:hanging="332"/>
        <w:spacing w:after="0" w:line="227"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359"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Twelve Months Ended</w:t>
      </w:r>
    </w:p>
    <w:p>
      <w:pPr>
        <w:jc w:val="center"/>
        <w:ind w:left="8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5"/>
              </w:rPr>
              <w:t>2.70</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3"/>
              </w:rPr>
              <w:t>(0.14)</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2.56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5"/>
              </w:rPr>
              <w:t>2.65</w:t>
            </w:r>
          </w:p>
        </w:tc>
      </w:tr>
      <w:tr>
        <w:trPr>
          <w:trHeight w:val="229"/>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3"/>
              </w:rPr>
              <w:t>(0.14)</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8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table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9"/>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9"/>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Current income tax expense</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6"/>
        </w:trPr>
        <w:tc>
          <w:tcPr>
            <w:tcW w:w="62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Distributions from unconsolidated entities in excess of/(less than) adjusted equity</w:t>
            </w:r>
          </w:p>
        </w:tc>
        <w:tc>
          <w:tcPr>
            <w:tcW w:w="7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(4)</w:t>
            </w:r>
          </w:p>
        </w:tc>
        <w:tc>
          <w:tcPr>
            <w:tcW w:w="7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8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Units and Common Unit Equivalents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0.47</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Unit Equivalent </w:t>
            </w:r>
            <w:r>
              <w:rPr>
                <w:rFonts w:ascii="Arial" w:cs="Arial" w:eastAsia="Arial" w:hAnsi="Arial"/>
                <w:sz w:val="23"/>
                <w:szCs w:val="23"/>
                <w:color w:val="auto"/>
                <w:vertAlign w:val="superscript"/>
              </w:rPr>
              <w:t>(8)</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0.48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Distribution Paid per Common Unit</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2.61x</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3.54x</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2.77x</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2.59x</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 Excess</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of unconsolidated entities.</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8"/>
          <w:szCs w:val="18"/>
          <w:color w:val="auto"/>
          <w:vertAlign w:val="superscript"/>
        </w:rPr>
      </w:pPr>
    </w:p>
    <w:p>
      <w:pPr>
        <w:ind w:left="340" w:right="240" w:hanging="332"/>
        <w:spacing w:after="0" w:line="221" w:lineRule="auto"/>
        <w:tabs>
          <w:tab w:leader="none" w:pos="334"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9" w:lineRule="exact"/>
        <w:rPr>
          <w:rFonts w:ascii="Arial" w:cs="Arial" w:eastAsia="Arial" w:hAnsi="Arial"/>
          <w:sz w:val="18"/>
          <w:szCs w:val="18"/>
          <w:color w:val="auto"/>
          <w:vertAlign w:val="superscript"/>
        </w:rPr>
      </w:pPr>
    </w:p>
    <w:p>
      <w:pPr>
        <w:ind w:left="320" w:hanging="312"/>
        <w:spacing w:after="0"/>
        <w:tabs>
          <w:tab w:leader="none" w:pos="320"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Cash distributions paid during the period presented.</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Cash distributions paid to our preferred unitholders during the period presented.</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Implied DCF Available to Common Unitholders for the period divided by the weighted average common units outstanding for the period.</w:t>
      </w:r>
    </w:p>
    <w:p>
      <w:pPr>
        <w:spacing w:after="0" w:line="49" w:lineRule="exact"/>
        <w:rPr>
          <w:rFonts w:ascii="Arial" w:cs="Arial" w:eastAsia="Arial" w:hAnsi="Arial"/>
          <w:sz w:val="18"/>
          <w:szCs w:val="18"/>
          <w:color w:val="auto"/>
          <w:vertAlign w:val="superscript"/>
        </w:rPr>
      </w:pPr>
    </w:p>
    <w:p>
      <w:pPr>
        <w:ind w:left="340" w:right="60" w:hanging="332"/>
        <w:spacing w:after="0" w:line="232" w:lineRule="auto"/>
        <w:tabs>
          <w:tab w:leader="none" w:pos="334"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63" w:lineRule="exact"/>
        <w:rPr>
          <w:rFonts w:ascii="Arial" w:cs="Arial" w:eastAsia="Arial" w:hAnsi="Arial"/>
          <w:sz w:val="18"/>
          <w:szCs w:val="18"/>
          <w:color w:val="auto"/>
          <w:vertAlign w:val="superscript"/>
        </w:rPr>
      </w:pPr>
    </w:p>
    <w:p>
      <w:pPr>
        <w:ind w:left="5440" w:hanging="106"/>
        <w:spacing w:after="0"/>
        <w:tabs>
          <w:tab w:leader="none" w:pos="5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7"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Twelve Months Ended</w:t>
      </w:r>
    </w:p>
    <w:p>
      <w:pPr>
        <w:jc w:val="center"/>
        <w:ind w:left="8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11"/>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r>
      <w:tr>
        <w:trPr>
          <w:trHeight w:val="230"/>
        </w:trPr>
        <w:tc>
          <w:tcPr>
            <w:tcW w:w="87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Distributions from unconsolidated entities in excess of/(less than) adjusted equity earnings </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r>
      <w:tr>
        <w:trPr>
          <w:trHeight w:val="230"/>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Units and Common Unit Equivalents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162"/>
        </w:trPr>
        <w:tc>
          <w:tcPr>
            <w:tcW w:w="388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0"/>
        </w:trPr>
        <w:tc>
          <w:tcPr>
            <w:tcW w:w="8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8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Unit Equivalent </w:t>
            </w:r>
            <w:r>
              <w:rPr>
                <w:rFonts w:ascii="Arial" w:cs="Arial" w:eastAsia="Arial" w:hAnsi="Arial"/>
                <w:sz w:val="23"/>
                <w:szCs w:val="23"/>
                <w:color w:val="auto"/>
                <w:vertAlign w:val="superscript"/>
              </w:rPr>
              <w:t>(8)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162"/>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2.57x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2.17x</w:t>
            </w:r>
          </w:p>
        </w:tc>
      </w:tr>
      <w:tr>
        <w:trPr>
          <w:trHeight w:val="162"/>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 Excess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162"/>
        </w:trPr>
        <w:tc>
          <w:tcPr>
            <w:tcW w:w="3880" w:type="dxa"/>
            <w:vAlign w:val="bottom"/>
            <w:tcBorders>
              <w:bottom w:val="single" w:sz="8" w:color="auto"/>
            </w:tcBorders>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9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Adjustment to exclude our proportionate share of depreciation and amortization expense of unconsolidated entities.</w:t>
      </w:r>
    </w:p>
    <w:p>
      <w:pPr>
        <w:spacing w:after="0" w:line="45"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46" w:lineRule="exact"/>
        <w:rPr>
          <w:rFonts w:ascii="Arial" w:cs="Arial" w:eastAsia="Arial" w:hAnsi="Arial"/>
          <w:sz w:val="19"/>
          <w:szCs w:val="19"/>
          <w:color w:val="auto"/>
          <w:vertAlign w:val="superscript"/>
        </w:rPr>
      </w:pPr>
    </w:p>
    <w:p>
      <w:pPr>
        <w:ind w:left="340" w:right="160" w:hanging="332"/>
        <w:spacing w:after="0" w:line="210"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and selected items impacting comparability of unconsolidated entities).</w:t>
      </w:r>
    </w:p>
    <w:p>
      <w:pPr>
        <w:ind w:left="320" w:hanging="312"/>
        <w:spacing w:after="0" w:line="237"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Cash distributions paid during the period presented.</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Cash distributions paid to our preferred unitholders during the period presented.</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46" w:lineRule="exact"/>
        <w:rPr>
          <w:rFonts w:ascii="Arial" w:cs="Arial" w:eastAsia="Arial" w:hAnsi="Arial"/>
          <w:sz w:val="19"/>
          <w:szCs w:val="19"/>
          <w:color w:val="auto"/>
          <w:vertAlign w:val="superscript"/>
        </w:rPr>
      </w:pPr>
    </w:p>
    <w:p>
      <w:pPr>
        <w:ind w:left="340" w:right="40" w:hanging="332"/>
        <w:spacing w:after="0" w:line="219"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ind w:left="100"/>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Net Income/(Loss) Per Common Unit to Implied DCF Per Common Unit and Common Unit Equivalent Reconciliations: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540" w:type="dxa"/>
            <w:vAlign w:val="bottom"/>
            <w:gridSpan w:val="2"/>
          </w:tcPr>
          <w:p>
            <w:pPr>
              <w:spacing w:after="0"/>
              <w:rPr>
                <w:sz w:val="20"/>
                <w:szCs w:val="20"/>
                <w:color w:val="auto"/>
              </w:rPr>
            </w:pPr>
            <w:r>
              <w:rPr>
                <w:rFonts w:ascii="Arial" w:cs="Arial" w:eastAsia="Arial" w:hAnsi="Arial"/>
                <w:sz w:val="18"/>
                <w:szCs w:val="18"/>
                <w:color w:val="auto"/>
              </w:rPr>
              <w:t>Basic net income/(loss) per common unit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00" w:type="dxa"/>
            <w:vAlign w:val="bottom"/>
            <w:gridSpan w:val="2"/>
          </w:tcPr>
          <w:p>
            <w:pPr>
              <w:jc w:val="right"/>
              <w:ind w:right="9"/>
              <w:spacing w:after="0"/>
              <w:rPr>
                <w:sz w:val="20"/>
                <w:szCs w:val="20"/>
                <w:color w:val="auto"/>
              </w:rPr>
            </w:pPr>
            <w:r>
              <w:rPr>
                <w:rFonts w:ascii="Arial" w:cs="Arial" w:eastAsia="Arial" w:hAnsi="Arial"/>
                <w:sz w:val="18"/>
                <w:szCs w:val="18"/>
                <w:color w:val="auto"/>
                <w:w w:val="91"/>
              </w:rPr>
              <w:t>(0.15)$</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9"/>
                <w:szCs w:val="19"/>
                <w:color w:val="auto"/>
              </w:rPr>
            </w:pPr>
          </w:p>
        </w:tc>
        <w:tc>
          <w:tcPr>
            <w:tcW w:w="600" w:type="dxa"/>
            <w:vAlign w:val="bottom"/>
            <w:gridSpan w:val="2"/>
          </w:tcPr>
          <w:p>
            <w:pPr>
              <w:jc w:val="right"/>
              <w:ind w:right="9"/>
              <w:spacing w:after="0"/>
              <w:rPr>
                <w:sz w:val="20"/>
                <w:szCs w:val="20"/>
                <w:color w:val="auto"/>
              </w:rPr>
            </w:pPr>
            <w:r>
              <w:rPr>
                <w:rFonts w:ascii="Arial" w:cs="Arial" w:eastAsia="Arial" w:hAnsi="Arial"/>
                <w:sz w:val="18"/>
                <w:szCs w:val="18"/>
                <w:color w:val="auto"/>
                <w:w w:val="91"/>
              </w:rPr>
              <w:t>(0.01)$</w:t>
            </w:r>
          </w:p>
        </w:tc>
        <w:tc>
          <w:tcPr>
            <w:tcW w:w="6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3"/>
              </w:rPr>
              <w:t>(3.72)</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96"/>
              </w:rPr>
              <w:t>0.62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0.51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96"/>
              </w:rPr>
              <w:t>1.51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5.58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mplied DCF per common unit</w:t>
            </w:r>
          </w:p>
        </w:tc>
        <w:tc>
          <w:tcPr>
            <w:tcW w:w="700" w:type="dxa"/>
            <w:vAlign w:val="bottom"/>
            <w:vMerge w:val="continue"/>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6"/>
              </w:rPr>
              <w:t>0.47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0.64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6"/>
              </w:rPr>
              <w:t>1.50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1.86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540" w:type="dxa"/>
            <w:vAlign w:val="bottom"/>
            <w:gridSpan w:val="2"/>
          </w:tcPr>
          <w:p>
            <w:pPr>
              <w:spacing w:after="0"/>
              <w:rPr>
                <w:sz w:val="20"/>
                <w:szCs w:val="20"/>
                <w:color w:val="auto"/>
              </w:rPr>
            </w:pPr>
            <w:r>
              <w:rPr>
                <w:rFonts w:ascii="Arial" w:cs="Arial" w:eastAsia="Arial" w:hAnsi="Arial"/>
                <w:sz w:val="18"/>
                <w:szCs w:val="18"/>
                <w:color w:val="auto"/>
              </w:rPr>
              <w:t>Basic net income/(loss) per common unit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600" w:type="dxa"/>
            <w:vAlign w:val="bottom"/>
            <w:gridSpan w:val="2"/>
          </w:tcPr>
          <w:p>
            <w:pPr>
              <w:jc w:val="right"/>
              <w:ind w:right="9"/>
              <w:spacing w:after="0"/>
              <w:rPr>
                <w:sz w:val="20"/>
                <w:szCs w:val="20"/>
                <w:color w:val="auto"/>
              </w:rPr>
            </w:pPr>
            <w:r>
              <w:rPr>
                <w:rFonts w:ascii="Arial" w:cs="Arial" w:eastAsia="Arial" w:hAnsi="Arial"/>
                <w:sz w:val="18"/>
                <w:szCs w:val="18"/>
                <w:color w:val="auto"/>
                <w:w w:val="91"/>
              </w:rPr>
              <w:t>(0.15)$</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24"/>
                <w:szCs w:val="24"/>
                <w:color w:val="auto"/>
              </w:rPr>
            </w:pPr>
          </w:p>
        </w:tc>
        <w:tc>
          <w:tcPr>
            <w:tcW w:w="600" w:type="dxa"/>
            <w:vAlign w:val="bottom"/>
            <w:gridSpan w:val="2"/>
          </w:tcPr>
          <w:p>
            <w:pPr>
              <w:jc w:val="right"/>
              <w:ind w:right="9"/>
              <w:spacing w:after="0"/>
              <w:rPr>
                <w:sz w:val="20"/>
                <w:szCs w:val="20"/>
                <w:color w:val="auto"/>
              </w:rPr>
            </w:pPr>
            <w:r>
              <w:rPr>
                <w:rFonts w:ascii="Arial" w:cs="Arial" w:eastAsia="Arial" w:hAnsi="Arial"/>
                <w:sz w:val="18"/>
                <w:szCs w:val="18"/>
                <w:color w:val="auto"/>
                <w:w w:val="91"/>
              </w:rPr>
              <w:t>(0.01)$</w:t>
            </w:r>
          </w:p>
        </w:tc>
        <w:tc>
          <w:tcPr>
            <w:tcW w:w="6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3"/>
              </w:rPr>
              <w:t>(3.72)</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line="230" w:lineRule="exact"/>
              <w:rPr>
                <w:sz w:val="20"/>
                <w:szCs w:val="20"/>
                <w:color w:val="auto"/>
              </w:rPr>
            </w:pPr>
            <w:r>
              <w:rPr>
                <w:rFonts w:ascii="Arial" w:cs="Arial" w:eastAsia="Arial" w:hAnsi="Arial"/>
                <w:sz w:val="18"/>
                <w:szCs w:val="18"/>
                <w:color w:val="auto"/>
                <w:w w:val="99"/>
              </w:rPr>
              <w:t xml:space="preserve">Reconciling items per common unit and common unit equivalent </w:t>
            </w:r>
            <w:r>
              <w:rPr>
                <w:rFonts w:ascii="Arial" w:cs="Arial" w:eastAsia="Arial" w:hAnsi="Arial"/>
                <w:sz w:val="23"/>
                <w:szCs w:val="23"/>
                <w:color w:val="auto"/>
                <w:w w:val="99"/>
                <w:vertAlign w:val="superscript"/>
              </w:rPr>
              <w:t>(1) (3)</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96"/>
              </w:rPr>
              <w:t>0.63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0.50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96"/>
              </w:rPr>
              <w:t>1.52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5.56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mplied DCF per common unit and common unit equivalent</w:t>
            </w:r>
          </w:p>
        </w:tc>
        <w:tc>
          <w:tcPr>
            <w:tcW w:w="700" w:type="dxa"/>
            <w:vAlign w:val="bottom"/>
            <w:vMerge w:val="continue"/>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6"/>
              </w:rPr>
              <w:t>0.48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0.63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6"/>
              </w:rPr>
              <w:t>1.51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1.84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-1087755</wp:posOffset>
            </wp:positionV>
            <wp:extent cx="702945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-479425</wp:posOffset>
            </wp:positionV>
            <wp:extent cx="702945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0" cy="14541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Twelve Months Ended</w:t>
      </w:r>
    </w:p>
    <w:p>
      <w:pPr>
        <w:jc w:val="center"/>
        <w:ind w:left="8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6.14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and common unit equivalent </w:t>
            </w:r>
            <w:r>
              <w:rPr>
                <w:rFonts w:ascii="Arial" w:cs="Arial" w:eastAsia="Arial" w:hAnsi="Arial"/>
                <w:sz w:val="23"/>
                <w:szCs w:val="23"/>
                <w:color w:val="auto"/>
                <w:vertAlign w:val="superscript"/>
              </w:rPr>
              <w:t>(1) (3)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6.12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34" w:lineRule="exact"/>
        <w:rPr>
          <w:sz w:val="20"/>
          <w:szCs w:val="20"/>
          <w:color w:val="auto"/>
        </w:rPr>
      </w:pPr>
    </w:p>
    <w:p>
      <w:pPr>
        <w:ind w:left="440" w:right="80" w:hanging="332"/>
        <w:spacing w:after="0" w:line="227" w:lineRule="auto"/>
        <w:tabs>
          <w:tab w:leader="none" w:pos="4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715 million, 728 million, 719 million and 728 million, respectively.</w:t>
      </w:r>
    </w:p>
    <w:p>
      <w:pPr>
        <w:spacing w:after="0" w:line="55" w:lineRule="exact"/>
        <w:rPr>
          <w:rFonts w:ascii="Arial" w:cs="Arial" w:eastAsia="Arial" w:hAnsi="Arial"/>
          <w:sz w:val="23"/>
          <w:szCs w:val="23"/>
          <w:color w:val="auto"/>
          <w:vertAlign w:val="superscript"/>
        </w:rPr>
      </w:pPr>
    </w:p>
    <w:p>
      <w:pPr>
        <w:ind w:left="440" w:right="240" w:hanging="332"/>
        <w:spacing w:after="0" w:line="219" w:lineRule="auto"/>
        <w:tabs>
          <w:tab w:leader="none" w:pos="4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5"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728 million and 727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100330</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340"/>
          </w:cols>
          <w:pgMar w:left="220" w:top="3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1"/>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2020</w:t>
            </w:r>
          </w:p>
        </w:tc>
      </w:tr>
      <w:tr>
        <w:trPr>
          <w:trHeight w:val="212"/>
        </w:trPr>
        <w:tc>
          <w:tcPr>
            <w:tcW w:w="6240" w:type="dxa"/>
            <w:vAlign w:val="bottom"/>
            <w:gridSpan w:val="2"/>
            <w:shd w:val="clear" w:color="auto" w:fill="CCEEFF"/>
          </w:tcPr>
          <w:p>
            <w:pPr>
              <w:spacing w:after="0" w:line="212" w:lineRule="exact"/>
              <w:rPr>
                <w:sz w:val="20"/>
                <w:szCs w:val="20"/>
                <w:color w:val="auto"/>
              </w:rPr>
            </w:pPr>
            <w:r>
              <w:rPr>
                <w:rFonts w:ascii="Arial" w:cs="Arial" w:eastAsia="Arial" w:hAnsi="Arial"/>
                <w:sz w:val="18"/>
                <w:szCs w:val="18"/>
                <w:b w:val="1"/>
                <w:bCs w:val="1"/>
                <w:color w:val="auto"/>
                <w:w w:val="99"/>
              </w:rPr>
              <w:t xml:space="preserve">Free Cash Flow and Free Cash Flow after Distributions Reconciliation </w:t>
            </w:r>
            <w:r>
              <w:rPr>
                <w:rFonts w:ascii="Arial" w:cs="Arial" w:eastAsia="Arial" w:hAnsi="Arial"/>
                <w:sz w:val="23"/>
                <w:szCs w:val="23"/>
                <w:b w:val="1"/>
                <w:bCs w:val="1"/>
                <w:color w:val="auto"/>
                <w:w w:val="99"/>
                <w:vertAlign w:val="superscript"/>
              </w:rPr>
              <w:t>(1)</w:t>
            </w:r>
            <w:r>
              <w:rPr>
                <w:rFonts w:ascii="Arial" w:cs="Arial" w:eastAsia="Arial" w:hAnsi="Arial"/>
                <w:sz w:val="18"/>
                <w:szCs w:val="18"/>
                <w:b w:val="1"/>
                <w:bCs w:val="1"/>
                <w:color w:val="auto"/>
                <w:w w:val="99"/>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1,256</w:t>
            </w: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Adjustments to reconcile net cash provided by operating activities to free cash flow:</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Net cash provided by/(used in) investing activities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24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624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pacing w:after="0" w:line="134" w:lineRule="exact"/>
        <w:rPr>
          <w:sz w:val="20"/>
          <w:szCs w:val="20"/>
          <w:color w:val="auto"/>
        </w:rPr>
      </w:pPr>
    </w:p>
    <w:p>
      <w:pPr>
        <w:ind w:left="340" w:right="480" w:hanging="332"/>
        <w:spacing w:after="0" w:line="238" w:lineRule="auto"/>
        <w:tabs>
          <w:tab w:leader="none" w:pos="32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preferred and common unitholders during the period.</w:t>
      </w:r>
    </w:p>
    <w:p>
      <w:pPr>
        <w:spacing w:after="0" w:line="161"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2020</w:t>
            </w:r>
          </w:p>
        </w:tc>
      </w:tr>
      <w:tr>
        <w:trPr>
          <w:trHeight w:val="197"/>
        </w:trPr>
        <w:tc>
          <w:tcPr>
            <w:tcW w:w="664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Gains/(losses) from derivative activities and inventory valuation adjustments </w:t>
            </w:r>
            <w:r>
              <w:rPr>
                <w:rFonts w:ascii="Arial" w:cs="Arial" w:eastAsia="Arial" w:hAnsi="Arial"/>
                <w:sz w:val="22"/>
                <w:szCs w:val="22"/>
                <w:color w:val="auto"/>
                <w:vertAlign w:val="superscript"/>
              </w:rPr>
              <w:t>(2)</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(203)</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Net gain/(loss) on foreign currency revaluation </w:t>
            </w:r>
            <w:r>
              <w:rPr>
                <w:rFonts w:ascii="Arial" w:cs="Arial" w:eastAsia="Arial" w:hAnsi="Arial"/>
                <w:sz w:val="22"/>
                <w:szCs w:val="22"/>
                <w:color w:val="auto"/>
                <w:vertAlign w:val="superscript"/>
              </w:rPr>
              <w:t>(6)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9"/>
        </w:trPr>
        <w:tc>
          <w:tcPr>
            <w:tcW w:w="664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Significant transaction-related expenses </w:t>
            </w:r>
            <w:r>
              <w:rPr>
                <w:rFonts w:ascii="Arial" w:cs="Arial" w:eastAsia="Arial" w:hAnsi="Arial"/>
                <w:sz w:val="22"/>
                <w:szCs w:val="22"/>
                <w:color w:val="auto"/>
                <w:vertAlign w:val="superscript"/>
              </w:rPr>
              <w:t>(7)</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64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Net gain on early repayment of senior notes </w:t>
            </w:r>
            <w:r>
              <w:rPr>
                <w:rFonts w:ascii="Arial" w:cs="Arial" w:eastAsia="Arial" w:hAnsi="Arial"/>
                <w:sz w:val="22"/>
                <w:szCs w:val="22"/>
                <w:color w:val="auto"/>
                <w:vertAlign w:val="superscript"/>
              </w:rPr>
              <w:t>(8)</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66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w:t>
            </w:r>
          </w:p>
        </w:tc>
      </w:tr>
      <w:tr>
        <w:trPr>
          <w:trHeight w:val="230"/>
        </w:trPr>
        <w:tc>
          <w:tcPr>
            <w:tcW w:w="6640" w:type="dxa"/>
            <w:vAlign w:val="bottom"/>
            <w:gridSpan w:val="2"/>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7"/>
                <w:szCs w:val="17"/>
                <w:color w:val="auto"/>
              </w:rPr>
              <w:t>Goodwill impairment losses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09"/>
        </w:trPr>
        <w:tc>
          <w:tcPr>
            <w:tcW w:w="6640" w:type="dxa"/>
            <w:vAlign w:val="bottom"/>
            <w:gridSpan w:val="2"/>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(3,632)</w:t>
            </w:r>
          </w:p>
        </w:tc>
      </w:tr>
      <w:tr>
        <w:trPr>
          <w:trHeight w:val="20"/>
        </w:trPr>
        <w:tc>
          <w:tcPr>
            <w:tcW w:w="3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56"/>
        </w:trPr>
        <w:tc>
          <w:tcPr>
            <w:tcW w:w="3880" w:type="dxa"/>
            <w:vAlign w:val="bottom"/>
            <w:tcBorders>
              <w:bottom w:val="single" w:sz="8" w:color="auto"/>
            </w:tcBorders>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r>
    </w:tbl>
    <w:p>
      <w:pPr>
        <w:spacing w:after="0" w:line="94"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5" w:lineRule="exact"/>
        <w:rPr>
          <w:rFonts w:ascii="Arial" w:cs="Arial" w:eastAsia="Arial" w:hAnsi="Arial"/>
          <w:sz w:val="19"/>
          <w:szCs w:val="19"/>
          <w:color w:val="auto"/>
          <w:vertAlign w:val="superscript"/>
        </w:rPr>
      </w:pPr>
    </w:p>
    <w:p>
      <w:pPr>
        <w:ind w:left="340" w:right="20" w:hanging="332"/>
        <w:spacing w:after="0" w:line="249" w:lineRule="auto"/>
        <w:tabs>
          <w:tab w:leader="none" w:pos="327"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28" w:lineRule="exact"/>
        <w:rPr>
          <w:rFonts w:ascii="Arial" w:cs="Arial" w:eastAsia="Arial" w:hAnsi="Arial"/>
          <w:sz w:val="17"/>
          <w:szCs w:val="17"/>
          <w:color w:val="auto"/>
          <w:vertAlign w:val="superscript"/>
        </w:rPr>
      </w:pPr>
    </w:p>
    <w:p>
      <w:pPr>
        <w:ind w:left="340" w:right="20" w:hanging="332"/>
        <w:spacing w:after="0" w:line="251" w:lineRule="auto"/>
        <w:tabs>
          <w:tab w:leader="none" w:pos="327"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8" w:lineRule="exact"/>
        <w:rPr>
          <w:rFonts w:ascii="Arial" w:cs="Arial" w:eastAsia="Arial" w:hAnsi="Arial"/>
          <w:sz w:val="17"/>
          <w:szCs w:val="17"/>
          <w:color w:val="auto"/>
          <w:vertAlign w:val="superscript"/>
        </w:rPr>
      </w:pPr>
    </w:p>
    <w:p>
      <w:pPr>
        <w:ind w:left="340" w:right="60" w:hanging="332"/>
        <w:spacing w:after="0" w:line="256" w:lineRule="auto"/>
        <w:tabs>
          <w:tab w:leader="none" w:pos="327"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7" w:lineRule="exact"/>
        <w:rPr>
          <w:rFonts w:ascii="Arial" w:cs="Arial" w:eastAsia="Arial" w:hAnsi="Arial"/>
          <w:sz w:val="17"/>
          <w:szCs w:val="17"/>
          <w:color w:val="auto"/>
          <w:vertAlign w:val="superscript"/>
        </w:rPr>
      </w:pPr>
    </w:p>
    <w:p>
      <w:pPr>
        <w:ind w:left="340" w:right="40" w:hanging="332"/>
        <w:spacing w:after="0" w:line="228" w:lineRule="auto"/>
        <w:tabs>
          <w:tab w:leader="none" w:pos="32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5" w:lineRule="exact"/>
        <w:rPr>
          <w:rFonts w:ascii="Arial" w:cs="Arial" w:eastAsia="Arial" w:hAnsi="Arial"/>
          <w:sz w:val="19"/>
          <w:szCs w:val="19"/>
          <w:color w:val="auto"/>
          <w:vertAlign w:val="superscript"/>
        </w:rPr>
      </w:pPr>
    </w:p>
    <w:p>
      <w:pPr>
        <w:ind w:left="340" w:right="80" w:hanging="332"/>
        <w:spacing w:after="0" w:line="224" w:lineRule="auto"/>
        <w:tabs>
          <w:tab w:leader="none" w:pos="32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22"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Includes expenses associated with the Plains Oryx Permian Basin joint venture transaction, which closed on October 5, 2021, and the acquisition of Felix Midstream LLC in February 2020.</w:t>
      </w:r>
    </w:p>
    <w:p>
      <w:pPr>
        <w:spacing w:after="0" w:line="45" w:lineRule="exact"/>
        <w:rPr>
          <w:rFonts w:ascii="Arial" w:cs="Arial" w:eastAsia="Arial" w:hAnsi="Arial"/>
          <w:sz w:val="17"/>
          <w:szCs w:val="17"/>
          <w:color w:val="auto"/>
          <w:vertAlign w:val="superscript"/>
        </w:rPr>
      </w:pPr>
    </w:p>
    <w:p>
      <w:pPr>
        <w:ind w:left="320" w:hanging="312"/>
        <w:spacing w:after="0" w:line="186" w:lineRule="auto"/>
        <w:tabs>
          <w:tab w:leader="none" w:pos="3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net gains recognized in connection with the repurchase of our outstanding senior notes on the open market.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Twelve Months Ended</w:t>
      </w:r>
    </w:p>
    <w:p>
      <w:pPr>
        <w:jc w:val="center"/>
        <w:ind w:left="89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r>
      <w:tr>
        <w:trPr>
          <w:trHeight w:val="197"/>
        </w:trPr>
        <w:tc>
          <w:tcPr>
            <w:tcW w:w="90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Losses from derivative activities and inventory valuation adjustments </w:t>
            </w:r>
            <w:r>
              <w:rPr>
                <w:rFonts w:ascii="Arial" w:cs="Arial" w:eastAsia="Arial" w:hAnsi="Arial"/>
                <w:sz w:val="22"/>
                <w:szCs w:val="22"/>
                <w:color w:val="auto"/>
                <w:vertAlign w:val="superscript"/>
              </w:rPr>
              <w:t>(2)</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Net gain on foreign currency revaluation </w:t>
            </w:r>
            <w:r>
              <w:rPr>
                <w:rFonts w:ascii="Arial" w:cs="Arial" w:eastAsia="Arial" w:hAnsi="Arial"/>
                <w:sz w:val="22"/>
                <w:szCs w:val="22"/>
                <w:color w:val="auto"/>
                <w:vertAlign w:val="superscript"/>
              </w:rPr>
              <w:t>(6)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9"/>
        </w:trPr>
        <w:tc>
          <w:tcPr>
            <w:tcW w:w="900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Significant transaction-related expenses </w:t>
            </w:r>
            <w:r>
              <w:rPr>
                <w:rFonts w:ascii="Arial" w:cs="Arial" w:eastAsia="Arial" w:hAnsi="Arial"/>
                <w:sz w:val="22"/>
                <w:szCs w:val="22"/>
                <w:color w:val="auto"/>
                <w:vertAlign w:val="superscript"/>
              </w:rPr>
              <w:t>(8)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Net gain on early repayment of senior notes </w:t>
            </w:r>
            <w:r>
              <w:rPr>
                <w:rFonts w:ascii="Arial" w:cs="Arial" w:eastAsia="Arial" w:hAnsi="Arial"/>
                <w:sz w:val="22"/>
                <w:szCs w:val="22"/>
                <w:color w:val="auto"/>
                <w:vertAlign w:val="superscript"/>
              </w:rPr>
              <w:t>(9)</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9000" w:type="dxa"/>
            <w:vAlign w:val="bottom"/>
            <w:gridSpan w:val="2"/>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(581)</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(146)</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Losses from derivative activities </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7"/>
                <w:szCs w:val="17"/>
                <w:color w:val="auto"/>
              </w:rPr>
              <w:t>Goodwill impairment losses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9"/>
        </w:trPr>
        <w:tc>
          <w:tcPr>
            <w:tcW w:w="9000" w:type="dxa"/>
            <w:vAlign w:val="bottom"/>
            <w:gridSpan w:val="2"/>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1"/>
        </w:trPr>
        <w:tc>
          <w:tcPr>
            <w:tcW w:w="3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bl>
    <w:p>
      <w:pPr>
        <w:spacing w:after="0" w:line="10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9" w:lineRule="exact"/>
        <w:rPr>
          <w:rFonts w:ascii="Arial" w:cs="Arial" w:eastAsia="Arial" w:hAnsi="Arial"/>
          <w:sz w:val="18"/>
          <w:szCs w:val="18"/>
          <w:color w:val="auto"/>
          <w:vertAlign w:val="superscript"/>
        </w:rPr>
      </w:pPr>
    </w:p>
    <w:p>
      <w:pPr>
        <w:ind w:left="340" w:right="20" w:hanging="332"/>
        <w:spacing w:after="0" w:line="243" w:lineRule="auto"/>
        <w:tabs>
          <w:tab w:leader="none" w:pos="334"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43" w:lineRule="exact"/>
        <w:rPr>
          <w:rFonts w:ascii="Arial" w:cs="Arial" w:eastAsia="Arial" w:hAnsi="Arial"/>
          <w:sz w:val="18"/>
          <w:szCs w:val="18"/>
          <w:color w:val="auto"/>
          <w:vertAlign w:val="superscript"/>
        </w:rPr>
      </w:pPr>
    </w:p>
    <w:p>
      <w:pPr>
        <w:ind w:left="340" w:right="20" w:hanging="332"/>
        <w:spacing w:after="0" w:line="241" w:lineRule="auto"/>
        <w:tabs>
          <w:tab w:leader="none" w:pos="334"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3" w:lineRule="exact"/>
        <w:rPr>
          <w:rFonts w:ascii="Arial" w:cs="Arial" w:eastAsia="Arial" w:hAnsi="Arial"/>
          <w:sz w:val="18"/>
          <w:szCs w:val="18"/>
          <w:color w:val="auto"/>
          <w:vertAlign w:val="superscript"/>
        </w:rPr>
      </w:pPr>
    </w:p>
    <w:p>
      <w:pPr>
        <w:ind w:left="340" w:right="100" w:hanging="332"/>
        <w:spacing w:after="0" w:line="252" w:lineRule="auto"/>
        <w:tabs>
          <w:tab w:leader="none" w:pos="334"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8" w:lineRule="exact"/>
        <w:rPr>
          <w:rFonts w:ascii="Arial" w:cs="Arial" w:eastAsia="Arial" w:hAnsi="Arial"/>
          <w:sz w:val="18"/>
          <w:szCs w:val="18"/>
          <w:color w:val="auto"/>
          <w:vertAlign w:val="superscript"/>
        </w:rPr>
      </w:pPr>
    </w:p>
    <w:p>
      <w:pPr>
        <w:jc w:val="both"/>
        <w:ind w:left="340" w:right="140" w:hanging="332"/>
        <w:spacing w:after="0" w:line="241" w:lineRule="auto"/>
        <w:tabs>
          <w:tab w:leader="none" w:pos="334"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3" w:lineRule="exact"/>
        <w:rPr>
          <w:rFonts w:ascii="Arial" w:cs="Arial" w:eastAsia="Arial" w:hAnsi="Arial"/>
          <w:sz w:val="18"/>
          <w:szCs w:val="18"/>
          <w:color w:val="auto"/>
          <w:vertAlign w:val="superscript"/>
        </w:rPr>
      </w:pPr>
    </w:p>
    <w:p>
      <w:pPr>
        <w:jc w:val="both"/>
        <w:ind w:left="340" w:right="120" w:hanging="332"/>
        <w:spacing w:after="0" w:line="235" w:lineRule="auto"/>
        <w:tabs>
          <w:tab w:leader="none" w:pos="334"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9" w:lineRule="exact"/>
        <w:rPr>
          <w:rFonts w:ascii="Arial" w:cs="Arial" w:eastAsia="Arial" w:hAnsi="Arial"/>
          <w:sz w:val="18"/>
          <w:szCs w:val="18"/>
          <w:color w:val="auto"/>
          <w:vertAlign w:val="superscript"/>
        </w:rPr>
      </w:pPr>
    </w:p>
    <w:p>
      <w:pPr>
        <w:ind w:left="320" w:hanging="312"/>
        <w:spacing w:after="0"/>
        <w:tabs>
          <w:tab w:leader="none" w:pos="320"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Includes expenses associated with the acquisition of Felix Midstream LLC in February 2020.</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Includes net gains recognized in connection with the repurchase of our outstanding senior notes on the open market.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30" w:lineRule="exact"/>
              <w:rPr>
                <w:sz w:val="20"/>
                <w:szCs w:val="20"/>
                <w:color w:val="auto"/>
              </w:rPr>
            </w:pPr>
            <w:r>
              <w:rPr>
                <w:rFonts w:ascii="Arial" w:cs="Arial" w:eastAsia="Arial" w:hAnsi="Arial"/>
                <w:sz w:val="14"/>
                <w:szCs w:val="14"/>
                <w:b w:val="1"/>
                <w:bCs w:val="1"/>
                <w:color w:val="auto"/>
                <w:w w:val="92"/>
              </w:rPr>
              <w:t>Supply and</w:t>
            </w:r>
          </w:p>
        </w:tc>
        <w:tc>
          <w:tcPr>
            <w:tcW w:w="2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80" w:type="dxa"/>
            <w:vAlign w:val="bottom"/>
          </w:tcPr>
          <w:p>
            <w:pPr>
              <w:jc w:val="right"/>
              <w:ind w:right="192"/>
              <w:spacing w:after="0" w:line="130"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Logistics</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(10,488)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activities and inventory valuation</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loss on foreign currency</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Significant transaction-related</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180"/>
          </w:cols>
          <w:pgMar w:left="320" w:top="368" w:right="39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860"/>
          </w:cols>
          <w:pgMar w:left="320" w:top="368" w:right="399" w:bottom="1440" w:gutter="0" w:footer="0" w:header="0"/>
          <w:type w:val="continuous"/>
        </w:sectPr>
      </w:pPr>
    </w:p>
    <w:p>
      <w:pPr>
        <w:ind w:left="340" w:right="40" w:hanging="332"/>
        <w:spacing w:after="0" w:line="267" w:lineRule="auto"/>
        <w:tabs>
          <w:tab w:leader="none" w:pos="32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80" w:hanging="332"/>
        <w:spacing w:after="0" w:line="234"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30" w:lineRule="exact"/>
              <w:rPr>
                <w:sz w:val="20"/>
                <w:szCs w:val="20"/>
                <w:color w:val="auto"/>
              </w:rPr>
            </w:pPr>
            <w:r>
              <w:rPr>
                <w:rFonts w:ascii="Arial" w:cs="Arial" w:eastAsia="Arial" w:hAnsi="Arial"/>
                <w:sz w:val="14"/>
                <w:szCs w:val="14"/>
                <w:b w:val="1"/>
                <w:bCs w:val="1"/>
                <w:color w:val="auto"/>
                <w:w w:val="92"/>
              </w:rPr>
              <w:t>Supply and</w:t>
            </w:r>
          </w:p>
        </w:tc>
        <w:tc>
          <w:tcPr>
            <w:tcW w:w="2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2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1"/>
                <w:szCs w:val="11"/>
                <w:color w:val="auto"/>
              </w:rPr>
            </w:pPr>
          </w:p>
        </w:tc>
        <w:tc>
          <w:tcPr>
            <w:tcW w:w="1080" w:type="dxa"/>
            <w:vAlign w:val="bottom"/>
          </w:tcPr>
          <w:p>
            <w:pPr>
              <w:jc w:val="right"/>
              <w:ind w:right="192"/>
              <w:spacing w:after="0" w:line="130"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Logistics</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(27,985)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activities and inventory valuation</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Significant transaction-related</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180"/>
          </w:cols>
          <w:pgMar w:left="320" w:top="368" w:right="39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860"/>
          </w:cols>
          <w:pgMar w:left="320" w:top="368" w:right="399" w:bottom="1440" w:gutter="0" w:footer="0" w:header="0"/>
          <w:type w:val="continuous"/>
        </w:sectPr>
      </w:pPr>
    </w:p>
    <w:p>
      <w:pPr>
        <w:ind w:left="340" w:right="40" w:hanging="332"/>
        <w:spacing w:after="0" w:line="267" w:lineRule="auto"/>
        <w:tabs>
          <w:tab w:leader="none" w:pos="32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80" w:hanging="332"/>
        <w:spacing w:after="0" w:line="234"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135"/>
        </w:trPr>
        <w:tc>
          <w:tcPr>
            <w:tcW w:w="38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56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Nine Months Ended</w:t>
            </w:r>
          </w:p>
        </w:tc>
      </w:tr>
      <w:tr>
        <w:trPr>
          <w:trHeight w:val="188"/>
        </w:trPr>
        <w:tc>
          <w:tcPr>
            <w:tcW w:w="38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692"/>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2020</w:t>
            </w:r>
          </w:p>
        </w:tc>
      </w:tr>
      <w:tr>
        <w:trPr>
          <w:trHeight w:val="157"/>
        </w:trPr>
        <w:tc>
          <w:tcPr>
            <w:tcW w:w="6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5"/>
              </w:rPr>
              <w:t>Transportation segment (average daily volumes in thousands of barrels per</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Tariff activities volumes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Crude oil pipelines (by region):</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2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4,507</w:t>
            </w: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62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Gulf Coast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62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Western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62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223"/>
        </w:trPr>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Crude oil pipelines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r>
      <w:tr>
        <w:trPr>
          <w:trHeight w:val="229"/>
        </w:trPr>
        <w:tc>
          <w:tcPr>
            <w:tcW w:w="6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NGL pipelines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 total volumes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r>
      <w:tr>
        <w:trPr>
          <w:trHeight w:val="229"/>
        </w:trPr>
        <w:tc>
          <w:tcPr>
            <w:tcW w:w="6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Trucking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segment total volumes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(average monthly volumes):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8"/>
        </w:trPr>
        <w:tc>
          <w:tcPr>
            <w:tcW w:w="6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6"/>
              </w:rPr>
              <w:t>Natural gas storage (average monthly working capacity in billions of cubic feet)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22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NGL fractionation (average volumes in thousands of barrels per day)</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8"/>
        </w:trPr>
        <w:tc>
          <w:tcPr>
            <w:tcW w:w="62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w w:val="92"/>
              </w:rPr>
              <w:t xml:space="preserve">Facilities segment total volumes (average monthly volumes in millions of barrels) </w:t>
            </w:r>
            <w:r>
              <w:rPr>
                <w:rFonts w:ascii="Arial" w:cs="Arial" w:eastAsia="Arial" w:hAnsi="Arial"/>
                <w:sz w:val="23"/>
                <w:szCs w:val="23"/>
                <w:color w:val="auto"/>
                <w:w w:val="92"/>
                <w:vertAlign w:val="superscript"/>
              </w:rPr>
              <w:t>(4)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6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Supply and Logistics segment (average daily volumes in thousands of barrels</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220" w:type="dxa"/>
            <w:vAlign w:val="bottom"/>
            <w:gridSpan w:val="2"/>
          </w:tcPr>
          <w:p>
            <w:pPr>
              <w:ind w:left="140"/>
              <w:spacing w:after="0"/>
              <w:rPr>
                <w:sz w:val="20"/>
                <w:szCs w:val="20"/>
                <w:color w:val="auto"/>
              </w:rPr>
            </w:pPr>
            <w:r>
              <w:rPr>
                <w:rFonts w:ascii="Arial" w:cs="Arial" w:eastAsia="Arial" w:hAnsi="Arial"/>
                <w:sz w:val="18"/>
                <w:szCs w:val="18"/>
                <w:color w:val="auto"/>
              </w:rPr>
              <w:t>Crude oil lease gathering purchases</w:t>
            </w:r>
          </w:p>
        </w:tc>
        <w:tc>
          <w:tcPr>
            <w:tcW w:w="118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30"/>
        </w:trPr>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Supply and Logistics segment total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r>
      <w:tr>
        <w:trPr>
          <w:trHeight w:val="20"/>
        </w:trPr>
        <w:tc>
          <w:tcPr>
            <w:tcW w:w="3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123"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5"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56"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56" w:lineRule="exact"/>
        <w:rPr>
          <w:rFonts w:ascii="Arial" w:cs="Arial" w:eastAsia="Arial" w:hAnsi="Arial"/>
          <w:sz w:val="23"/>
          <w:szCs w:val="23"/>
          <w:color w:val="auto"/>
          <w:vertAlign w:val="superscript"/>
        </w:rPr>
      </w:pPr>
    </w:p>
    <w:p>
      <w:pPr>
        <w:ind w:left="340" w:right="260" w:hanging="332"/>
        <w:spacing w:after="0" w:line="241" w:lineRule="auto"/>
        <w:tabs>
          <w:tab w:leader="none" w:pos="32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ind w:left="100"/>
        <w:spacing w:after="0"/>
        <w:rPr>
          <w:sz w:val="20"/>
          <w:szCs w:val="20"/>
          <w:color w:val="auto"/>
        </w:rPr>
      </w:pPr>
      <w:r>
        <w:rPr>
          <w:rFonts w:ascii="Arial" w:cs="Arial" w:eastAsia="Arial" w:hAnsi="Arial"/>
          <w:sz w:val="18"/>
          <w:szCs w:val="18"/>
          <w:u w:val="single" w:color="auto"/>
          <w:color w:val="auto"/>
        </w:rPr>
        <w:t>Page 21</w:t>
      </w:r>
    </w:p>
    <w:p>
      <w:pPr>
        <w:spacing w:after="0" w:line="35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Fee-based Segment Adjusted EBITDA to Adjusted EBITDA Reconciliation: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80" w:type="dxa"/>
            <w:vAlign w:val="bottom"/>
            <w:gridSpan w:val="5"/>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108"/>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r>
      <w:tr>
        <w:trPr>
          <w:trHeight w:val="188"/>
        </w:trPr>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r>
      <w:tr>
        <w:trPr>
          <w:trHeight w:val="183"/>
        </w:trPr>
        <w:tc>
          <w:tcPr>
            <w:tcW w:w="100" w:type="dxa"/>
            <w:vAlign w:val="bottom"/>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224"/>
        </w:trPr>
        <w:tc>
          <w:tcPr>
            <w:tcW w:w="10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1,248</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1,233</w:t>
            </w:r>
          </w:p>
        </w:tc>
      </w:tr>
      <w:tr>
        <w:trPr>
          <w:trHeight w:val="229"/>
        </w:trPr>
        <w:tc>
          <w:tcPr>
            <w:tcW w:w="100" w:type="dxa"/>
            <w:vAlign w:val="bottom"/>
          </w:tcPr>
          <w:p>
            <w:pPr>
              <w:spacing w:after="0"/>
              <w:rPr>
                <w:sz w:val="19"/>
                <w:szCs w:val="19"/>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Facilities Segment Adjusted EBITDA</w:t>
            </w:r>
          </w:p>
        </w:tc>
        <w:tc>
          <w:tcPr>
            <w:tcW w:w="22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r>
      <w:tr>
        <w:trPr>
          <w:trHeight w:val="223"/>
        </w:trPr>
        <w:tc>
          <w:tcPr>
            <w:tcW w:w="10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Fee-based Segment Adjusted EBITDA</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1,673</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1,793</w:t>
            </w:r>
          </w:p>
        </w:tc>
      </w:tr>
      <w:tr>
        <w:trPr>
          <w:trHeight w:val="229"/>
        </w:trPr>
        <w:tc>
          <w:tcPr>
            <w:tcW w:w="1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9"/>
              </w:rPr>
              <w:t>Supply and Logistics Segment Adjusted EBITDA</w:t>
            </w:r>
          </w:p>
        </w:tc>
        <w:tc>
          <w:tcPr>
            <w:tcW w:w="2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100" w:type="dxa"/>
            <w:vAlign w:val="bottom"/>
          </w:tcPr>
          <w:p>
            <w:pPr>
              <w:spacing w:after="0"/>
              <w:rPr>
                <w:sz w:val="19"/>
                <w:szCs w:val="19"/>
                <w:color w:val="auto"/>
              </w:rPr>
            </w:pPr>
          </w:p>
        </w:tc>
        <w:tc>
          <w:tcPr>
            <w:tcW w:w="38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22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98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682</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1,643</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2,001</w:t>
            </w:r>
          </w:p>
        </w:tc>
      </w:tr>
      <w:tr>
        <w:trPr>
          <w:trHeight w:val="21"/>
        </w:trPr>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134" w:lineRule="exact"/>
        <w:rPr>
          <w:sz w:val="20"/>
          <w:szCs w:val="20"/>
          <w:color w:val="auto"/>
        </w:rPr>
      </w:pPr>
    </w:p>
    <w:p>
      <w:pPr>
        <w:ind w:left="440" w:right="40" w:hanging="332"/>
        <w:spacing w:after="0" w:line="234" w:lineRule="auto"/>
        <w:tabs>
          <w:tab w:leader="none" w:pos="4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$11 million, $(4) million, $(12) million and $10 million for the three and nine months ended September 30, 2021 and 2020, respectively. See the “Selected Items Impacting Comparability” table for additional information.</w:t>
      </w:r>
    </w:p>
    <w:p>
      <w:pPr>
        <w:spacing w:after="0" w:line="6"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the “Net Income/(Loss) to Adjusted EBITDA and Implied DCF Reconciliation” table for reconciliation to Net Income/(Loss).</w:t>
      </w:r>
    </w:p>
    <w:p>
      <w:pPr>
        <w:spacing w:after="0" w:line="3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Transportation</w:t>
            </w: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w w:val="93"/>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2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Transportation</w:t>
            </w:r>
          </w:p>
        </w:tc>
        <w:tc>
          <w:tcPr>
            <w:tcW w:w="2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5"/>
                <w:szCs w:val="15"/>
                <w:b w:val="1"/>
                <w:bCs w:val="1"/>
                <w:color w:val="auto"/>
                <w:w w:val="90"/>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88"/>
              </w:rPr>
              <w:t>Logistics</w:t>
            </w:r>
          </w:p>
        </w:tc>
        <w:tc>
          <w:tcPr>
            <w:tcW w:w="1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8"/>
              <w:spacing w:after="0"/>
              <w:rPr>
                <w:sz w:val="20"/>
                <w:szCs w:val="20"/>
                <w:color w:val="auto"/>
              </w:rPr>
            </w:pPr>
            <w:r>
              <w:rPr>
                <w:rFonts w:ascii="Arial" w:cs="Arial" w:eastAsia="Arial" w:hAnsi="Arial"/>
                <w:sz w:val="15"/>
                <w:szCs w:val="15"/>
                <w:b w:val="1"/>
                <w:bCs w:val="1"/>
                <w:color w:val="auto"/>
                <w:w w:val="88"/>
              </w:rPr>
              <w:t>Logistics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center"/>
              <w:ind w:left="698"/>
              <w:spacing w:after="0"/>
              <w:rPr>
                <w:sz w:val="20"/>
                <w:szCs w:val="20"/>
                <w:color w:val="auto"/>
              </w:rPr>
            </w:pPr>
            <w:r>
              <w:rPr>
                <w:rFonts w:ascii="Arial" w:cs="Arial" w:eastAsia="Arial" w:hAnsi="Arial"/>
                <w:sz w:val="17"/>
                <w:szCs w:val="17"/>
                <w:color w:val="auto"/>
                <w:w w:val="92"/>
              </w:rPr>
              <w:t>(23)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gridSpan w:val="2"/>
          </w:tcPr>
          <w:p>
            <w:pPr>
              <w:jc w:val="center"/>
              <w:ind w:left="618"/>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ind w:left="180"/>
              <w:spacing w:after="0" w:line="162" w:lineRule="exact"/>
              <w:rPr>
                <w:sz w:val="20"/>
                <w:szCs w:val="20"/>
                <w:color w:val="auto"/>
              </w:rPr>
            </w:pPr>
            <w:r>
              <w:rPr>
                <w:rFonts w:ascii="Arial" w:cs="Arial" w:eastAsia="Arial" w:hAnsi="Arial"/>
                <w:sz w:val="17"/>
                <w:szCs w:val="17"/>
                <w:color w:val="auto"/>
              </w:rPr>
              <w:t>further adjusted for impact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center"/>
              <w:ind w:left="698"/>
              <w:spacing w:after="0"/>
              <w:rPr>
                <w:sz w:val="20"/>
                <w:szCs w:val="20"/>
                <w:color w:val="auto"/>
              </w:rPr>
            </w:pPr>
            <w:r>
              <w:rPr>
                <w:rFonts w:ascii="Arial" w:cs="Arial" w:eastAsia="Arial" w:hAnsi="Arial"/>
                <w:sz w:val="17"/>
                <w:szCs w:val="17"/>
                <w:color w:val="auto"/>
                <w:w w:val="92"/>
              </w:rPr>
              <w:t>(23)</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divested assets</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Nine Months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4"/>
              </w:rPr>
              <w:t>September 30, 2020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Transportation</w:t>
            </w: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w w:val="93"/>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2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Transportation</w:t>
            </w:r>
          </w:p>
        </w:tc>
        <w:tc>
          <w:tcPr>
            <w:tcW w:w="2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5"/>
                <w:szCs w:val="15"/>
                <w:b w:val="1"/>
                <w:bCs w:val="1"/>
                <w:color w:val="auto"/>
                <w:w w:val="90"/>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88"/>
              </w:rPr>
              <w:t>Logistics</w:t>
            </w:r>
          </w:p>
        </w:tc>
        <w:tc>
          <w:tcPr>
            <w:tcW w:w="1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8"/>
              <w:spacing w:after="0"/>
              <w:rPr>
                <w:sz w:val="20"/>
                <w:szCs w:val="20"/>
                <w:color w:val="auto"/>
              </w:rPr>
            </w:pPr>
            <w:r>
              <w:rPr>
                <w:rFonts w:ascii="Arial" w:cs="Arial" w:eastAsia="Arial" w:hAnsi="Arial"/>
                <w:sz w:val="15"/>
                <w:szCs w:val="15"/>
                <w:b w:val="1"/>
                <w:bCs w:val="1"/>
                <w:color w:val="auto"/>
                <w:w w:val="88"/>
              </w:rPr>
              <w:t>Logistics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center"/>
              <w:ind w:left="698"/>
              <w:spacing w:after="0"/>
              <w:rPr>
                <w:sz w:val="20"/>
                <w:szCs w:val="20"/>
                <w:color w:val="auto"/>
              </w:rPr>
            </w:pPr>
            <w:r>
              <w:rPr>
                <w:rFonts w:ascii="Arial" w:cs="Arial" w:eastAsia="Arial" w:hAnsi="Arial"/>
                <w:sz w:val="17"/>
                <w:szCs w:val="17"/>
                <w:color w:val="auto"/>
                <w:w w:val="92"/>
              </w:rPr>
              <w:t>(31)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gridSpan w:val="2"/>
          </w:tcPr>
          <w:p>
            <w:pPr>
              <w:jc w:val="center"/>
              <w:ind w:left="618"/>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ind w:left="180"/>
              <w:spacing w:after="0" w:line="162" w:lineRule="exact"/>
              <w:rPr>
                <w:sz w:val="20"/>
                <w:szCs w:val="20"/>
                <w:color w:val="auto"/>
              </w:rPr>
            </w:pPr>
            <w:r>
              <w:rPr>
                <w:rFonts w:ascii="Arial" w:cs="Arial" w:eastAsia="Arial" w:hAnsi="Arial"/>
                <w:sz w:val="17"/>
                <w:szCs w:val="17"/>
                <w:color w:val="auto"/>
              </w:rPr>
              <w:t>further adjusted for impact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center"/>
              <w:ind w:left="698"/>
              <w:spacing w:after="0"/>
              <w:rPr>
                <w:sz w:val="20"/>
                <w:szCs w:val="20"/>
                <w:color w:val="auto"/>
              </w:rPr>
            </w:pPr>
            <w:r>
              <w:rPr>
                <w:rFonts w:ascii="Arial" w:cs="Arial" w:eastAsia="Arial" w:hAnsi="Arial"/>
                <w:sz w:val="17"/>
                <w:szCs w:val="17"/>
                <w:color w:val="auto"/>
                <w:w w:val="92"/>
              </w:rPr>
              <w:t>(31)</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1,232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divested assets</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0" w:right="200" w:hanging="332"/>
        <w:spacing w:after="0" w:line="269" w:lineRule="auto"/>
        <w:tabs>
          <w:tab w:leader="none" w:pos="42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Estimated impact of divestitures completed during 2020 and 2021, assuming an effective date of January 1, 2020. Divested assets primarily included certain NGL storage terminals, Los Angeles Basin crude oil storage terminals and natural gas storage facilities that were previously included in our Facilities segment and the sale of a portion of our interest in a joint venture pipeline that was previously reported in our Transportation segment.</w:t>
      </w:r>
    </w:p>
    <w:p>
      <w:pPr>
        <w:spacing w:after="0" w:line="140" w:lineRule="exact"/>
        <w:rPr>
          <w:rFonts w:ascii="Arial" w:cs="Arial" w:eastAsia="Arial" w:hAnsi="Arial"/>
          <w:sz w:val="21"/>
          <w:szCs w:val="21"/>
          <w:color w:val="auto"/>
          <w:vertAlign w:val="superscript"/>
        </w:rPr>
      </w:pPr>
    </w:p>
    <w:p>
      <w:pPr>
        <w:ind w:left="5540" w:hanging="106"/>
        <w:spacing w:after="0"/>
        <w:tabs>
          <w:tab w:leader="none" w:pos="5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100330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320"/>
          </w:cols>
          <w:pgMar w:left="220" w:top="36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Gain on/(impairment of) investments in</w:t>
            </w: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1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86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880" w:type="dxa"/>
            <w:vAlign w:val="bottom"/>
            <w:gridSpan w:val="3"/>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586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161"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2021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7"/>
                <w:szCs w:val="17"/>
                <w:color w:val="auto"/>
              </w:rPr>
            </w:pPr>
          </w:p>
        </w:tc>
        <w:tc>
          <w:tcPr>
            <w:tcW w:w="142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7"/>
                <w:szCs w:val="17"/>
                <w:color w:val="auto"/>
              </w:rPr>
            </w:pPr>
          </w:p>
        </w:tc>
        <w:tc>
          <w:tcPr>
            <w:tcW w:w="1420" w:type="dxa"/>
            <w:vAlign w:val="bottom"/>
            <w:gridSpan w:val="2"/>
          </w:tcPr>
          <w:p>
            <w:pPr>
              <w:jc w:val="center"/>
              <w:ind w:right="20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26,743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26,743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28,837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19,644</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9"/>
              </w:rPr>
              <w:t>Gain on/(impairment of) investments in</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8"/>
        </w:trPr>
        <w:tc>
          <w:tcPr>
            <w:tcW w:w="3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860" w:type="dxa"/>
            <w:vAlign w:val="bottom"/>
            <w:gridSpan w:val="8"/>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880" w:type="dxa"/>
            <w:vAlign w:val="bottom"/>
            <w:gridSpan w:val="3"/>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00" w:type="dxa"/>
            <w:vAlign w:val="bottom"/>
            <w:gridSpan w:val="3"/>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860" w:type="dxa"/>
            <w:vAlign w:val="bottom"/>
            <w:gridSpan w:val="8"/>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29"/>
        </w:trPr>
        <w:tc>
          <w:tcPr>
            <w:tcW w:w="3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161"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Linefill and base gas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24,197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8,327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14,900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80" w:type="dxa"/>
            <w:vAlign w:val="bottom"/>
          </w:tcPr>
          <w:p>
            <w:pPr>
              <w:spacing w:after="0"/>
              <w:rPr>
                <w:sz w:val="15"/>
                <w:szCs w:val="15"/>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1,352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Total liabilities and partners’ capital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CLASS A SHARE</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11"/>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Class A shares outstanding</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57"/>
        </w:trPr>
        <w:tc>
          <w:tcPr>
            <w:tcW w:w="38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5"/>
        </w:trPr>
        <w:tc>
          <w:tcPr>
            <w:tcW w:w="5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net income/(loss) per Class A share</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77" w:lineRule="exact"/>
        <w:rPr>
          <w:sz w:val="20"/>
          <w:szCs w:val="20"/>
          <w:color w:val="auto"/>
        </w:rPr>
      </w:pPr>
    </w:p>
    <w:p>
      <w:pPr>
        <w:ind w:left="340" w:right="320" w:hanging="332"/>
        <w:spacing w:after="0" w:line="224" w:lineRule="auto"/>
        <w:tabs>
          <w:tab w:leader="none" w:pos="334"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For the three and nine months ended September 30, 2021 and 2020, the possible exchange of AAP units and AAP Management units would not have had a dilutive effect on basic net income/(loss) per Class A share.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51" w:lineRule="exact"/>
        <w:rPr>
          <w:sz w:val="20"/>
          <w:szCs w:val="20"/>
          <w:color w:val="auto"/>
        </w:rPr>
      </w:pPr>
    </w:p>
    <w:p>
      <w:pPr>
        <w:ind w:left="660" w:right="40" w:hanging="328"/>
        <w:spacing w:after="0" w:line="283" w:lineRule="auto"/>
        <w:tabs>
          <w:tab w:leader="none" w:pos="655" w:val="left"/>
        </w:tabs>
        <w:numPr>
          <w:ilvl w:val="0"/>
          <w:numId w:val="29"/>
        </w:numPr>
        <w:rPr>
          <w:rFonts w:ascii="Arial" w:cs="Arial" w:eastAsia="Arial" w:hAnsi="Arial"/>
          <w:sz w:val="19"/>
          <w:szCs w:val="19"/>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02" w:lineRule="exact"/>
        <w:rPr>
          <w:rFonts w:ascii="Arial" w:cs="Arial" w:eastAsia="Arial" w:hAnsi="Arial"/>
          <w:sz w:val="19"/>
          <w:szCs w:val="19"/>
          <w:color w:val="auto"/>
        </w:rPr>
      </w:pPr>
    </w:p>
    <w:p>
      <w:pPr>
        <w:ind w:left="660" w:right="100" w:hanging="328"/>
        <w:spacing w:after="0" w:line="297" w:lineRule="auto"/>
        <w:tabs>
          <w:tab w:leader="none" w:pos="655" w:val="left"/>
        </w:tabs>
        <w:numPr>
          <w:ilvl w:val="0"/>
          <w:numId w:val="29"/>
        </w:numPr>
        <w:rPr>
          <w:rFonts w:ascii="Arial" w:cs="Arial" w:eastAsia="Arial" w:hAnsi="Arial"/>
          <w:sz w:val="19"/>
          <w:szCs w:val="19"/>
          <w:color w:val="auto"/>
        </w:rPr>
      </w:pPr>
      <w:r>
        <w:rPr>
          <w:rFonts w:ascii="Arial" w:cs="Arial" w:eastAsia="Arial" w:hAnsi="Arial"/>
          <w:sz w:val="16"/>
          <w:szCs w:val="16"/>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82" w:lineRule="exact"/>
        <w:rPr>
          <w:rFonts w:ascii="Arial" w:cs="Arial" w:eastAsia="Arial" w:hAnsi="Arial"/>
          <w:sz w:val="19"/>
          <w:szCs w:val="19"/>
          <w:color w:val="auto"/>
        </w:rPr>
      </w:pPr>
    </w:p>
    <w:p>
      <w:pPr>
        <w:ind w:left="660" w:right="180" w:hanging="328"/>
        <w:spacing w:after="0" w:line="251" w:lineRule="auto"/>
        <w:tabs>
          <w:tab w:leader="none" w:pos="655" w:val="left"/>
        </w:tabs>
        <w:numPr>
          <w:ilvl w:val="0"/>
          <w:numId w:val="29"/>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4" w:lineRule="exact"/>
        <w:rPr>
          <w:rFonts w:ascii="Arial" w:cs="Arial" w:eastAsia="Arial" w:hAnsi="Arial"/>
          <w:sz w:val="22"/>
          <w:szCs w:val="22"/>
          <w:color w:val="auto"/>
        </w:rPr>
      </w:pPr>
    </w:p>
    <w:p>
      <w:pPr>
        <w:ind w:left="660" w:right="26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Page 26</w:t>
      </w:r>
    </w:p>
    <w:p>
      <w:pPr>
        <w:spacing w:after="0" w:line="200" w:lineRule="exact"/>
        <w:rPr>
          <w:sz w:val="20"/>
          <w:szCs w:val="20"/>
          <w:color w:val="auto"/>
        </w:rPr>
      </w:pPr>
    </w:p>
    <w:p>
      <w:pPr>
        <w:spacing w:after="0" w:line="282" w:lineRule="exact"/>
        <w:rPr>
          <w:sz w:val="20"/>
          <w:szCs w:val="20"/>
          <w:color w:val="auto"/>
        </w:rPr>
      </w:pPr>
    </w:p>
    <w:p>
      <w:pPr>
        <w:ind w:left="660" w:right="6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right="64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34"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30"/>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jc w:val="both"/>
        <w:ind w:left="660" w:right="640" w:hanging="328"/>
        <w:spacing w:after="0" w:line="297" w:lineRule="auto"/>
        <w:tabs>
          <w:tab w:leader="none" w:pos="655" w:val="left"/>
        </w:tabs>
        <w:numPr>
          <w:ilvl w:val="0"/>
          <w:numId w:val="30"/>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59" w:lineRule="exact"/>
        <w:rPr>
          <w:rFonts w:ascii="Arial" w:cs="Arial" w:eastAsia="Arial" w:hAnsi="Arial"/>
          <w:sz w:val="19"/>
          <w:szCs w:val="19"/>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134" w:lineRule="exact"/>
        <w:rPr>
          <w:rFonts w:ascii="Arial" w:cs="Arial" w:eastAsia="Arial" w:hAnsi="Arial"/>
          <w:sz w:val="22"/>
          <w:szCs w:val="22"/>
          <w:color w:val="auto"/>
        </w:rPr>
      </w:pPr>
    </w:p>
    <w:p>
      <w:pPr>
        <w:ind w:left="660" w:right="50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135" w:lineRule="exact"/>
        <w:rPr>
          <w:rFonts w:ascii="Arial" w:cs="Arial" w:eastAsia="Arial" w:hAnsi="Arial"/>
          <w:sz w:val="22"/>
          <w:szCs w:val="22"/>
          <w:color w:val="auto"/>
        </w:rPr>
      </w:pPr>
    </w:p>
    <w:p>
      <w:pPr>
        <w:ind w:left="660" w:right="34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34" w:lineRule="exact"/>
        <w:rPr>
          <w:rFonts w:ascii="Arial" w:cs="Arial" w:eastAsia="Arial" w:hAnsi="Arial"/>
          <w:sz w:val="22"/>
          <w:szCs w:val="22"/>
          <w:color w:val="auto"/>
        </w:rPr>
      </w:pPr>
    </w:p>
    <w:p>
      <w:pPr>
        <w:ind w:left="660" w:hanging="328"/>
        <w:spacing w:after="0" w:line="258"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120" w:lineRule="exact"/>
        <w:rPr>
          <w:rFonts w:ascii="Arial" w:cs="Arial" w:eastAsia="Arial" w:hAnsi="Arial"/>
          <w:sz w:val="22"/>
          <w:szCs w:val="22"/>
          <w:color w:val="auto"/>
        </w:rPr>
      </w:pPr>
    </w:p>
    <w:p>
      <w:pPr>
        <w:ind w:left="660" w:right="20" w:hanging="328"/>
        <w:spacing w:after="0" w:line="297" w:lineRule="auto"/>
        <w:tabs>
          <w:tab w:leader="none" w:pos="655" w:val="left"/>
        </w:tabs>
        <w:numPr>
          <w:ilvl w:val="0"/>
          <w:numId w:val="30"/>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82" w:lineRule="exact"/>
        <w:rPr>
          <w:rFonts w:ascii="Arial" w:cs="Arial" w:eastAsia="Arial" w:hAnsi="Arial"/>
          <w:sz w:val="19"/>
          <w:szCs w:val="19"/>
          <w:color w:val="auto"/>
        </w:rPr>
      </w:pPr>
    </w:p>
    <w:p>
      <w:pPr>
        <w:ind w:left="660" w:right="520" w:hanging="328"/>
        <w:spacing w:after="0" w:line="285" w:lineRule="auto"/>
        <w:tabs>
          <w:tab w:leader="none" w:pos="655" w:val="left"/>
        </w:tabs>
        <w:numPr>
          <w:ilvl w:val="0"/>
          <w:numId w:val="30"/>
        </w:numPr>
        <w:rPr>
          <w:rFonts w:ascii="Arial" w:cs="Arial" w:eastAsia="Arial" w:hAnsi="Arial"/>
          <w:sz w:val="19"/>
          <w:szCs w:val="19"/>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77" w:lineRule="exact"/>
        <w:rPr>
          <w:rFonts w:ascii="Arial" w:cs="Arial" w:eastAsia="Arial" w:hAnsi="Arial"/>
          <w:sz w:val="19"/>
          <w:szCs w:val="19"/>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currency exchange rate of the Canadian dollar to the United States dollar;</w:t>
      </w:r>
    </w:p>
    <w:p>
      <w:pPr>
        <w:spacing w:after="0" w:line="134"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Page 27</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risks related to the development and operation of our assets; and</w:t>
      </w:r>
    </w:p>
    <w:p>
      <w:pPr>
        <w:spacing w:after="0" w:line="134" w:lineRule="exact"/>
        <w:rPr>
          <w:rFonts w:ascii="Arial" w:cs="Arial" w:eastAsia="Arial" w:hAnsi="Arial"/>
          <w:sz w:val="22"/>
          <w:szCs w:val="22"/>
          <w:color w:val="auto"/>
        </w:rPr>
      </w:pPr>
    </w:p>
    <w:p>
      <w:pPr>
        <w:ind w:left="660" w:right="400" w:hanging="328"/>
        <w:spacing w:after="0" w:line="238"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Plains:</w:t>
      </w:r>
    </w:p>
    <w:p>
      <w:pPr>
        <w:spacing w:after="0" w:line="2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and NGL.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21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23" w:lineRule="exact"/>
        <w:rPr>
          <w:sz w:val="20"/>
          <w:szCs w:val="20"/>
          <w:color w:val="auto"/>
        </w:rPr>
      </w:pPr>
    </w:p>
    <w:p>
      <w:pPr>
        <w:ind w:left="20" w:right="5220"/>
        <w:spacing w:after="0" w:line="292"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0980"/>
      </w:cols>
      <w:pgMar w:left="320" w:top="36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lvl w:ilvl="1">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lvl w:ilvl="1">
      <w:lvlJc w:val="left"/>
      <w:lvlText w:val="-"/>
      <w:numFmt w:val="bullet"/>
      <w:start w:val="1"/>
    </w:lvl>
  </w:abstractNum>
  <w:abstractNum w:abstractNumId="6">
    <w:nsid w:val="7C83E458"/>
    <w:multiLevelType w:val="hybridMultilevel"/>
    <w:lvl w:ilvl="0">
      <w:lvlJc w:val="left"/>
      <w:lvlText w:val="(%1)"/>
      <w:numFmt w:val="decimal"/>
      <w:start w:val="2"/>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lvl w:ilvl="1">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lvl w:ilvl="1">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lvl w:ilvl="1">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3"/>
    </w:lvl>
  </w:abstractNum>
  <w:abstractNum w:abstractNumId="20">
    <w:nsid w:val="B03E0C6"/>
    <w:multiLevelType w:val="hybridMultilevel"/>
    <w:lvl w:ilvl="0">
      <w:lvlJc w:val="left"/>
      <w:lvlText w:val="(%1)"/>
      <w:numFmt w:val="decimal"/>
      <w:start w:val="3"/>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lvl w:ilvl="1">
      <w:lvlJc w:val="left"/>
      <w:lvlText w:val="-"/>
      <w:numFmt w:val="bullet"/>
      <w:start w:val="1"/>
    </w:lvl>
  </w:abstractNum>
  <w:abstractNum w:abstractNumId="24">
    <w:nsid w:val="2CA88611"/>
    <w:multiLevelType w:val="hybridMultilevel"/>
    <w:lvl w:ilvl="0">
      <w:lvlJc w:val="left"/>
      <w:lvlText w:val="(%1)"/>
      <w:numFmt w:val="decimal"/>
      <w:start w:val="1"/>
    </w:lvl>
    <w:lvl w:ilvl="1">
      <w:lvlJc w:val="left"/>
      <w:lvlText w:val="-"/>
      <w:numFmt w:val="bullet"/>
      <w:start w:val="1"/>
    </w:lvl>
  </w:abstractNum>
  <w:abstractNum w:abstractNumId="25">
    <w:nsid w:val="836C40E"/>
    <w:multiLevelType w:val="hybridMultilevel"/>
    <w:lvl w:ilvl="0">
      <w:lvlJc w:val="left"/>
      <w:lvlText w:val="(%1)"/>
      <w:numFmt w:val="decimal"/>
      <w:start w:val="1"/>
    </w:lvl>
    <w:lvl w:ilvl="1">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2021-11-02T15:34:32Z</dcterms:created>
  <dcterms:modified xsi:type="dcterms:W3CDTF">2021-11-02T15:34:32Z</dcterms:modified>
</cp:coreProperties>
</file>