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333-210067</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1943100</wp:posOffset>
            </wp:positionH>
            <wp:positionV relativeFrom="paragraph">
              <wp:posOffset>152400</wp:posOffset>
            </wp:positionV>
            <wp:extent cx="337883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7883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17,954,751 Class A Shares</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44" w:lineRule="exact"/>
        <w:rPr>
          <w:sz w:val="24"/>
          <w:szCs w:val="24"/>
          <w:color w:val="auto"/>
        </w:rPr>
      </w:pPr>
    </w:p>
    <w:p>
      <w:pPr>
        <w:ind w:right="40" w:firstLine="348"/>
        <w:spacing w:after="0" w:line="259" w:lineRule="auto"/>
        <w:rPr>
          <w:sz w:val="20"/>
          <w:szCs w:val="20"/>
          <w:color w:val="auto"/>
        </w:rPr>
      </w:pPr>
      <w:r>
        <w:rPr>
          <w:rFonts w:ascii="Arial" w:cs="Arial" w:eastAsia="Arial" w:hAnsi="Arial"/>
          <w:sz w:val="18"/>
          <w:szCs w:val="18"/>
          <w:color w:val="auto"/>
        </w:rPr>
        <w:t>This prospectus relates to up to 17,954,751 Class A shares representing limited partner interests in Plains GP Holdings, L.P. that the selling shareholders named in this prospectus may from time to time, in one or more offerings, offer and sell. For a detailed discussion of the selling shareholders, please read "Selling Shareholders."</w:t>
      </w:r>
    </w:p>
    <w:p>
      <w:pPr>
        <w:spacing w:after="0" w:line="194" w:lineRule="exact"/>
        <w:rPr>
          <w:sz w:val="24"/>
          <w:szCs w:val="24"/>
          <w:color w:val="auto"/>
        </w:rPr>
      </w:pPr>
    </w:p>
    <w:p>
      <w:pPr>
        <w:ind w:right="20" w:firstLine="348"/>
        <w:spacing w:after="0" w:line="255" w:lineRule="auto"/>
        <w:rPr>
          <w:sz w:val="20"/>
          <w:szCs w:val="20"/>
          <w:color w:val="auto"/>
        </w:rPr>
      </w:pPr>
      <w:r>
        <w:rPr>
          <w:rFonts w:ascii="Arial" w:cs="Arial" w:eastAsia="Arial" w:hAnsi="Arial"/>
          <w:sz w:val="18"/>
          <w:szCs w:val="18"/>
          <w:color w:val="auto"/>
        </w:rPr>
        <w:t>The selling shareholders may offer and sell these Class A shares to or through one or more underwriters, dealers or agents, or directly to investors, in amounts, at prices and on terms to be determined by market conditions and other factors at the time of the offering. This prospectus describes only the general terms of these Class A shares and the general manner of offering these Class A shares by the selling shareholders. We may file one or more prospectus supplements that may describe the specific manner in which the selling shareholders will offer the Class A shares and also may add, update or change information contained in this prospectus.</w:t>
      </w:r>
    </w:p>
    <w:p>
      <w:pPr>
        <w:spacing w:after="0" w:line="197" w:lineRule="exact"/>
        <w:rPr>
          <w:sz w:val="24"/>
          <w:szCs w:val="24"/>
          <w:color w:val="auto"/>
        </w:rPr>
      </w:pPr>
    </w:p>
    <w:p>
      <w:pPr>
        <w:jc w:val="both"/>
        <w:ind w:right="18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w:t>
      </w:r>
    </w:p>
    <w:p>
      <w:pPr>
        <w:spacing w:after="0" w:line="194"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Our Class A shares are listed on the New York Stock Exchange ("NYSE") under the symbol "PAGP."</w:t>
      </w:r>
    </w:p>
    <w:p>
      <w:pPr>
        <w:spacing w:after="0" w:line="206" w:lineRule="exact"/>
        <w:rPr>
          <w:sz w:val="24"/>
          <w:szCs w:val="24"/>
          <w:color w:val="auto"/>
        </w:rPr>
      </w:pPr>
    </w:p>
    <w:p>
      <w:pPr>
        <w:ind w:right="180" w:firstLine="351"/>
        <w:spacing w:after="0" w:line="301" w:lineRule="auto"/>
        <w:rPr>
          <w:sz w:val="20"/>
          <w:szCs w:val="20"/>
          <w:color w:val="auto"/>
        </w:rPr>
      </w:pPr>
      <w:r>
        <w:rPr>
          <w:rFonts w:ascii="Arial" w:cs="Arial" w:eastAsia="Arial" w:hAnsi="Arial"/>
          <w:sz w:val="19"/>
          <w:szCs w:val="19"/>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this prospectus before you make an investment in our Class A shares.</w:t>
      </w:r>
    </w:p>
    <w:p>
      <w:pPr>
        <w:spacing w:after="0" w:line="136" w:lineRule="exact"/>
        <w:rPr>
          <w:sz w:val="24"/>
          <w:szCs w:val="24"/>
          <w:color w:val="auto"/>
        </w:rPr>
      </w:pPr>
    </w:p>
    <w:p>
      <w:pPr>
        <w:ind w:right="40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Class A shares or determined if this prospectus is truthful or complete. Any representation to the contrary is a criminal offense.</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March 23,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6060" w:type="dxa"/>
            <w:vAlign w:val="bottom"/>
            <w:gridSpan w:val="18"/>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2500" w:type="dxa"/>
            <w:vAlign w:val="bottom"/>
          </w:tcPr>
          <w:p>
            <w:pPr>
              <w:spacing w:after="0"/>
              <w:rPr>
                <w:sz w:val="24"/>
                <w:szCs w:val="2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6060" w:type="dxa"/>
            <w:vAlign w:val="bottom"/>
            <w:gridSpan w:val="18"/>
            <w:vMerge w:val="continue"/>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jc w:val="right"/>
              <w:spacing w:after="0" w:line="170"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iii</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3260" w:type="dxa"/>
            <w:vAlign w:val="bottom"/>
            <w:gridSpan w:val="5"/>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5"/>
                <w:szCs w:val="15"/>
                <w:color w:val="0000EE"/>
                <w:w w:val="73"/>
              </w:rPr>
            </w:pPr>
            <w:hyperlink w:anchor="page5">
              <w:r>
                <w:rPr>
                  <w:rFonts w:ascii="Arial" w:cs="Arial" w:eastAsia="Arial" w:hAnsi="Arial"/>
                  <w:sz w:val="15"/>
                  <w:szCs w:val="15"/>
                  <w:color w:val="0000EE"/>
                  <w:w w:val="73"/>
                </w:rPr>
                <w:t>iv</w:t>
              </w:r>
            </w:hyperlink>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About Plains GP Holdings, L.P.</w:t>
              </w:r>
            </w:hyperlink>
          </w:p>
        </w:tc>
        <w:tc>
          <w:tcPr>
            <w:tcW w:w="3780" w:type="dxa"/>
            <w:vAlign w:val="bottom"/>
            <w:gridSpan w:val="6"/>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5160" w:type="dxa"/>
            <w:vAlign w:val="bottom"/>
            <w:gridSpan w:val="16"/>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Use of Proceeds</w:t>
              </w:r>
            </w:hyperlink>
          </w:p>
        </w:tc>
        <w:tc>
          <w:tcPr>
            <w:tcW w:w="4900" w:type="dxa"/>
            <w:vAlign w:val="bottom"/>
            <w:gridSpan w:val="14"/>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6060" w:type="dxa"/>
            <w:vAlign w:val="bottom"/>
            <w:gridSpan w:val="1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Price Range of Class A Shares and Distributions</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196"/>
        </w:trPr>
        <w:tc>
          <w:tcPr>
            <w:tcW w:w="34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Our Cash Distribution Policy</w:t>
              </w:r>
            </w:hyperlink>
          </w:p>
        </w:tc>
        <w:tc>
          <w:tcPr>
            <w:tcW w:w="2660" w:type="dxa"/>
            <w:vAlign w:val="bottom"/>
            <w:gridSpan w:val="3"/>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5</w:t>
              </w:r>
            </w:hyperlink>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tcBorders>
            <w:gridSpan w:val="10"/>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The Partnership Agreement</w:t>
              </w:r>
            </w:hyperlink>
          </w:p>
        </w:tc>
        <w:tc>
          <w:tcPr>
            <w:tcW w:w="4000" w:type="dxa"/>
            <w:vAlign w:val="bottom"/>
            <w:gridSpan w:val="8"/>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gridSpan w:val="9"/>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Description of Our Shares</w:t>
              </w:r>
            </w:hyperlink>
          </w:p>
        </w:tc>
        <w:tc>
          <w:tcPr>
            <w:tcW w:w="4120" w:type="dxa"/>
            <w:vAlign w:val="bottom"/>
            <w:gridSpan w:val="9"/>
          </w:tcPr>
          <w:p>
            <w:pPr>
              <w:spacing w:after="0"/>
              <w:rPr>
                <w:sz w:val="17"/>
                <w:szCs w:val="17"/>
                <w:color w:val="auto"/>
              </w:rPr>
            </w:pPr>
          </w:p>
        </w:tc>
        <w:tc>
          <w:tcPr>
            <w:tcW w:w="2920" w:type="dxa"/>
            <w:vAlign w:val="bottom"/>
            <w:gridSpan w:val="5"/>
          </w:tcPr>
          <w:p>
            <w:pPr>
              <w:jc w:val="right"/>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Material U.S. Federal Income Tax Consequences</w:t>
              </w:r>
            </w:hyperlink>
          </w:p>
        </w:tc>
        <w:tc>
          <w:tcPr>
            <w:tcW w:w="2600" w:type="dxa"/>
            <w:vAlign w:val="bottom"/>
            <w:gridSpan w:val="2"/>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22</w:t>
              </w:r>
            </w:hyperlink>
          </w:p>
        </w:tc>
        <w:tc>
          <w:tcPr>
            <w:tcW w:w="0" w:type="dxa"/>
            <w:vAlign w:val="bottom"/>
          </w:tcPr>
          <w:p>
            <w:pPr>
              <w:spacing w:after="0"/>
              <w:rPr>
                <w:sz w:val="1"/>
                <w:szCs w:val="1"/>
                <w:color w:val="auto"/>
              </w:rPr>
            </w:pPr>
          </w:p>
        </w:tc>
      </w:tr>
      <w:tr>
        <w:trPr>
          <w:trHeight w:val="196"/>
        </w:trPr>
        <w:tc>
          <w:tcPr>
            <w:tcW w:w="6060" w:type="dxa"/>
            <w:vAlign w:val="bottom"/>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Investment in Plains GP Holdings, L.P. by Employee Benefit Plans</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Selling Shareholders</w:t>
              </w:r>
            </w:hyperlink>
          </w:p>
        </w:tc>
        <w:tc>
          <w:tcPr>
            <w:tcW w:w="1340" w:type="dxa"/>
            <w:vAlign w:val="bottom"/>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Plan of Distribution</w:t>
              </w:r>
            </w:hyperlink>
          </w:p>
        </w:tc>
        <w:tc>
          <w:tcPr>
            <w:tcW w:w="4600" w:type="dxa"/>
            <w:vAlign w:val="bottom"/>
            <w:gridSpan w:val="12"/>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4660" w:type="dxa"/>
            <w:vAlign w:val="bottom"/>
            <w:gridSpan w:val="13"/>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34</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Experts</w:t>
              </w:r>
            </w:hyperlink>
          </w:p>
        </w:tc>
        <w:tc>
          <w:tcPr>
            <w:tcW w:w="5080" w:type="dxa"/>
            <w:vAlign w:val="bottom"/>
            <w:gridSpan w:val="15"/>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34</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Neither we nor the selling shareholders have authorized anyone to provide you with additional or different information. If any other person provides you with additional, different or inconsistent information, you should not rely on it. This prospectus is not an offer to sell or the solicitation of an offer to buy any securities other than the securities to which it relates and is not an offer to sell or the solicitation of an offer to buy securities in any jurisdiction where an offer or sale is not permitted. You should not assume that the information appearing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w:t>
      </w:r>
    </w:p>
    <w:p>
      <w:pPr>
        <w:spacing w:after="0" w:line="173"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information in this prospectus is not complete.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This prospectus is part of a registration statement on Form S-3 that we filed with the SEC utilizing a "shelf" registration process. Under this shelf registration process, the selling shareholders may over time, in one or more offerings, offer and sell up to 17,954,751 of our Class A shares.</w:t>
      </w:r>
    </w:p>
    <w:p>
      <w:pPr>
        <w:spacing w:after="0" w:line="139"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may file one or more prospectus supplements that may describe the specific manner in which the selling shareholders will offer the Class A shares and may also add, update or change information in this prospectus. If there is any inconsistency between the information in this prospectus and any prospectus supplement, you should rely on the information in such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information should help you understand some of the conventions used in this prospectus. All references in this prospectus to:</w:t>
      </w:r>
    </w:p>
    <w:p>
      <w:pPr>
        <w:spacing w:after="0" w:line="262" w:lineRule="exact"/>
        <w:rPr>
          <w:sz w:val="20"/>
          <w:szCs w:val="20"/>
          <w:color w:val="auto"/>
        </w:rPr>
      </w:pPr>
    </w:p>
    <w:p>
      <w:pPr>
        <w:ind w:left="1080" w:right="320" w:hanging="532"/>
        <w:spacing w:after="0" w:line="298"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"we," "us," "the Partnership" or "Plains GP Holdings, L.P." refer to Plains GP Holdings, L.P., the registrant itself, or to Plains GP Holdings, L.P. and its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93" w:lineRule="exact"/>
        <w:rPr>
          <w:rFonts w:ascii="Arial" w:cs="Arial" w:eastAsia="Arial" w:hAnsi="Arial"/>
          <w:sz w:val="16"/>
          <w:szCs w:val="16"/>
          <w:color w:val="auto"/>
        </w:rPr>
      </w:pPr>
    </w:p>
    <w:p>
      <w:pPr>
        <w:ind w:left="1080" w:right="76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"PAA" refer to Plains All American Pipeline, L.P. (NYSE: PAA), individually, or to Plains All American Pipeline, L.P. and its operating subsidiaries collectively, as the context requires;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"PAA GP" refer to PAA GP LLC, the general partner of PAA;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"AAP" refer to Plains AAP, L.P., which owns a 100% membership interest in PAA GP;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"GP LLC" refer to Plains All American GP LLC, the general partner of AAP;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"general partner" refer to PAA GP Holdings LLC;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"partnership agreement" refer to the Amended and Restated Agreement of Limited Partnership of Plains GP Holdings, L.P.;</w:t>
      </w:r>
    </w:p>
    <w:p>
      <w:pPr>
        <w:spacing w:after="0" w:line="252" w:lineRule="exact"/>
        <w:rPr>
          <w:rFonts w:ascii="Arial" w:cs="Arial" w:eastAsia="Arial" w:hAnsi="Arial"/>
          <w:sz w:val="18"/>
          <w:szCs w:val="18"/>
          <w:color w:val="auto"/>
        </w:rPr>
      </w:pPr>
    </w:p>
    <w:p>
      <w:pPr>
        <w:ind w:left="1080" w:right="100" w:hanging="532"/>
        <w:spacing w:after="0" w:line="294"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"Legacy Owners" refer to owners of AAP immediately prior to our IPO including, but not limited to: PAA Management, L.P.; and certain entities and individuals affiliated with The Energy &amp; Minerals Group ("EMG"), Kayne Anderson Investment Management Inc. ("Kayne Anderson"), and Occidental Petroleum Corporation ("Occidental"). Unless the context requires otherwise, references to Kayne Anderson include KAFU Holdings, L.P., KAFU Holdings (QP), L.P., KAFU Holdings II, L.P., Kayne Anderson MLP Investment Company, Kayne Anderson Energy Development Company and Kayne Anderson Midstream/Energy Fund, Inc.;</w:t>
      </w:r>
    </w:p>
    <w:p>
      <w:pPr>
        <w:spacing w:after="0" w:line="183"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"Registration Rights Agreement" refer to the Shareholder and Registration Rights Agreement entered into with the Legacy Owners in connection with our initial public offering (our "IPO");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"affiliates" of our general partner do not include the Legacy Owners, other than PAA Management, L.P.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including all such documents we may file with the SEC after the date of the initial registration statement and prior to the effectiveness of the registration statement, until all offerings under this registration statement are completed:</w:t>
      </w:r>
    </w:p>
    <w:p>
      <w:pPr>
        <w:spacing w:after="0" w:line="211"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 on Form 8-K filed on February 2, 2016; and</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Class A shares contained in our Registration Statement on Form 8-A, filed on October 15, 2013, and any subsequent amendment or report filed for the purpose of updating such description.</w:t>
      </w:r>
    </w:p>
    <w:p>
      <w:pPr>
        <w:spacing w:after="0" w:line="186"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 646-4100</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 xml:space="preserve">We also make available free of charge on our website at </w:t>
      </w:r>
      <w:r>
        <w:rPr>
          <w:rFonts w:ascii="Arial" w:cs="Arial" w:eastAsia="Arial" w:hAnsi="Arial"/>
          <w:sz w:val="18"/>
          <w:szCs w:val="18"/>
          <w:i w:val="1"/>
          <w:iCs w:val="1"/>
          <w:color w:val="auto"/>
        </w:rPr>
        <w:t>ir.pagp.com</w:t>
      </w:r>
      <w:r>
        <w:rPr>
          <w:rFonts w:ascii="Arial" w:cs="Arial" w:eastAsia="Arial" w:hAnsi="Arial"/>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All statements included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38"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261" w:lineRule="exact"/>
        <w:rPr>
          <w:rFonts w:ascii="Arial" w:cs="Arial" w:eastAsia="Arial" w:hAnsi="Arial"/>
          <w:sz w:val="16"/>
          <w:szCs w:val="16"/>
          <w:color w:val="auto"/>
        </w:rPr>
      </w:pPr>
    </w:p>
    <w:p>
      <w:pPr>
        <w:ind w:left="1080" w:right="36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21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Other factors described or incorporated by reference herein, as well as factors that are unknown or unpredictable, could also have a material adverse effect on future results. Please read "Risk Factors" beginning on page 2 of this prospectus and in our Annual Report on Form 10-K for the fiscal year ended December 31, 2015 (File No. 001-36132), which is incorporated in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PLAINS GP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a Delaware limited partnership formed in July 2013 that has elected to be treated as a corporation for U.S. federal income tax purposes.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March 8, 2016, our only cash-generating assets consisted of 265,641,573 Class A Units of AAP, which we refer to as AAP Class A units, which represent a 42.6%</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limited partner interest in AAP (40.6% economic interest including the dilutive effect of the Class B units of AAP (the "AAP management units")). AAP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currently owns all of the incentive distribution rights ("IDRs") and an indirect 2% general partner interest in PAA.</w:t>
      </w:r>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PAA is a publicly traded limited partnership that owns and operates midstream energy infrastructure and provides logistical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Plains GP Holdings, L.P.</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general partner, PAA GP Holdings LLC, manages our operations and activities and is responsible for exercising on our behalf any rights we have as the managing member of GP LLC, including any rights to appoint members to the board of directors of GP LLC. GP LLC has responsibility for managing the business and affairs of PAA and AAP; however, through our rights as the sole and managing member of GP LLC, we effectively control the business and affairs of PAA and AAP.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TX 77002 and our telephone number is (713) 646-4100. Our website is located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An investment in our Class A shares involves a high degree of risk. Before you invest in our Class A shares, you should carefully consider those risks described in our Annual Report on Form 10-K for the year ended December 31, 2015 (File No. 001-36132), which is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Please read "Forward-Looking Statements."</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will not receive any of the proceeds from the sale of Class A shares by the selling shareholders in any offering. We will cause AAP to pay certain expenses, other than underwriting discounts and commissions, associated with the sale of Class A shares by the selling shareholders.</w:t>
      </w:r>
    </w:p>
    <w:p>
      <w:pPr>
        <w:spacing w:after="0" w:line="13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131" w:right="8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PRICE RANGE OF CLASS A SHARES AND DISTRIBUTIONS</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March 8, 2016, we had 265,641,573 Class A shares outstanding, held by approximately 29,000 shareholders, including Class A shares held in street name. Our Class A shares are traded on the NYSE under the symbol "PAGP." The following table sets forth, for the periods indicated, the high and low sales prices for the Class A shares, as reported on the NYSE Composite Transactions Tape, and quarterly cash distributions declared per Class A share. The last reported sale price of Class A shares on the NYSE on March 22, 2016 was $8.92 per Class A share.</w:t>
      </w:r>
    </w:p>
    <w:p>
      <w:pPr>
        <w:spacing w:after="0" w:line="27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Class A Share</w:t>
            </w:r>
          </w:p>
        </w:tc>
        <w:tc>
          <w:tcPr>
            <w:tcW w:w="100" w:type="dxa"/>
            <w:vAlign w:val="bottom"/>
          </w:tcPr>
          <w:p>
            <w:pPr>
              <w:spacing w:after="0"/>
              <w:rPr>
                <w:sz w:val="14"/>
                <w:szCs w:val="14"/>
                <w:color w:val="auto"/>
              </w:rPr>
            </w:pPr>
          </w:p>
        </w:tc>
        <w:tc>
          <w:tcPr>
            <w:tcW w:w="14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1"/>
              </w:rPr>
              <w:t>Cash</w:t>
            </w: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rPr>
              <w:t>Price Range</w:t>
            </w:r>
          </w:p>
        </w:tc>
        <w:tc>
          <w:tcPr>
            <w:tcW w:w="10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1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Distributions per</w:t>
            </w:r>
          </w:p>
        </w:tc>
        <w:tc>
          <w:tcPr>
            <w:tcW w:w="0" w:type="dxa"/>
            <w:vAlign w:val="bottom"/>
          </w:tcPr>
          <w:p>
            <w:pPr>
              <w:spacing w:after="0"/>
              <w:rPr>
                <w:sz w:val="1"/>
                <w:szCs w:val="1"/>
                <w:color w:val="auto"/>
              </w:rPr>
            </w:pPr>
          </w:p>
        </w:tc>
      </w:tr>
      <w:tr>
        <w:trPr>
          <w:trHeight w:val="62"/>
        </w:trPr>
        <w:tc>
          <w:tcPr>
            <w:tcW w:w="21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Low</w:t>
            </w:r>
          </w:p>
        </w:tc>
        <w:tc>
          <w:tcPr>
            <w:tcW w:w="10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Class A Share(1)</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27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24.38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0.17055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0.18340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0.19075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0.20300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0.22200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0.22700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0.23100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0.23100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80" w:type="dxa"/>
            <w:vAlign w:val="bottom"/>
            <w:gridSpan w:val="2"/>
          </w:tcPr>
          <w:p>
            <w:pPr>
              <w:ind w:left="180"/>
              <w:spacing w:after="0"/>
              <w:rPr>
                <w:sz w:val="20"/>
                <w:szCs w:val="20"/>
                <w:color w:val="auto"/>
              </w:rPr>
            </w:pPr>
            <w:r>
              <w:rPr>
                <w:rFonts w:ascii="Arial" w:cs="Arial" w:eastAsia="Arial" w:hAnsi="Arial"/>
                <w:sz w:val="18"/>
                <w:szCs w:val="18"/>
                <w:color w:val="auto"/>
              </w:rPr>
              <w:t>First Quarter (through March 22, 2016)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12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tabs>
          <w:tab w:leader="none" w:pos="2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cash distributions attributable to the quarter and paid within 55 days after the quarter end.</w:t>
      </w:r>
    </w:p>
    <w:p>
      <w:pPr>
        <w:spacing w:after="0" w:line="252" w:lineRule="exact"/>
        <w:rPr>
          <w:rFonts w:ascii="Arial" w:cs="Arial" w:eastAsia="Arial" w:hAnsi="Arial"/>
          <w:sz w:val="18"/>
          <w:szCs w:val="18"/>
          <w:color w:val="auto"/>
        </w:rPr>
      </w:pPr>
    </w:p>
    <w:p>
      <w:pPr>
        <w:ind w:left="2260" w:hanging="540"/>
        <w:spacing w:after="0"/>
        <w:tabs>
          <w:tab w:leader="none" w:pos="2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distributions in respect of the first quarter of 2016 have not been declared or paid.</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partnership agreement requires that, within 55 days after the end of each quarter, we distribute all of our available cash to Class A shareholders of record on the applicable record date.</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Available cash generally means, for any quarter ending prior to liquidation, all cash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208"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funds for future distributions to shareholders;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us in the future;</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permit us to pay a ratable amount to AAP as necessary to permit AAP to make required capital contributions to PAA to maintain PAA GP's 2% general partner interest upon the issuance of additional partnership securities by PAA;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with respect to the matters described under "The Partnership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Available Cash</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March 8, 2016, our only cash-generating assets consisted of our indirect partnership interests in PAA through our 42.6% limited partnership interest in AAP (40.6% economic interest including the dilutive effect of the AAP management units). AAP currently receives all of its cash flows from its direct ownership of all of PAA's IDRs and its indirect ownership of the 2% general partner interest in PAA. Therefore, our cash flow and resulting ability to make distributions will be completely dependent upon the ability of PAA to make distributions to AAP in respect of those partnership interests. The actual amount of cash that PAA, and correspondingly AAP, will have available for distribution will primarily depend on the amount of cash PAA generates from its operations. Also, under the terms of the agreements governing AAP and PAA's debt, they are prohibited from declaring or paying any distribution to unitholders if a default or event of default (as defined in such agreements) exists.</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addition, the actual amount of cash that PAA and AAP will have available for distribution will depend on other factors, some of which are beyond PAA's or our control, including:</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revenue PAA and AAP are able to generate from their respective businesses;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capital expenditures PAA or AAP makes;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PAA's and AAP's operating, maintenance and general and administrative expenses or related obligations;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PAA's and AAP's debt service requirements and other liabilities;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PAA's and AAP's working capital needs;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distributions contained in PAA's or AAP's debt agreements and any future debt agreements;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and AAP's ability to borrow under their respective revolving credit agreements to make distributions; and</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if any, of cash reserves established by each of PAA GP and our general partner, in their sole discretion, for the proper conduct of PAA's and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PARTNERSHIP AGREEMENT</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We summarize the following provisions of our partnership agreement elsewhere in this prospectus:</w:t>
      </w:r>
    </w:p>
    <w:p>
      <w:pPr>
        <w:spacing w:after="0" w:line="19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regard to distributions of available cash, please read "Our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regard to the rights of holders of Class A shares, please read "Description of Our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regard to allocations of taxable income and taxable loss, please read "Material U.S. Federal Income Tax Consequences."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formed in July 2013 and have a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Under our partnership agreement, we are permitted to engage, directly or indirectly, in any business activity that is approved by our general partner and that lawfully may be conducted by a limited partnership organized under Delaware law.</w:t>
      </w:r>
    </w:p>
    <w:p>
      <w:pPr>
        <w:spacing w:after="0" w:line="186"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Although our general partner has the ability to cause us, our affiliates and our subsidiaries to engage in activities other than the indirect ownership of partnership interests (including IDRs)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spacing w:after="0" w:line="210"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making of expenditures and the incurrence of debt and other obligations;</w:t>
      </w:r>
    </w:p>
    <w:p>
      <w:pPr>
        <w:spacing w:after="0" w:line="252"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our assets or the merger or other combination of us with or into another person;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negotiation, execution and performance of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distribution of our cash;</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our partnership securities or the issuance of partnership securities or options or other rights relating thereto;</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action in connection with our participation and management of PAA;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action to waive, reduce, limit or modify PAA's IDRs.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shareholders are not obligated to make additional capital contributions, except as described below under "—Limited Liability."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Delaware law. Our partnership agreement requires that any claims, suits, actions or proceedings:</w:t>
      </w:r>
    </w:p>
    <w:p>
      <w:pPr>
        <w:spacing w:after="0" w:line="275" w:lineRule="exact"/>
        <w:rPr>
          <w:sz w:val="20"/>
          <w:szCs w:val="20"/>
          <w:color w:val="auto"/>
        </w:rPr>
      </w:pPr>
    </w:p>
    <w:p>
      <w:pPr>
        <w:ind w:left="108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asserting a claim arising pursuant to any provision of the Delaware Revised Uniform Limited Partnership Act (the "Delaware Act");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spacing w:after="0" w:line="224"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 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Voting Rights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manages us and our operations. You will have only limited voting rights on matters affecting our business. You will not have the right to elect our general partner or, except as described below under "—Public Election of Directors Following Trigger Date," its directors on an annual or other continuing basis.</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following is a summary of the shareholder vote required for the matters specified below. On all matters where our shareholders are entitled to vote,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their shares, our general partner will have no fiduciary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duty or obligation whatsoever to us or the shareholders, including any duty to act in good faith or in the best interests of us or the shareholders.</w:t>
      </w:r>
    </w:p>
    <w:p>
      <w:pPr>
        <w:spacing w:after="0" w:line="260"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Issuance of additional</w:t>
      </w:r>
      <w:r>
        <w:rPr>
          <w:sz w:val="20"/>
          <w:szCs w:val="20"/>
          <w:color w:val="auto"/>
        </w:rPr>
        <w:tab/>
      </w:r>
      <w:r>
        <w:rPr>
          <w:rFonts w:ascii="Arial" w:cs="Arial" w:eastAsia="Arial" w:hAnsi="Arial"/>
          <w:sz w:val="16"/>
          <w:szCs w:val="16"/>
          <w:color w:val="auto"/>
        </w:rPr>
        <w:t>No approval right.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shares (or other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partnership securities)</w:t>
      </w:r>
    </w:p>
    <w:p>
      <w:pPr>
        <w:sectPr>
          <w:pgSz w:w="11900" w:h="16838" w:orient="portrait"/>
          <w:cols w:equalWidth="0" w:num="1">
            <w:col w:w="11400"/>
          </w:cols>
          <w:pgMar w:left="240" w:top="131" w:right="259" w:bottom="1440" w:gutter="0" w:footer="0" w:header="0"/>
        </w:sectPr>
      </w:pPr>
    </w:p>
    <w:p>
      <w:pPr>
        <w:spacing w:after="0" w:line="219" w:lineRule="exact"/>
        <w:rPr>
          <w:sz w:val="20"/>
          <w:szCs w:val="20"/>
          <w:color w:val="auto"/>
        </w:rPr>
      </w:pPr>
    </w:p>
    <w:p>
      <w:pPr>
        <w:ind w:left="180" w:right="60" w:hanging="179"/>
        <w:spacing w:after="0" w:line="370" w:lineRule="auto"/>
        <w:rPr>
          <w:sz w:val="20"/>
          <w:szCs w:val="20"/>
          <w:color w:val="auto"/>
        </w:rPr>
      </w:pPr>
      <w:r>
        <w:rPr>
          <w:rFonts w:ascii="Arial" w:cs="Arial" w:eastAsia="Arial" w:hAnsi="Arial"/>
          <w:sz w:val="15"/>
          <w:szCs w:val="15"/>
          <w:color w:val="auto"/>
        </w:rPr>
        <w:t>Amendment of our partnership agreement</w:t>
      </w:r>
    </w:p>
    <w:p>
      <w:pPr>
        <w:spacing w:after="0" w:line="333" w:lineRule="exact"/>
        <w:rPr>
          <w:sz w:val="20"/>
          <w:szCs w:val="20"/>
          <w:color w:val="auto"/>
        </w:rPr>
      </w:pPr>
    </w:p>
    <w:p>
      <w:pPr>
        <w:ind w:left="180" w:hanging="179"/>
        <w:spacing w:after="0" w:line="298" w:lineRule="auto"/>
        <w:rPr>
          <w:sz w:val="20"/>
          <w:szCs w:val="20"/>
          <w:color w:val="auto"/>
        </w:rPr>
      </w:pPr>
      <w:r>
        <w:rPr>
          <w:rFonts w:ascii="Arial" w:cs="Arial" w:eastAsia="Arial" w:hAnsi="Arial"/>
          <w:sz w:val="16"/>
          <w:szCs w:val="16"/>
          <w:color w:val="auto"/>
        </w:rPr>
        <w:t>Merger of our partnership or the sale of all or substantially all of our assets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Amendments to our partnership agreement may be proposed only by or with the consent of our general partner. Certain amendments may be made by our general partner without the approval of our shareholders. Other amendments generally require the approval of a majority of our outstanding shares. Please read "—Amendments to Our Partnership Agreement."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 majority of our outstanding shares in certain circumstances. Please read "—Merger, Sale or Other Disposition of Assets."</w:t>
      </w:r>
    </w:p>
    <w:p>
      <w:pPr>
        <w:spacing w:after="0" w:line="896" w:lineRule="exact"/>
        <w:rPr>
          <w:sz w:val="20"/>
          <w:szCs w:val="20"/>
          <w:color w:val="auto"/>
        </w:rPr>
      </w:pPr>
    </w:p>
    <w:p>
      <w:pPr>
        <w:sectPr>
          <w:pgSz w:w="11900" w:h="16838" w:orient="portrait"/>
          <w:cols w:equalWidth="0" w:num="2">
            <w:col w:w="1820" w:space="260"/>
            <w:col w:w="9320"/>
          </w:cols>
          <w:pgMar w:left="240" w:top="131" w:right="259" w:bottom="1440" w:gutter="0" w:footer="0" w:header="0"/>
          <w:type w:val="continuous"/>
        </w:sectPr>
      </w:pPr>
    </w:p>
    <w:p>
      <w:pPr>
        <w:spacing w:after="0"/>
        <w:rPr>
          <w:sz w:val="20"/>
          <w:szCs w:val="20"/>
          <w:color w:val="auto"/>
        </w:rPr>
      </w:pPr>
      <w:r>
        <w:rPr>
          <w:rFonts w:ascii="Arial" w:cs="Arial" w:eastAsia="Arial" w:hAnsi="Arial"/>
          <w:sz w:val="18"/>
          <w:szCs w:val="18"/>
          <w:color w:val="auto"/>
        </w:rPr>
        <w:t>Dissolution</w:t>
      </w:r>
    </w:p>
    <w:p>
      <w:pPr>
        <w:spacing w:after="0" w:line="225" w:lineRule="exact"/>
        <w:rPr>
          <w:sz w:val="20"/>
          <w:szCs w:val="20"/>
          <w:color w:val="auto"/>
        </w:rPr>
      </w:pPr>
    </w:p>
    <w:p>
      <w:pPr>
        <w:ind w:left="180" w:right="440" w:hanging="179"/>
        <w:spacing w:after="0" w:line="332" w:lineRule="auto"/>
        <w:rPr>
          <w:sz w:val="20"/>
          <w:szCs w:val="20"/>
          <w:color w:val="auto"/>
        </w:rPr>
      </w:pPr>
      <w:r>
        <w:rPr>
          <w:rFonts w:ascii="Arial" w:cs="Arial" w:eastAsia="Arial" w:hAnsi="Arial"/>
          <w:sz w:val="16"/>
          <w:szCs w:val="16"/>
          <w:color w:val="auto"/>
        </w:rPr>
        <w:t>Reconstitution upon dissolution</w:t>
      </w:r>
    </w:p>
    <w:p>
      <w:pPr>
        <w:spacing w:after="0" w:line="139" w:lineRule="exact"/>
        <w:rPr>
          <w:sz w:val="20"/>
          <w:szCs w:val="20"/>
          <w:color w:val="auto"/>
        </w:rPr>
      </w:pPr>
    </w:p>
    <w:p>
      <w:pPr>
        <w:ind w:left="180" w:hanging="179"/>
        <w:spacing w:after="0" w:line="268" w:lineRule="auto"/>
        <w:rPr>
          <w:sz w:val="20"/>
          <w:szCs w:val="20"/>
          <w:color w:val="auto"/>
        </w:rPr>
      </w:pPr>
      <w:r>
        <w:rPr>
          <w:rFonts w:ascii="Arial" w:cs="Arial" w:eastAsia="Arial" w:hAnsi="Arial"/>
          <w:sz w:val="18"/>
          <w:szCs w:val="18"/>
          <w:color w:val="auto"/>
        </w:rPr>
        <w:t>Withdrawal of our general partner</w:t>
      </w:r>
    </w:p>
    <w:p>
      <w:pPr>
        <w:spacing w:after="0" w:line="186" w:lineRule="exact"/>
        <w:rPr>
          <w:sz w:val="20"/>
          <w:szCs w:val="20"/>
          <w:color w:val="auto"/>
        </w:rPr>
      </w:pPr>
    </w:p>
    <w:p>
      <w:pPr>
        <w:ind w:left="180" w:right="180" w:hanging="179"/>
        <w:spacing w:after="0" w:line="268" w:lineRule="auto"/>
        <w:rPr>
          <w:sz w:val="20"/>
          <w:szCs w:val="20"/>
          <w:color w:val="auto"/>
        </w:rPr>
      </w:pPr>
      <w:r>
        <w:rPr>
          <w:rFonts w:ascii="Arial" w:cs="Arial" w:eastAsia="Arial" w:hAnsi="Arial"/>
          <w:sz w:val="18"/>
          <w:szCs w:val="18"/>
          <w:color w:val="auto"/>
        </w:rPr>
        <w:t>Removal of our general partner</w:t>
      </w:r>
    </w:p>
    <w:p>
      <w:pPr>
        <w:spacing w:after="0" w:line="227" w:lineRule="exact"/>
        <w:rPr>
          <w:sz w:val="20"/>
          <w:szCs w:val="20"/>
          <w:color w:val="auto"/>
        </w:rPr>
      </w:pPr>
    </w:p>
    <w:p>
      <w:pPr>
        <w:ind w:left="180" w:right="260" w:hanging="179"/>
        <w:spacing w:after="0" w:line="370" w:lineRule="auto"/>
        <w:rPr>
          <w:sz w:val="20"/>
          <w:szCs w:val="20"/>
          <w:color w:val="auto"/>
        </w:rPr>
      </w:pPr>
      <w:r>
        <w:rPr>
          <w:rFonts w:ascii="Arial" w:cs="Arial" w:eastAsia="Arial" w:hAnsi="Arial"/>
          <w:sz w:val="15"/>
          <w:szCs w:val="15"/>
          <w:color w:val="auto"/>
        </w:rPr>
        <w:t>Transfer of the general partner 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 majority of our outstanding shares. Please read "—Termination or Dissolution."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majority of our outstanding shares. Please read "—Termination or Dissolution."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 approval right. Please read "—Withdrawal or Removal of the General Partner."</w:t>
      </w:r>
    </w:p>
    <w:p>
      <w:pPr>
        <w:spacing w:after="0" w:line="200" w:lineRule="exact"/>
        <w:rPr>
          <w:sz w:val="20"/>
          <w:szCs w:val="20"/>
          <w:color w:val="auto"/>
        </w:rPr>
      </w:pPr>
    </w:p>
    <w:p>
      <w:pPr>
        <w:spacing w:after="0" w:line="242" w:lineRule="exact"/>
        <w:rPr>
          <w:sz w:val="20"/>
          <w:szCs w:val="20"/>
          <w:color w:val="auto"/>
        </w:rPr>
      </w:pPr>
    </w:p>
    <w:p>
      <w:pPr>
        <w:ind w:right="740"/>
        <w:spacing w:after="0" w:line="212" w:lineRule="auto"/>
        <w:rPr>
          <w:sz w:val="20"/>
          <w:szCs w:val="20"/>
          <w:color w:val="auto"/>
        </w:rPr>
      </w:pPr>
      <w:r>
        <w:rPr>
          <w:rFonts w:ascii="Arial" w:cs="Arial" w:eastAsia="Arial" w:hAnsi="Arial"/>
          <w:sz w:val="18"/>
          <w:szCs w:val="18"/>
          <w:color w:val="auto"/>
        </w:rPr>
        <w:t>Not less than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 including shares held by our general partner, the Legacy Owners and their respective affiliates. Please read "—Withdrawal or Removal of the General Partner."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 approval right. Please read "—Transfer of General Partner Interest."</w:t>
      </w:r>
    </w:p>
    <w:p>
      <w:pPr>
        <w:spacing w:after="0" w:line="434" w:lineRule="exact"/>
        <w:rPr>
          <w:sz w:val="20"/>
          <w:szCs w:val="20"/>
          <w:color w:val="auto"/>
        </w:rPr>
      </w:pPr>
    </w:p>
    <w:p>
      <w:pPr>
        <w:sectPr>
          <w:pgSz w:w="11900" w:h="16838" w:orient="portrait"/>
          <w:cols w:equalWidth="0" w:num="2">
            <w:col w:w="1860" w:space="220"/>
            <w:col w:w="9320"/>
          </w:cols>
          <w:pgMar w:left="240" w:top="131"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Transfer of Ownership Interests in Our General Partner</w:t>
      </w:r>
    </w:p>
    <w:p>
      <w:pPr>
        <w:spacing w:after="0" w:line="231"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At any time, the owners of our general partner may sell or transfer all or part of their ownership interest in our general partner without the approval of our shareholders, subject to certain rights of first refusal and other transfer restrictions contained in AAP's partnership agreement.</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partner's limited liability company agreement includes provisions linking the ownership of the membership interests in our general partner to the ownership of the outstanding AAP Class A units. Membership interests in our general partner are not allowed to be transferred without transferring the same number of AAP Class A units and vice versa.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spacing w:after="0" w:line="139"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It is possible that we will fund acquisitions through the issuance of additional shares or other equity securities. Holders of any additional shares we issue will be entitled to share equally with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then-existing shareholders in our cash distributions. In addition, the issuance of additional partnership interests may dilute the value of the interests of the then-existing holders of shares in our net assets.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have special voting rights to which the Class A shares and Class B shares are not entitled.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80" w:firstLine="341"/>
        <w:spacing w:after="0" w:line="318" w:lineRule="auto"/>
        <w:rPr>
          <w:sz w:val="20"/>
          <w:szCs w:val="20"/>
          <w:color w:val="auto"/>
        </w:rPr>
      </w:pPr>
      <w:r>
        <w:rPr>
          <w:rFonts w:ascii="Arial" w:cs="Arial" w:eastAsia="Arial" w:hAnsi="Arial"/>
          <w:sz w:val="15"/>
          <w:szCs w:val="15"/>
          <w:color w:val="auto"/>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its consent, unless approved by at least a majority of the type or class of shareholder interests so affected; or</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spacing w:after="0" w:line="194"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provision of our partnership agreement preventing amendments having the effects described in clauses (1) or (2) above can be amended upon the approval of the holders of at least 90% of the outstanding shares.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 Shareholder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general partner may generally make amendments to our partnership agreement without the approval of any shareholder or assignee to reflect:</w:t>
      </w:r>
    </w:p>
    <w:p>
      <w:pPr>
        <w:spacing w:after="0" w:line="262"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change in our name, the location of our principal place of business, our registered agent or its registered office;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5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w:t>
      </w:r>
    </w:p>
    <w:p>
      <w:pPr>
        <w:spacing w:after="0" w:line="152"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authorization of additional partnership securities or rights to acquire partnership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our partnership agreement;</w:t>
      </w:r>
    </w:p>
    <w:p>
      <w:pPr>
        <w:spacing w:after="0" w:line="273"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formation by us, or our investment in, any corporation, partnership or other entity, as otherwise permitted by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(11) above.</w:t>
      </w:r>
    </w:p>
    <w:p>
      <w:pPr>
        <w:spacing w:after="0" w:line="225"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In addition, our general partner may make amendments to our partnership agreement without the approval of any shareholder or assignee if those amendments, in the discretion of our general partner:</w:t>
      </w:r>
    </w:p>
    <w:p>
      <w:pPr>
        <w:spacing w:after="0" w:line="19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 not adversely affect our shareholders (or any particular class of holders of partnership interests) in any material respect;</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our shares or to comply with any rule, regulation, guideline or requirement of any securities exchange on which our shares are or will be listed for trading;</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shares under the provisions of our partnership agreement;</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necessary or appropriate to implement certain governance procedures following the trigger date, including the staggering of our board of directors and the public election of directors; or</w:t>
      </w:r>
    </w:p>
    <w:p>
      <w:pPr>
        <w:spacing w:after="0" w:line="21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required to effect the intent of the statements contained in this prospectus and in the provisions of our partnership agreement or as are otherwise contemplated by our partnership 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Opinion of Counsel and Shareholder Approval</w:t>
      </w:r>
    </w:p>
    <w:p>
      <w:pPr>
        <w:spacing w:after="0" w:line="225"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 where required, the approval of 90% of the outstanding shares is required for an amendment to become effective.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16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or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a majority of our outstanding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there being no holders of partnership interests, unless we are continued without dissolution in accordance with applicable Delaware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spacing w:after="0" w:line="208"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towards the payment of all of our creditors and the settlement of or creation of a reserve for contingent liabilities;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to all partners in accordance with the positive balance in the respective capital accounts.</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the General Partner</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general partner may withdraw as general partner in compliance with our partnership agreement after giving 90 days' written notice to our shareholders, and that withdrawal will not constitute a violation of our partnership agreement.</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Our general partner may not be removed unless that removal is approved by the vote of the holders of not less than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outstanding shares,</w:t>
      </w:r>
    </w:p>
    <w:p>
      <w:pPr>
        <w:spacing w:after="0"/>
        <w:rPr>
          <w:sz w:val="20"/>
          <w:szCs w:val="20"/>
          <w:color w:val="auto"/>
        </w:rPr>
      </w:pPr>
      <w:r>
        <w:rPr>
          <w:rFonts w:ascii="Arial" w:cs="Arial" w:eastAsia="Arial" w:hAnsi="Arial"/>
          <w:sz w:val="16"/>
          <w:szCs w:val="16"/>
          <w:color w:val="auto"/>
        </w:rPr>
        <w:t>including shares held by our general partner, the Legacy Owners and their respective affiliates, and we receive an opinion of counsel regarding limited liability.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Any removal of our general partner is also subject to the approval of a successor general partner by the vote of the holders of a majority of the outstanding shares.</w:t>
      </w:r>
    </w:p>
    <w:p>
      <w:pPr>
        <w:spacing w:after="0" w:line="44" w:lineRule="exact"/>
        <w:rPr>
          <w:sz w:val="20"/>
          <w:szCs w:val="20"/>
          <w:color w:val="auto"/>
        </w:rPr>
      </w:pPr>
    </w:p>
    <w:p>
      <w:pPr>
        <w:ind w:right="600"/>
        <w:spacing w:after="0" w:line="227" w:lineRule="auto"/>
        <w:rPr>
          <w:sz w:val="20"/>
          <w:szCs w:val="20"/>
          <w:color w:val="auto"/>
        </w:rPr>
      </w:pPr>
      <w:r>
        <w:rPr>
          <w:rFonts w:ascii="Arial" w:cs="Arial" w:eastAsia="Arial" w:hAnsi="Arial"/>
          <w:sz w:val="18"/>
          <w:szCs w:val="18"/>
          <w:color w:val="auto"/>
        </w:rPr>
        <w:t>The ownership of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 by any person or group would give such persons the practical ability to prevent our general partner's removal. The Legacy Owners currently own substantially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w:t>
      </w:r>
    </w:p>
    <w:p>
      <w:pPr>
        <w:spacing w:after="0" w:line="9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general partner may transfer all or any of its general partner interest in us without obtaining approval of any shareholder. As a condition of this transfer, the transferee must assume the rights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duties of the general partner to whose interest that transferee has succeeded, agree to be bound by the provisions of our partnership agreement and furnish an opinion of counsel regarding 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spacing w:after="0" w:line="174" w:lineRule="exact"/>
        <w:rPr>
          <w:sz w:val="20"/>
          <w:szCs w:val="20"/>
          <w:color w:val="auto"/>
        </w:rPr>
      </w:pPr>
    </w:p>
    <w:p>
      <w:pPr>
        <w:ind w:right="240" w:firstLine="341"/>
        <w:spacing w:after="0" w:line="306" w:lineRule="auto"/>
        <w:rPr>
          <w:sz w:val="20"/>
          <w:szCs w:val="20"/>
          <w:color w:val="auto"/>
        </w:rPr>
      </w:pPr>
      <w:r>
        <w:rPr>
          <w:rFonts w:ascii="Arial" w:cs="Arial" w:eastAsia="Arial" w:hAnsi="Arial"/>
          <w:sz w:val="16"/>
          <w:szCs w:val="16"/>
          <w:color w:val="auto"/>
        </w:rPr>
        <w:t>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Please read "Material U.S. Federal Income Tax Consequences."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Except as described below regarding a person or group owning 20% or more of shares then outstanding, shareholders on the record date will be entitled to notice of, and to vote at, meetings of our limited partners and to act upon matters for which approvals may be solicited. The only matters for which approvals may be solicited will be those matters submitted by our general partner's board of directors. Our shareholders will not be able to submit matters for consideration at any meeting of our shareholders. Class A shares and Class B shares that are owned by non-citizen assignees will be voted by our general partner on behalf of non-citizen assignees and our general partner will distribute the votes on those shares in the same ratios as the votes of limited partners on other shares are cast.</w:t>
      </w:r>
    </w:p>
    <w:p>
      <w:pPr>
        <w:spacing w:after="0" w:line="15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general partner does not anticipate that any meeting of shareholders will be called in the foreseeable future. Our shareholders will not be entitled to act by written consent. Meetings of the shareholders may be called by our general partner or by shareholders owning at least 20% of the outstanding shares. Shareholders may vote either in person or by proxy at meetings. The holders of a majority of the outstanding shares, represented in person or by proxy, will constitute a quorum unless any action by the shareholders requires approval by holders of a greater percentage of the shares, in which case the quorum will be the greater percentage.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Each record holder of a share has a vote according to his percentage interest in us, although additional partnership interests having special voting rights could be issued. Please read "—Issuance of Additional Securities" above. However, if at any time any person or group, other than our general partner, the Legacy Owners and their respective affiliates, or a direct or subsequently approved transferee of our general partner, the Legacy Owners and their respective affiliates, acquires, in the aggregate, beneficial ownership of 20% or more of any class of shares then outstanding, that person or group will lose voting rights on all of its shares and the shares may not be voted on any matter and will not be considered to be outstanding when sending notices of a meeting of shareholders, calculating required votes, determining the presence of a quorum or for other similar purposes. For more information on persons and groups to which this loss of voting rights does not apply, please read "—Change of Management Provisions" above. Shares held in nominee or street name account will be voted by the broker or other nominee in accordance with the instruction of the beneficial owner unless the arrangement between the beneficial owner and his nominee provides otherwise.</w:t>
      </w:r>
    </w:p>
    <w:p>
      <w:pPr>
        <w:spacing w:after="0" w:line="174"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shares under our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Election of Directors Following Trigger Date</w:t>
      </w:r>
    </w:p>
    <w:p>
      <w:pPr>
        <w:spacing w:after="0" w:line="231" w:lineRule="exact"/>
        <w:rPr>
          <w:sz w:val="20"/>
          <w:szCs w:val="20"/>
          <w:color w:val="auto"/>
        </w:rPr>
      </w:pPr>
    </w:p>
    <w:p>
      <w:pPr>
        <w:ind w:right="80" w:firstLine="351"/>
        <w:spacing w:after="0" w:line="310" w:lineRule="auto"/>
        <w:rPr>
          <w:sz w:val="20"/>
          <w:szCs w:val="20"/>
          <w:color w:val="auto"/>
        </w:rPr>
      </w:pPr>
      <w:r>
        <w:rPr>
          <w:rFonts w:ascii="Arial" w:cs="Arial" w:eastAsia="Arial" w:hAnsi="Arial"/>
          <w:sz w:val="15"/>
          <w:szCs w:val="15"/>
          <w:color w:val="auto"/>
        </w:rPr>
        <w:t>Commencing no sooner than 180 days after and no later than the end of the calendar year (as determined by our general partner's board of directors) following the calendar year in which the date that overall direct and indirect economic interest of the Legacy Owners and their permitted transferees in AAP falls below 40% (calculated as described below), which we refer to as the "trigger date," our general partner's board of directors will be divided into three classes of directors such that each class will be comprised of one designated director and one independent director. The 40% threshold referred to above will be calculated on a fully diluted basis that takes into account any Class A shares owned by the Legacy Owners and their affiliates and permitted transferees, assumes the exchange of all AAP management units for AAP Class A units based on the applicable conversion factor and attributes the ownership of such AAP Class A units to the Legacy Owners. As provided in our general partner's limited liability company agreement, the CEO of our general partner is an automatic member (and Chairman) of our general partner's board of directors and therefore will not be included in a class. Each class of directors will serve a three year term.</w:t>
      </w:r>
    </w:p>
    <w:p>
      <w:pPr>
        <w:spacing w:after="0" w:line="162"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After the trigger date and once our general partner's board of directors has been divided into classes and staggered as described above, our amended and restated partnership agreement provides that, prior to the expiration of the term of each class of directors (at such time as is determined by our general partner), we will hold a meeting of our shareholders for the purpose of electing successors for any directors whose terms are about to expire, excluding, however, any designated directors whose designating party still has the right to designate a director. Voting at any such shareholder meetings will be non-cumulative. Notice of such meeting will be given not less than 10 days nor more than 60 days prior to the date of such meeting. The presence in person or by proxy of the holders of a majority of our outstanding Class A shares and Class B shares, together as a single class, will constitute a quorum.</w:t>
      </w:r>
    </w:p>
    <w:p>
      <w:pPr>
        <w:spacing w:after="0" w:line="174"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that owns of record at least 10% of the combined Class A and Class B shares following the trigger date,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case of our first annual meeting, such date as shall be set by our general partner) and comply with certain other requirements set forth in our amended and restated partnership agreement.</w:t>
      </w:r>
    </w:p>
    <w:p>
      <w:pPr>
        <w:spacing w:after="0" w:line="186"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In addition to the provisions described above and in our amended and restated partnership agreement, a shareholder must also comply with all applicable requirements of the Exchange Act and the rules and regulations thereunder; provided, however, that any references in our amended and restated partnership agreement to the Exchange Act or the rules promulgated thereunder are not intended to and do not limit any requirements applicable to nominations pursuant to our amended and restated partnership agreement, and compliance with our amended and restated partnership agreement is the exclusive means for a shareholder to make nominations.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elected directors will be elected by a plurality of the votes cast, and the designating parties will be entitled to vote in any election of elected directors.</w:t>
      </w:r>
    </w:p>
    <w:p>
      <w:pPr>
        <w:spacing w:after="0" w:line="24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No more than one director subject to designation by the designating parties would be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w:t>
      </w:r>
    </w:p>
    <w:p>
      <w:pPr>
        <w:spacing w:after="0" w:line="19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 elected director may be removed only for cause by vote of a majority of other elected directors. A designated director may be removed at any time by the designating party responsible for such director's designation or for cause by a majority of the remaining directors. In addition, as the designating parties reduce their ownership of limited partner interests in AAP (including for this purpose any indirect ownership interest in AAP through ownership of Class A shares) below the minimum ownership requirement, the director position held by such designated director will become an elected director position upon the expiration of such designated director's term. If each designating party's ownership of limited partner interests (calculated as described above) in AAP falls below the minimum ownership requirement, then all of our directors (other than the CEO as a management director) will become subject to election by our shareholders.</w:t>
      </w:r>
    </w:p>
    <w:p>
      <w:pPr>
        <w:spacing w:after="0" w:line="174"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 Any vacancies in designated directors may be filled by the applicable designating party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Non-Citizen Assignees; Redemption</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color w:val="auto"/>
        </w:rPr>
        <w:t>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our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Qualifying Interest Holders (as defined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person who is or was an affiliate of our general partner, any departing general partner, the Legacy Owners or any Qualifying Interest Holder;</w:t>
      </w:r>
    </w:p>
    <w:p>
      <w:pPr>
        <w:spacing w:after="0" w:line="261"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our general partner or any departing general partner or any affiliate of our general partner, any departing general partner or the Legacy Owners;</w:t>
      </w:r>
    </w:p>
    <w:p>
      <w:pPr>
        <w:spacing w:after="0" w:line="152"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person designated by our general partner.</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indemnification under these provisions will only be out of our assets. Unless it otherwise agrees, our general partner will not be personally liable for, or have any obligation to contribute or loan funds or assets to us to enable it to effectuate, indemnification. We may purchase insurance against liabilities asserted against and expenses incurred by persons for our activities, regardless of whether we would have the power to indemnify the person against liabilities under our partnership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In connection with our IPO, we entered into an administrative agreement with our general partner, AAP, PAA, PAA GP and GP LLC, which requires AAP to reimburse our general partner for all direct and indirect expenses it incurs or payments it makes on our behalf and all other expenses allocable to us or otherwise incurred by our general partner in connection with operating our or its business. These expenses include any amounts paid to persons who perform services for us or on our behalf and expenses allocated to our general partner by its affiliates. Our general partner is entitled to determine the expenses that are allocable to us. In any event, these expenses will include any costs to the general partner of maintaining its existence and good standing in whatever jurisdiction it deems advisable. There is no limit on the amount of fees and expenses AAP may be required to pay to affiliates of our general partner on our behalf pursuant to the administrative agreement.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of our business at our principal offices. The books will be maintained for both tax and financial reporting purposes on an accrual basis. For fiscal reporting and tax reporting purposes, our year ends on December 31 each year.</w:t>
      </w:r>
    </w:p>
    <w:p>
      <w:pPr>
        <w:spacing w:after="0" w:line="139"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will furnish or make available to record holders of shares,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partnership agreement provides that a limited partner can, for a purpose reasonably related to his interest as a limited partner, upon reasonable written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record holder; and</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of the partnership, related amendments and powers of attorney under which they have been executed.</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Under our partnership agreement, however, our limited partners and other persons who acquire interests in us do not have rights to receive information from us or any of the persons we indemnify as described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Our general partner may, and intends to, keep confidential from our shareholders trade secrets or other information the disclosure of which our general partner believes is not in our best interests or which we are required by law or by agreements with third parties to keep confidential. Our partnership agreement limits the rights to information that a limited partner would otherwise have under Delaware law.</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Structure</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partnership agreement provides for two classes of shares, Class A shares and Class B shares, both representing limited partner interests in us. The holders of our Class A and Class B shares are entitled to exercise the rights or privileges available to limited partners under our partnership agreement, but only holders of our Class A shares are entitled to participate in our distributions.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"The Partnership Agreement."</w:t>
      </w:r>
    </w:p>
    <w:p>
      <w:pPr>
        <w:spacing w:after="0" w:line="170"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Our Class A shares are listed on the NYSE under the symbol "PAGP"; we do not intend to list the Class B shares on any stock exchange. All of our Class B shares are owned by the Legacy Owners, including holders of the AAP management units who have exchanged such AAP management units for AAP Class A units and a like number of Class B shares, or their permitted transferees.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Right</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Legacy Owners and any permitted transferees of their AAP Class A units each have the right to exchange (the "Exchange Right") all or a portion of their AAP Class A units into Class A shares at an exchange ratio of one Class A share for each AAP Class A unit exchanged. The above exchange right may be exercised only if, simultaneously therewith, an equal number of our Class B shares and general partner units are transferred by the exercising party to us.</w:t>
      </w:r>
    </w:p>
    <w:p>
      <w:pPr>
        <w:spacing w:after="0" w:line="161"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color w:val="auto"/>
        </w:rPr>
        <w:t>For purposes of any transfer or exchange of AAP Class A units owned by the Legacy Owners, the AAP partnership agreement, our general partner's limited liability company agreement and our partnership agreement contain provisions linking each such AAP Class A unit with one of our Class B shares and a general partner unit. Our Class B shares and general partner units cannot be transferred without transferring an equal number of AAP Class A units and vice versa.</w:t>
      </w:r>
    </w:p>
    <w:p>
      <w:pPr>
        <w:spacing w:after="0" w:line="142"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As long as the Class A shares are publicly traded, a holder of vested AAP management units will be entitled to convert his or her AAP management units into AAP Class A units and a like number of Class B shares based on a conversion ratio calculated in accordance with the AAP limited partnership agreement (which conversion ratio will not be more than one-to-one and was approximately 0.940 AAP Class A units and Class B shares for each AAP management unit as of the date of the distribution that was paid with respect to the fourth quarter of 2015). Following any such conversion, the holder will have the Exchange Right for our Class A shares. Holders of AAP management units who convert such units into AAP Class A units and Class B shares will not receive general partner units and thus will not need to include any general partner units in a transfer or the exercise of their Exchange Right.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and Class B Shares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spacing w:after="0" w:line="208" w:lineRule="exact"/>
        <w:rPr>
          <w:sz w:val="20"/>
          <w:szCs w:val="20"/>
          <w:color w:val="auto"/>
        </w:rPr>
      </w:pPr>
    </w:p>
    <w:p>
      <w:pPr>
        <w:ind w:left="5620" w:right="2240" w:hanging="5072"/>
        <w:spacing w:after="0" w:line="519" w:lineRule="auto"/>
        <w:tabs>
          <w:tab w:leader="none" w:pos="10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automatically agrees to be bound by the terms and conditions of, and is deemed to have executed, our partnership agreement;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transferee will become a substituted limited partner for the transferred shares automatically upon the recording of the transfer on our books and records.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general partner will cause any transfers to be recorded on our books and records no less frequently than quarterly.</w:t>
      </w:r>
    </w:p>
    <w:p>
      <w:pPr>
        <w:spacing w:after="0" w:line="219"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ind w:right="540" w:firstLine="351"/>
        <w:spacing w:after="0" w:line="370" w:lineRule="auto"/>
        <w:rPr>
          <w:sz w:val="20"/>
          <w:szCs w:val="20"/>
          <w:color w:val="auto"/>
        </w:rPr>
      </w:pPr>
      <w:r>
        <w:rPr>
          <w:rFonts w:ascii="Arial" w:cs="Arial" w:eastAsia="Arial" w:hAnsi="Arial"/>
          <w:sz w:val="15"/>
          <w:szCs w:val="15"/>
          <w:color w:val="auto"/>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spacing w:after="0" w:line="11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purposes of any transfer or exchange of AAP Class A units and our Class B shares, the AAP partnership agreement, our general partner's limited liability company agreement and our partnership agreement contain provisions linking each AAP Class A unit with one of our Class B shares and a general partner unit. Please read "—Exchange Right"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Duties</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American Stock Transfer and Trust Company serves as registrar and transfer agent for our Class A shares. We will pay all fees charged by the transfer agent for transfers of our shares except the following fees that will be paid by shareholders:</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There will be no charge to holders of Class A shares for disbursements of our cash distributions. We will indemnify the transfer agent, its agents and each of their shareholders,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Resignation or Removal</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transfer agent may at any time resign, by notice to us, or be removed by us. The resignation or removal of the transfer agent will become effective upon our appointment of a successor transfer agent and registrar and its acceptance of the appointment. If no successor has been appointed and accepted the appointment within 30 days after notice of the resignation or removal, we are authorized to act as the transfer agent and registrar until a successor is appointed.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and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9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Legal conclusions contained in this section, unless otherwise noted, are the opinion of Vinson &amp; Elkins L.L.P. This summary does not address all aspects of U.S. federal income taxation or the tax considerations arising under the laws of any non-U.S., state, or local jurisdiction, or under U.S. federal estate or gift tax laws. In addition, this summary does not address tax considerations applicable to investors that may be subject to special treatment under the U.S. federal income tax laws, such as (without limitation):</w:t>
      </w:r>
    </w:p>
    <w:p>
      <w:pPr>
        <w:spacing w:after="0" w:line="211"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persons that hold or are deemed to sell our Class A shares under the constructive sale provisions of the Code;</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persons that hold in excess of 5% of our Class A shares.</w:t>
      </w:r>
    </w:p>
    <w:p>
      <w:pPr>
        <w:spacing w:after="0" w:line="225"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If a partnership (including an entity or arrangement treated as a partnership for U.S. federal income tax purposes) holds our Class A shares, the tax treatment of a partner in the partnership generally will depend upon the status of the partner and upon the activities of the partnership. Accordingly, we urge partners of a partnership (including an entity or arrangement treated as a partnership for U.S. federal income tax purposes) investing in our Class A shares to consult their tax advisors regarding the U.S. federal income tax considerations of the purchase, ownership and disposition of our Class A shares by such partnership.</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300" w:firstLine="351"/>
        <w:spacing w:after="0" w:line="301" w:lineRule="auto"/>
        <w:rPr>
          <w:sz w:val="20"/>
          <w:szCs w:val="20"/>
          <w:color w:val="auto"/>
        </w:rPr>
      </w:pPr>
      <w:r>
        <w:rPr>
          <w:rFonts w:ascii="Arial" w:cs="Arial" w:eastAsia="Arial" w:hAnsi="Arial"/>
          <w:sz w:val="16"/>
          <w:szCs w:val="16"/>
          <w:b w:val="1"/>
          <w:bCs w:val="1"/>
          <w:color w:val="auto"/>
        </w:rPr>
        <w:t>YOU ARE ENCOURAGED TO CONSULT YOUR TAX ADVISOR WITH RESPECT TO THE APPLICATION OF THE U.S. FEDERAL INCOME TAX LAWS TO YOUR PARTICULAR SITUATION, AS WELL AS ANY TAX CONSEQUENCES OF THE PURCHASE, OWNERSHIP AND DISPOSITION OF OUR CLASS A SHARES ARISING UNDER THE U.S. FEDERAL ESTATE AND GIFT TAX LAWS OR UNDER THE LAWS OF ANY STATE, LOCAL, NON-U.S. OR OTHER TAXING JURISDICTION OR UNDER ANY APPLICABLE INCOME TAX TREATY.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Status</w:t>
      </w:r>
    </w:p>
    <w:p>
      <w:pPr>
        <w:spacing w:after="0" w:line="231" w:lineRule="exact"/>
        <w:rPr>
          <w:sz w:val="20"/>
          <w:szCs w:val="20"/>
          <w:color w:val="auto"/>
        </w:rPr>
      </w:pPr>
    </w:p>
    <w:p>
      <w:pPr>
        <w:ind w:right="380" w:firstLine="341"/>
        <w:spacing w:after="0" w:line="256"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federal income tax purposes. No Schedule K-1 will be issued with respect to our Class A shares, but instead holders of Class A shares will receive a Form 1099 from us with respect to distributions received on our Class A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U.S. Holders</w:t>
      </w:r>
    </w:p>
    <w:p>
      <w:pPr>
        <w:spacing w:after="0" w:line="23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discussion in this section is addressed to holders of our Class A shares who are U.S. holders for U.S. federal income tax purposes. A U.S. holder for purposes of this discussion is a beneficial owner of our Class A shares and who is, for U.S. federal income tax purposes:</w:t>
      </w:r>
    </w:p>
    <w:p>
      <w:pPr>
        <w:spacing w:after="0" w:line="153"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trust (i) whose administration is subject to the primary supervision of and which has one or more United States persons who have the authority to control all substantial decisions of the trust or (ii) which has made a valid election to be treated as a United States person.</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"—Gain on Disposition of Class A Shares." Non-corporate holders that receive distributions on our Class A shares that are treated as dividends for U.S. federal income tax purposes generally will be subject to U.S. federal income tax at a maximum tax rate of 20% on such dividends provided certain holding period requirements are met.</w:t>
      </w:r>
    </w:p>
    <w:p>
      <w:pPr>
        <w:spacing w:after="0" w:line="172" w:lineRule="exact"/>
        <w:rPr>
          <w:sz w:val="20"/>
          <w:szCs w:val="20"/>
          <w:color w:val="auto"/>
        </w:rPr>
      </w:pPr>
    </w:p>
    <w:p>
      <w:pPr>
        <w:jc w:val="both"/>
        <w:ind w:right="20" w:firstLine="351"/>
        <w:spacing w:after="0" w:line="318" w:lineRule="auto"/>
        <w:rPr>
          <w:sz w:val="20"/>
          <w:szCs w:val="20"/>
          <w:color w:val="auto"/>
        </w:rPr>
      </w:pPr>
      <w:r>
        <w:rPr>
          <w:rFonts w:ascii="Arial" w:cs="Arial" w:eastAsia="Arial" w:hAnsi="Arial"/>
          <w:sz w:val="15"/>
          <w:szCs w:val="15"/>
          <w:color w:val="auto"/>
        </w:rPr>
        <w:t>Both AAP and PAA have made elections permitted by Section 754 of the Code. As a result, our acquisition of AAP Class A units in connection with our IPO and in connection with exchanges since the IPO by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 shares will result in additional basis adjustments with respect to our interest in the assets of AAP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indirectly in PAA). We expect to benefit from additional tax deductions resulting from those adjustments, the amount of which will vary depending on the value of our Class A shares at the time of the exchange.</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do not expect to have any earnings and profits for an extended period of time, which we estimate will include, at a minimum, each of the periods ending December 31, 2016 and 2017,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will be unable to utilize the corporate dividends-received deduction with respect to such distribution.</w:t>
      </w:r>
    </w:p>
    <w:p>
      <w:pPr>
        <w:spacing w:after="0" w:line="167" w:lineRule="exact"/>
        <w:rPr>
          <w:sz w:val="20"/>
          <w:szCs w:val="20"/>
          <w:color w:val="auto"/>
        </w:rPr>
      </w:pPr>
    </w:p>
    <w:p>
      <w:pPr>
        <w:jc w:val="both"/>
        <w:ind w:right="220" w:firstLine="345"/>
        <w:spacing w:after="0" w:line="259" w:lineRule="auto"/>
        <w:rPr>
          <w:sz w:val="20"/>
          <w:szCs w:val="20"/>
          <w:color w:val="auto"/>
        </w:rPr>
      </w:pPr>
      <w:r>
        <w:rPr>
          <w:rFonts w:ascii="Arial" w:cs="Arial" w:eastAsia="Arial" w:hAnsi="Arial"/>
          <w:sz w:val="18"/>
          <w:szCs w:val="18"/>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Gain on Disposition of Class A Shares</w:t>
      </w:r>
    </w:p>
    <w:p>
      <w:pPr>
        <w:spacing w:after="0" w:line="225"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a reduced maximum U.S. federal income tax rate of 20%. The deductibility of net capital losses is subject to limitations.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3.8% Tax On Unearned Income</w:t>
      </w:r>
    </w:p>
    <w:p>
      <w:pPr>
        <w:spacing w:after="0" w:line="225" w:lineRule="exact"/>
        <w:rPr>
          <w:sz w:val="20"/>
          <w:szCs w:val="20"/>
          <w:color w:val="auto"/>
        </w:rPr>
      </w:pPr>
    </w:p>
    <w:p>
      <w:pPr>
        <w:ind w:right="20" w:firstLine="351"/>
        <w:spacing w:after="0" w:line="305" w:lineRule="auto"/>
        <w:rPr>
          <w:sz w:val="20"/>
          <w:szCs w:val="20"/>
          <w:color w:val="auto"/>
        </w:rPr>
      </w:pPr>
      <w:r>
        <w:rPr>
          <w:rFonts w:ascii="Arial" w:cs="Arial" w:eastAsia="Arial" w:hAnsi="Arial"/>
          <w:sz w:val="15"/>
          <w:szCs w:val="15"/>
          <w:color w:val="auto"/>
        </w:rPr>
        <w:t>Certain U.S. holders that are individuals, trusts or estates will be subject to an additional 3.8% Medicare tax on unearned income, which generally will include dividends received and gain recognized with respect to our Class A shares. For individual U.S. holders, the additional Medicare tax applies to the lesser of</w:t>
      </w:r>
    </w:p>
    <w:p>
      <w:pPr>
        <w:ind w:right="180" w:firstLine="8"/>
        <w:spacing w:after="0" w:line="261" w:lineRule="auto"/>
        <w:tabs>
          <w:tab w:leader="none" w:pos="2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investment income," or (ii) the excess of "modified adjusted gross income" over $200,000 ($250,000 if married and filing jointly or $125,000 if married and filing separately). "Net investment income" generally equals a U.S. holder's gross investment income reduced by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deductions that are allocable to such income. Investment income generally includes passive income such as interest, dividends, annuities, royalties, rents and capital gains. U.S. holders are urged to consult their own tax advisors regarding the application of this additional Medicare tax to their particular circumstances.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Non-U.S. Holders</w:t>
      </w:r>
    </w:p>
    <w:p>
      <w:pPr>
        <w:spacing w:after="0" w:line="231"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5"/>
          <w:szCs w:val="15"/>
          <w:color w:val="auto"/>
        </w:rPr>
        <w:t>Distributions with respect to our Class A shares will constitute dividends for U.S. federal income tax purposes to the extent paid from our current or accumulated earnings and profits, as determined under U.S. federal income tax principles. Subject to the withholding requirements under FATCA (as defined below) and with respect to effectively connected dividends, each of which is discussed below, any distribution treated as a dividend paid to a non-U.S. holder on our Class A shares generally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withholding agent with an IRS Form W-8BEN, IRS Form W-8BEN-E or other appropriate version of IRS Form W-8 certifying qualification for the reduced rate.</w:t>
      </w:r>
    </w:p>
    <w:p>
      <w:pPr>
        <w:spacing w:after="0" w:line="170"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Distributions treated as dividends that are paid to a non-U.S. holder and are effectively connected with a trade or business conducted by the non-U.S. holder in the United States (and, if required by an applicable income tax treaty, are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to the applicable withholding agent a properly executed IRS Form W-8ECI (or successor form) certifying eligibility for exemption. If a non-U.S. holder is a non-U.S. corporation, it may also be subject to a "branch profits tax" (at a 30% rate or such lower rate as may be specified by an applicable income tax treaty) on its effectively connected earnings and profits (as adjusted for certain items), which will include effectively connected dividends.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Gain on Disposition of Class A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the discussion below under "—Additional Withholding Requirements under FATCA," a non-U.S. holder generally will not be subject to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disposition of our Class A shares unless:</w:t>
      </w:r>
    </w:p>
    <w:p>
      <w:pPr>
        <w:spacing w:after="0" w:line="232" w:lineRule="exact"/>
        <w:rPr>
          <w:sz w:val="20"/>
          <w:szCs w:val="20"/>
          <w:color w:val="auto"/>
        </w:rPr>
      </w:pPr>
    </w:p>
    <w:p>
      <w:pPr>
        <w:ind w:left="1080" w:right="1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21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Class A shares constitute a United States real property interest by reason of our status as a USRPHC for U.S. federal income tax purposes.</w:t>
      </w:r>
    </w:p>
    <w:p>
      <w:pPr>
        <w:spacing w:after="0" w:line="24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may be specified by an applicable income tax treaty) on the amount of such gain, which generally may be offset by U.S. source capital losses.</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unless an applicable income tax treaty provides otherwise. If the non-U.S. holder is a corporation, it may also be subject to a branch profits tax (at a 30% rate or such lower rate as may be specified by an applicable income tax treaty) on its effectively connected earnings and profits (as adjusted for certain items), which will include such gain.</w:t>
      </w:r>
    </w:p>
    <w:p>
      <w:pPr>
        <w:spacing w:after="0" w:line="16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only a non-U.S. holder that actually or constructively owns, or owned at any time during the shorter of the five-year period ending on the date of the disposition or the non-U.S. holder's holding period for the Class A shares, more than 5% of our Class A shares will be taxable on gain realized on the disposition of our common stock as a result of our status as a USRPHC. If our Class A shares were not regularly traded during the calendar year in which the relevant disposition by a non-U.S. holder occurs, such non-U.S. holder (regardless of the percentage of our Class A shares owned) would be subject to U.S. federal income tax on a taxable disposition of our Class A shares (as described in the preceding paragraph), and a 15% withholding tax would apply to the gross proceeds from such disposition. Non-U.S. holders should consult their tax advisors with respect to the application of the foregoing rules to their ownership and disposition of our Class A shares.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225"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 withholding was not required. Pursuant to tax treaties or other agreements, the IRS may make such reports available to tax authorities in the recipient's country of residence.</w:t>
      </w:r>
    </w:p>
    <w:p>
      <w:pPr>
        <w:spacing w:after="0" w:line="16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Payments of dividends to a non-U.S. holder generally will not be subject to backup withholding if the non-U.S. holder establishes an exemption by properly certifying its non-U.S. status on an IRS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Form W-8BEN, IRS Form W-8BEN-E or other appropriate version of IRS Form W-8, provided that the withholding agent does not have actual knowledge, or reason to know, that the beneficial owner is a United States person that is not an exempt recipient.</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other appropriate version of IRS Form W-8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9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withholding results in an overpayment of taxes, a refund may be obtained, provided that the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("FATCA"), impose a 30% withholding tax on any dividends paid on our Class A shares and on the gross proceeds from a disposition of our Class A shares (if such disposition occurs after December 31, 2018),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(generally on an IRS Form W-8BEN-E) identifying each direct and indirect substantial United States owner of the entity;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78"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IN PLAINS GP HOLDINGS, L.P. BY EMPLOYEE BENEFIT PLANS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 Among other things, consideration should be given to:</w:t>
      </w:r>
    </w:p>
    <w:p>
      <w:pPr>
        <w:spacing w:after="0" w:line="188"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applicable Similar Law;</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in making the investment, the plan will satisfy the diversification requirements of Section 404(a)(1)(C) of ERISA and any applicable Similar Law; and</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investment will result in recognition of unrelated business taxable income by the plan and, if so, the potential after-tax investment return.</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addition, the person with investment discretion with respect to the assets of an employee benefit plan, often called a fiduciary, should determine whether an investment in our Class A shares is authorized by the appropriate governing instrument and is a proper investment for the plan.</w:t>
      </w:r>
    </w:p>
    <w:p>
      <w:pPr>
        <w:spacing w:after="0" w:line="139"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Section 406 of ERISA and Section 4975 of the Code prohibit employee benefit plans, and IRAs that are not considered part of an employee benefit plan, from engaging in specified transactions involving "plan assets" with parties that are "parties in interest" under ERISA or "disqualified persons" under the Code with respect to the plan. Therefore, a fiduciary of an employee benefit plan or an IRA accountholder that is considering an investment in our Class A shares should consider whether the entity's purchase or ownership of such Class A shares would or could result in the occurrence of such a prohibited transaction.</w:t>
      </w:r>
    </w:p>
    <w:p>
      <w:pPr>
        <w:spacing w:after="0" w:line="16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Code or any other applicable Similar Law.</w:t>
      </w:r>
    </w:p>
    <w:p>
      <w:pPr>
        <w:spacing w:after="0" w:line="167"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ERISA and the Department of Labor regulations provide guidance with respect to whether the assets of an entity in which employee benefit plans acquire equity interests would be deemed "plan assets" under some circumstances. Under these rules, an entity's assets would not be considered to be "plan assets" if, among other things:</w:t>
      </w:r>
    </w:p>
    <w:p>
      <w:pPr>
        <w:spacing w:after="0" w:line="208" w:lineRule="exact"/>
        <w:rPr>
          <w:sz w:val="20"/>
          <w:szCs w:val="20"/>
          <w:color w:val="auto"/>
        </w:rPr>
      </w:pPr>
    </w:p>
    <w:p>
      <w:pPr>
        <w:ind w:left="1080" w:right="300" w:hanging="532"/>
        <w:spacing w:after="0" w:line="370" w:lineRule="auto"/>
        <w:tabs>
          <w:tab w:leader="none" w:pos="10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equity interests acquired by employee benefit plans are publicly offered securities; i.e., the equity interests are widely held by 100 or more investors independent of the issuer and each other, freely transferable and registered under some provisions of the federal securities laws;</w:t>
      </w:r>
    </w:p>
    <w:p>
      <w:pPr>
        <w:spacing w:after="0" w:line="143" w:lineRule="exact"/>
        <w:rPr>
          <w:rFonts w:ascii="Arial" w:cs="Arial" w:eastAsia="Arial" w:hAnsi="Arial"/>
          <w:sz w:val="15"/>
          <w:szCs w:val="15"/>
          <w:color w:val="auto"/>
        </w:rPr>
      </w:pPr>
    </w:p>
    <w:p>
      <w:pPr>
        <w:ind w:left="1080" w:right="3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199"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is no significant investment by benefit plan investors, which is defined to mean that less than 25% of the value of each class of equity interest, disregarding some interests held by our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general partner, its affiliates, and some other persons, is held by (1)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19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Plan fiduciaries contemplating a purchase of Class A shares should consult with their own counsel regarding the consequences under ERISA, the Code and other Similar Laws in light of the serious penalties imposed on persons who engage in prohibited transactions or other violations.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prospectus covers the offering for resale from time to time, in one or more offerings, of up to 17,954,751 Class A shares by the selling shareholders. These Class A shares have been or will be issued to the selling shareholders upon exercise by the selling shareholders of the Exchange Right for an equivalent number of Class B shares and AAP Class A units. Such Class B shares and AAP Class A units were acquired by the selling shareholders upon the conversion by the selling shareholders of AAP management units, which AAP management units were granted to the selling shareholders by AAP at various times between August 2007 and October 2010. Any issuance of the Class A shares to the selling shareholders in connection with exercise of the Exchange Right will be, and the initial issuance of the Class B shares (and related AAP Class A units) was, exempt from the registration requirements of the Securities Act of 1933, as amended (the "Securities Act"). We are registering the offering by the selling shareholders of the Class A shares described below pursuant to the provisions of the Registration Rights Agreement.</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No offer or sale may occur unless the registration statement that includes this prospectus has been declared effective by the SEC and remains effective at the time such selling shareholder offers or sells Class A shares. We are required, under certain circumstances, to update, supplement or amend this prospectus to reflect material developments in our business, financial position and results of operations and may do so by an amendment to this prospectus, a prospectus supplement or a future filing with the SEC incorporated by reference in this prospectus.</w:t>
      </w:r>
    </w:p>
    <w:p>
      <w:pPr>
        <w:spacing w:after="0" w:line="197"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following table sets forth information relating to the selling shareholders as of March 8, 2016 based on information supplied to us by the selling shareholders on or prior to that date. We have not sought to verify such information. Information concerning the selling shareholders may change over time and selling shareholders may be added; if necessary, we will supplement this prospectus accordingly. None of the selling shareholders is a broker-dealer registered under Section 15 of the Exchange Act or an affiliate of a broker-dealer registered under Section 15 of the Exchange Act. The selling shareholders may hold or acquire at any time Class A shares in addition to those offered by this prospectus and may have acquired additional Class A shares since the date on which the information reflected herein was provided to us. In addition, the selling shareholders may have sold, transferred or otherwise disposed of some or all of their Class A shares since the date on which the information reflected herein was provided to us and may in the future sell, transfer or otherwise dispose of some or all of their Class A shares in private placement transactions exempt from or not subject to the registration requirements of the Securities Act.</w:t>
      </w:r>
    </w:p>
    <w:p>
      <w:pPr>
        <w:spacing w:after="0" w:line="172" w:lineRule="exact"/>
        <w:rPr>
          <w:sz w:val="20"/>
          <w:szCs w:val="20"/>
          <w:color w:val="auto"/>
        </w:rPr>
      </w:pPr>
    </w:p>
    <w:p>
      <w:pPr>
        <w:ind w:right="600" w:firstLine="341"/>
        <w:spacing w:after="0" w:line="370" w:lineRule="auto"/>
        <w:rPr>
          <w:sz w:val="20"/>
          <w:szCs w:val="20"/>
          <w:color w:val="auto"/>
        </w:rPr>
      </w:pPr>
      <w:r>
        <w:rPr>
          <w:rFonts w:ascii="Arial" w:cs="Arial" w:eastAsia="Arial" w:hAnsi="Arial"/>
          <w:sz w:val="15"/>
          <w:szCs w:val="15"/>
          <w:color w:val="auto"/>
        </w:rPr>
        <w:t>As of March 8, 2016, there were an aggregate of 265,641,573 Class A shares and 358,384,551 Class B shares outstanding. The beneficial ownership information presented below assumes that all 358,384,551 Class B shares (and related AAP Class A units) have been exchanged pursuant to the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Right for an equivalent number of Class A shares and such Class A shares are held by the selling shareholders.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Class A Shares</w:t>
            </w: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Class A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Class A Shares</w:t>
            </w:r>
          </w:p>
        </w:tc>
        <w:tc>
          <w:tcPr>
            <w:tcW w:w="160" w:type="dxa"/>
            <w:vAlign w:val="bottom"/>
          </w:tcPr>
          <w:p>
            <w:pPr>
              <w:spacing w:after="0"/>
              <w:rPr>
                <w:sz w:val="12"/>
                <w:szCs w:val="12"/>
                <w:color w:val="auto"/>
              </w:rPr>
            </w:pPr>
          </w:p>
        </w:tc>
        <w:tc>
          <w:tcPr>
            <w:tcW w:w="94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2"/>
              </w:rPr>
              <w:t>Class A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w:t>
            </w: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94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Class A Shares</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60" w:type="dxa"/>
            <w:vAlign w:val="bottom"/>
          </w:tcPr>
          <w:p>
            <w:pPr>
              <w:spacing w:after="0"/>
              <w:rPr>
                <w:sz w:val="12"/>
                <w:szCs w:val="12"/>
                <w:color w:val="auto"/>
              </w:rPr>
            </w:pPr>
          </w:p>
        </w:tc>
        <w:tc>
          <w:tcPr>
            <w:tcW w:w="94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Offered</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Owned After</w:t>
            </w: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Owned After</w:t>
            </w:r>
          </w:p>
        </w:tc>
        <w:tc>
          <w:tcPr>
            <w:tcW w:w="0" w:type="dxa"/>
            <w:vAlign w:val="bottom"/>
          </w:tcPr>
          <w:p>
            <w:pPr>
              <w:spacing w:after="0"/>
              <w:rPr>
                <w:sz w:val="1"/>
                <w:szCs w:val="1"/>
                <w:color w:val="auto"/>
              </w:rPr>
            </w:pPr>
          </w:p>
        </w:tc>
      </w:tr>
      <w:tr>
        <w:trPr>
          <w:trHeight w:val="161"/>
        </w:trPr>
        <w:tc>
          <w:tcPr>
            <w:tcW w:w="3040" w:type="dxa"/>
            <w:vAlign w:val="bottom"/>
            <w:gridSpan w:val="4"/>
          </w:tcPr>
          <w:p>
            <w:pPr>
              <w:spacing w:after="0"/>
              <w:rPr>
                <w:sz w:val="20"/>
                <w:szCs w:val="20"/>
                <w:color w:val="auto"/>
              </w:rPr>
            </w:pPr>
            <w:r>
              <w:rPr>
                <w:rFonts w:ascii="Arial" w:cs="Arial" w:eastAsia="Arial" w:hAnsi="Arial"/>
                <w:sz w:val="14"/>
                <w:szCs w:val="14"/>
                <w:b w:val="1"/>
                <w:bCs w:val="1"/>
                <w:color w:val="auto"/>
              </w:rPr>
              <w:t>Selling Shareholders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to the Offering</w:t>
            </w:r>
          </w:p>
        </w:tc>
        <w:tc>
          <w:tcPr>
            <w:tcW w:w="160" w:type="dxa"/>
            <w:vAlign w:val="bottom"/>
          </w:tcPr>
          <w:p>
            <w:pPr>
              <w:spacing w:after="0"/>
              <w:rPr>
                <w:sz w:val="14"/>
                <w:szCs w:val="14"/>
                <w:color w:val="auto"/>
              </w:rPr>
            </w:pPr>
          </w:p>
        </w:tc>
        <w:tc>
          <w:tcPr>
            <w:tcW w:w="940" w:type="dxa"/>
            <w:vAlign w:val="bottom"/>
          </w:tcPr>
          <w:p>
            <w:pPr>
              <w:jc w:val="center"/>
              <w:ind w:left="12"/>
              <w:spacing w:after="0"/>
              <w:rPr>
                <w:sz w:val="20"/>
                <w:szCs w:val="20"/>
                <w:color w:val="auto"/>
              </w:rPr>
            </w:pPr>
            <w:r>
              <w:rPr>
                <w:rFonts w:ascii="Arial" w:cs="Arial" w:eastAsia="Arial" w:hAnsi="Arial"/>
                <w:sz w:val="14"/>
                <w:szCs w:val="14"/>
                <w:b w:val="1"/>
                <w:bCs w:val="1"/>
                <w:color w:val="auto"/>
                <w:w w:val="89"/>
              </w:rPr>
              <w:t>to the Offering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Hereby</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160"/>
              <w:spacing w:after="0"/>
              <w:rPr>
                <w:sz w:val="20"/>
                <w:szCs w:val="20"/>
                <w:color w:val="auto"/>
              </w:rPr>
            </w:pPr>
            <w:r>
              <w:rPr>
                <w:rFonts w:ascii="Arial" w:cs="Arial" w:eastAsia="Arial" w:hAnsi="Arial"/>
                <w:sz w:val="18"/>
                <w:szCs w:val="18"/>
                <w:color w:val="auto"/>
              </w:rPr>
              <w:t>John vonBerg(1)</w:t>
            </w:r>
          </w:p>
        </w:tc>
        <w:tc>
          <w:tcPr>
            <w:tcW w:w="1060" w:type="dxa"/>
            <w:vAlign w:val="bottom"/>
          </w:tcPr>
          <w:p>
            <w:pPr>
              <w:jc w:val="right"/>
              <w:spacing w:after="0"/>
              <w:rPr>
                <w:sz w:val="20"/>
                <w:szCs w:val="20"/>
                <w:color w:val="auto"/>
              </w:rPr>
            </w:pPr>
            <w:r>
              <w:rPr>
                <w:rFonts w:ascii="Arial" w:cs="Arial" w:eastAsia="Arial" w:hAnsi="Arial"/>
                <w:sz w:val="18"/>
                <w:szCs w:val="18"/>
                <w:color w:val="auto"/>
              </w:rPr>
              <w:t>3,423,264</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3,423,264</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Mark J. Gorman(2)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2,689,707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2,689,707</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160"/>
              <w:spacing w:after="0"/>
              <w:rPr>
                <w:sz w:val="20"/>
                <w:szCs w:val="20"/>
                <w:color w:val="auto"/>
              </w:rPr>
            </w:pPr>
            <w:r>
              <w:rPr>
                <w:rFonts w:ascii="Arial" w:cs="Arial" w:eastAsia="Arial" w:hAnsi="Arial"/>
                <w:sz w:val="18"/>
                <w:szCs w:val="18"/>
                <w:color w:val="auto"/>
              </w:rPr>
              <w:t>Al Swanson(3)</w:t>
            </w:r>
          </w:p>
        </w:tc>
        <w:tc>
          <w:tcPr>
            <w:tcW w:w="1060" w:type="dxa"/>
            <w:vAlign w:val="bottom"/>
          </w:tcPr>
          <w:p>
            <w:pPr>
              <w:jc w:val="right"/>
              <w:spacing w:after="0"/>
              <w:rPr>
                <w:sz w:val="20"/>
                <w:szCs w:val="20"/>
                <w:color w:val="auto"/>
              </w:rPr>
            </w:pPr>
            <w:r>
              <w:rPr>
                <w:rFonts w:ascii="Arial" w:cs="Arial" w:eastAsia="Arial" w:hAnsi="Arial"/>
                <w:sz w:val="18"/>
                <w:szCs w:val="18"/>
                <w:color w:val="auto"/>
              </w:rPr>
              <w:t>2,445,189</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2,445,189</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 David Duckett(4)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2,345,327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2,345,327</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ind w:left="160"/>
              <w:spacing w:after="0"/>
              <w:rPr>
                <w:sz w:val="20"/>
                <w:szCs w:val="20"/>
                <w:color w:val="auto"/>
              </w:rPr>
            </w:pPr>
            <w:r>
              <w:rPr>
                <w:rFonts w:ascii="Arial" w:cs="Arial" w:eastAsia="Arial" w:hAnsi="Arial"/>
                <w:sz w:val="18"/>
                <w:szCs w:val="18"/>
                <w:color w:val="auto"/>
              </w:rPr>
              <w:t>Phil Kramer(5)</w:t>
            </w:r>
          </w:p>
        </w:tc>
        <w:tc>
          <w:tcPr>
            <w:tcW w:w="1060" w:type="dxa"/>
            <w:vAlign w:val="bottom"/>
          </w:tcPr>
          <w:p>
            <w:pPr>
              <w:jc w:val="right"/>
              <w:spacing w:after="0"/>
              <w:rPr>
                <w:sz w:val="20"/>
                <w:szCs w:val="20"/>
                <w:color w:val="auto"/>
              </w:rPr>
            </w:pPr>
            <w:r>
              <w:rPr>
                <w:rFonts w:ascii="Arial" w:cs="Arial" w:eastAsia="Arial" w:hAnsi="Arial"/>
                <w:sz w:val="18"/>
                <w:szCs w:val="18"/>
                <w:color w:val="auto"/>
              </w:rPr>
              <w:t>1,711,632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1,711,632</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Harry N. Pefanis(6)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489,065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469,065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3"/>
          </w:tcPr>
          <w:p>
            <w:pPr>
              <w:spacing w:after="0"/>
              <w:rPr>
                <w:sz w:val="20"/>
                <w:szCs w:val="20"/>
                <w:color w:val="auto"/>
              </w:rPr>
            </w:pPr>
            <w:r>
              <w:rPr>
                <w:rFonts w:ascii="Arial" w:cs="Arial" w:eastAsia="Arial" w:hAnsi="Arial"/>
                <w:sz w:val="18"/>
                <w:szCs w:val="18"/>
                <w:color w:val="auto"/>
              </w:rPr>
              <w:t>Other Current Officers as a Group(7)</w:t>
            </w:r>
          </w:p>
        </w:tc>
        <w:tc>
          <w:tcPr>
            <w:tcW w:w="1060" w:type="dxa"/>
            <w:vAlign w:val="bottom"/>
          </w:tcPr>
          <w:p>
            <w:pPr>
              <w:jc w:val="right"/>
              <w:spacing w:after="0"/>
              <w:rPr>
                <w:sz w:val="20"/>
                <w:szCs w:val="20"/>
                <w:color w:val="auto"/>
              </w:rPr>
            </w:pPr>
            <w:r>
              <w:rPr>
                <w:rFonts w:ascii="Arial" w:cs="Arial" w:eastAsia="Arial" w:hAnsi="Arial"/>
                <w:sz w:val="18"/>
                <w:szCs w:val="18"/>
                <w:color w:val="auto"/>
              </w:rPr>
              <w:t>1,049,412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1,049,412</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Former Officers and Employees as a</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Group(8)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3,833,655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3,821,155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1680" w:right="20" w:hanging="531"/>
        <w:spacing w:after="0" w:line="298" w:lineRule="auto"/>
        <w:tabs>
          <w:tab w:leader="none" w:pos="1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selling shareholder has served as Executive Vice President—Commercial Activities of our general partner since February 2014 and served as Senior Vice President—Commercial Activities of our general partner from July 2013 until February 2014. He has also served as Executive Vice President—Commercial Operations of PAA's general partner since February 2014. Previously he served as Senior Vice President—Commercial Activities of PAA's general partner from August 2008 until February 2014.</w:t>
      </w:r>
    </w:p>
    <w:p>
      <w:pPr>
        <w:spacing w:after="0" w:line="180" w:lineRule="exact"/>
        <w:rPr>
          <w:rFonts w:ascii="Arial" w:cs="Arial" w:eastAsia="Arial" w:hAnsi="Arial"/>
          <w:sz w:val="16"/>
          <w:szCs w:val="16"/>
          <w:color w:val="auto"/>
        </w:rPr>
      </w:pPr>
    </w:p>
    <w:p>
      <w:pPr>
        <w:ind w:left="1680" w:hanging="531"/>
        <w:spacing w:after="0" w:line="256" w:lineRule="auto"/>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selling shareholder has served as Executive Vice President—Operations and Engineering of our general partner and of PAA's general partner since December 2015. He served as Executive Vice President—Operations and Business Development of our general partner from July 2013 until December 2015 and as Executive Vice President—Operations and Business Development of PAA's general partner from February 2013 until December 2015.</w:t>
      </w:r>
    </w:p>
    <w:p>
      <w:pPr>
        <w:spacing w:after="0" w:line="210" w:lineRule="exact"/>
        <w:rPr>
          <w:rFonts w:ascii="Arial" w:cs="Arial" w:eastAsia="Arial" w:hAnsi="Arial"/>
          <w:sz w:val="18"/>
          <w:szCs w:val="18"/>
          <w:color w:val="auto"/>
        </w:rPr>
      </w:pPr>
    </w:p>
    <w:p>
      <w:pPr>
        <w:ind w:left="1680" w:right="120" w:hanging="531"/>
        <w:spacing w:after="0" w:line="268" w:lineRule="auto"/>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selling shareholder has served as Executive Vice President and Chief Financial Officer of our general partner since July 2013 and as Executive Vice President and Chief Financial Officer of PAA's general partner since February 2011.</w:t>
      </w:r>
    </w:p>
    <w:p>
      <w:pPr>
        <w:spacing w:after="0" w:line="212" w:lineRule="exact"/>
        <w:rPr>
          <w:rFonts w:ascii="Arial" w:cs="Arial" w:eastAsia="Arial" w:hAnsi="Arial"/>
          <w:sz w:val="18"/>
          <w:szCs w:val="18"/>
          <w:color w:val="auto"/>
        </w:rPr>
      </w:pPr>
    </w:p>
    <w:p>
      <w:pPr>
        <w:ind w:left="1680" w:right="80" w:hanging="531"/>
        <w:spacing w:after="0" w:line="268" w:lineRule="auto"/>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selling shareholder has served as Chief Executive Officer of Plains Midstream Canada since January 1, 2016. He served as President of Plains Midstream Canada from June 2003 through December 2015.</w:t>
      </w:r>
    </w:p>
    <w:p>
      <w:pPr>
        <w:spacing w:after="0" w:line="199" w:lineRule="exact"/>
        <w:rPr>
          <w:rFonts w:ascii="Arial" w:cs="Arial" w:eastAsia="Arial" w:hAnsi="Arial"/>
          <w:sz w:val="18"/>
          <w:szCs w:val="18"/>
          <w:color w:val="auto"/>
        </w:rPr>
      </w:pPr>
    </w:p>
    <w:p>
      <w:pPr>
        <w:ind w:left="1680" w:right="100" w:hanging="531"/>
        <w:spacing w:after="0" w:line="268" w:lineRule="auto"/>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selling shareholder has served as Executive Vice President of our general partner since July 2013 and as Executive Vice President of PAA's general partner since November 2008.</w:t>
      </w:r>
    </w:p>
    <w:p>
      <w:pPr>
        <w:spacing w:after="0" w:line="199" w:lineRule="exact"/>
        <w:rPr>
          <w:rFonts w:ascii="Arial" w:cs="Arial" w:eastAsia="Arial" w:hAnsi="Arial"/>
          <w:sz w:val="18"/>
          <w:szCs w:val="18"/>
          <w:color w:val="auto"/>
        </w:rPr>
      </w:pPr>
    </w:p>
    <w:p>
      <w:pPr>
        <w:ind w:left="1680" w:hanging="531"/>
        <w:spacing w:after="0" w:line="306" w:lineRule="auto"/>
        <w:tabs>
          <w:tab w:leader="none" w:pos="1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selling shareholder has served as President and Chief Operating Officer of our general partner since July 2013 and as President and Chief Operating Officer of PAA's general partner since PAA's formation in 1998. The selling shareholder received 469,065 Class A shares in connection with the conversion and exchange of AAP management units; 20,000 Class A shares were previously owned.</w:t>
      </w:r>
    </w:p>
    <w:p>
      <w:pPr>
        <w:spacing w:after="0" w:line="187" w:lineRule="exact"/>
        <w:rPr>
          <w:rFonts w:ascii="Arial" w:cs="Arial" w:eastAsia="Arial" w:hAnsi="Arial"/>
          <w:sz w:val="16"/>
          <w:szCs w:val="16"/>
          <w:color w:val="auto"/>
        </w:rPr>
      </w:pPr>
    </w:p>
    <w:p>
      <w:pPr>
        <w:ind w:left="1680" w:right="20" w:hanging="531"/>
        <w:spacing w:after="0" w:line="259" w:lineRule="auto"/>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three persons not otherwise listed above, none of which currently owns more than 0.1% of the Class A shares. Collectively, these shareholders own approximately 0.2% of the Class A shares. All of the selling shareholders in this group currently serve as officers of PAA's general partner.</w:t>
      </w:r>
    </w:p>
    <w:p>
      <w:pPr>
        <w:spacing w:after="0" w:line="207" w:lineRule="exact"/>
        <w:rPr>
          <w:rFonts w:ascii="Arial" w:cs="Arial" w:eastAsia="Arial" w:hAnsi="Arial"/>
          <w:sz w:val="18"/>
          <w:szCs w:val="18"/>
          <w:color w:val="auto"/>
        </w:rPr>
      </w:pPr>
    </w:p>
    <w:p>
      <w:pPr>
        <w:ind w:left="1680" w:right="100" w:hanging="531"/>
        <w:spacing w:after="0" w:line="294" w:lineRule="auto"/>
        <w:tabs>
          <w:tab w:leader="none" w:pos="1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five persons not otherwise listed above, none of which currently owns more than 0.4% of the Class A shares. Collectively, these shareholders own approximately 0.6% of the Class A shares. All of the selling shareholders in this group are former officers and employees of PAA's general partner or of Plains Midstream Canada ULC, our wholly owned subsidiary. The selling shareholders in this group received an aggregate of 3,821,155 Class A shares in connection with the conversion and exchange of AAP management units; 12,500 Class A shares were previously owned.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ind w:right="440" w:firstLine="348"/>
        <w:spacing w:after="0" w:line="259" w:lineRule="auto"/>
        <w:rPr>
          <w:sz w:val="20"/>
          <w:szCs w:val="20"/>
          <w:color w:val="auto"/>
        </w:rPr>
      </w:pPr>
      <w:r>
        <w:rPr>
          <w:rFonts w:ascii="Arial" w:cs="Arial" w:eastAsia="Arial" w:hAnsi="Arial"/>
          <w:sz w:val="18"/>
          <w:szCs w:val="18"/>
          <w:color w:val="auto"/>
        </w:rPr>
        <w:t>We are registering the Class A shares offered by this prospectus on behalf of the selling shareholders. As used in this prospectus, "selling shareholders" includes partners, pledgees, donees (including charitable organizations), transferees or other successors-in-interest selling Class A shares received from any selling shareholder identified in this prospectus after the date of this prospectus.</w:t>
      </w:r>
    </w:p>
    <w:p>
      <w:pPr>
        <w:spacing w:after="0" w:line="194"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Subject to certain restrictions on transfer that may be applicable to the selling shareholders, the selling shareholders intend to offer and sell the Class A shares offered by this prospectus by one or more of, or a combination of, the following methods:</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Class A shares as principal and thereafter resell the Class A shares from time to time: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offering price per Class A share will be determined from time to time by the selling shareholders in connection with, and at the time of, the sale by such selling shareholders. The selling shareholders may price the Class A shares at:</w:t>
      </w:r>
    </w:p>
    <w:p>
      <w:pPr>
        <w:spacing w:after="0" w:line="213"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prices related to the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addition, the selling shareholders may from time to time sell Class A shares in compliance with Rule 144 under the Securities Act, if available, or pursuant to other available exemptions from the registration requirements under the Securities Act, rather than pursuant to this prospectus. The selling shareholders may be required by the securities laws of certain states to offer and sell the Class A shares only through registered or licensed brokers or dealers.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selling shareholders may act independently of us in making decisions with respect to the timing, manner and size of each of their sales.</w:t>
      </w:r>
    </w:p>
    <w:p>
      <w:pPr>
        <w:spacing w:after="0" w:line="248"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The selling shareholders may authorize underwriters acting as their agent to offer and sell Class A shares upon the terms and conditions as are set forth in an applicable prospectus supplement. In connection with the sale of these Class A shares, underwriters may be deemed to have received compensation from the selling shareholders in the form of underwriting discounts or commissions and may also receive commissions from purchasers of Class A shares for whom they may act as agent or to whom they sell as principals, or both. Underwriters may sell Class A shares to or through dealers. Dealers may receive compensation in the form of discounts, concessions or commissions from the underwriters and/or commissions from the purchasers for whom they may act as agent or to whom they sell as principals, or both. A member firm of the NYSE may be engaged to act as the agent of the selling shareholders in the sale of Class A shares.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of the date of this prospectus, the selling shareholders have not engaged any underwriter, broker, dealer or agent in connection with the offer and sale of Class A shares pursuant to this prospectus by the selling shareholders. To the extent required, the names of the specific managing underwriter or underwriters, if any, as well as other important information, will be set forth in an applicable prospectus supplement. In that event, any underwriting compensation paid by the selling shareholders to underwriters or agents in connection with the offering of these Class A shares, and any discounts, concessions or commissions allowed by underwriters to participating dealers, will be set forth in the applicable prospectus supplement.</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Broker-dealers may also receive compensation in the form of underwriting discounts or commissions and may receive commissions from purchasers of the Class A shares for whom they may act as agents. If any broker-dealer purchases the Class A shares as principal, it may effect resales of the Class A shares from time to time to or through other broker-dealers, and other broker-dealers may receive compensation in the form of concessions or commissions from the purchasers of Class A shares for whom they may act as agents.</w:t>
      </w:r>
    </w:p>
    <w:p>
      <w:pPr>
        <w:spacing w:after="0" w:line="197"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will pay the costs and expenses related to the registration and offering of the Class A shares offered hereby. We will not pay any underwriting fees, discounts and selling commissions (and similar fees or arrangements associated therewith) allocable to each selling shareholder's sale of its respective Class A shares; these expenses will be paid by the selling shareholders.</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agreed to indemnify the selling shareholders against certain liabilities to which they may become subject in connection with the sale of the Class A shares owned by the selling shareholders and registered under this prospectus, including liabilities arising under the Securities Act. We may indemnify underwriters, brokers, dealers and agents against specific liabilities to which they may become subject in connection with the sale of the Class A shares owned by the selling shareholders and registered under this prospectus, including liabilities under the Securities Act.</w:t>
      </w:r>
    </w:p>
    <w:p>
      <w:pPr>
        <w:spacing w:after="0" w:line="16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underwriters, brokers, dealers and agents who participate in any sale of the Class A shares may also engage in transactions with, or perform services for, us or our affiliates in the ordinary course of their businesses.</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Because FINRA views our Class A shares as interests in a direct participation program, any offering of Class A shares under the registration statement of which this prospectus forms a part will be made in compliance with Rule 2310 of the FINRA Rules.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offerings under this shelf registration statement and in compliance with applicable law, underwriters, brokers or dealers may engage in transactions which stabilize or maintain the market price of the Class A shares at levels above those that might otherwise prevail in the open market. Specifically, underwriters, brokers or dealers may overallot in connection with offerings, creating a short position in the Class A shares for their own accounts. For the purpose of covering a syndicate short position or stabilizing the price of the Class A shares, the underwriters, brokers or dealers may place bids for the Class A shares or effect purchases of the Class A shares in the open market. Finally, the underwriters may impose a penalty whereby selling concessions allowed to syndicate members or other brokers or dealers for distribution of the Class A shares in offerings may be reclaimed by the syndicate if the syndicate repurchases the previously distributed Class A shares in transactions to cover short positions, in stabilization transactions or otherwise. These activities may stabilize, maintain or otherwise affect the market price of the Class A shares, which may be higher than the price that might otherwise prevail in the open market, and, if commenced, may be discontinued at any time.</w:t>
      </w:r>
    </w:p>
    <w:p>
      <w:pPr>
        <w:spacing w:after="0" w:line="174"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Class A shares in respect of which this prospectus is delivered will be set forth in the accompanying prospectus supplement.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2015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5"/>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lowerRoman"/>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
      <w:numFmt w:val="bullet"/>
      <w:start w:val="1"/>
    </w:lvl>
    <w:lvl w:ilvl="1">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2020-01-20T00:08:07Z</dcterms:created>
  <dcterms:modified xsi:type="dcterms:W3CDTF">2020-01-20T00:08:07Z</dcterms:modified>
</cp:coreProperties>
</file>