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250825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September 9,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236855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Plains GP Holdings, L.P.</w:t>
      </w:r>
    </w:p>
    <w:p>
      <w:pPr>
        <w:spacing w:after="0" w:line="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2"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7"/>
          <w:szCs w:val="17"/>
          <w:b w:val="1"/>
          <w:bCs w:val="1"/>
          <w:color w:val="auto"/>
        </w:rPr>
        <w:t>1-36132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90-1005472</w:t>
      </w:r>
    </w:p>
    <w:p>
      <w:pPr>
        <w:spacing w:after="0" w:line="12" w:lineRule="exact"/>
        <w:rPr>
          <w:sz w:val="24"/>
          <w:szCs w:val="24"/>
          <w:color w:val="auto"/>
        </w:rPr>
      </w:pPr>
    </w:p>
    <w:p>
      <w:pPr>
        <w:sectPr>
          <w:pgSz w:w="11900" w:h="16838" w:orient="portrait"/>
          <w:cols w:equalWidth="0" w:num="3">
            <w:col w:w="4820" w:space="720"/>
            <w:col w:w="2900" w:space="720"/>
            <w:col w:w="2140"/>
          </w:cols>
          <w:pgMar w:left="240" w:top="362" w:right="359" w:bottom="1440" w:gutter="0" w:footer="0" w:header="0"/>
          <w:type w:val="continuous"/>
        </w:sectPr>
      </w:pPr>
    </w:p>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700" w:space="720"/>
            <w:col w:w="2900" w:space="720"/>
            <w:col w:w="2260"/>
          </w:cols>
          <w:pgMar w:left="240" w:top="362" w:right="359" w:bottom="1440" w:gutter="0" w:footer="0" w:header="0"/>
          <w:type w:val="continuous"/>
        </w:sectPr>
      </w:pPr>
    </w:p>
    <w:p>
      <w:pPr>
        <w:spacing w:after="0" w:line="29" w:lineRule="exact"/>
        <w:rPr>
          <w:sz w:val="24"/>
          <w:szCs w:val="24"/>
          <w:color w:val="auto"/>
        </w:rPr>
      </w:pPr>
    </w:p>
    <w:p>
      <w:pPr>
        <w:jc w:val="center"/>
        <w:ind w:right="1920"/>
        <w:spacing w:after="0"/>
        <w:rPr>
          <w:sz w:val="20"/>
          <w:szCs w:val="20"/>
          <w:color w:val="auto"/>
        </w:rPr>
      </w:pPr>
      <w:r>
        <w:rPr>
          <w:rFonts w:ascii="Times New Roman" w:cs="Times New Roman" w:eastAsia="Times New Roman" w:hAnsi="Times New Roman"/>
          <w:sz w:val="17"/>
          <w:szCs w:val="17"/>
          <w:b w:val="1"/>
          <w:bCs w:val="1"/>
          <w:color w:val="auto"/>
        </w:rPr>
        <w:t>333 Clay Street, Suite 1600</w:t>
      </w:r>
    </w:p>
    <w:p>
      <w:pPr>
        <w:spacing w:after="0" w:line="43" w:lineRule="exact"/>
        <w:rPr>
          <w:sz w:val="24"/>
          <w:szCs w:val="24"/>
          <w:color w:val="auto"/>
        </w:rPr>
      </w:pPr>
    </w:p>
    <w:p>
      <w:pPr>
        <w:jc w:val="center"/>
        <w:ind w:right="1920"/>
        <w:spacing w:after="0"/>
        <w:rPr>
          <w:sz w:val="20"/>
          <w:szCs w:val="20"/>
          <w:color w:val="auto"/>
        </w:rPr>
      </w:pPr>
      <w:r>
        <w:rPr>
          <w:rFonts w:ascii="Times New Roman" w:cs="Times New Roman" w:eastAsia="Times New Roman" w:hAnsi="Times New Roman"/>
          <w:sz w:val="18"/>
          <w:szCs w:val="18"/>
          <w:b w:val="1"/>
          <w:bCs w:val="1"/>
          <w:color w:val="auto"/>
        </w:rPr>
        <w:t>Houston, Texas</w:t>
      </w:r>
    </w:p>
    <w:p>
      <w:pPr>
        <w:spacing w:after="0" w:line="20" w:lineRule="exact"/>
        <w:rPr>
          <w:sz w:val="24"/>
          <w:szCs w:val="24"/>
          <w:color w:val="auto"/>
        </w:rPr>
      </w:pPr>
      <w:r>
        <w:rPr>
          <w:sz w:val="24"/>
          <w:szCs w:val="24"/>
          <w:color w:val="auto"/>
        </w:rPr>
        <w:br w:type="column"/>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77002</w:t>
      </w:r>
    </w:p>
    <w:p>
      <w:pPr>
        <w:spacing w:after="0" w:line="31" w:lineRule="exact"/>
        <w:rPr>
          <w:sz w:val="24"/>
          <w:szCs w:val="24"/>
          <w:color w:val="auto"/>
        </w:rPr>
      </w:pPr>
    </w:p>
    <w:p>
      <w:pPr>
        <w:sectPr>
          <w:pgSz w:w="11900" w:h="16838" w:orient="portrait"/>
          <w:cols w:equalWidth="0" w:num="2">
            <w:col w:w="7700" w:space="720"/>
            <w:col w:w="2880"/>
          </w:cols>
          <w:pgMar w:left="240" w:top="362" w:right="359" w:bottom="1440" w:gutter="0" w:footer="0" w:header="0"/>
          <w:type w:val="continuous"/>
        </w:sectPr>
      </w:pPr>
    </w:p>
    <w:p>
      <w:pPr>
        <w:ind w:left="17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600" w:space="720"/>
            <w:col w:w="2980"/>
          </w:cols>
          <w:pgMar w:left="240" w:top="362" w:right="35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(713) 646-4100</w:t>
      </w:r>
    </w:p>
    <w:p>
      <w:pPr>
        <w:spacing w:after="0" w:line="2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 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251460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31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2" w:right="359" w:bottom="1440" w:gutter="0" w:footer="0" w:header="0"/>
          <w:type w:val="continuous"/>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ind w:right="280" w:firstLine="456"/>
        <w:spacing w:after="0" w:line="282" w:lineRule="auto"/>
        <w:rPr>
          <w:sz w:val="20"/>
          <w:szCs w:val="20"/>
          <w:color w:val="auto"/>
        </w:rPr>
      </w:pPr>
      <w:r>
        <w:rPr>
          <w:rFonts w:ascii="Times New Roman" w:cs="Times New Roman" w:eastAsia="Times New Roman" w:hAnsi="Times New Roman"/>
          <w:sz w:val="18"/>
          <w:szCs w:val="18"/>
          <w:color w:val="auto"/>
        </w:rPr>
        <w:t>On September 9, 2014, the registrant’s consolidated subsidiaries, Plains All American Pipeline, L.P. (“PAA”) and PAA Finance Corp. (together with PAA, the “Issuers”), completed the public offering of $750 million aggregate principal amount of 3.60% Senior Notes due 2024 (the “Notes”).</w:t>
      </w:r>
    </w:p>
    <w:p>
      <w:pPr>
        <w:spacing w:after="0" w:line="162"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The terms of the Notes are governed by the indenture (the “Base Indenture,” and as amended and supplemented by the Supplemental Indenture (defined below), the “Indenture”) dated as of September 25, 2002 by and among the Issuers and U.S. Bank National Association, as trustee (the “Trustee”), as supplemented by the Twenty-Sixth Supplemental Indenture between the Issuers and the Trustee (the “Supplemental Indenture”).</w:t>
      </w:r>
    </w:p>
    <w:p>
      <w:pPr>
        <w:spacing w:after="0" w:line="176" w:lineRule="exact"/>
        <w:rPr>
          <w:sz w:val="20"/>
          <w:szCs w:val="20"/>
          <w:color w:val="auto"/>
        </w:rPr>
      </w:pPr>
    </w:p>
    <w:p>
      <w:pPr>
        <w:ind w:right="440" w:firstLine="456"/>
        <w:spacing w:after="0" w:line="282" w:lineRule="auto"/>
        <w:rPr>
          <w:sz w:val="20"/>
          <w:szCs w:val="20"/>
          <w:color w:val="auto"/>
        </w:rPr>
      </w:pPr>
      <w:r>
        <w:rPr>
          <w:rFonts w:ascii="Times New Roman" w:cs="Times New Roman" w:eastAsia="Times New Roman" w:hAnsi="Times New Roman"/>
          <w:sz w:val="18"/>
          <w:szCs w:val="18"/>
          <w:color w:val="auto"/>
        </w:rPr>
        <w:t>The Notes will mature on November 1, 2024. Interest is payable on the Notes on each May 1 and November 1, commencing on May 1, 2015. The Issuers may redeem some or all of the Notes at any time and from time to time prior to maturity at the redemption prices specified in the Indenture.</w:t>
      </w:r>
    </w:p>
    <w:p>
      <w:pPr>
        <w:spacing w:after="0" w:line="162" w:lineRule="exact"/>
        <w:rPr>
          <w:sz w:val="20"/>
          <w:szCs w:val="20"/>
          <w:color w:val="auto"/>
        </w:rPr>
      </w:pPr>
    </w:p>
    <w:p>
      <w:pPr>
        <w:jc w:val="both"/>
        <w:ind w:right="40" w:firstLine="456"/>
        <w:spacing w:after="0" w:line="266" w:lineRule="auto"/>
        <w:rPr>
          <w:sz w:val="20"/>
          <w:szCs w:val="20"/>
          <w:color w:val="auto"/>
        </w:rPr>
      </w:pPr>
      <w:r>
        <w:rPr>
          <w:rFonts w:ascii="Times New Roman" w:cs="Times New Roman" w:eastAsia="Times New Roman" w:hAnsi="Times New Roman"/>
          <w:sz w:val="18"/>
          <w:szCs w:val="18"/>
          <w:color w:val="auto"/>
        </w:rPr>
        <w:t>The Notes are PAA’s senior unsecured obligations, will rank equally in right of payment with all of PAA’s existing and future senior debt, and will rank senior in right of payment to all of PAA’s future subordinated debt. The Notes will be effectively subordinated to all of PAA’s existing and future secured debt to the extent of the value of the collateral securing such indebtedness.</w:t>
      </w:r>
    </w:p>
    <w:p>
      <w:pPr>
        <w:spacing w:after="0" w:line="176" w:lineRule="exact"/>
        <w:rPr>
          <w:sz w:val="20"/>
          <w:szCs w:val="20"/>
          <w:color w:val="auto"/>
        </w:rPr>
      </w:pPr>
    </w:p>
    <w:p>
      <w:pPr>
        <w:ind w:right="340" w:firstLine="456"/>
        <w:spacing w:after="0" w:line="266" w:lineRule="auto"/>
        <w:rPr>
          <w:sz w:val="20"/>
          <w:szCs w:val="20"/>
          <w:color w:val="auto"/>
        </w:rPr>
      </w:pPr>
      <w:r>
        <w:rPr>
          <w:rFonts w:ascii="Times New Roman" w:cs="Times New Roman" w:eastAsia="Times New Roman" w:hAnsi="Times New Roman"/>
          <w:sz w:val="18"/>
          <w:szCs w:val="18"/>
          <w:color w:val="auto"/>
        </w:rPr>
        <w:t>In certain circumstances, the Indenture restricts PAA’s ability and the ability of certain of its subsidiaries to: (i) enter into sale and leaseback transactions; (ii) incur liens; (iii) merge or consolidate with another company; and (iv) transfer and sell assets. These covenants are subject to a number of important exceptions and qualifications.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Indenture contains customary events of default with respect to the Notes of either series, including:</w:t>
      </w:r>
    </w:p>
    <w:p>
      <w:pPr>
        <w:spacing w:after="0" w:line="131" w:lineRule="exact"/>
        <w:rPr>
          <w:sz w:val="20"/>
          <w:szCs w:val="20"/>
          <w:color w:val="auto"/>
        </w:rPr>
      </w:pPr>
    </w:p>
    <w:p>
      <w:pPr>
        <w:ind w:left="900" w:hanging="325"/>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any payment of interest on any Note of that series when due, continued for 60 days;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or premium, if any, on any Note of that series when due;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PAA to comply with its obligations under the Indenture, in certain cases subject to notice and grace periods;</w:t>
      </w:r>
    </w:p>
    <w:p>
      <w:pPr>
        <w:spacing w:after="0" w:line="130" w:lineRule="exact"/>
        <w:rPr>
          <w:rFonts w:ascii="Times New Roman" w:cs="Times New Roman" w:eastAsia="Times New Roman" w:hAnsi="Times New Roman"/>
          <w:sz w:val="18"/>
          <w:szCs w:val="18"/>
          <w:color w:val="auto"/>
        </w:rPr>
      </w:pPr>
    </w:p>
    <w:p>
      <w:pPr>
        <w:ind w:left="900" w:right="200" w:hanging="325"/>
        <w:spacing w:after="0" w:line="282" w:lineRule="auto"/>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defaults and accelerations with respect to other indebtedness of PAA and its Subsidiaries (as defined in the Indenture) in the aggregate principal amount of $25.0 million or more;</w:t>
      </w:r>
    </w:p>
    <w:p>
      <w:pPr>
        <w:spacing w:after="0" w:line="67" w:lineRule="exact"/>
        <w:rPr>
          <w:rFonts w:ascii="Times New Roman" w:cs="Times New Roman" w:eastAsia="Times New Roman" w:hAnsi="Times New Roman"/>
          <w:sz w:val="18"/>
          <w:szCs w:val="18"/>
          <w:color w:val="auto"/>
        </w:rPr>
      </w:pPr>
    </w:p>
    <w:p>
      <w:pPr>
        <w:ind w:left="900" w:right="380" w:hanging="325"/>
        <w:spacing w:after="0" w:line="282" w:lineRule="auto"/>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or reorganization of PAA or, if and so long as the Notes of that series are guaranteed by a subsidiary guarantor, by such subsidiary guarantor;</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so long as the Notes of that series are guaranteed by a subsidiary guarantor:</w:t>
      </w:r>
    </w:p>
    <w:p>
      <w:pPr>
        <w:spacing w:after="0" w:line="130"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guarantee by such subsidiary guarantor ceases to be in full force and effect, except as otherwise provided in the Indenture;</w:t>
      </w:r>
    </w:p>
    <w:p>
      <w:pPr>
        <w:spacing w:after="0" w:line="130"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guarantee by such subsidiary guarantor is declared null and void in a judicial proceeding; or</w:t>
      </w:r>
    </w:p>
    <w:p>
      <w:pPr>
        <w:spacing w:after="0" w:line="130"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subsidiary guarantor denies or disaffirms its obligations under the Indenture or its guarantee.</w:t>
      </w:r>
    </w:p>
    <w:p>
      <w:pPr>
        <w:spacing w:after="0" w:line="225" w:lineRule="exact"/>
        <w:rPr>
          <w:sz w:val="20"/>
          <w:szCs w:val="20"/>
          <w:color w:val="auto"/>
        </w:rPr>
      </w:pPr>
    </w:p>
    <w:p>
      <w:pPr>
        <w:jc w:val="both"/>
        <w:ind w:right="340" w:firstLine="456"/>
        <w:spacing w:after="0" w:line="266" w:lineRule="auto"/>
        <w:rPr>
          <w:sz w:val="20"/>
          <w:szCs w:val="20"/>
          <w:color w:val="auto"/>
        </w:rPr>
      </w:pPr>
      <w:r>
        <w:rPr>
          <w:rFonts w:ascii="Times New Roman" w:cs="Times New Roman" w:eastAsia="Times New Roman" w:hAnsi="Times New Roman"/>
          <w:sz w:val="18"/>
          <w:szCs w:val="18"/>
          <w:color w:val="auto"/>
        </w:rPr>
        <w:t>If an event of default under the Indenture occurs and is continuing, the Trustee or the holders of at least 25% in principal amount of the outstanding Notes may declare the principal of, premium, if any, and accrued and unpaid interest, if any, on the Notes to be due and payable, or, in the case of certain events of default relating to bankruptcy, insolvency or reorganization, those amounts will automatically become immediately due and payable.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Other material terms of the Notes, the Base Indenture and the Supplemental Indenture are described in the prospectus supplement, dated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 2014, as filed by PAA with the Commission on September 4, 2014. The foregoing descriptions of the Indenture and the Notes are qualified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their entirety by reference to such Indenture (including the form of Notes attached thereto). A copy of the Supplemental Indenture is filed herewith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4.1 and is incorporated herein by reference.</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266"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26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4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0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920" w:type="dxa"/>
            <w:vAlign w:val="bottom"/>
          </w:tcPr>
          <w:p>
            <w:pPr>
              <w:spacing w:after="0"/>
              <w:rPr>
                <w:sz w:val="24"/>
                <w:szCs w:val="24"/>
                <w:color w:val="auto"/>
              </w:rPr>
            </w:pPr>
          </w:p>
        </w:tc>
        <w:tc>
          <w:tcPr>
            <w:tcW w:w="5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920" w:type="dxa"/>
            <w:vAlign w:val="bottom"/>
          </w:tcPr>
          <w:p>
            <w:pPr>
              <w:spacing w:after="0"/>
              <w:rPr>
                <w:sz w:val="15"/>
                <w:szCs w:val="15"/>
                <w:color w:val="auto"/>
              </w:rPr>
            </w:pPr>
          </w:p>
        </w:tc>
        <w:tc>
          <w:tcPr>
            <w:tcW w:w="53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500" w:type="dxa"/>
            <w:vAlign w:val="bottom"/>
          </w:tcPr>
          <w:p>
            <w:pPr>
              <w:spacing w:after="0"/>
              <w:rPr>
                <w:sz w:val="24"/>
                <w:szCs w:val="24"/>
                <w:color w:val="auto"/>
              </w:rPr>
            </w:pPr>
          </w:p>
        </w:tc>
        <w:tc>
          <w:tcPr>
            <w:tcW w:w="102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99"/>
              </w:rPr>
              <w:t>Twenty-Sixth Supplemental Indenture, dated September 9, 2014, by and among Plains All American Pipeline, L.P., PAA Finance Corp., and</w:t>
            </w: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U.S. Bank National Association, as trustee.</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500" w:type="dxa"/>
            <w:vAlign w:val="bottom"/>
          </w:tcPr>
          <w:p>
            <w:pPr>
              <w:spacing w:after="0"/>
              <w:rPr>
                <w:sz w:val="24"/>
                <w:szCs w:val="24"/>
                <w:color w:val="auto"/>
              </w:rPr>
            </w:pPr>
          </w:p>
        </w:tc>
        <w:tc>
          <w:tcPr>
            <w:tcW w:w="102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Form of 3.60% Senior Notes due 2024 (included in Exhibit 4.1).</w:t>
            </w:r>
          </w:p>
        </w:tc>
        <w:tc>
          <w:tcPr>
            <w:tcW w:w="0" w:type="dxa"/>
            <w:vAlign w:val="bottom"/>
          </w:tcPr>
          <w:p>
            <w:pPr>
              <w:spacing w:after="0"/>
              <w:rPr>
                <w:sz w:val="1"/>
                <w:szCs w:val="1"/>
                <w:color w:val="auto"/>
              </w:rPr>
            </w:pPr>
          </w:p>
        </w:tc>
      </w:tr>
      <w:tr>
        <w:trPr>
          <w:trHeight w:val="365"/>
        </w:trPr>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920" w:type="dxa"/>
            <w:vAlign w:val="bottom"/>
          </w:tcPr>
          <w:p>
            <w:pPr>
              <w:ind w:left="4640"/>
              <w:spacing w:after="0"/>
              <w:rPr>
                <w:sz w:val="20"/>
                <w:szCs w:val="20"/>
                <w:color w:val="auto"/>
              </w:rPr>
            </w:pPr>
            <w:r>
              <w:rPr>
                <w:rFonts w:ascii="Times New Roman" w:cs="Times New Roman" w:eastAsia="Times New Roman" w:hAnsi="Times New Roman"/>
                <w:sz w:val="18"/>
                <w:szCs w:val="18"/>
                <w:color w:val="auto"/>
              </w:rPr>
              <w:t>2</w:t>
            </w:r>
          </w:p>
        </w:tc>
        <w:tc>
          <w:tcPr>
            <w:tcW w:w="7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280"/>
          </w:cols>
          <w:pgMar w:left="240" w:top="266" w:right="3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620" w:firstLine="45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764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PLAINS GP HOLDINGS, L.P.</w:t>
            </w:r>
          </w:p>
        </w:tc>
      </w:tr>
      <w:tr>
        <w:trPr>
          <w:trHeight w:val="432"/>
        </w:trPr>
        <w:tc>
          <w:tcPr>
            <w:tcW w:w="3780" w:type="dxa"/>
            <w:vAlign w:val="bottom"/>
          </w:tcPr>
          <w:p>
            <w:pPr>
              <w:spacing w:after="0"/>
              <w:rPr>
                <w:sz w:val="24"/>
                <w:szCs w:val="24"/>
                <w:color w:val="auto"/>
              </w:rPr>
            </w:pPr>
          </w:p>
        </w:tc>
        <w:tc>
          <w:tcPr>
            <w:tcW w:w="262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PAA GP HOLDINGS LLC, its general partner</w:t>
            </w:r>
          </w:p>
        </w:tc>
      </w:tr>
      <w:tr>
        <w:trPr>
          <w:trHeight w:val="439"/>
        </w:trPr>
        <w:tc>
          <w:tcPr>
            <w:tcW w:w="3780" w:type="dxa"/>
            <w:vAlign w:val="bottom"/>
          </w:tcPr>
          <w:p>
            <w:pPr>
              <w:spacing w:after="0"/>
              <w:rPr>
                <w:sz w:val="24"/>
                <w:szCs w:val="24"/>
                <w:color w:val="auto"/>
              </w:rPr>
            </w:pPr>
          </w:p>
        </w:tc>
        <w:tc>
          <w:tcPr>
            <w:tcW w:w="262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McGee</w:t>
            </w:r>
          </w:p>
        </w:tc>
      </w:tr>
      <w:tr>
        <w:trPr>
          <w:trHeight w:val="198"/>
        </w:trPr>
        <w:tc>
          <w:tcPr>
            <w:tcW w:w="3780" w:type="dxa"/>
            <w:vAlign w:val="bottom"/>
          </w:tcPr>
          <w:p>
            <w:pPr>
              <w:spacing w:after="0"/>
              <w:rPr>
                <w:sz w:val="17"/>
                <w:szCs w:val="17"/>
                <w:color w:val="auto"/>
              </w:rPr>
            </w:pPr>
          </w:p>
        </w:tc>
        <w:tc>
          <w:tcPr>
            <w:tcW w:w="2620" w:type="dxa"/>
            <w:vAlign w:val="bottom"/>
          </w:tcPr>
          <w:p>
            <w:pPr>
              <w:ind w:left="202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Richard McGee</w:t>
            </w:r>
          </w:p>
        </w:tc>
      </w:t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10, 2014</w:t>
            </w:r>
          </w:p>
        </w:tc>
        <w:tc>
          <w:tcPr>
            <w:tcW w:w="262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w:t>
            </w:r>
          </w:p>
        </w:tc>
      </w:tr>
      <w:tr>
        <w:trPr>
          <w:trHeight w:val="365"/>
        </w:trPr>
        <w:tc>
          <w:tcPr>
            <w:tcW w:w="3780" w:type="dxa"/>
            <w:vAlign w:val="bottom"/>
          </w:tcPr>
          <w:p>
            <w:pPr>
              <w:spacing w:after="0"/>
              <w:rPr>
                <w:sz w:val="24"/>
                <w:szCs w:val="24"/>
                <w:color w:val="auto"/>
              </w:rPr>
            </w:pPr>
          </w:p>
        </w:tc>
        <w:tc>
          <w:tcPr>
            <w:tcW w:w="26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3</w:t>
            </w:r>
          </w:p>
        </w:tc>
        <w:tc>
          <w:tcPr>
            <w:tcW w:w="5020" w:type="dxa"/>
            <w:vAlign w:val="bottom"/>
          </w:tcPr>
          <w:p>
            <w:pPr>
              <w:spacing w:after="0"/>
              <w:rPr>
                <w:sz w:val="24"/>
                <w:szCs w:val="24"/>
                <w:color w:val="auto"/>
              </w:rPr>
            </w:pPr>
          </w:p>
        </w:tc>
      </w:tr>
    </w:tbl>
    <w:p>
      <w:pPr>
        <w:sectPr>
          <w:pgSz w:w="11900" w:h="16838" w:orient="portrait"/>
          <w:cols w:equalWidth="0" w:num="1">
            <w:col w:w="11420"/>
          </w:cols>
          <w:pgMar w:left="240" w:top="266" w:right="23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10740" w:type="dxa"/>
            <w:vAlign w:val="bottom"/>
            <w:gridSpan w:val="3"/>
          </w:tcPr>
          <w:p>
            <w:pPr>
              <w:ind w:left="450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67"/>
        </w:trPr>
        <w:tc>
          <w:tcPr>
            <w:tcW w:w="5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420" w:type="dxa"/>
            <w:vAlign w:val="bottom"/>
          </w:tcPr>
          <w:p>
            <w:pPr>
              <w:spacing w:after="0"/>
              <w:rPr>
                <w:sz w:val="24"/>
                <w:szCs w:val="24"/>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6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420" w:type="dxa"/>
            <w:vAlign w:val="bottom"/>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4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074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w w:val="99"/>
              </w:rPr>
              <w:t>Twenty-Sixth Supplemental Indenture, dated September 9, 2014, by and among Plains All American Pipeline, L.P., PAA Finance Corp., and</w:t>
            </w: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1074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U.S. Bank National Association, as trustee.</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074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Form of 3.60% Senior Notes due 2024 (included in Exhibit 4.1).</w:t>
            </w:r>
          </w:p>
        </w:tc>
        <w:tc>
          <w:tcPr>
            <w:tcW w:w="0" w:type="dxa"/>
            <w:vAlign w:val="bottom"/>
          </w:tcPr>
          <w:p>
            <w:pPr>
              <w:spacing w:after="0"/>
              <w:rPr>
                <w:sz w:val="1"/>
                <w:szCs w:val="1"/>
                <w:color w:val="auto"/>
              </w:rPr>
            </w:pPr>
          </w:p>
        </w:tc>
      </w:tr>
    </w:tbl>
    <w:p>
      <w:pPr>
        <w:sectPr>
          <w:pgSz w:w="11900" w:h="16838" w:orient="portrait"/>
          <w:cols w:equalWidth="0" w:num="1">
            <w:col w:w="11260"/>
          </w:cols>
          <w:pgMar w:left="240" w:top="266" w:right="39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182880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226060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32"/>
          <w:szCs w:val="32"/>
          <w:color w:val="auto"/>
        </w:rPr>
        <w:t>PLAINS ALL AMERICAN PIPELINE, L.P.</w:t>
      </w:r>
    </w:p>
    <w:p>
      <w:pPr>
        <w:spacing w:after="0" w:line="33"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32"/>
          <w:szCs w:val="32"/>
          <w:color w:val="auto"/>
        </w:rPr>
        <w:t>PAA FINANCE CORP.</w:t>
      </w:r>
    </w:p>
    <w:p>
      <w:pPr>
        <w:spacing w:after="0" w:line="1"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9"/>
          <w:szCs w:val="29"/>
          <w:color w:val="auto"/>
        </w:rPr>
        <w:t>as Issuers</w:t>
      </w:r>
    </w:p>
    <w:p>
      <w:pPr>
        <w:ind w:left="3620"/>
        <w:spacing w:after="0"/>
        <w:rPr>
          <w:sz w:val="20"/>
          <w:szCs w:val="20"/>
          <w:color w:val="auto"/>
        </w:rPr>
      </w:pPr>
      <w:r>
        <w:rPr>
          <w:rFonts w:ascii="Times New Roman" w:cs="Times New Roman" w:eastAsia="Times New Roman" w:hAnsi="Times New Roman"/>
          <w:sz w:val="32"/>
          <w:szCs w:val="32"/>
          <w:color w:val="auto"/>
        </w:rPr>
        <w:t>$750,000,000</w:t>
      </w:r>
    </w:p>
    <w:p>
      <w:pPr>
        <w:spacing w:after="0" w:line="200" w:lineRule="exact"/>
        <w:rPr>
          <w:sz w:val="20"/>
          <w:szCs w:val="20"/>
          <w:color w:val="auto"/>
        </w:rPr>
      </w:pPr>
    </w:p>
    <w:p>
      <w:pPr>
        <w:spacing w:after="0" w:line="207"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2"/>
          <w:szCs w:val="22"/>
          <w:color w:val="auto"/>
        </w:rPr>
        <w:t>3.60% SENIOR NOTES DUE 2024</w:t>
      </w:r>
    </w:p>
    <w:p>
      <w:pPr>
        <w:spacing w:after="0" w:line="192"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32"/>
          <w:szCs w:val="32"/>
          <w:color w:val="auto"/>
        </w:rPr>
        <w:t>TWENTY-SIXTH</w:t>
      </w:r>
    </w:p>
    <w:p>
      <w:pPr>
        <w:spacing w:after="0" w:line="213"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32"/>
          <w:szCs w:val="32"/>
          <w:color w:val="auto"/>
        </w:rPr>
        <w:t>SUPPLEMENTAL</w:t>
      </w:r>
    </w:p>
    <w:p>
      <w:pPr>
        <w:spacing w:after="0" w:line="213"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32"/>
          <w:szCs w:val="32"/>
          <w:color w:val="auto"/>
        </w:rPr>
        <w:t>INDENTURE</w:t>
      </w:r>
    </w:p>
    <w:p>
      <w:pPr>
        <w:spacing w:after="0" w:line="200" w:lineRule="exact"/>
        <w:rPr>
          <w:sz w:val="20"/>
          <w:szCs w:val="20"/>
          <w:color w:val="auto"/>
        </w:rPr>
      </w:pPr>
    </w:p>
    <w:p>
      <w:pPr>
        <w:spacing w:after="0" w:line="252"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color w:val="auto"/>
        </w:rPr>
        <w:t>Dated as of September 9, 2014</w:t>
      </w:r>
    </w:p>
    <w:p>
      <w:pPr>
        <w:spacing w:after="0" w:line="200" w:lineRule="exact"/>
        <w:rPr>
          <w:sz w:val="20"/>
          <w:szCs w:val="20"/>
          <w:color w:val="auto"/>
        </w:rPr>
      </w:pPr>
    </w:p>
    <w:p>
      <w:pPr>
        <w:spacing w:after="0" w:line="232"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2"/>
          <w:szCs w:val="22"/>
          <w:color w:val="auto"/>
        </w:rPr>
        <w:t>U.S. BANK NATIONAL ASSOCIATION</w:t>
      </w:r>
    </w:p>
    <w:p>
      <w:pPr>
        <w:spacing w:after="0" w:line="14"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2"/>
          <w:szCs w:val="22"/>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158750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201930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17"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TABLE OF CONTENTS</w:t>
            </w:r>
          </w:p>
        </w:tc>
        <w:tc>
          <w:tcPr>
            <w:tcW w:w="1340" w:type="dxa"/>
            <w:vAlign w:val="bottom"/>
          </w:tcPr>
          <w:p>
            <w:pPr>
              <w:spacing w:after="0"/>
              <w:rPr>
                <w:sz w:val="17"/>
                <w:szCs w:val="17"/>
                <w:color w:val="auto"/>
              </w:rPr>
            </w:pPr>
          </w:p>
        </w:tc>
      </w:tr>
      <w:tr>
        <w:trPr>
          <w:trHeight w:val="34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ARTICLE I</w:t>
            </w:r>
          </w:p>
        </w:tc>
        <w:tc>
          <w:tcPr>
            <w:tcW w:w="3660" w:type="dxa"/>
            <w:vAlign w:val="bottom"/>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33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1.01</w:t>
            </w:r>
          </w:p>
        </w:tc>
        <w:tc>
          <w:tcPr>
            <w:tcW w:w="88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Establishment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14"/>
        </w:trPr>
        <w:tc>
          <w:tcPr>
            <w:tcW w:w="9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II DEFINITIONS AND INCORPORATION BY REFERENCE</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2.01</w:t>
            </w:r>
          </w:p>
        </w:tc>
        <w:tc>
          <w:tcPr>
            <w:tcW w:w="88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Definitions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4"/>
        </w:trPr>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2.02</w:t>
            </w:r>
          </w:p>
        </w:tc>
        <w:tc>
          <w:tcPr>
            <w:tcW w:w="88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Other Definitions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414"/>
        </w:trPr>
        <w:tc>
          <w:tcPr>
            <w:tcW w:w="9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III THE NOTES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99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Section 3.01 Form</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3.02</w:t>
            </w:r>
          </w:p>
        </w:tc>
        <w:tc>
          <w:tcPr>
            <w:tcW w:w="88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Issuance of Additional Notes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4"/>
        </w:trPr>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3.03</w:t>
            </w:r>
          </w:p>
        </w:tc>
        <w:tc>
          <w:tcPr>
            <w:tcW w:w="88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Global Security Legend</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414"/>
        </w:trPr>
        <w:tc>
          <w:tcPr>
            <w:tcW w:w="9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IV REDEMPTION AND PREPAYMENT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4"/>
        </w:trPr>
        <w:tc>
          <w:tcPr>
            <w:tcW w:w="99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Section 4.01 Optional Redemption</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414"/>
        </w:trPr>
        <w:tc>
          <w:tcPr>
            <w:tcW w:w="9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V COVENANTS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99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Section 5.01. Compliance Certificate</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99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Section 5.02. Limitations on Liens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99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Section 5.03. Restriction of Sale-leaseback Transactions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99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Section 5.04. SEC Reports; Financial Statements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4"/>
        </w:trPr>
        <w:tc>
          <w:tcPr>
            <w:tcW w:w="99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Section 5.05. Subsidiary Guarantees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414"/>
        </w:trPr>
        <w:tc>
          <w:tcPr>
            <w:tcW w:w="9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VI SUCCESSORS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99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Section 6.01. Consolidation and Mergers of the Issuers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4"/>
        </w:trPr>
        <w:tc>
          <w:tcPr>
            <w:tcW w:w="99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Section 6.02. Rights and Duties of Successor</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414"/>
        </w:trPr>
        <w:tc>
          <w:tcPr>
            <w:tcW w:w="9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VII DEFAULTS AND REMEDIES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4"/>
        </w:trPr>
        <w:tc>
          <w:tcPr>
            <w:tcW w:w="99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Section 7.01. Events of Default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414"/>
        </w:trPr>
        <w:tc>
          <w:tcPr>
            <w:tcW w:w="9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VIII LEGAL DEFEASANCE AND COVENANT DEFEASANCE</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99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Section 8.01. Option to Effect Legal Defeasance or Covenant Defeasance</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99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Section 8.02. Legal Defeasance and Discharge</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99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Section 8.03. Covenant Defeasance</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99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Section 8.04. Conditions to Legal or Covenant Defeasance</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99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Section 8.05. Deposited Money and U.S. Government Obligations to be Held in Trust; Other Miscellaneous Provisions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99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Section 8.06. Repayment to Issuers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4"/>
        </w:trPr>
        <w:tc>
          <w:tcPr>
            <w:tcW w:w="99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Section 8.07. Reinstatement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414"/>
        </w:trPr>
        <w:tc>
          <w:tcPr>
            <w:tcW w:w="9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IX SUBSIDIARY GUARANTEES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99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Section 9.01. Subsidiary Guarantees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99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Section 9.02. Limitation on Liability</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99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Section 9.03. Successors and Assigns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4"/>
        </w:trPr>
        <w:tc>
          <w:tcPr>
            <w:tcW w:w="99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Section 9.04. No Waiver</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Times New Roman" w:cs="Times New Roman" w:eastAsia="Times New Roman" w:hAnsi="Times New Roman"/>
          <w:sz w:val="18"/>
          <w:szCs w:val="18"/>
          <w:color w:val="auto"/>
        </w:rPr>
        <w:t>- i -</w:t>
      </w:r>
    </w:p>
    <w:p>
      <w:pPr>
        <w:sectPr>
          <w:pgSz w:w="11900" w:h="16838" w:orient="portrait"/>
          <w:cols w:equalWidth="0" w:num="1">
            <w:col w:w="11320"/>
          </w:cols>
          <w:pgMar w:left="240" w:top="257"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8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9.05. Modification</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8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9.06. Execution of Supplemental Indenture for Future Subsidiary Guarantors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4"/>
        </w:trPr>
        <w:tc>
          <w:tcPr>
            <w:tcW w:w="8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9.07. Release of Guarantee</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414"/>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ARTICLE X MISCELLANEOUS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8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10.01. Additional Amendments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8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10.02. Integral Part</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8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10.03. Adoption, Ratification and Confirmation</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8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10.04. Counterparts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4"/>
        </w:trPr>
        <w:tc>
          <w:tcPr>
            <w:tcW w:w="8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10.05. Governing Law</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EXHIBIT A: Form of Note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B: Form of Supplemental Indenture</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 ii -</w:t>
      </w:r>
    </w:p>
    <w:p>
      <w:pPr>
        <w:sectPr>
          <w:pgSz w:w="11900" w:h="16838" w:orient="portrait"/>
          <w:cols w:equalWidth="0" w:num="1">
            <w:col w:w="11320"/>
          </w:cols>
          <w:pgMar w:left="240" w:top="270" w:right="339" w:bottom="1440" w:gutter="0" w:footer="0" w:header="0"/>
        </w:sectPr>
      </w:pPr>
    </w:p>
    <w:bookmarkStart w:id="8" w:name="page9"/>
    <w:bookmarkEnd w:id="8"/>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TWENTY-SIXTH SUPPLEMENTAL INDENTURE dated as of September 9, 2014 (this “Supplemental Indenture”) among PLAINS ALL AMERICAN PIPELINE, L.P., a Delaware limited partnership (the “Partnership”), PAA FINANCE CORP., a wholly owned subsidiary of the Partnership and a Delaware corporation (“PAA Finance” and, together with the Partnership, the “Issuers”), and U.S. BANK NATIONAL ASSOCIATION, as trustee (the “Trustee”).</w:t>
      </w:r>
    </w:p>
    <w:p>
      <w:pPr>
        <w:spacing w:after="0" w:line="2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5"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WHEREAS, the Issuers have heretofore entered into an Indenture, dated as of September 25, 2002 (the “Original Indenture”), with U.S. Bank National Association (successor to Wachovia Bank, National Association), as trustee;</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WHEREAS, the Original Indenture, as supplemented by this Supplemental Indenture, is herein called the “Indenture;”</w:t>
      </w:r>
    </w:p>
    <w:p>
      <w:pPr>
        <w:spacing w:after="0" w:line="225" w:lineRule="exact"/>
        <w:rPr>
          <w:sz w:val="20"/>
          <w:szCs w:val="20"/>
          <w:color w:val="auto"/>
        </w:rPr>
      </w:pPr>
    </w:p>
    <w:p>
      <w:pPr>
        <w:jc w:val="both"/>
        <w:ind w:right="120" w:firstLine="456"/>
        <w:spacing w:after="0" w:line="266" w:lineRule="auto"/>
        <w:rPr>
          <w:sz w:val="20"/>
          <w:szCs w:val="20"/>
          <w:color w:val="auto"/>
        </w:rPr>
      </w:pPr>
      <w:r>
        <w:rPr>
          <w:rFonts w:ascii="Times New Roman" w:cs="Times New Roman" w:eastAsia="Times New Roman" w:hAnsi="Times New Roman"/>
          <w:sz w:val="18"/>
          <w:szCs w:val="18"/>
          <w:color w:val="auto"/>
        </w:rPr>
        <w:t>WHEREAS, under the Original Indenture, a new series of Debt Securities may at any time be established by the Boards of Directors of the Managing General Partner and PAA Finance in accordance with the provisions of the Original Indenture and the form and terms of such series may be established by a supplemental indenture executed by the Issuers and the Trustee;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WHEREAS, the Issuers propose to create under the Indenture a new series of Debt Securities;</w:t>
      </w:r>
    </w:p>
    <w:p>
      <w:pPr>
        <w:spacing w:after="0" w:line="225" w:lineRule="exact"/>
        <w:rPr>
          <w:sz w:val="20"/>
          <w:szCs w:val="20"/>
          <w:color w:val="auto"/>
        </w:rPr>
      </w:pPr>
    </w:p>
    <w:p>
      <w:pPr>
        <w:ind w:right="760" w:firstLine="456"/>
        <w:spacing w:after="0" w:line="282" w:lineRule="auto"/>
        <w:rPr>
          <w:sz w:val="20"/>
          <w:szCs w:val="20"/>
          <w:color w:val="auto"/>
        </w:rPr>
      </w:pPr>
      <w:r>
        <w:rPr>
          <w:rFonts w:ascii="Times New Roman" w:cs="Times New Roman" w:eastAsia="Times New Roman" w:hAnsi="Times New Roman"/>
          <w:sz w:val="18"/>
          <w:szCs w:val="18"/>
          <w:color w:val="auto"/>
        </w:rPr>
        <w:t>WHEREAS, additional Debt Securities of other series hereafter established, except as may be limited in the Original Indenture as at the time supplemented and modified, may be issued from time to time pursuant to the Original Indenture as at the time supplemented and modified; and</w:t>
      </w:r>
    </w:p>
    <w:p>
      <w:pPr>
        <w:spacing w:after="0" w:line="162" w:lineRule="exact"/>
        <w:rPr>
          <w:sz w:val="20"/>
          <w:szCs w:val="20"/>
          <w:color w:val="auto"/>
        </w:rPr>
      </w:pPr>
    </w:p>
    <w:p>
      <w:pPr>
        <w:ind w:right="600" w:firstLine="456"/>
        <w:spacing w:after="0" w:line="282" w:lineRule="auto"/>
        <w:rPr>
          <w:sz w:val="20"/>
          <w:szCs w:val="20"/>
          <w:color w:val="auto"/>
        </w:rPr>
      </w:pPr>
      <w:r>
        <w:rPr>
          <w:rFonts w:ascii="Times New Roman" w:cs="Times New Roman" w:eastAsia="Times New Roman" w:hAnsi="Times New Roman"/>
          <w:sz w:val="18"/>
          <w:szCs w:val="18"/>
          <w:color w:val="auto"/>
        </w:rPr>
        <w:t>WHEREAS, all conditions necessary to authorize the execution and delivery of this Supplemental Indenture and to make it a valid and binding obligation of the Issuers have been done or performed.</w:t>
      </w:r>
    </w:p>
    <w:p>
      <w:pPr>
        <w:spacing w:after="0" w:line="162"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agreements and obligations set forth herein and for other good and valuable consideration, the sufficiency of which is hereby acknowledged, the parties hereto hereby agree as follows:</w:t>
      </w: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Establishment.</w:t>
      </w:r>
      <w:r>
        <w:rPr>
          <w:rFonts w:ascii="Times New Roman" w:cs="Times New Roman" w:eastAsia="Times New Roman" w:hAnsi="Times New Roman"/>
          <w:sz w:val="18"/>
          <w:szCs w:val="18"/>
          <w:color w:val="auto"/>
        </w:rPr>
        <w:t xml:space="preserve"> There is hereby established a new series of Debt Securities to be issued under the Indenture, to be designated as the Issuers’ 3.60% Senior Notes due 2024 (the “Notes”). Initially, there will be no Subsidiary Guarantors for the Notes.</w:t>
      </w:r>
    </w:p>
    <w:p>
      <w:pPr>
        <w:spacing w:after="0" w:line="162" w:lineRule="exact"/>
        <w:rPr>
          <w:sz w:val="20"/>
          <w:szCs w:val="20"/>
          <w:color w:val="auto"/>
        </w:rPr>
      </w:pPr>
    </w:p>
    <w:p>
      <w:pPr>
        <w:ind w:right="100" w:firstLine="464"/>
        <w:spacing w:after="0" w:line="282" w:lineRule="auto"/>
        <w:tabs>
          <w:tab w:leader="none" w:pos="74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to be authenticated and delivered $750,000,000 principal amount of Notes on the Issue Date, and from time to time thereafter there may be authenticated and delivered an unlimited principal amount of Additional Notes.</w:t>
      </w:r>
    </w:p>
    <w:p>
      <w:pPr>
        <w:sectPr>
          <w:pgSz w:w="11900" w:h="16838" w:orient="portrait"/>
          <w:cols w:equalWidth="0" w:num="1">
            <w:col w:w="11360"/>
          </w:cols>
          <w:pgMar w:left="240" w:top="270" w:right="299" w:bottom="1440" w:gutter="0" w:footer="0" w:header="0"/>
        </w:sectPr>
      </w:pPr>
    </w:p>
    <w:bookmarkStart w:id="9" w:name="page10"/>
    <w:bookmarkEnd w:id="9"/>
    <w:p>
      <w:pPr>
        <w:ind w:right="40" w:firstLine="464"/>
        <w:spacing w:after="0" w:line="282" w:lineRule="auto"/>
        <w:tabs>
          <w:tab w:leader="none" w:pos="71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Notes shall be issued initially in the form of one or more Global Securities in substantially the form set out in Exhibit A hereto. The Depositary with respect to the Notes shall be The Depository Trust Company.</w:t>
      </w:r>
    </w:p>
    <w:p>
      <w:pPr>
        <w:spacing w:after="0" w:line="161" w:lineRule="exact"/>
        <w:rPr>
          <w:rFonts w:ascii="Times New Roman" w:cs="Times New Roman" w:eastAsia="Times New Roman" w:hAnsi="Times New Roman"/>
          <w:sz w:val="18"/>
          <w:szCs w:val="18"/>
          <w:color w:val="auto"/>
        </w:rPr>
      </w:pPr>
    </w:p>
    <w:p>
      <w:pPr>
        <w:ind w:right="100" w:firstLine="464"/>
        <w:spacing w:after="0" w:line="282" w:lineRule="auto"/>
        <w:tabs>
          <w:tab w:leader="none" w:pos="70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Note shall be dated the date of authentication thereof and shall bear interest from the date of original issuance thereof or from the most recent date to which interest has been paid or duly provided for.</w:t>
      </w:r>
    </w:p>
    <w:p>
      <w:pPr>
        <w:spacing w:after="0" w:line="161" w:lineRule="exact"/>
        <w:rPr>
          <w:rFonts w:ascii="Times New Roman" w:cs="Times New Roman" w:eastAsia="Times New Roman" w:hAnsi="Times New Roman"/>
          <w:sz w:val="18"/>
          <w:szCs w:val="18"/>
          <w:color w:val="auto"/>
        </w:rPr>
      </w:pPr>
    </w:p>
    <w:p>
      <w:pPr>
        <w:ind w:right="380" w:firstLine="464"/>
        <w:spacing w:after="0" w:line="282" w:lineRule="auto"/>
        <w:tabs>
          <w:tab w:leader="none" w:pos="71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to the extent that the provisions of the Original Indenture are duplicative of, or in contradiction with, the provisions of this Supplemental Indenture, the provisions of this Supplemental Indenture shall govern.</w:t>
      </w: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II</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DEFINITIONS AND INCORPORATION BY REFERENCE</w:t>
      </w:r>
    </w:p>
    <w:p>
      <w:pPr>
        <w:spacing w:after="0" w:line="207"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All capitalized terms used herein and not otherwise defined below shall have the meanings ascribed thereto in the Original Indenture. The following are additional definitions used in this Supplemental Indenture:</w:t>
      </w:r>
    </w:p>
    <w:p>
      <w:pPr>
        <w:spacing w:after="0" w:line="162"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“Affiliate” of any specified Person means any other Person directly or indirectly controlling or controlled by or under direct or indirect common control with such specified Person. For purposes of this definition, “control,” as used with respect to any Person, shall mean the possession directly or indirectly of the power to direct or cause the direction of the management or policies of such Person, whether through the ownership of voting securities, by agreement or otherwise; and the terms “controlling,” “controlled by” and “under common control with” shall have correlative meanings.</w:t>
      </w:r>
    </w:p>
    <w:p>
      <w:pPr>
        <w:spacing w:after="0" w:line="180"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“Attributable Indebtedness,” when used with respect to any Sale-leaseback Transaction, means, as at the time of determination, the present value (discounted at the rate set forth or implicit in the terms of the lease included in such transaction) of the total obligations of the lessee for rental payments (other than amounts required to be paid on account of property taxes, maintenance, repairs, insurance, assessments, utilities, operating and labor costs and other items that do not constitute payments for property rights) during the remaining term of the lease included in such Sale-leaseback Transaction (including any period for which such lease has been extended). In the case of any lease that is terminable by the lessee upon the payment of a penalty or other termination payment, such amount shall be the lesser of the amount determined assuming termination upon the first date such lease may be terminated (in which case the amount shall also include the amount of the penalty or termination payment, but no rent shall be considered as required to be paid under such lease subsequent to the first date upon which it may be so terminated) or the amount determined assuming no such termination.</w:t>
      </w:r>
    </w:p>
    <w:p>
      <w:pPr>
        <w:spacing w:after="0" w:line="185" w:lineRule="exact"/>
        <w:rPr>
          <w:sz w:val="20"/>
          <w:szCs w:val="20"/>
          <w:color w:val="auto"/>
        </w:rPr>
      </w:pPr>
    </w:p>
    <w:p>
      <w:pPr>
        <w:jc w:val="both"/>
        <w:ind w:right="420" w:firstLine="456"/>
        <w:spacing w:after="0" w:line="266" w:lineRule="auto"/>
        <w:rPr>
          <w:sz w:val="20"/>
          <w:szCs w:val="20"/>
          <w:color w:val="auto"/>
        </w:rPr>
      </w:pPr>
      <w:r>
        <w:rPr>
          <w:rFonts w:ascii="Times New Roman" w:cs="Times New Roman" w:eastAsia="Times New Roman" w:hAnsi="Times New Roman"/>
          <w:sz w:val="18"/>
          <w:szCs w:val="18"/>
          <w:color w:val="auto"/>
        </w:rPr>
        <w:t>“Capital Interests” means any and all shares, interests, participations, rights or other equivalents (however designated) of capital stock, including, without limitation, with respect to partnerships, partnership interests (whether general or limited) and any other interest or participation that confers on a Person the right to receive a share of the profits and losses of, or distributions of assets of, such Person.</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270" w:right="259" w:bottom="1440" w:gutter="0" w:footer="0" w:header="0"/>
        </w:sectPr>
      </w:pPr>
    </w:p>
    <w:bookmarkStart w:id="10" w:name="page11"/>
    <w:bookmarkEnd w:id="10"/>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“Consolidated Net Tangible Assets” means, at any date of determination, the total amount of assets after deducting therefrom: (1) all current liabilities (excluding (a) any current liabilities that by their terms are extendible or renewable at the option of the obligor thereon to a time more than 12 months after the time as of which the amount thereof is being computed; and (b) current maturities of long-term debt); and (2) the amount, net of any applicable reserves, of all goodwill, trade names, trademarks, patents and other like intangible assets, all as set forth on the consolidated balance sheet of the Partnership for its most recently completed fiscal quarter, prepared in accordance with GAAP.</w:t>
      </w:r>
    </w:p>
    <w:p>
      <w:pPr>
        <w:spacing w:after="0" w:line="184" w:lineRule="exact"/>
        <w:rPr>
          <w:sz w:val="20"/>
          <w:szCs w:val="20"/>
          <w:color w:val="auto"/>
        </w:rPr>
      </w:pPr>
    </w:p>
    <w:p>
      <w:pPr>
        <w:ind w:right="440" w:firstLine="456"/>
        <w:spacing w:after="0" w:line="282" w:lineRule="auto"/>
        <w:rPr>
          <w:sz w:val="20"/>
          <w:szCs w:val="20"/>
          <w:color w:val="auto"/>
        </w:rPr>
      </w:pPr>
      <w:r>
        <w:rPr>
          <w:rFonts w:ascii="Times New Roman" w:cs="Times New Roman" w:eastAsia="Times New Roman" w:hAnsi="Times New Roman"/>
          <w:sz w:val="18"/>
          <w:szCs w:val="18"/>
          <w:color w:val="auto"/>
        </w:rPr>
        <w:t>“Debt” means any obligation created or assumed by any Person for the repayment of money borrowed, any purchase money obligation created or assumed by such Person, and any guarantee of the foregoing.</w:t>
      </w:r>
    </w:p>
    <w:p>
      <w:pPr>
        <w:spacing w:after="0" w:line="162"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“Funded Debt” means all Debt maturing one year or more from the date of the creation thereof, all Debt directly or indirectly renewable or extendible, at the option of the debtor, by its terms or by the terms of any instrument or agreement relating thereto, to a date one year or more from the date of the creation thereof, and all Debt under a revolving credit or similar agreement obligating the lender or lenders to extend credit over a period of one year or more.</w:t>
      </w:r>
    </w:p>
    <w:p>
      <w:pPr>
        <w:spacing w:after="0" w:line="176" w:lineRule="exact"/>
        <w:rPr>
          <w:sz w:val="20"/>
          <w:szCs w:val="20"/>
          <w:color w:val="auto"/>
        </w:rPr>
      </w:pPr>
    </w:p>
    <w:p>
      <w:pPr>
        <w:ind w:right="640" w:firstLine="456"/>
        <w:spacing w:after="0" w:line="282" w:lineRule="auto"/>
        <w:rPr>
          <w:sz w:val="20"/>
          <w:szCs w:val="20"/>
          <w:color w:val="auto"/>
        </w:rPr>
      </w:pPr>
      <w:r>
        <w:rPr>
          <w:rFonts w:ascii="Times New Roman" w:cs="Times New Roman" w:eastAsia="Times New Roman" w:hAnsi="Times New Roman"/>
          <w:sz w:val="18"/>
          <w:szCs w:val="18"/>
          <w:color w:val="auto"/>
        </w:rPr>
        <w:t>“Guarantee” means a guarantee of the Notes given by a Subsidiary Guarantor pursuant to the Indenture, including any future obligations under Article IX hereof.</w:t>
      </w:r>
    </w:p>
    <w:p>
      <w:pPr>
        <w:spacing w:after="0" w:line="162" w:lineRule="exact"/>
        <w:rPr>
          <w:sz w:val="20"/>
          <w:szCs w:val="20"/>
          <w:color w:val="auto"/>
        </w:rPr>
      </w:pPr>
    </w:p>
    <w:p>
      <w:pPr>
        <w:ind w:right="560" w:firstLine="456"/>
        <w:spacing w:after="0" w:line="282" w:lineRule="auto"/>
        <w:rPr>
          <w:sz w:val="20"/>
          <w:szCs w:val="20"/>
          <w:color w:val="auto"/>
        </w:rPr>
      </w:pPr>
      <w:r>
        <w:rPr>
          <w:rFonts w:ascii="Times New Roman" w:cs="Times New Roman" w:eastAsia="Times New Roman" w:hAnsi="Times New Roman"/>
          <w:sz w:val="18"/>
          <w:szCs w:val="18"/>
          <w:color w:val="auto"/>
        </w:rPr>
        <w:t>“General Partner” means PAA GP LLC, a Delaware limited liability company, and its successors and permitted assigns as general partner of the Partnership.</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“Issue Date” means, with respect to the Notes, the date on which the Notes are initially issued.</w:t>
      </w:r>
    </w:p>
    <w:p>
      <w:pPr>
        <w:spacing w:after="0" w:line="225"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“Managing General Partner” means (i) Plains All American GP LLC, a Delaware limited liability company, and its successors and permitted assigns as the general partner of the sole member of the General Partner or (ii) the business entity with the ultimate authority to manage the business and operations of the Partnership.</w:t>
      </w:r>
    </w:p>
    <w:p>
      <w:pPr>
        <w:spacing w:after="0" w:line="176"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“Notes” has the meaning assigned to it in Section 1.01(a) hereof, and includes both the Notes issued on the Issue Date and any Additional Notes issued thereafter.</w:t>
      </w:r>
    </w:p>
    <w:p>
      <w:pPr>
        <w:spacing w:after="0" w:line="162" w:lineRule="exact"/>
        <w:rPr>
          <w:sz w:val="20"/>
          <w:szCs w:val="20"/>
          <w:color w:val="auto"/>
        </w:rPr>
      </w:pPr>
    </w:p>
    <w:p>
      <w:pPr>
        <w:ind w:right="460" w:firstLine="456"/>
        <w:spacing w:after="0" w:line="282" w:lineRule="auto"/>
        <w:rPr>
          <w:sz w:val="20"/>
          <w:szCs w:val="20"/>
          <w:color w:val="auto"/>
        </w:rPr>
      </w:pPr>
      <w:r>
        <w:rPr>
          <w:rFonts w:ascii="Times New Roman" w:cs="Times New Roman" w:eastAsia="Times New Roman" w:hAnsi="Times New Roman"/>
          <w:sz w:val="18"/>
          <w:szCs w:val="18"/>
          <w:color w:val="auto"/>
        </w:rPr>
        <w:t>“Obligations” means any principal, interest, liquidated damages, penalties, fees, indemnifications, reimbursement obligations, damages and other liabilities payable under the documentation governing any Debt.</w:t>
      </w:r>
    </w:p>
    <w:p>
      <w:pPr>
        <w:spacing w:after="0" w:line="162" w:lineRule="exact"/>
        <w:rPr>
          <w:sz w:val="20"/>
          <w:szCs w:val="20"/>
          <w:color w:val="auto"/>
        </w:rPr>
      </w:pPr>
    </w:p>
    <w:p>
      <w:pPr>
        <w:ind w:right="240" w:firstLine="456"/>
        <w:spacing w:after="0" w:line="266" w:lineRule="auto"/>
        <w:rPr>
          <w:sz w:val="20"/>
          <w:szCs w:val="20"/>
          <w:color w:val="auto"/>
        </w:rPr>
      </w:pPr>
      <w:r>
        <w:rPr>
          <w:rFonts w:ascii="Times New Roman" w:cs="Times New Roman" w:eastAsia="Times New Roman" w:hAnsi="Times New Roman"/>
          <w:sz w:val="18"/>
          <w:szCs w:val="18"/>
          <w:color w:val="auto"/>
        </w:rPr>
        <w:t>“Pari Passu Debt” means any Funded Debt of either of the Issuers, whether outstanding on the Issue Date or thereafter created, incurred or assumed, unless, in the case of any particular Funded Debt, the instrument creating or evidencing the same or pursuant to which the same is outstanding expressly provides that such Funded Debt shall be subordinated in right of payment to the Notes.</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80"/>
          </w:cols>
          <w:pgMar w:left="240" w:top="270" w:right="279" w:bottom="1440" w:gutter="0" w:footer="0" w:header="0"/>
        </w:sectPr>
      </w:pPr>
    </w:p>
    <w:bookmarkStart w:id="11" w:name="page12"/>
    <w:bookmarkEnd w:id="11"/>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“Partnership Agreement” means the Fourth Amended and Restated Agreement of Limited Partnership of Plains All American Pipeline, L.P., dated as of May 17, 2012, as amended by Amendment No. 1 thereto dated as of October 1, 2012 and Amendment No. 2 thereto dated as of December 31, 2013, and as such may be otherwise amended, modified or supplemented from time to time.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“Permitted Liens” means:</w:t>
      </w:r>
    </w:p>
    <w:p>
      <w:pPr>
        <w:spacing w:after="0" w:line="225" w:lineRule="exact"/>
        <w:rPr>
          <w:sz w:val="20"/>
          <w:szCs w:val="20"/>
          <w:color w:val="auto"/>
        </w:rPr>
      </w:pPr>
    </w:p>
    <w:p>
      <w:pPr>
        <w:ind w:left="1200" w:hanging="297"/>
        <w:spacing w:after="0"/>
        <w:tabs>
          <w:tab w:leader="none" w:pos="12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upon rights-of-way for pipeline purposes;</w:t>
      </w:r>
    </w:p>
    <w:p>
      <w:pPr>
        <w:spacing w:after="0" w:line="225" w:lineRule="exact"/>
        <w:rPr>
          <w:rFonts w:ascii="Times New Roman" w:cs="Times New Roman" w:eastAsia="Times New Roman" w:hAnsi="Times New Roman"/>
          <w:sz w:val="18"/>
          <w:szCs w:val="18"/>
          <w:color w:val="auto"/>
        </w:rPr>
      </w:pPr>
    </w:p>
    <w:p>
      <w:pPr>
        <w:ind w:left="460" w:firstLine="443"/>
        <w:spacing w:after="0" w:line="266" w:lineRule="auto"/>
        <w:tabs>
          <w:tab w:leader="none" w:pos="119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statutory or governmental Lien or Lien arising by operation of law, or any mechanics’, repairmen’s, materialmen’s, suppliers’, carriers’, landlords’, warehousemen’s or similar Lien incurred in the ordinary course of business which is not yet due or which is being contested in good faith by appropriate proceedings and any undetermined Lien which is incidental to construction, development, improvement or repair;</w:t>
      </w:r>
    </w:p>
    <w:p>
      <w:pPr>
        <w:spacing w:after="0" w:line="176" w:lineRule="exact"/>
        <w:rPr>
          <w:rFonts w:ascii="Times New Roman" w:cs="Times New Roman" w:eastAsia="Times New Roman" w:hAnsi="Times New Roman"/>
          <w:sz w:val="18"/>
          <w:szCs w:val="18"/>
          <w:color w:val="auto"/>
        </w:rPr>
      </w:pPr>
    </w:p>
    <w:p>
      <w:pPr>
        <w:ind w:left="460" w:right="20" w:firstLine="443"/>
        <w:spacing w:after="0" w:line="282" w:lineRule="auto"/>
        <w:tabs>
          <w:tab w:leader="none" w:pos="119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reserved to, or vested in, any municipality or public authority by the terms of any right, power, franchise, grant, license, permit or by any provision of law, to purchase or recapture or to designate a purchaser of, any property;</w:t>
      </w:r>
    </w:p>
    <w:p>
      <w:pPr>
        <w:spacing w:after="0" w:line="161" w:lineRule="exact"/>
        <w:rPr>
          <w:rFonts w:ascii="Times New Roman" w:cs="Times New Roman" w:eastAsia="Times New Roman" w:hAnsi="Times New Roman"/>
          <w:sz w:val="18"/>
          <w:szCs w:val="18"/>
          <w:color w:val="auto"/>
        </w:rPr>
      </w:pPr>
    </w:p>
    <w:p>
      <w:pPr>
        <w:ind w:left="460" w:right="300" w:firstLine="443"/>
        <w:spacing w:after="0" w:line="282" w:lineRule="auto"/>
        <w:tabs>
          <w:tab w:leader="none" w:pos="119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of taxes and assessments which are (A) for the then current year, (B) not at the time delinquent, or (C) delinquent but the validity of which is being contested at the time by an Issuer or any Restricted Subsidiary in good faith;</w:t>
      </w:r>
    </w:p>
    <w:p>
      <w:pPr>
        <w:spacing w:after="0" w:line="161" w:lineRule="exact"/>
        <w:rPr>
          <w:rFonts w:ascii="Times New Roman" w:cs="Times New Roman" w:eastAsia="Times New Roman" w:hAnsi="Times New Roman"/>
          <w:sz w:val="18"/>
          <w:szCs w:val="18"/>
          <w:color w:val="auto"/>
        </w:rPr>
      </w:pPr>
    </w:p>
    <w:p>
      <w:pPr>
        <w:ind w:left="1200" w:hanging="297"/>
        <w:spacing w:after="0"/>
        <w:tabs>
          <w:tab w:leader="none" w:pos="12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of, or to secure performance of, leases, other than capital leases;</w:t>
      </w:r>
    </w:p>
    <w:p>
      <w:pPr>
        <w:spacing w:after="0" w:line="225" w:lineRule="exact"/>
        <w:rPr>
          <w:rFonts w:ascii="Times New Roman" w:cs="Times New Roman" w:eastAsia="Times New Roman" w:hAnsi="Times New Roman"/>
          <w:sz w:val="18"/>
          <w:szCs w:val="18"/>
          <w:color w:val="auto"/>
        </w:rPr>
      </w:pPr>
    </w:p>
    <w:p>
      <w:pPr>
        <w:ind w:left="460" w:right="220" w:firstLine="443"/>
        <w:spacing w:after="0" w:line="282" w:lineRule="auto"/>
        <w:tabs>
          <w:tab w:leader="none" w:pos="119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upon, or deposits of, any assets in favor of any surety company or clerk of court for the purpose of obtaining indemnity or stay of judicial proceedings;</w:t>
      </w:r>
    </w:p>
    <w:p>
      <w:pPr>
        <w:spacing w:after="0" w:line="161" w:lineRule="exact"/>
        <w:rPr>
          <w:rFonts w:ascii="Times New Roman" w:cs="Times New Roman" w:eastAsia="Times New Roman" w:hAnsi="Times New Roman"/>
          <w:sz w:val="18"/>
          <w:szCs w:val="18"/>
          <w:color w:val="auto"/>
        </w:rPr>
      </w:pPr>
    </w:p>
    <w:p>
      <w:pPr>
        <w:ind w:left="460" w:right="200" w:firstLine="443"/>
        <w:spacing w:after="0" w:line="282" w:lineRule="auto"/>
        <w:tabs>
          <w:tab w:leader="none" w:pos="119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upon property or assets acquired or sold by an Issuer or any Restricted Subsidiary resulting from the exercise of any rights arising out of defaults on receivables;</w:t>
      </w:r>
    </w:p>
    <w:p>
      <w:pPr>
        <w:spacing w:after="0" w:line="161" w:lineRule="exact"/>
        <w:rPr>
          <w:rFonts w:ascii="Times New Roman" w:cs="Times New Roman" w:eastAsia="Times New Roman" w:hAnsi="Times New Roman"/>
          <w:sz w:val="18"/>
          <w:szCs w:val="18"/>
          <w:color w:val="auto"/>
        </w:rPr>
      </w:pPr>
    </w:p>
    <w:p>
      <w:pPr>
        <w:ind w:left="460" w:right="620" w:firstLine="443"/>
        <w:spacing w:after="0" w:line="282" w:lineRule="auto"/>
        <w:tabs>
          <w:tab w:leader="none" w:pos="119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incurred in the ordinary course of business in connection with worker’s compensation, unemployment insurance, temporary disability, social security, retiree health or similar laws or regulations or to secure obligations imposed by statute or governmental regulations;</w:t>
      </w:r>
    </w:p>
    <w:p>
      <w:pPr>
        <w:spacing w:after="0" w:line="161" w:lineRule="exact"/>
        <w:rPr>
          <w:rFonts w:ascii="Times New Roman" w:cs="Times New Roman" w:eastAsia="Times New Roman" w:hAnsi="Times New Roman"/>
          <w:sz w:val="18"/>
          <w:szCs w:val="18"/>
          <w:color w:val="auto"/>
        </w:rPr>
      </w:pPr>
    </w:p>
    <w:p>
      <w:pPr>
        <w:ind w:left="1200" w:hanging="297"/>
        <w:spacing w:after="0"/>
        <w:tabs>
          <w:tab w:leader="none" w:pos="12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in favor of an Issuer or any Restricted Subsidiary;</w:t>
      </w:r>
    </w:p>
    <w:p>
      <w:pPr>
        <w:spacing w:after="0" w:line="225" w:lineRule="exact"/>
        <w:rPr>
          <w:rFonts w:ascii="Times New Roman" w:cs="Times New Roman" w:eastAsia="Times New Roman" w:hAnsi="Times New Roman"/>
          <w:sz w:val="18"/>
          <w:szCs w:val="18"/>
          <w:color w:val="auto"/>
        </w:rPr>
      </w:pPr>
    </w:p>
    <w:p>
      <w:pPr>
        <w:ind w:left="460" w:right="100" w:firstLine="443"/>
        <w:spacing w:after="0" w:line="261" w:lineRule="auto"/>
        <w:tabs>
          <w:tab w:leader="none" w:pos="128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in favor of the United States of America or any state thereof, or any department, agency or instrumentality or political subdivision of the United States of America or any state thereof, to secure partial, progress, advance, or other payments pursuant to any contract or statute, or any Debt incurred by an Issuer or any Restricted Subsidiary for the purpose of financing all or any part of the purchase price of, or the cost of constructing, developing, repairing or improving, the property or assets subject to such Lien;</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270" w:right="239" w:bottom="1440" w:gutter="0" w:footer="0" w:header="0"/>
        </w:sectPr>
      </w:pPr>
    </w:p>
    <w:bookmarkStart w:id="12" w:name="page13"/>
    <w:bookmarkEnd w:id="12"/>
    <w:p>
      <w:pPr>
        <w:ind w:left="820" w:hanging="377"/>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Lien securing industrial development, pollution control or similar revenue bonds;</w:t>
      </w:r>
    </w:p>
    <w:p>
      <w:pPr>
        <w:spacing w:after="0" w:line="225" w:lineRule="exact"/>
        <w:rPr>
          <w:rFonts w:ascii="Times New Roman" w:cs="Times New Roman" w:eastAsia="Times New Roman" w:hAnsi="Times New Roman"/>
          <w:sz w:val="18"/>
          <w:szCs w:val="18"/>
          <w:color w:val="auto"/>
        </w:rPr>
      </w:pPr>
    </w:p>
    <w:p>
      <w:pPr>
        <w:ind w:right="40" w:firstLine="443"/>
        <w:spacing w:after="0" w:line="256" w:lineRule="auto"/>
        <w:tabs>
          <w:tab w:leader="none" w:pos="8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securing Debt of an Issuer or any Restricted Subsidiary, all or a portion of the net proceeds of which are used, substantially concurrently with the funding thereof (and for purposes of determining such “substantial concurrence,” taking into consideration, among other things, required notices to be given to Holders of Outstanding Debt Securities (including the Notes) in connection with such refunding, refinancing or repurchase, and the required corresponding durations thereof), to refinance, refund or repurchase all Outstanding Debt Securities (including the Notes), including the amount of all accrued interest thereon and reasonable fees and expenses and premium, if any, incurred by the Issuers or any Restricted Subsidiary in connection therewith;</w:t>
      </w:r>
    </w:p>
    <w:p>
      <w:pPr>
        <w:spacing w:after="0" w:line="187" w:lineRule="exact"/>
        <w:rPr>
          <w:rFonts w:ascii="Times New Roman" w:cs="Times New Roman" w:eastAsia="Times New Roman" w:hAnsi="Times New Roman"/>
          <w:sz w:val="18"/>
          <w:szCs w:val="18"/>
          <w:color w:val="auto"/>
        </w:rPr>
      </w:pPr>
    </w:p>
    <w:p>
      <w:pPr>
        <w:ind w:right="80" w:firstLine="443"/>
        <w:spacing w:after="0" w:line="282" w:lineRule="auto"/>
        <w:tabs>
          <w:tab w:leader="none" w:pos="8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any Person to secure obligations under the provisions of any letters of credit, bank guarantees, bonds or surety obligations required or requested by any governmental authority in connection with any contract or statute;</w:t>
      </w:r>
    </w:p>
    <w:p>
      <w:pPr>
        <w:spacing w:after="0" w:line="161" w:lineRule="exact"/>
        <w:rPr>
          <w:rFonts w:ascii="Times New Roman" w:cs="Times New Roman" w:eastAsia="Times New Roman" w:hAnsi="Times New Roman"/>
          <w:sz w:val="18"/>
          <w:szCs w:val="18"/>
          <w:color w:val="auto"/>
        </w:rPr>
      </w:pPr>
    </w:p>
    <w:p>
      <w:pPr>
        <w:ind w:left="840" w:hanging="397"/>
        <w:spacing w:after="0"/>
        <w:tabs>
          <w:tab w:leader="none" w:pos="8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upon or deposits of any assets to secure performance of bids, trade contracts, leases or statutory obligations;</w:t>
      </w:r>
    </w:p>
    <w:p>
      <w:pPr>
        <w:spacing w:after="0" w:line="225" w:lineRule="exact"/>
        <w:rPr>
          <w:rFonts w:ascii="Times New Roman" w:cs="Times New Roman" w:eastAsia="Times New Roman" w:hAnsi="Times New Roman"/>
          <w:sz w:val="18"/>
          <w:szCs w:val="18"/>
          <w:color w:val="auto"/>
        </w:rPr>
      </w:pPr>
    </w:p>
    <w:p>
      <w:pPr>
        <w:jc w:val="both"/>
        <w:ind w:firstLine="443"/>
        <w:spacing w:after="0" w:line="261" w:lineRule="auto"/>
        <w:tabs>
          <w:tab w:leader="none" w:pos="8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or privilege vested in any grantor, lessor or licensor or permittor for rent or other charges due or for any other obligations or acts to be performed, the payment of which rent or other charges or performance of which other obligations or acts is required under leases, easements, rights-of-way, licenses, franchises, privileges, grants or permits, so long as payment of such rent or the performance of such other obligations or acts is not delinquent or the requirement for such payment or performance is being contested in good faith by appropriate proceedings;</w:t>
      </w:r>
    </w:p>
    <w:p>
      <w:pPr>
        <w:spacing w:after="0" w:line="180" w:lineRule="exact"/>
        <w:rPr>
          <w:rFonts w:ascii="Times New Roman" w:cs="Times New Roman" w:eastAsia="Times New Roman" w:hAnsi="Times New Roman"/>
          <w:sz w:val="18"/>
          <w:szCs w:val="18"/>
          <w:color w:val="auto"/>
        </w:rPr>
      </w:pPr>
    </w:p>
    <w:p>
      <w:pPr>
        <w:ind w:right="320" w:firstLine="443"/>
        <w:spacing w:after="0" w:line="261" w:lineRule="auto"/>
        <w:tabs>
          <w:tab w:leader="none" w:pos="8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easements, exceptions or reservations in any property of the Partnership or any of the Restricted Subsidiaries granted or reserved for the purpose of pipelines, roads, the removal of oil, gas, coal or other minerals, and other like purposes for the joint or common use of real property, facilities and equipment, which are incidental to, and do not materially interfere with, the ordinary conduct of its business or the business of the Partnership and its Subsidiaries, taken as a whole;</w:t>
      </w:r>
    </w:p>
    <w:p>
      <w:pPr>
        <w:spacing w:after="0" w:line="180" w:lineRule="exact"/>
        <w:rPr>
          <w:rFonts w:ascii="Times New Roman" w:cs="Times New Roman" w:eastAsia="Times New Roman" w:hAnsi="Times New Roman"/>
          <w:sz w:val="18"/>
          <w:szCs w:val="18"/>
          <w:color w:val="auto"/>
        </w:rPr>
      </w:pPr>
    </w:p>
    <w:p>
      <w:pPr>
        <w:ind w:firstLine="443"/>
        <w:spacing w:after="0" w:line="261" w:lineRule="auto"/>
        <w:tabs>
          <w:tab w:leader="none" w:pos="8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under operating agreements, joint venture agreements, partnership agreements, oil and gas leases, farmout agreements, division orders, contracts for sale, transportation or exchange of oil and natural gas, unitization and pooling declarations and agreements, area of mutual interest agreements and other agreements arising in the ordinary course of the Partnership’s or any Restricted Subsidiary’s business that are customary in the business of marketing, transportation and terminalling of crude oil and/or marketing of liquefied petroleum gas; or</w:t>
      </w:r>
    </w:p>
    <w:p>
      <w:pPr>
        <w:spacing w:after="0" w:line="11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0"/>
          </w:cols>
          <w:pgMar w:left="700" w:top="270" w:right="259" w:bottom="1440" w:gutter="0" w:footer="0" w:header="0"/>
        </w:sectPr>
      </w:pPr>
    </w:p>
    <w:bookmarkStart w:id="13" w:name="page14"/>
    <w:bookmarkEnd w:id="13"/>
    <w:p>
      <w:pPr>
        <w:ind w:left="460" w:right="600" w:firstLine="443"/>
        <w:spacing w:after="0" w:line="282" w:lineRule="auto"/>
        <w:tabs>
          <w:tab w:leader="none" w:pos="124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obligations or duties to any municipality or public authority with respect to any lease, easement, right-of-way, license, franchise, privilege, permit or grant.</w:t>
      </w:r>
    </w:p>
    <w:p>
      <w:pPr>
        <w:spacing w:after="0" w:line="162" w:lineRule="exact"/>
        <w:rPr>
          <w:sz w:val="20"/>
          <w:szCs w:val="20"/>
          <w:color w:val="auto"/>
        </w:rPr>
      </w:pPr>
    </w:p>
    <w:p>
      <w:pPr>
        <w:ind w:right="240" w:firstLine="456"/>
        <w:spacing w:after="0" w:line="257" w:lineRule="auto"/>
        <w:rPr>
          <w:sz w:val="20"/>
          <w:szCs w:val="20"/>
          <w:color w:val="auto"/>
        </w:rPr>
      </w:pPr>
      <w:r>
        <w:rPr>
          <w:rFonts w:ascii="Times New Roman" w:cs="Times New Roman" w:eastAsia="Times New Roman" w:hAnsi="Times New Roman"/>
          <w:sz w:val="18"/>
          <w:szCs w:val="18"/>
          <w:color w:val="auto"/>
        </w:rPr>
        <w:t>“Principal Property” means, whether owned or leased on the Issue Date or thereafter acquired: (1) any of the pipeline assets of the Partnership or the pipeline assets of any Subsidiary of the Partnership, including any related facilities employed in the transportation, distribution, terminalling, gathering, treating, processing, marketing or storage of crude oil or refined petroleum products, natural gas, natural gas liquids, fuel additives or petrochemicals, and</w:t>
      </w:r>
    </w:p>
    <w:p>
      <w:pPr>
        <w:spacing w:after="0" w:line="2" w:lineRule="exact"/>
        <w:rPr>
          <w:sz w:val="20"/>
          <w:szCs w:val="20"/>
          <w:color w:val="auto"/>
        </w:rPr>
      </w:pPr>
    </w:p>
    <w:p>
      <w:pPr>
        <w:ind w:right="260" w:firstLine="8"/>
        <w:spacing w:after="0" w:line="254" w:lineRule="auto"/>
        <w:tabs>
          <w:tab w:leader="none" w:pos="2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processing or manufacturing plant or terminal owned or leased by the Partnership or any Subsidiary of the Partnership; except, in the case of either clause (1) or (2), (a) any such assets consisting of inventories, furniture, office fixtures and equipment, including data processing equipment, vehicles and equipment used on, or useful with, vehicles, and (b) any such assets, plant or terminal which, in the good faith opinion of the Board of Directors, is not material in relation to the activities of the Partnership or the activities of the Partnership and its Subsidiaries, taken as a whole.</w:t>
      </w:r>
    </w:p>
    <w:p>
      <w:pPr>
        <w:spacing w:after="0" w:line="186"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“Restricted Subsidiary” means any Subsidiary of the Partnership owning or leasing, directly or indirectly through ownership in another Subsidiary, any Principal Property.</w:t>
      </w:r>
    </w:p>
    <w:p>
      <w:pPr>
        <w:spacing w:after="0" w:line="162"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“Sale-leaseback Transaction” means the sale or transfer by an Issuer or any Subsidiary of the Partnership of any Principal Property to a Person (other than an Issuer or a Subsidiary of the Partnership) and the taking back by an Issuer or any Subsidiary of the Partnership, as the case may be, of a lease of such Principal Property.</w:t>
      </w:r>
    </w:p>
    <w:p>
      <w:pPr>
        <w:spacing w:after="0" w:line="176"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color w:val="auto"/>
        </w:rPr>
        <w:t>“Subsidiary” means, with respect to any Person: (1) any other Person of which more than 50% of the total voting power of shares or other Capital Interests entitled, without regard to the occurrence of any contingency, to vote in the election of directors, managers or trustees (or equivalent persons) thereof is at the time owned or controlled, directly or indirectly, by such Person or one or more of the other Subsidiaries of such Person or a combination thereof; or</w:t>
      </w:r>
    </w:p>
    <w:p>
      <w:pPr>
        <w:spacing w:after="0" w:line="2" w:lineRule="exact"/>
        <w:rPr>
          <w:sz w:val="20"/>
          <w:szCs w:val="20"/>
          <w:color w:val="auto"/>
        </w:rPr>
      </w:pPr>
    </w:p>
    <w:p>
      <w:pPr>
        <w:ind w:right="380" w:firstLine="8"/>
        <w:spacing w:after="0" w:line="261" w:lineRule="auto"/>
        <w:tabs>
          <w:tab w:leader="none" w:pos="2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partnership, more than 50% of the partners’ Capital Interests, considering all partners’ Capital Interests as a single class, is at the time owned or controlled, directly or indirectly, by such Person or one or more of the other Subsidiaries of such Person or a combination thereof.</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“Subsidiary Guarantors” means each of:</w:t>
      </w:r>
    </w:p>
    <w:p>
      <w:pPr>
        <w:spacing w:after="0" w:line="225" w:lineRule="exact"/>
        <w:rPr>
          <w:sz w:val="20"/>
          <w:szCs w:val="20"/>
          <w:color w:val="auto"/>
        </w:rPr>
      </w:pPr>
    </w:p>
    <w:p>
      <w:pPr>
        <w:ind w:left="1160" w:hanging="257"/>
        <w:spacing w:after="0"/>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Subsidiary that executes a supplemental Indenture to provide a Guarantee in accordance with the provisions of the Indenture; and</w:t>
      </w:r>
    </w:p>
    <w:p>
      <w:pPr>
        <w:spacing w:after="0" w:line="225"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their respective successors and assigns.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270" w:right="2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2.02 </w:t>
      </w:r>
      <w:r>
        <w:rPr>
          <w:rFonts w:ascii="Times New Roman" w:cs="Times New Roman" w:eastAsia="Times New Roman" w:hAnsi="Times New Roman"/>
          <w:sz w:val="18"/>
          <w:szCs w:val="18"/>
          <w:u w:val="single" w:color="auto"/>
          <w:color w:val="auto"/>
        </w:rPr>
        <w:t>Other Definitions</w:t>
      </w:r>
      <w:r>
        <w:rPr>
          <w:rFonts w:ascii="Times New Roman" w:cs="Times New Roman" w:eastAsia="Times New Roman" w:hAnsi="Times New Roman"/>
          <w:sz w:val="18"/>
          <w:szCs w:val="18"/>
          <w:color w:val="auto"/>
        </w:rPr>
        <w: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10380" w:type="dxa"/>
            <w:vAlign w:val="bottom"/>
            <w:vMerge w:val="restart"/>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Defined</w:t>
            </w:r>
          </w:p>
        </w:tc>
        <w:tc>
          <w:tcPr>
            <w:tcW w:w="0" w:type="dxa"/>
            <w:vAlign w:val="bottom"/>
          </w:tcPr>
          <w:p>
            <w:pPr>
              <w:spacing w:after="0"/>
              <w:rPr>
                <w:sz w:val="1"/>
                <w:szCs w:val="1"/>
                <w:color w:val="auto"/>
              </w:rPr>
            </w:pPr>
          </w:p>
        </w:tc>
      </w:tr>
      <w:tr>
        <w:trPr>
          <w:trHeight w:val="180"/>
        </w:trPr>
        <w:tc>
          <w:tcPr>
            <w:tcW w:w="340" w:type="dxa"/>
            <w:vAlign w:val="bottom"/>
            <w:tcBorders>
              <w:bottom w:val="single" w:sz="8" w:color="auto"/>
            </w:tcBorders>
            <w:vMerge w:val="continue"/>
          </w:tcPr>
          <w:p>
            <w:pPr>
              <w:spacing w:after="0"/>
              <w:rPr>
                <w:sz w:val="15"/>
                <w:szCs w:val="15"/>
                <w:color w:val="auto"/>
              </w:rPr>
            </w:pPr>
          </w:p>
        </w:tc>
        <w:tc>
          <w:tcPr>
            <w:tcW w:w="10380" w:type="dxa"/>
            <w:vAlign w:val="bottom"/>
            <w:vMerge w:val="continue"/>
          </w:tcPr>
          <w:p>
            <w:pPr>
              <w:spacing w:after="0"/>
              <w:rPr>
                <w:sz w:val="15"/>
                <w:szCs w:val="15"/>
                <w:color w:val="auto"/>
              </w:rPr>
            </w:pPr>
          </w:p>
        </w:tc>
        <w:tc>
          <w:tcPr>
            <w:tcW w:w="700" w:type="dxa"/>
            <w:vAlign w:val="bottom"/>
            <w:gridSpan w:val="2"/>
          </w:tcPr>
          <w:p>
            <w:pPr>
              <w:jc w:val="right"/>
              <w:ind w:right="100"/>
              <w:spacing w:after="0" w:line="160" w:lineRule="exact"/>
              <w:rPr>
                <w:sz w:val="20"/>
                <w:szCs w:val="20"/>
                <w:color w:val="auto"/>
              </w:rPr>
            </w:pPr>
            <w:r>
              <w:rPr>
                <w:rFonts w:ascii="Times New Roman" w:cs="Times New Roman" w:eastAsia="Times New Roman" w:hAnsi="Times New Roman"/>
                <w:sz w:val="14"/>
                <w:szCs w:val="14"/>
                <w:b w:val="1"/>
                <w:bCs w:val="1"/>
                <w:color w:val="auto"/>
                <w:w w:val="98"/>
              </w:rPr>
              <w:t>in Section</w:t>
            </w:r>
          </w:p>
        </w:tc>
        <w:tc>
          <w:tcPr>
            <w:tcW w:w="0" w:type="dxa"/>
            <w:vAlign w:val="bottom"/>
          </w:tcPr>
          <w:p>
            <w:pPr>
              <w:spacing w:after="0"/>
              <w:rPr>
                <w:sz w:val="1"/>
                <w:szCs w:val="1"/>
                <w:color w:val="auto"/>
              </w:rPr>
            </w:pPr>
          </w:p>
        </w:tc>
      </w:tr>
      <w:tr>
        <w:trPr>
          <w:trHeight w:val="203"/>
        </w:trPr>
        <w:tc>
          <w:tcPr>
            <w:tcW w:w="1072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“Additional Notes”</w:t>
            </w:r>
          </w:p>
        </w:tc>
        <w:tc>
          <w:tcPr>
            <w:tcW w:w="6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“Covenant Defeasance”</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8.03</w:t>
            </w:r>
          </w:p>
        </w:tc>
        <w:tc>
          <w:tcPr>
            <w:tcW w:w="0" w:type="dxa"/>
            <w:vAlign w:val="bottom"/>
          </w:tcPr>
          <w:p>
            <w:pPr>
              <w:spacing w:after="0"/>
              <w:rPr>
                <w:sz w:val="1"/>
                <w:szCs w:val="1"/>
                <w:color w:val="auto"/>
              </w:rPr>
            </w:pPr>
          </w:p>
        </w:tc>
      </w:tr>
      <w:tr>
        <w:trPr>
          <w:trHeight w:val="216"/>
        </w:trPr>
        <w:tc>
          <w:tcPr>
            <w:tcW w:w="10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“Event of Default”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7.01</w:t>
            </w:r>
          </w:p>
        </w:tc>
        <w:tc>
          <w:tcPr>
            <w:tcW w:w="0" w:type="dxa"/>
            <w:vAlign w:val="bottom"/>
          </w:tcPr>
          <w:p>
            <w:pPr>
              <w:spacing w:after="0"/>
              <w:rPr>
                <w:sz w:val="1"/>
                <w:szCs w:val="1"/>
                <w:color w:val="auto"/>
              </w:rPr>
            </w:pPr>
          </w:p>
        </w:tc>
      </w:tr>
      <w:tr>
        <w:trPr>
          <w:trHeight w:val="216"/>
        </w:trPr>
        <w:tc>
          <w:tcPr>
            <w:tcW w:w="10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Defeasance”</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8.02</w:t>
            </w:r>
          </w:p>
        </w:tc>
        <w:tc>
          <w:tcPr>
            <w:tcW w:w="0" w:type="dxa"/>
            <w:vAlign w:val="bottom"/>
          </w:tcPr>
          <w:p>
            <w:pPr>
              <w:spacing w:after="0"/>
              <w:rPr>
                <w:sz w:val="1"/>
                <w:szCs w:val="1"/>
                <w:color w:val="auto"/>
              </w:rPr>
            </w:pPr>
          </w:p>
        </w:tc>
      </w:tr>
      <w:tr>
        <w:trPr>
          <w:trHeight w:val="216"/>
        </w:trPr>
        <w:tc>
          <w:tcPr>
            <w:tcW w:w="10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 Obligations”</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9.01</w:t>
            </w:r>
          </w:p>
        </w:tc>
        <w:tc>
          <w:tcPr>
            <w:tcW w:w="0" w:type="dxa"/>
            <w:vAlign w:val="bottom"/>
          </w:tcPr>
          <w:p>
            <w:pPr>
              <w:spacing w:after="0"/>
              <w:rPr>
                <w:sz w:val="1"/>
                <w:szCs w:val="1"/>
                <w:color w:val="auto"/>
              </w:rPr>
            </w:pPr>
          </w:p>
        </w:tc>
      </w:tr>
      <w:tr>
        <w:trPr>
          <w:trHeight w:val="216"/>
        </w:trPr>
        <w:tc>
          <w:tcPr>
            <w:tcW w:w="10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Default”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7.01</w:t>
            </w:r>
          </w:p>
        </w:tc>
        <w:tc>
          <w:tcPr>
            <w:tcW w:w="0" w:type="dxa"/>
            <w:vAlign w:val="bottom"/>
          </w:tcPr>
          <w:p>
            <w:pPr>
              <w:spacing w:after="0"/>
              <w:rPr>
                <w:sz w:val="1"/>
                <w:szCs w:val="1"/>
                <w:color w:val="auto"/>
              </w:rPr>
            </w:pPr>
          </w:p>
        </w:tc>
      </w:tr>
      <w:tr>
        <w:trPr>
          <w:trHeight w:val="216"/>
        </w:trPr>
        <w:tc>
          <w:tcPr>
            <w:tcW w:w="10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“Required Filing Dates”</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5.04</w:t>
            </w:r>
          </w:p>
        </w:tc>
        <w:tc>
          <w:tcPr>
            <w:tcW w:w="0" w:type="dxa"/>
            <w:vAlign w:val="bottom"/>
          </w:tcPr>
          <w:p>
            <w:pPr>
              <w:spacing w:after="0"/>
              <w:rPr>
                <w:sz w:val="1"/>
                <w:szCs w:val="1"/>
                <w:color w:val="auto"/>
              </w:rPr>
            </w:pPr>
          </w:p>
        </w:tc>
      </w:tr>
      <w:tr>
        <w:trPr>
          <w:trHeight w:val="216"/>
        </w:trPr>
        <w:tc>
          <w:tcPr>
            <w:tcW w:w="10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“Successor Company”</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6.01</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ARTICLE III</w:t>
      </w:r>
    </w:p>
    <w:p>
      <w:pPr>
        <w:spacing w:after="0" w:line="2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THE NOTES</w:t>
      </w:r>
    </w:p>
    <w:p>
      <w:pPr>
        <w:spacing w:after="0" w:line="20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Form</w:t>
      </w:r>
      <w:r>
        <w:rPr>
          <w:rFonts w:ascii="Times New Roman" w:cs="Times New Roman" w:eastAsia="Times New Roman" w:hAnsi="Times New Roman"/>
          <w:sz w:val="18"/>
          <w:szCs w:val="18"/>
          <w:color w:val="auto"/>
        </w:rPr>
        <w:t>. The Notes shall be issued initially in the form of one or more Global Securities. The Notes and Trustee’s certificate of authentication shall be substantially in the form of Exhibit A hereto, the terms of which are incorporated in and made a part of this Supplemental Indenture, and the Issuers and the Trustee, by their execution and delivery of this Supplemental Indenture, expressly agree to such terms and provisions and to be bound thereby.</w:t>
      </w:r>
    </w:p>
    <w:p>
      <w:pPr>
        <w:spacing w:after="0" w:line="1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Issuance of Additional Notes</w:t>
      </w:r>
      <w:r>
        <w:rPr>
          <w:rFonts w:ascii="Times New Roman" w:cs="Times New Roman" w:eastAsia="Times New Roman" w:hAnsi="Times New Roman"/>
          <w:sz w:val="18"/>
          <w:szCs w:val="18"/>
          <w:color w:val="auto"/>
        </w:rPr>
        <w:t>. The Issuers may, from time to time, issue an unlimited amount of additional Notes (“Additional Notes”) under the Indenture, which shall be issued in the same form as the Notes issued on the Issue Date and which shall have identical terms as the Notes issued on the Issue Date other than with respect to the issue date, the date of first payment of interest, if applicable, and the payment of interest accruing prior to the issue date. The Notes issued on the Issue Date shall be limited in aggregate principal amount to $750,000,000. The Notes issued on the Issue Date and any Additional Notes subsequently issued shall be treated as a single series for all purposes under the Indenture, including waivers, amendments, redemptions and offers to purchase.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Global Security Legend</w:t>
      </w:r>
      <w:r>
        <w:rPr>
          <w:rFonts w:ascii="Times New Roman" w:cs="Times New Roman" w:eastAsia="Times New Roman" w:hAnsi="Times New Roman"/>
          <w:sz w:val="18"/>
          <w:szCs w:val="18"/>
          <w:color w:val="auto"/>
        </w:rPr>
        <w:t>. Each of the Global Securities shall bear a legend in substantially the following form:</w:t>
      </w:r>
    </w:p>
    <w:p>
      <w:pPr>
        <w:spacing w:after="0" w:line="225"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THIS GLOBAL SECURITY IS HELD BY OR ON BEHALF OF THE DEPOSITARY (AS DEFINED IN THE INDENTURE GOVERNING THIS NOTE) IN CUSTODY FOR THE BENEFIT OF THE BENEFICIAL OWNERS HEREOF, AND IS NOT TRANSFERABLE TO ANY PERSON UNDER ANY CIRCUMSTANCES EXCEPT THAT (A) THE TRUSTEE MAY MAKE SUCH NOTATIONS HEREON AS MAY BE REQUIRED PURSUANT TO SECTION 2.08 OF THE ORIGINAL INDENTURE, (B) THIS GLOBAL SECURITY MAY BE EXCHANGED IN WHOLE BUT NOT IN PART PURSUANT TO SECTION 2.15 OF THE ORIGINAL INDENTURE, (C) THIS GLOBAL SECURITY MAY BE DELIVERED TO THE TRUSTEE FOR CANCELLATION PURSUANT TO SECTION 2.10 OF THE ORIGINAL INDENTURE AND (D) THIS GLOBAL SECURITY MAY BE TRANSFERRED TO A SUCCESSOR DEPOSITARY OR ITS NOMINEE WITH THE PRIOR WRITTEN CONSENT OF THE ISSUERS.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270" w:right="23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IV</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REDEMPTION AND PREPAYMENT</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Optional 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40" w:hanging="276"/>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their option at any time prior to maturity, the Issuers may choose to redeem all or any portion of the Notes, at once or from time to time.</w:t>
      </w:r>
    </w:p>
    <w:p>
      <w:pPr>
        <w:spacing w:after="0" w:line="225" w:lineRule="exact"/>
        <w:rPr>
          <w:rFonts w:ascii="Times New Roman" w:cs="Times New Roman" w:eastAsia="Times New Roman" w:hAnsi="Times New Roman"/>
          <w:sz w:val="18"/>
          <w:szCs w:val="18"/>
          <w:color w:val="auto"/>
        </w:rPr>
      </w:pPr>
    </w:p>
    <w:p>
      <w:pPr>
        <w:ind w:right="20" w:firstLine="464"/>
        <w:spacing w:after="0" w:line="266" w:lineRule="auto"/>
        <w:tabs>
          <w:tab w:leader="none" w:pos="75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redeem the Notes, the Issuers must pay a redemption price in an amount determined in accordance with the provisions of paragraph number 5 of the form of Note in Exhibit A hereto, plus accrued and unpaid interest, if any, to the redemption date (subject to the right of Holders on the relevant record date to receive interest due on the relevant interest payment date).</w:t>
      </w:r>
    </w:p>
    <w:p>
      <w:pPr>
        <w:spacing w:after="0" w:line="176" w:lineRule="exact"/>
        <w:rPr>
          <w:rFonts w:ascii="Times New Roman" w:cs="Times New Roman" w:eastAsia="Times New Roman" w:hAnsi="Times New Roman"/>
          <w:sz w:val="18"/>
          <w:szCs w:val="18"/>
          <w:color w:val="auto"/>
        </w:rPr>
      </w:pPr>
    </w:p>
    <w:p>
      <w:pPr>
        <w:jc w:val="both"/>
        <w:ind w:right="420" w:firstLine="464"/>
        <w:spacing w:after="0" w:line="266" w:lineRule="auto"/>
        <w:tabs>
          <w:tab w:leader="none" w:pos="73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pursuant to this Section 4.01 shall otherwise be made pursuant to the provisions of Sections 3.01 through 3.03 of the Original Indenture. The actual redemption price shall be set forth in an Officers’ Certificate delivered to the Trustee no later than two Business Days prior to each redemption date.</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COVENANTS</w:t>
      </w:r>
    </w:p>
    <w:p>
      <w:pPr>
        <w:spacing w:after="0" w:line="207" w:lineRule="exact"/>
        <w:rPr>
          <w:sz w:val="20"/>
          <w:szCs w:val="20"/>
          <w:color w:val="auto"/>
        </w:rPr>
      </w:pPr>
    </w:p>
    <w:p>
      <w:pPr>
        <w:ind w:right="100" w:firstLine="456"/>
        <w:spacing w:after="0" w:line="254"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(a) In lieu of the Officers’ Certificate required by Section 4.05 of the Original Indenture, the Issuers and Subsidiary Guarantors shall deliver to the Trustee, within 90 days after the end of each fiscal year, an Officers’ Certificate stating that a review of the activities of the Partnership and its Subsidiaries during the preceding fiscal year has been made under the supervision of the signing Officers (one of whom shall be the principal executive, financial or accounting officer of each Issuer and Subsidiary Guarantor) with a view to determining whether the Issuers have kept, observed, performed and fulfilled their obligations under the Indenture, and further stating, as to each such person signing such certificate, that to the best of his or her knowledge the Issuers have kept, observed, performed and fulfilled each and every covenant contained in the Indenture and are not in default in the performance or observance of any of the terms, provisions and conditions of the Indenture (or, if a Default or Event of Default shall have occurred, describing all such Defaults or Events of Default of which he or she may have knowledge and what action the Issuers are taking or propose to take with respect thereto).</w:t>
      </w:r>
    </w:p>
    <w:p>
      <w:pPr>
        <w:spacing w:after="0" w:line="189" w:lineRule="exact"/>
        <w:rPr>
          <w:sz w:val="20"/>
          <w:szCs w:val="20"/>
          <w:color w:val="auto"/>
        </w:rPr>
      </w:pPr>
    </w:p>
    <w:p>
      <w:pPr>
        <w:jc w:val="both"/>
        <w:ind w:firstLine="464"/>
        <w:spacing w:after="0" w:line="266" w:lineRule="auto"/>
        <w:tabs>
          <w:tab w:leader="none" w:pos="75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shall, so long as any of the Notes are outstanding, deliver to the Trustee, forthwith and in any event within five days upon any officer of an Issuer becoming aware of any Default or Event of Default or an event which, with notice or the lapse of time or both, would constitute an Event of Default, an Officers’ Certificate specifying such Default or Event of Default and what action the Issuers are taking or propose to take with respect thereto.</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270" w:right="239" w:bottom="1440" w:gutter="0" w:footer="0" w:header="0"/>
        </w:sectPr>
      </w:pPr>
    </w:p>
    <w:bookmarkStart w:id="16" w:name="page17"/>
    <w:bookmarkEnd w:id="16"/>
    <w:p>
      <w:pPr>
        <w:ind w:right="20" w:firstLine="456"/>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5.02 </w:t>
      </w:r>
      <w:r>
        <w:rPr>
          <w:rFonts w:ascii="Times New Roman" w:cs="Times New Roman" w:eastAsia="Times New Roman" w:hAnsi="Times New Roman"/>
          <w:sz w:val="17"/>
          <w:szCs w:val="17"/>
          <w:u w:val="single" w:color="auto"/>
          <w:color w:val="auto"/>
        </w:rPr>
        <w:t>Limitations on Liens</w:t>
      </w:r>
      <w:r>
        <w:rPr>
          <w:rFonts w:ascii="Times New Roman" w:cs="Times New Roman" w:eastAsia="Times New Roman" w:hAnsi="Times New Roman"/>
          <w:sz w:val="17"/>
          <w:szCs w:val="17"/>
          <w:color w:val="auto"/>
        </w:rPr>
        <w:t>. The Issuers will not, nor will they permit any Subsidiary of the Partnership to, create, assume, incur or suffer to exist any Lien upon any Principal Property or upon any Capital Interests of any Restricted Subsidiary, whether owned or leased on the Issue Date or thereafter acquired, to secure any Debt of an Issuer or any other Person (other than Debt Securities), without in any such case making effective provision whereby all of the Notes shall be secured equally and ratably with, or prior to, such Debt so long as such Debt shall be so secured. This restriction shall not apply to:</w:t>
      </w:r>
    </w:p>
    <w:p>
      <w:pPr>
        <w:spacing w:after="0" w:line="165" w:lineRule="exact"/>
        <w:rPr>
          <w:sz w:val="20"/>
          <w:szCs w:val="20"/>
          <w:color w:val="auto"/>
        </w:rPr>
      </w:pPr>
    </w:p>
    <w:p>
      <w:pPr>
        <w:ind w:left="760" w:hanging="296"/>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Liens;</w:t>
      </w:r>
    </w:p>
    <w:p>
      <w:pPr>
        <w:spacing w:after="0" w:line="225" w:lineRule="exact"/>
        <w:rPr>
          <w:rFonts w:ascii="Times New Roman" w:cs="Times New Roman" w:eastAsia="Times New Roman" w:hAnsi="Times New Roman"/>
          <w:sz w:val="18"/>
          <w:szCs w:val="18"/>
          <w:color w:val="auto"/>
        </w:rPr>
      </w:pPr>
    </w:p>
    <w:p>
      <w:pPr>
        <w:ind w:firstLine="464"/>
        <w:spacing w:after="0" w:line="266" w:lineRule="auto"/>
        <w:tabs>
          <w:tab w:leader="none" w:pos="75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upon any property or assets created at the time of acquisition of such property or assets by an Issuer or any Restricted Subsidiary or within one year after such time to secure all or a portion of the purchase price for such property or assets or Debt incurred to finance such purchase price, whether such Debt was incurred prior to, at the time of or within one year after the date of such acquisition;</w:t>
      </w:r>
    </w:p>
    <w:p>
      <w:pPr>
        <w:spacing w:after="0" w:line="176" w:lineRule="exact"/>
        <w:rPr>
          <w:rFonts w:ascii="Times New Roman" w:cs="Times New Roman" w:eastAsia="Times New Roman" w:hAnsi="Times New Roman"/>
          <w:sz w:val="18"/>
          <w:szCs w:val="18"/>
          <w:color w:val="auto"/>
        </w:rPr>
      </w:pPr>
    </w:p>
    <w:p>
      <w:pPr>
        <w:ind w:right="20" w:firstLine="464"/>
        <w:spacing w:after="0" w:line="266" w:lineRule="auto"/>
        <w:tabs>
          <w:tab w:leader="none" w:pos="74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upon any property or assets to secure all or part of the cost of construction, development, repair or improvements thereon or to secure Debt incurred prior to, at the time of, or within one year after completion of such construction, development, repair or improvements or the commencement of full operations thereof (whichever is later), to provide funds for any such purpose;</w:t>
      </w:r>
    </w:p>
    <w:p>
      <w:pPr>
        <w:spacing w:after="0" w:line="176" w:lineRule="exact"/>
        <w:rPr>
          <w:rFonts w:ascii="Times New Roman" w:cs="Times New Roman" w:eastAsia="Times New Roman" w:hAnsi="Times New Roman"/>
          <w:sz w:val="18"/>
          <w:szCs w:val="18"/>
          <w:color w:val="auto"/>
        </w:rPr>
      </w:pPr>
    </w:p>
    <w:p>
      <w:pPr>
        <w:ind w:right="40" w:firstLine="464"/>
        <w:spacing w:after="0" w:line="266" w:lineRule="auto"/>
        <w:tabs>
          <w:tab w:leader="none" w:pos="75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upon any property or assets existing thereon at the time of the acquisition thereof by an Issuer or any Restricted Subsidiary (whether or not the obligations secured thereby are assumed by an Issuer or any Restricted Subsidiary); provided, however, that such Lien only encumbers the property or assets so acquired;</w:t>
      </w:r>
    </w:p>
    <w:p>
      <w:pPr>
        <w:spacing w:after="0" w:line="176" w:lineRule="exact"/>
        <w:rPr>
          <w:rFonts w:ascii="Times New Roman" w:cs="Times New Roman" w:eastAsia="Times New Roman" w:hAnsi="Times New Roman"/>
          <w:sz w:val="18"/>
          <w:szCs w:val="18"/>
          <w:color w:val="auto"/>
        </w:rPr>
      </w:pPr>
    </w:p>
    <w:p>
      <w:pPr>
        <w:ind w:right="200" w:firstLine="464"/>
        <w:spacing w:after="0" w:line="266" w:lineRule="auto"/>
        <w:tabs>
          <w:tab w:leader="none" w:pos="74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upon any property or assets of a Person existing thereon at the time such Person becomes a Restricted Subsidiary by acquisition, merger or otherwise; provided, however, that such Lien only encumbers the property or assets of such Person at the time such Person becomes a Restricted Subsidiary;</w:t>
      </w:r>
    </w:p>
    <w:p>
      <w:pPr>
        <w:spacing w:after="0" w:line="176" w:lineRule="exact"/>
        <w:rPr>
          <w:rFonts w:ascii="Times New Roman" w:cs="Times New Roman" w:eastAsia="Times New Roman" w:hAnsi="Times New Roman"/>
          <w:sz w:val="18"/>
          <w:szCs w:val="18"/>
          <w:color w:val="auto"/>
        </w:rPr>
      </w:pPr>
    </w:p>
    <w:p>
      <w:pPr>
        <w:ind w:right="480" w:firstLine="464"/>
        <w:spacing w:after="0" w:line="282" w:lineRule="auto"/>
        <w:tabs>
          <w:tab w:leader="none" w:pos="72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upon any property or assets of an Issuer or any Restricted Subsidiary in existence on December 10, 2003 or provided for pursuant to agreements existing on December 10, 2003;</w:t>
      </w:r>
    </w:p>
    <w:p>
      <w:pPr>
        <w:spacing w:after="0" w:line="161" w:lineRule="exact"/>
        <w:rPr>
          <w:rFonts w:ascii="Times New Roman" w:cs="Times New Roman" w:eastAsia="Times New Roman" w:hAnsi="Times New Roman"/>
          <w:sz w:val="18"/>
          <w:szCs w:val="18"/>
          <w:color w:val="auto"/>
        </w:rPr>
      </w:pPr>
    </w:p>
    <w:p>
      <w:pPr>
        <w:ind w:right="100" w:firstLine="464"/>
        <w:spacing w:after="0" w:line="266" w:lineRule="auto"/>
        <w:tabs>
          <w:tab w:leader="none" w:pos="75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imposed by law or order as a result of any proceeding before any court or regulatory body that is being contested in good faith, and Liens which secure a judgment or other court-ordered award or settlement as to which an Issuer or the applicable Restricted Subsidiary, as the case may be, has not exhausted its appellate rights;</w:t>
      </w:r>
    </w:p>
    <w:p>
      <w:pPr>
        <w:spacing w:after="0" w:line="176" w:lineRule="exact"/>
        <w:rPr>
          <w:rFonts w:ascii="Times New Roman" w:cs="Times New Roman" w:eastAsia="Times New Roman" w:hAnsi="Times New Roman"/>
          <w:sz w:val="18"/>
          <w:szCs w:val="18"/>
          <w:color w:val="auto"/>
        </w:rPr>
      </w:pPr>
    </w:p>
    <w:p>
      <w:pPr>
        <w:ind w:right="80" w:firstLine="464"/>
        <w:spacing w:after="0" w:line="266" w:lineRule="auto"/>
        <w:tabs>
          <w:tab w:leader="none" w:pos="75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extension, renewal, refinancing, refunding or replacement (or successive extensions, renewals, refinancings, refundings or replacements) of Liens, in whole or in part, referred to in clauses (a) through (g), inclusive, of this Section 5.02; provided, however, that any such extension, renewal, refinancing, refunding or replacement Lien shall be limited to the property or assets covered by the Lien extended, renewed, refinanced, refunded or replaced</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270" w:right="239" w:bottom="1440" w:gutter="0" w:footer="0" w:header="0"/>
        </w:sectPr>
      </w:pPr>
    </w:p>
    <w:bookmarkStart w:id="17" w:name="page18"/>
    <w:bookmarkEnd w:id="17"/>
    <w:p>
      <w:pPr>
        <w:ind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that the obligations secured by any such extension, renewal, refinancing, refunding or replacement Lien shall be in an amount not greater than the amount of the obligations secured by the Lien extended, renewed, refinanced, refunded or replaced and any expenses of the Issuers and the Restricted Subsidiaries (including any premium) incurred in connection with such extension, renewal, refinancing, refunding or replacement; or</w:t>
      </w:r>
    </w:p>
    <w:p>
      <w:pPr>
        <w:spacing w:after="0" w:line="176" w:lineRule="exact"/>
        <w:rPr>
          <w:sz w:val="20"/>
          <w:szCs w:val="20"/>
          <w:color w:val="auto"/>
        </w:rPr>
      </w:pPr>
    </w:p>
    <w:p>
      <w:pPr>
        <w:ind w:right="140" w:firstLine="464"/>
        <w:spacing w:after="0" w:line="282" w:lineRule="auto"/>
        <w:tabs>
          <w:tab w:leader="none" w:pos="71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resulting from the deposit of moneys or evidence of indebtedness in trust for the purpose of defeasing Debt of an Issuer or any Restricted Subsidiary.</w:t>
      </w:r>
    </w:p>
    <w:p>
      <w:pPr>
        <w:spacing w:after="0" w:line="16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Notwithstanding the foregoing provisions of this Section 5.02, the Issuers may, and may permit any Restricted Subsidiary to, create, assume, incur or suffer to exist any Lien upon any Principal Property or Capital Interests of a Restricted Subsidiary to secure Debt of an Issuer or any Person (other than Debt Securities) that is not excepted by clauses (a) through (i), inclusive, of this Section 5.02 without securing the Notes, provided that the aggregate principal amount of all Debt then outstanding secured by such Lien and all other Liens not excepted by clauses (a) through (i), inclusive, of this Section 5.02, together with all Attributable Indebtedness from Sale-leaseback Transactions (excluding Sale-leaseback Transactions permitted by clauses (a) through (d), inclusive, of Section 5.03), does not exceed 10% of Consolidated Net Tangible Assets.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Restriction of Sale-leaseback Transactions</w:t>
      </w:r>
      <w:r>
        <w:rPr>
          <w:rFonts w:ascii="Times New Roman" w:cs="Times New Roman" w:eastAsia="Times New Roman" w:hAnsi="Times New Roman"/>
          <w:sz w:val="18"/>
          <w:szCs w:val="18"/>
          <w:color w:val="auto"/>
        </w:rPr>
        <w:t>. The Issuers will not, and will not permit any Subsidiary of the Partnership to, engage in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Sale-leaseback Transaction, unless:</w:t>
      </w:r>
    </w:p>
    <w:p>
      <w:pPr>
        <w:spacing w:after="0" w:line="207" w:lineRule="exact"/>
        <w:rPr>
          <w:sz w:val="20"/>
          <w:szCs w:val="20"/>
          <w:color w:val="auto"/>
        </w:rPr>
      </w:pPr>
    </w:p>
    <w:p>
      <w:pPr>
        <w:ind w:firstLine="464"/>
        <w:spacing w:after="0" w:line="266" w:lineRule="auto"/>
        <w:tabs>
          <w:tab w:leader="none" w:pos="74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Sale-leaseback Transaction occurs within one year from the date of completion of the acquisition of the Principal Property subject thereto or the date of the completion of construction, development or substantial repair or improvement, or commencement of full operations on such Principal Property, whichever is later;</w:t>
      </w:r>
    </w:p>
    <w:p>
      <w:pPr>
        <w:spacing w:after="0" w:line="176" w:lineRule="exact"/>
        <w:rPr>
          <w:rFonts w:ascii="Times New Roman" w:cs="Times New Roman" w:eastAsia="Times New Roman" w:hAnsi="Times New Roman"/>
          <w:sz w:val="18"/>
          <w:szCs w:val="18"/>
          <w:color w:val="auto"/>
        </w:rPr>
      </w:pPr>
    </w:p>
    <w:p>
      <w:pPr>
        <w:ind w:left="760" w:hanging="296"/>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Sale-leaseback Transaction involves a lease for a period, including renewals, of not more than three years;</w:t>
      </w:r>
    </w:p>
    <w:p>
      <w:pPr>
        <w:spacing w:after="0" w:line="225" w:lineRule="exact"/>
        <w:rPr>
          <w:rFonts w:ascii="Times New Roman" w:cs="Times New Roman" w:eastAsia="Times New Roman" w:hAnsi="Times New Roman"/>
          <w:sz w:val="18"/>
          <w:szCs w:val="18"/>
          <w:color w:val="auto"/>
        </w:rPr>
      </w:pPr>
    </w:p>
    <w:p>
      <w:pPr>
        <w:ind w:right="340" w:firstLine="464"/>
        <w:spacing w:after="0" w:line="266" w:lineRule="auto"/>
        <w:tabs>
          <w:tab w:leader="none" w:pos="74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Attributable Indebtedness from that Sale-leaseback Transaction is an amount equal to or less than the amount the Issuers or such Subsidiary would be allowed to incur as Debt secured by a Lien on the Principal Property subject thereto without equally and ratably securing the Notes under Section 5.02; or</w:t>
      </w:r>
    </w:p>
    <w:p>
      <w:pPr>
        <w:spacing w:after="0" w:line="176" w:lineRule="exact"/>
        <w:rPr>
          <w:rFonts w:ascii="Times New Roman" w:cs="Times New Roman" w:eastAsia="Times New Roman" w:hAnsi="Times New Roman"/>
          <w:sz w:val="18"/>
          <w:szCs w:val="18"/>
          <w:color w:val="auto"/>
        </w:rPr>
      </w:pPr>
    </w:p>
    <w:p>
      <w:pPr>
        <w:ind w:right="120" w:firstLine="464"/>
        <w:spacing w:after="0" w:line="261" w:lineRule="auto"/>
        <w:tabs>
          <w:tab w:leader="none" w:pos="75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or such Subsidiary, within a one-year period after such Sale-leaseback Transaction, applies or causes to be applied an amount not less than the net sale proceeds from such Sale-leaseback Transaction to (A) the prepayment, repayment, redemption, reduction or retirement of any Pari Passu Debt of an Issuer or any Subsidiary of the Partnership, or (B) the expenditure or expenditures for Principal Property used or to be used in the ordinary course of business of the Partnership or its Subsidiaries.</w:t>
      </w:r>
    </w:p>
    <w:p>
      <w:pPr>
        <w:spacing w:after="0" w:line="180"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Notwithstanding the foregoing provisions of this Section 5.03, the Issuers may, and may permit any Subsidiary of the Partnership to, effect any Sale-leaseback Transaction that is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270" w:right="239" w:bottom="1440" w:gutter="0" w:footer="0" w:header="0"/>
        </w:sectPr>
      </w:pPr>
    </w:p>
    <w:bookmarkStart w:id="18" w:name="page19"/>
    <w:bookmarkEnd w:id="18"/>
    <w:p>
      <w:pPr>
        <w:ind w:right="2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 excepted by clauses (a) through (d), inclusive, of this Section 5.03, provided that the Attributable Indebtedness from such Sale-leaseback Transaction, together with the aggregate principal amount of then outstanding Debt (other than Debt Securities) secured by Liens upon Principal Properties not excepted by clauses (a) through (i), inclusive, of Section 5.02, does not exceed 10% of Consolidated Net Tangible Assets.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SEC Reports; Financial Statements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64"/>
        <w:spacing w:after="0" w:line="258" w:lineRule="auto"/>
        <w:tabs>
          <w:tab w:leader="none" w:pos="74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Partnership is then subject to the reporting requirements of Section 13 or 15(d) of the Exchange Act, the Partnership shall electronically file with the Commission, so long as the Notes are Outstanding, the annual, quarterly and other periodic reports that the Partnership is required to file (or would otherwise be required to file) with the Commission pursuant to Sections 13 and 15(d) of the Exchange Act, and such documents shall be filed with the Commission on or prior to the respective dates (the “Required Filing Dates”) by which the Partnership is required to file (or would otherwise be required to file) such documents, unless, in each case, such filings are not then permitted by the Commission.</w:t>
      </w:r>
    </w:p>
    <w:p>
      <w:pPr>
        <w:spacing w:after="0" w:line="183" w:lineRule="exact"/>
        <w:rPr>
          <w:rFonts w:ascii="Times New Roman" w:cs="Times New Roman" w:eastAsia="Times New Roman" w:hAnsi="Times New Roman"/>
          <w:sz w:val="18"/>
          <w:szCs w:val="18"/>
          <w:color w:val="auto"/>
        </w:rPr>
      </w:pPr>
    </w:p>
    <w:p>
      <w:pPr>
        <w:ind w:right="140" w:firstLine="464"/>
        <w:spacing w:after="0" w:line="266" w:lineRule="auto"/>
        <w:tabs>
          <w:tab w:leader="none" w:pos="75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filings are not then permitted by the Commission, or such filings are not generally available on the Internet free of charge, the Issuers shall provide the Trustee with, and the Trustee will mail to any Holder of Notes requesting in writing to the Trustee copies of, such annual, quarterly and other periodic reports specified in Sections 13 and 15(d) of the Exchange Act within 15 days after the respective Required Filing Dates.</w:t>
      </w:r>
    </w:p>
    <w:p>
      <w:pPr>
        <w:spacing w:after="0" w:line="176" w:lineRule="exact"/>
        <w:rPr>
          <w:rFonts w:ascii="Times New Roman" w:cs="Times New Roman" w:eastAsia="Times New Roman" w:hAnsi="Times New Roman"/>
          <w:sz w:val="18"/>
          <w:szCs w:val="18"/>
          <w:color w:val="auto"/>
        </w:rPr>
      </w:pPr>
    </w:p>
    <w:p>
      <w:pPr>
        <w:ind w:left="760" w:hanging="296"/>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225" w:lineRule="exact"/>
        <w:rPr>
          <w:rFonts w:ascii="Times New Roman" w:cs="Times New Roman" w:eastAsia="Times New Roman" w:hAnsi="Times New Roman"/>
          <w:sz w:val="18"/>
          <w:szCs w:val="18"/>
          <w:color w:val="auto"/>
        </w:rPr>
      </w:pPr>
    </w:p>
    <w:p>
      <w:pPr>
        <w:ind w:right="320" w:firstLine="464"/>
        <w:spacing w:after="0" w:line="282" w:lineRule="auto"/>
        <w:tabs>
          <w:tab w:leader="none" w:pos="75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shall provide the Trustee with a sufficient number of copies of all reports and other documents and information that the Trustee may be required to deliver to Holders of Notes under clause (b) of this Section 5.04.</w:t>
      </w:r>
    </w:p>
    <w:p>
      <w:pPr>
        <w:spacing w:after="0" w:line="161" w:lineRule="exact"/>
        <w:rPr>
          <w:rFonts w:ascii="Times New Roman" w:cs="Times New Roman" w:eastAsia="Times New Roman" w:hAnsi="Times New Roman"/>
          <w:sz w:val="18"/>
          <w:szCs w:val="18"/>
          <w:color w:val="auto"/>
        </w:rPr>
      </w:pPr>
    </w:p>
    <w:p>
      <w:pPr>
        <w:ind w:right="300" w:firstLine="464"/>
        <w:spacing w:after="0" w:line="266" w:lineRule="auto"/>
        <w:tabs>
          <w:tab w:leader="none" w:pos="74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Partnership’s compliance with any of its covenants hereunder (as to which the Trustee is entitled to rely exclusively on Officers’ Certificates).</w:t>
      </w:r>
    </w:p>
    <w:p>
      <w:pPr>
        <w:spacing w:after="0" w:line="176" w:lineRule="exact"/>
        <w:rPr>
          <w:sz w:val="20"/>
          <w:szCs w:val="20"/>
          <w:color w:val="auto"/>
        </w:rPr>
      </w:pPr>
    </w:p>
    <w:p>
      <w:pPr>
        <w:jc w:val="both"/>
        <w:ind w:right="140" w:firstLine="456"/>
        <w:spacing w:after="0" w:line="266" w:lineRule="auto"/>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u w:val="single" w:color="auto"/>
          <w:color w:val="auto"/>
        </w:rPr>
        <w:t>Subsidiary Guarantees</w:t>
      </w:r>
      <w:r>
        <w:rPr>
          <w:rFonts w:ascii="Times New Roman" w:cs="Times New Roman" w:eastAsia="Times New Roman" w:hAnsi="Times New Roman"/>
          <w:sz w:val="18"/>
          <w:szCs w:val="18"/>
          <w:color w:val="auto"/>
        </w:rPr>
        <w:t>. If any Subsidiary (or its successor) of the Partnership that is not then a Subsidiary Guarantor guarantees Debt of either of the Issuers, in either case after the Issue Date, then the Partnership shall cause such Subsidiary (or successor) to execute and deliver a supplemental Indenture providing for the guarantee of the payment of the Notes pursuant to Article IX hereof.</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VI</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SUCCESSORS</w:t>
      </w:r>
    </w:p>
    <w:p>
      <w:pPr>
        <w:spacing w:after="0" w:line="207" w:lineRule="exact"/>
        <w:rPr>
          <w:sz w:val="20"/>
          <w:szCs w:val="20"/>
          <w:color w:val="auto"/>
        </w:rPr>
      </w:pPr>
    </w:p>
    <w:p>
      <w:pPr>
        <w:jc w:val="center"/>
        <w:ind w:right="280"/>
        <w:spacing w:after="0" w:line="454" w:lineRule="auto"/>
        <w:rPr>
          <w:sz w:val="20"/>
          <w:szCs w:val="20"/>
          <w:color w:val="auto"/>
        </w:rPr>
      </w:pPr>
      <w:r>
        <w:rPr>
          <w:rFonts w:ascii="Times New Roman" w:cs="Times New Roman" w:eastAsia="Times New Roman" w:hAnsi="Times New Roman"/>
          <w:sz w:val="18"/>
          <w:szCs w:val="18"/>
          <w:color w:val="auto"/>
        </w:rPr>
        <w:t>With respect to the Notes, the provisions of this Article VI shall preempt the provisions of Article X of the Original Indenture in their entirety. 11</w:t>
      </w:r>
    </w:p>
    <w:p>
      <w:pPr>
        <w:sectPr>
          <w:pgSz w:w="11900" w:h="16838" w:orient="portrait"/>
          <w:cols w:equalWidth="0" w:num="1">
            <w:col w:w="11420"/>
          </w:cols>
          <w:pgMar w:left="240" w:top="270" w:right="239" w:bottom="1440" w:gutter="0" w:footer="0" w:header="0"/>
        </w:sectPr>
      </w:pPr>
    </w:p>
    <w:bookmarkStart w:id="19" w:name="page20"/>
    <w:bookmarkEnd w:id="19"/>
    <w:p>
      <w:pPr>
        <w:ind w:firstLine="456"/>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6.01. </w:t>
      </w:r>
      <w:r>
        <w:rPr>
          <w:rFonts w:ascii="Times New Roman" w:cs="Times New Roman" w:eastAsia="Times New Roman" w:hAnsi="Times New Roman"/>
          <w:sz w:val="18"/>
          <w:szCs w:val="18"/>
          <w:u w:val="single" w:color="auto"/>
          <w:color w:val="auto"/>
        </w:rPr>
        <w:t>Consolidation and Mergers of the Issuers</w:t>
      </w:r>
      <w:r>
        <w:rPr>
          <w:rFonts w:ascii="Times New Roman" w:cs="Times New Roman" w:eastAsia="Times New Roman" w:hAnsi="Times New Roman"/>
          <w:sz w:val="18"/>
          <w:szCs w:val="18"/>
          <w:color w:val="auto"/>
        </w:rPr>
        <w:t>. Neither Issuer shall consolidate or amalgamate with or merge with or into any Person, or sell, convey, transfer, lease or otherwise dispose of all or substantially all its assets to any Person, whether in a single transaction or a series of related transactions, except (1) in accordance with the provisions of the Partnership Agreement, and (2) unless: (a) either (i) such Issuer shall be the surviving Person in the case of a merger or (ii) the resulting, surviving or transferee Person if other than such Issuer (the “Successor Company”) shall be a partnership, limited liability company or corporation organized and existing under the laws of the United States, any state thereof or the District of Columbia (provided that PAA Finance may not merge, amalgamate or consolidate with or into another Person other than a corporation satisfying such requirement for so long as the Partnership is not a corporation) and the Successor Company shall expressly assume, by an indenture supplemental hereto, executed and delivered to the Trustee, in form reasonably satisfactory to the Trustee, the due and punctual payment of the principal of, premium, if any, and interest on all of the Notes, and the due and punctual performance or observance of all the other obligations under the Indenture to be performed or observed by such Issuer; (b) immediately after giving effect to such transaction or series of transactions, no Default or Event of Default would occur or be continuing; (c) if such Issuer is not the continuing Person, then each Subsidiary Guarantor, unless it has become the Successor Company, shall confirm that its Guarantee shall continue to apply to the obligations under the Notes and the Indenture; and (d) such Issuer shall have delivered to the Trustee an Officers’ Certificate and an Opinion of Counsel, each stating that such consolidation, amalgamation, merger, sale, conveyance, transfer, lease or other disposition and such supplemental Indenture (if any) comply with this Section 6.01 and any other applicable provisions of the Indenture.</w:t>
      </w:r>
    </w:p>
    <w:p>
      <w:pPr>
        <w:spacing w:after="0" w:line="199"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Rights and Duties of Successor</w:t>
      </w:r>
      <w:r>
        <w:rPr>
          <w:rFonts w:ascii="Times New Roman" w:cs="Times New Roman" w:eastAsia="Times New Roman" w:hAnsi="Times New Roman"/>
          <w:sz w:val="18"/>
          <w:szCs w:val="18"/>
          <w:color w:val="auto"/>
        </w:rPr>
        <w:t>. In case of any consolidation, amalgamation or merger where an Issuer is not the continuing Person, or disposition of all or substantially all of the assets of an Issuer in accordance with Section 6.01, the Successor Company shall succeed to and be substituted for such Issuer with the same effect as if it had been named herein as the respective party to the Indenture, and the predecessor entity shall be released from all liabilities and obligations under the Indenture and the Notes, except that no such release will occur in the case of a lease of all or substantially all of an Issuer’s assets. In case of any such consolidation, amalgamation, merger, sale, conveyance, transfer, lease or other disposition, such changes in phraseology and form (but not in substance) may be made in the Notes thereafter to be issued as may be appropriate.</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VII</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DEFAULTS AND REMEDIES</w:t>
      </w:r>
    </w:p>
    <w:p>
      <w:pPr>
        <w:spacing w:after="0" w:line="207" w:lineRule="exact"/>
        <w:rPr>
          <w:sz w:val="20"/>
          <w:szCs w:val="20"/>
          <w:color w:val="auto"/>
        </w:rPr>
      </w:pPr>
    </w:p>
    <w:p>
      <w:pPr>
        <w:ind w:right="640" w:firstLine="456"/>
        <w:spacing w:after="0" w:line="282" w:lineRule="auto"/>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With respect to the Notes, the provisions of this Section 7.01 shall preempt the provisions of the first and final paragraphs of Section 6.01 of the Original Indenture in their entirety.</w:t>
      </w:r>
    </w:p>
    <w:p>
      <w:pPr>
        <w:spacing w:after="0" w:line="162" w:lineRule="exact"/>
        <w:rPr>
          <w:sz w:val="20"/>
          <w:szCs w:val="20"/>
          <w:color w:val="auto"/>
        </w:rPr>
      </w:pPr>
    </w:p>
    <w:p>
      <w:pPr>
        <w:ind w:left="1180" w:hanging="277"/>
        <w:spacing w:after="0"/>
        <w:tabs>
          <w:tab w:leader="none" w:pos="11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occurs if:</w:t>
      </w:r>
    </w:p>
    <w:p>
      <w:pPr>
        <w:spacing w:after="0" w:line="225" w:lineRule="exact"/>
        <w:rPr>
          <w:rFonts w:ascii="Times New Roman" w:cs="Times New Roman" w:eastAsia="Times New Roman" w:hAnsi="Times New Roman"/>
          <w:sz w:val="18"/>
          <w:szCs w:val="18"/>
          <w:color w:val="auto"/>
        </w:rPr>
      </w:pPr>
    </w:p>
    <w:p>
      <w:pPr>
        <w:ind w:left="5620" w:right="4240" w:hanging="4498"/>
        <w:spacing w:after="0" w:line="454" w:lineRule="auto"/>
        <w:tabs>
          <w:tab w:leader="none" w:pos="137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default for 60 days in the payment when due of interest on the Notes; 12</w:t>
      </w:r>
    </w:p>
    <w:p>
      <w:pPr>
        <w:sectPr>
          <w:pgSz w:w="11900" w:h="16838" w:orient="portrait"/>
          <w:cols w:equalWidth="0" w:num="1">
            <w:col w:w="11420"/>
          </w:cols>
          <w:pgMar w:left="240" w:top="270" w:right="239" w:bottom="1440" w:gutter="0" w:footer="0" w:header="0"/>
        </w:sectPr>
      </w:pPr>
    </w:p>
    <w:bookmarkStart w:id="20" w:name="page21"/>
    <w:bookmarkEnd w:id="20"/>
    <w:p>
      <w:pPr>
        <w:ind w:left="460" w:hanging="319"/>
        <w:spacing w:after="0"/>
        <w:tabs>
          <w:tab w:leader="none" w:pos="4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Issuers default in the payment when due of principal of or premium, if any, on the Notes at maturity, upon redemption or otherwise;</w:t>
      </w:r>
    </w:p>
    <w:p>
      <w:pPr>
        <w:spacing w:after="0" w:line="236" w:lineRule="exact"/>
        <w:rPr>
          <w:rFonts w:ascii="Times New Roman" w:cs="Times New Roman" w:eastAsia="Times New Roman" w:hAnsi="Times New Roman"/>
          <w:sz w:val="17"/>
          <w:szCs w:val="17"/>
          <w:color w:val="auto"/>
        </w:rPr>
      </w:pPr>
    </w:p>
    <w:p>
      <w:pPr>
        <w:ind w:left="-280" w:right="20" w:firstLine="421"/>
        <w:spacing w:after="0" w:line="261" w:lineRule="auto"/>
        <w:tabs>
          <w:tab w:leader="none" w:pos="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an Issuer or any Subsidiary Guarantor for 90 days after receipt of notice by the Issuers from the Trustee or to the Issuers and the Trustee by the Holders of at least 25% in principal amount of the Notes then Outstanding to comply with any other term, covenant or warranty in the Indenture or the Notes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notice need not be given, and an Event of Default shall occur, 90 days after any breach of the provisions of Section 6.01 hereof);</w:t>
      </w:r>
    </w:p>
    <w:p>
      <w:pPr>
        <w:spacing w:after="0" w:line="180" w:lineRule="exact"/>
        <w:rPr>
          <w:rFonts w:ascii="Times New Roman" w:cs="Times New Roman" w:eastAsia="Times New Roman" w:hAnsi="Times New Roman"/>
          <w:sz w:val="18"/>
          <w:szCs w:val="18"/>
          <w:color w:val="auto"/>
        </w:rPr>
      </w:pPr>
    </w:p>
    <w:p>
      <w:pPr>
        <w:ind w:left="-280" w:firstLine="421"/>
        <w:spacing w:after="0" w:line="254" w:lineRule="auto"/>
        <w:tabs>
          <w:tab w:leader="none" w:pos="49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default under any mortgage, indenture or instrument under which there may be issued or by which there may be secured or evidenced any Debt of an Issuer or any of the Partnership’s Subsidiaries (or the payment of which is guaranteed by the Partnership or any of its Subsidiaries), whether such Debt or guarantee now exists or is created after the Issue Date, if that default (A) is caused by a failure to pay principal of or premium, if any, or interest on such Debt prior to the expiration of the grace period provided in such Debt (a “Payment Default”) or (B) results in the acceleration of the maturity of such Debt to a date prior to its originally stated maturity, and, in each case described in clause (A) or (B), the principal amount of any such Debt, together with the principal amount of any other such Debt under which there has been a Payment Default or the maturity of which has been so accelerated, aggregates $25.0 million or more;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if any such default is cured or waived or any such acceleration rescinded, or such Debt is repaid, within a period of 30 days from the continuation of such default beyond the applicable grace period or the occurrence of such acceleration, as the case may be, such Event of Default and any consequential acceleration of the Notes shall be automatically rescinded, so long as such rescission does not conflict with any judgment or decree;</w:t>
      </w:r>
    </w:p>
    <w:p>
      <w:pPr>
        <w:spacing w:after="0" w:line="186" w:lineRule="exact"/>
        <w:rPr>
          <w:rFonts w:ascii="Times New Roman" w:cs="Times New Roman" w:eastAsia="Times New Roman" w:hAnsi="Times New Roman"/>
          <w:sz w:val="18"/>
          <w:szCs w:val="18"/>
          <w:color w:val="auto"/>
        </w:rPr>
      </w:pPr>
    </w:p>
    <w:p>
      <w:pPr>
        <w:ind w:left="-280" w:right="280" w:firstLine="421"/>
        <w:spacing w:after="0" w:line="266" w:lineRule="auto"/>
        <w:tabs>
          <w:tab w:leader="none" w:pos="4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permitted by the Indenture, any Guarantee shall cease for any reason to be in full force and effect (except as otherwise provided in the Indenture) or is declared null and void in a judicial proceeding or any Subsidiary Guarantor, or any Person acting on behalf of any Subsidiary Guarantor, shall deny or disaffirm its obligations under the Indenture or its Guarantee;</w:t>
      </w:r>
    </w:p>
    <w:p>
      <w:pPr>
        <w:spacing w:after="0" w:line="176" w:lineRule="exact"/>
        <w:rPr>
          <w:rFonts w:ascii="Times New Roman" w:cs="Times New Roman" w:eastAsia="Times New Roman" w:hAnsi="Times New Roman"/>
          <w:sz w:val="18"/>
          <w:szCs w:val="18"/>
          <w:color w:val="auto"/>
        </w:rPr>
      </w:pPr>
    </w:p>
    <w:p>
      <w:pPr>
        <w:ind w:left="500" w:hanging="359"/>
        <w:spacing w:after="0"/>
        <w:tabs>
          <w:tab w:leader="none" w:pos="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Issuer or any Subsidiary Guarantor pursuant to or within the meaning of any Bankruptcy Law:</w:t>
      </w:r>
    </w:p>
    <w:p>
      <w:pPr>
        <w:spacing w:after="0" w:line="225" w:lineRule="exact"/>
        <w:rPr>
          <w:rFonts w:ascii="Times New Roman" w:cs="Times New Roman" w:eastAsia="Times New Roman" w:hAnsi="Times New Roman"/>
          <w:sz w:val="18"/>
          <w:szCs w:val="18"/>
          <w:color w:val="auto"/>
        </w:rPr>
      </w:pPr>
    </w:p>
    <w:p>
      <w:pPr>
        <w:ind w:left="1020" w:hanging="331"/>
        <w:spacing w:after="0"/>
        <w:tabs>
          <w:tab w:leader="none" w:pos="10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commences a voluntary case,</w:t>
      </w:r>
    </w:p>
    <w:p>
      <w:pPr>
        <w:spacing w:after="0" w:line="225" w:lineRule="exact"/>
        <w:rPr>
          <w:rFonts w:ascii="Times New Roman" w:cs="Times New Roman" w:eastAsia="Times New Roman" w:hAnsi="Times New Roman"/>
          <w:sz w:val="18"/>
          <w:szCs w:val="18"/>
          <w:color w:val="auto"/>
        </w:rPr>
      </w:pPr>
    </w:p>
    <w:p>
      <w:pPr>
        <w:ind w:left="1020" w:hanging="331"/>
        <w:spacing w:after="0"/>
        <w:tabs>
          <w:tab w:leader="none" w:pos="10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entry of an order for relief against it in an involuntary case,</w:t>
      </w:r>
    </w:p>
    <w:p>
      <w:pPr>
        <w:spacing w:after="0" w:line="225" w:lineRule="exact"/>
        <w:rPr>
          <w:rFonts w:ascii="Times New Roman" w:cs="Times New Roman" w:eastAsia="Times New Roman" w:hAnsi="Times New Roman"/>
          <w:sz w:val="18"/>
          <w:szCs w:val="18"/>
          <w:color w:val="auto"/>
        </w:rPr>
      </w:pPr>
    </w:p>
    <w:p>
      <w:pPr>
        <w:ind w:left="1020" w:hanging="331"/>
        <w:spacing w:after="0"/>
        <w:tabs>
          <w:tab w:leader="none" w:pos="10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appointment of a custodian of it or for all or substantially all of its property,</w:t>
      </w:r>
    </w:p>
    <w:p>
      <w:pPr>
        <w:spacing w:after="0" w:line="15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200"/>
          </w:cols>
          <w:pgMar w:left="1440" w:top="270" w:right="259" w:bottom="1440" w:gutter="0" w:footer="0" w:header="0"/>
        </w:sectPr>
      </w:pPr>
    </w:p>
    <w:bookmarkStart w:id="21" w:name="page22"/>
    <w:bookmarkEnd w:id="21"/>
    <w:p>
      <w:pPr>
        <w:ind w:left="2180" w:hanging="291"/>
        <w:spacing w:after="0"/>
        <w:tabs>
          <w:tab w:leader="none" w:pos="21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makes a general assignment for the benefit of its creditors, or</w:t>
      </w:r>
    </w:p>
    <w:p>
      <w:pPr>
        <w:spacing w:after="0" w:line="225" w:lineRule="exact"/>
        <w:rPr>
          <w:rFonts w:ascii="Times New Roman" w:cs="Times New Roman" w:eastAsia="Times New Roman" w:hAnsi="Times New Roman"/>
          <w:sz w:val="18"/>
          <w:szCs w:val="18"/>
          <w:color w:val="auto"/>
        </w:rPr>
      </w:pPr>
    </w:p>
    <w:p>
      <w:pPr>
        <w:ind w:left="2160" w:hanging="271"/>
        <w:spacing w:after="0"/>
        <w:tabs>
          <w:tab w:leader="none" w:pos="21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is not paying its debts as they become due; or</w:t>
      </w:r>
    </w:p>
    <w:p>
      <w:pPr>
        <w:spacing w:after="0" w:line="225" w:lineRule="exact"/>
        <w:rPr>
          <w:rFonts w:ascii="Times New Roman" w:cs="Times New Roman" w:eastAsia="Times New Roman" w:hAnsi="Times New Roman"/>
          <w:sz w:val="18"/>
          <w:szCs w:val="18"/>
          <w:color w:val="auto"/>
        </w:rPr>
      </w:pPr>
    </w:p>
    <w:p>
      <w:pPr>
        <w:ind w:left="1700" w:hanging="359"/>
        <w:spacing w:after="0"/>
        <w:tabs>
          <w:tab w:leader="none" w:pos="1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enters an order or decree under any Bankruptcy Law that:</w:t>
      </w:r>
    </w:p>
    <w:p>
      <w:pPr>
        <w:spacing w:after="0" w:line="225" w:lineRule="exact"/>
        <w:rPr>
          <w:rFonts w:ascii="Times New Roman" w:cs="Times New Roman" w:eastAsia="Times New Roman" w:hAnsi="Times New Roman"/>
          <w:sz w:val="18"/>
          <w:szCs w:val="18"/>
          <w:color w:val="auto"/>
        </w:rPr>
      </w:pPr>
    </w:p>
    <w:p>
      <w:pPr>
        <w:ind w:left="2180" w:hanging="291"/>
        <w:spacing w:after="0"/>
        <w:tabs>
          <w:tab w:leader="none" w:pos="21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for relief against an Issuer or any Subsidiary Guarantor in an involuntary case;</w:t>
      </w:r>
    </w:p>
    <w:p>
      <w:pPr>
        <w:spacing w:after="0" w:line="225" w:lineRule="exact"/>
        <w:rPr>
          <w:rFonts w:ascii="Times New Roman" w:cs="Times New Roman" w:eastAsia="Times New Roman" w:hAnsi="Times New Roman"/>
          <w:sz w:val="18"/>
          <w:szCs w:val="18"/>
          <w:color w:val="auto"/>
        </w:rPr>
      </w:pPr>
    </w:p>
    <w:p>
      <w:pPr>
        <w:ind w:left="1500" w:right="200" w:firstLine="389"/>
        <w:spacing w:after="0" w:line="282" w:lineRule="auto"/>
        <w:tabs>
          <w:tab w:leader="none" w:pos="218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a custodian of an Issuer or any Subsidiary Guarantor or for all or substantially all of the property of an Issuer or any Subsidiary Guarantor; or</w:t>
      </w:r>
    </w:p>
    <w:p>
      <w:pPr>
        <w:spacing w:after="0" w:line="161" w:lineRule="exact"/>
        <w:rPr>
          <w:rFonts w:ascii="Times New Roman" w:cs="Times New Roman" w:eastAsia="Times New Roman" w:hAnsi="Times New Roman"/>
          <w:sz w:val="18"/>
          <w:szCs w:val="18"/>
          <w:color w:val="auto"/>
        </w:rPr>
      </w:pPr>
    </w:p>
    <w:p>
      <w:pPr>
        <w:ind w:left="2180" w:hanging="291"/>
        <w:spacing w:after="0"/>
        <w:tabs>
          <w:tab w:leader="none" w:pos="21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the liquidation of an Issuer or any Subsidiary Guarantor;</w:t>
      </w:r>
    </w:p>
    <w:p>
      <w:pPr>
        <w:spacing w:after="0" w:line="22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and the order or decree remains unstayed and in effect for 60 consecutive days.</w:t>
      </w:r>
    </w:p>
    <w:p>
      <w:pPr>
        <w:spacing w:after="0" w:line="225" w:lineRule="exact"/>
        <w:rPr>
          <w:sz w:val="20"/>
          <w:szCs w:val="20"/>
          <w:color w:val="auto"/>
        </w:rPr>
      </w:pPr>
    </w:p>
    <w:p>
      <w:pPr>
        <w:ind w:right="40" w:firstLine="464"/>
        <w:spacing w:after="0" w:line="256" w:lineRule="auto"/>
        <w:tabs>
          <w:tab w:leader="none" w:pos="71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Event of Default arising from Section 7.01(a)(vi) or 7.01(a)(vii) hereof involving an Issuer (and, for the avoidance of doubt, excluding any such Event of Default that involves only one or more Subsidiary Guarantors), the principal amount of all Outstanding Notes and interest thereon shall become due and payable immediately without further action or notice. If any other Event of Default occurs and is continuing, the Trustee or the Holders of at least 25% in principal amount of the then Outstanding Notes may declare the principal amount of all the Notes and interest thereon to be due and payable immediately by a notice in writing to the Issuers (and to the Trustee if given by the Holders) and upon any such declaration such principal amount and interest thereon shall be due and payable immediately.</w:t>
      </w:r>
    </w:p>
    <w:p>
      <w:pPr>
        <w:spacing w:after="0" w:line="2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ARTICLE VIII</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LEGAL DEFEASANCE AND COVENANT DEFEASANCE</w:t>
      </w:r>
    </w:p>
    <w:p>
      <w:pPr>
        <w:spacing w:after="0" w:line="207" w:lineRule="exact"/>
        <w:rPr>
          <w:sz w:val="20"/>
          <w:szCs w:val="20"/>
          <w:color w:val="auto"/>
        </w:rPr>
      </w:pPr>
    </w:p>
    <w:p>
      <w:pPr>
        <w:jc w:val="both"/>
        <w:ind w:right="300" w:firstLine="456"/>
        <w:spacing w:after="0" w:line="266" w:lineRule="auto"/>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Option to Effect Legal Defeasance or Covenant Defeasance</w:t>
      </w:r>
      <w:r>
        <w:rPr>
          <w:rFonts w:ascii="Times New Roman" w:cs="Times New Roman" w:eastAsia="Times New Roman" w:hAnsi="Times New Roman"/>
          <w:sz w:val="18"/>
          <w:szCs w:val="18"/>
          <w:color w:val="auto"/>
        </w:rPr>
        <w:t>. The Issuers may, at the option of the Boards of Directors evidenced by a Board Resolution set forth in an Officers’ Certificate, at any time, elect to have either Section 8.02 or 8.03 hereof be applied to all outstanding Notes and Guarantees upon compliance with the conditions set forth below in this Article VIII.</w:t>
      </w:r>
    </w:p>
    <w:p>
      <w:pPr>
        <w:spacing w:after="0" w:line="176"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u w:val="single" w:color="auto"/>
          <w:color w:val="auto"/>
        </w:rPr>
        <w:t>Legal Defeasance and Discharge</w:t>
      </w:r>
      <w:r>
        <w:rPr>
          <w:rFonts w:ascii="Times New Roman" w:cs="Times New Roman" w:eastAsia="Times New Roman" w:hAnsi="Times New Roman"/>
          <w:sz w:val="18"/>
          <w:szCs w:val="18"/>
          <w:color w:val="auto"/>
        </w:rPr>
        <w:t>. Upon the Issuers’ exercise under Section 8.01 hereof of the option applicable to this Section 8.02, each of the Issuers and the Subsidiary Guarantors shall, subject to the satisfaction of the conditions set forth in Section 8.04 hereof, be deemed to have been discharged from its obligations with respect to all outstanding Notes and Guarantees on the date the conditions set forth below are satisfied (hereinafter, “Legal Defeasance”). For this purpose, Legal Defeasance means that each of the Issuers shall be deemed to have paid and discharged the entire Debt represented by the outstanding Notes, which shall thereafter be deemed to be “Outstanding” only for the purposes of Section 8.05 hereof and</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360"/>
          </w:cols>
          <w:pgMar w:left="240" w:top="270" w:right="299" w:bottom="1440" w:gutter="0" w:footer="0" w:header="0"/>
        </w:sectPr>
      </w:pPr>
    </w:p>
    <w:bookmarkStart w:id="22" w:name="page23"/>
    <w:bookmarkEnd w:id="22"/>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other Sections of the Indenture referred to in (a) and (b) below, and to have satisfied all its other obligations under such Notes and the Indenture, and each of the Subsidiary Guarantors shall be deemed to have discharged its obligations under its Guarantee (and the Trustee, on demand of and at the expense of the Issuers, shall execute proper instruments acknowledging the same), except for the following provisions which shall survive until otherwise terminated or discharged hereunder:</w:t>
      </w:r>
    </w:p>
    <w:p>
      <w:pPr>
        <w:spacing w:after="0" w:line="180" w:lineRule="exact"/>
        <w:rPr>
          <w:sz w:val="20"/>
          <w:szCs w:val="20"/>
          <w:color w:val="auto"/>
        </w:rPr>
      </w:pPr>
    </w:p>
    <w:p>
      <w:pPr>
        <w:ind w:firstLine="464"/>
        <w:spacing w:after="0" w:line="282" w:lineRule="auto"/>
        <w:tabs>
          <w:tab w:leader="none" w:pos="74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Holders of Outstanding Notes to receive solely from the trust fund described in Section 8.04 hereof, and as more fully set forth in such Section, payments in respect of the principal of, premium on, if any, and interest on such Notes when such payments are due,</w:t>
      </w:r>
    </w:p>
    <w:p>
      <w:pPr>
        <w:spacing w:after="0" w:line="161" w:lineRule="exact"/>
        <w:rPr>
          <w:rFonts w:ascii="Times New Roman" w:cs="Times New Roman" w:eastAsia="Times New Roman" w:hAnsi="Times New Roman"/>
          <w:sz w:val="18"/>
          <w:szCs w:val="18"/>
          <w:color w:val="auto"/>
        </w:rPr>
      </w:pPr>
    </w:p>
    <w:p>
      <w:pPr>
        <w:ind w:left="760" w:hanging="296"/>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obligations with respect to such Notes under Sections 2.07, 2.08, 2.09 and 4.02 of the Original Indenture,</w:t>
      </w:r>
    </w:p>
    <w:p>
      <w:pPr>
        <w:spacing w:after="0" w:line="225" w:lineRule="exact"/>
        <w:rPr>
          <w:rFonts w:ascii="Times New Roman" w:cs="Times New Roman" w:eastAsia="Times New Roman" w:hAnsi="Times New Roman"/>
          <w:sz w:val="18"/>
          <w:szCs w:val="18"/>
          <w:color w:val="auto"/>
        </w:rPr>
      </w:pPr>
    </w:p>
    <w:p>
      <w:pPr>
        <w:ind w:left="760" w:hanging="296"/>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powers, trusts, duties and immunities of the Trustee hereunder and the Issuers’ obligations in connection therewith,</w:t>
      </w:r>
    </w:p>
    <w:p>
      <w:pPr>
        <w:spacing w:after="0" w:line="225" w:lineRule="exact"/>
        <w:rPr>
          <w:rFonts w:ascii="Times New Roman" w:cs="Times New Roman" w:eastAsia="Times New Roman" w:hAnsi="Times New Roman"/>
          <w:sz w:val="18"/>
          <w:szCs w:val="18"/>
          <w:color w:val="auto"/>
        </w:rPr>
      </w:pPr>
    </w:p>
    <w:p>
      <w:pPr>
        <w:ind w:left="760" w:hanging="296"/>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Article VIII, and</w:t>
      </w:r>
    </w:p>
    <w:p>
      <w:pPr>
        <w:spacing w:after="0" w:line="225" w:lineRule="exact"/>
        <w:rPr>
          <w:rFonts w:ascii="Times New Roman" w:cs="Times New Roman" w:eastAsia="Times New Roman" w:hAnsi="Times New Roman"/>
          <w:sz w:val="18"/>
          <w:szCs w:val="18"/>
          <w:color w:val="auto"/>
        </w:rPr>
      </w:pPr>
    </w:p>
    <w:p>
      <w:pPr>
        <w:ind w:left="760" w:hanging="296"/>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rights of optional redemption under Section 4.01 hereof.</w:t>
      </w:r>
    </w:p>
    <w:p>
      <w:pPr>
        <w:spacing w:after="0" w:line="22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Subject to compliance with this Article VIII, the Issuers may exercise their option under this Section 8.02 notwithstanding the prior exercise of their option under Section 8.03 hereof.</w:t>
      </w:r>
    </w:p>
    <w:p>
      <w:pPr>
        <w:spacing w:after="0" w:line="162"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u w:val="single" w:color="auto"/>
          <w:color w:val="auto"/>
        </w:rPr>
        <w:t>Covenant Defeasance</w:t>
      </w:r>
      <w:r>
        <w:rPr>
          <w:rFonts w:ascii="Times New Roman" w:cs="Times New Roman" w:eastAsia="Times New Roman" w:hAnsi="Times New Roman"/>
          <w:sz w:val="18"/>
          <w:szCs w:val="18"/>
          <w:color w:val="auto"/>
        </w:rPr>
        <w:t>. Upon the Issuers’ exercise under Section 8.01 hereof of the option applicable to this Section 8.03, each of the Issuers shall, subject to the satisfaction of the conditions set forth in Section 8.04 hereof, be released from its obligations under the covenants contained in Sections 5.02, 5.03, 5.04 and 5.05 hereof with respect to the Outstanding Notes on and after the date the conditions set forth in Section 8.04 are satisfied (hereinafter, “Covenant Defeasance”), and the Notes shall thereafter be deemed not “Outstanding” for the purposes of any direction, waiver, consent or declaration or act of Holders (and the consequences of any thereof) in connection with such covenants, but shall continue to be deemed “Outstanding” for all other purposes hereunder (it being understood that such Notes shall not be deemed outstanding for accounting purposes). For this purpose, Covenant Defeasance means that, with respect to the Outstanding Notes, the Issuers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Section 7.01 hereof, but, except as specified above, the remainder of the Indenture, the Guarantees and such Notes shall be unaffected thereby.</w:t>
      </w:r>
    </w:p>
    <w:p>
      <w:pPr>
        <w:spacing w:after="0" w:line="1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360"/>
          </w:cols>
          <w:pgMar w:left="240" w:top="270" w:right="299" w:bottom="1440" w:gutter="0" w:footer="0" w:header="0"/>
        </w:sectPr>
      </w:pPr>
    </w:p>
    <w:bookmarkStart w:id="23" w:name="page24"/>
    <w:bookmarkEnd w:id="23"/>
    <w:p>
      <w:pPr>
        <w:ind w:right="400" w:firstLine="456"/>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8.04. </w:t>
      </w:r>
      <w:r>
        <w:rPr>
          <w:rFonts w:ascii="Times New Roman" w:cs="Times New Roman" w:eastAsia="Times New Roman" w:hAnsi="Times New Roman"/>
          <w:sz w:val="18"/>
          <w:szCs w:val="18"/>
          <w:u w:val="single" w:color="auto"/>
          <w:color w:val="auto"/>
        </w:rPr>
        <w:t>Conditions to Legal or Covenant Defeasance</w:t>
      </w:r>
      <w:r>
        <w:rPr>
          <w:rFonts w:ascii="Times New Roman" w:cs="Times New Roman" w:eastAsia="Times New Roman" w:hAnsi="Times New Roman"/>
          <w:sz w:val="18"/>
          <w:szCs w:val="18"/>
          <w:color w:val="auto"/>
        </w:rPr>
        <w:t>. The following shall be the conditions to the application of either Section 8.02 or 8.03 hereof to the Outstanding Notes: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order to exercise either Legal Defeasance or Covenant Defeasance:</w:t>
      </w:r>
    </w:p>
    <w:p>
      <w:pPr>
        <w:spacing w:after="0" w:line="225" w:lineRule="exact"/>
        <w:rPr>
          <w:sz w:val="20"/>
          <w:szCs w:val="20"/>
          <w:color w:val="auto"/>
        </w:rPr>
      </w:pPr>
    </w:p>
    <w:p>
      <w:pPr>
        <w:ind w:right="60" w:firstLine="464"/>
        <w:spacing w:after="0" w:line="261" w:lineRule="auto"/>
        <w:tabs>
          <w:tab w:leader="none" w:pos="74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must irrevocably deposit with the Trustee, in trust, for the benefit of the Holders of the Notes, cash in Dollars, U.S. Government Obligations, or a combination thereof, in such amounts as shall be sufficient, in the written opinion of a nationally recognized firm of independent public accountants, to pay the principal of, premium on, if any, and interest on the Outstanding Notes at the Stated Maturity thereof or on the applicable redemption date, as the case may be, and the Issuers must specify whether the Notes are being defeased to maturity or to a particular redemption date;</w:t>
      </w:r>
    </w:p>
    <w:p>
      <w:pPr>
        <w:spacing w:after="0" w:line="180" w:lineRule="exact"/>
        <w:rPr>
          <w:rFonts w:ascii="Times New Roman" w:cs="Times New Roman" w:eastAsia="Times New Roman" w:hAnsi="Times New Roman"/>
          <w:sz w:val="18"/>
          <w:szCs w:val="18"/>
          <w:color w:val="auto"/>
        </w:rPr>
      </w:pPr>
    </w:p>
    <w:p>
      <w:pPr>
        <w:ind w:right="20" w:firstLine="464"/>
        <w:spacing w:after="0" w:line="258" w:lineRule="auto"/>
        <w:tabs>
          <w:tab w:leader="none" w:pos="75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election under Section 8.02 hereof, the Issuers shall have delivered to the Trustee an Opinion of Counsel confirming that (i) the Issuers have received from, or there has been published by, the Internal Revenue Service a ruling or (ii) since the date of the Indenture, there has been a change in the applicable federal income tax law, in either case to the effect that, and based thereon such Opinion of Counsel shall confirm that, the Holders of the Outstanding Notes shall not recognize income, gain or loss for federal income tax purposes as a result of such Legal Defeasance and shall be subject to federal income tax on the same amounts, in the same manner and at the same times as would have been the case if such Legal Defeasance had not occurred;</w:t>
      </w:r>
    </w:p>
    <w:p>
      <w:pPr>
        <w:spacing w:after="0" w:line="183" w:lineRule="exact"/>
        <w:rPr>
          <w:rFonts w:ascii="Times New Roman" w:cs="Times New Roman" w:eastAsia="Times New Roman" w:hAnsi="Times New Roman"/>
          <w:sz w:val="18"/>
          <w:szCs w:val="18"/>
          <w:color w:val="auto"/>
        </w:rPr>
      </w:pPr>
    </w:p>
    <w:p>
      <w:pPr>
        <w:ind w:right="80" w:firstLine="464"/>
        <w:spacing w:after="0" w:line="261" w:lineRule="auto"/>
        <w:tabs>
          <w:tab w:leader="none" w:pos="74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election under Section 8.03 hereof, the Issuers shall have delivered to the Trustee an Opinion of Counsel confirming that the Holders of the Outstanding Notes shall not recognize income, gain or loss for federal income tax purposes as a result of such Covenant Defeasance and shall be subject to federal income tax on the same amounts, in the same manner and at the same times as would have been the case if such Covenant Defeasance had not occurred;</w:t>
      </w:r>
    </w:p>
    <w:p>
      <w:pPr>
        <w:spacing w:after="0" w:line="180" w:lineRule="exact"/>
        <w:rPr>
          <w:rFonts w:ascii="Times New Roman" w:cs="Times New Roman" w:eastAsia="Times New Roman" w:hAnsi="Times New Roman"/>
          <w:sz w:val="18"/>
          <w:szCs w:val="18"/>
          <w:color w:val="auto"/>
        </w:rPr>
      </w:pPr>
    </w:p>
    <w:p>
      <w:pPr>
        <w:jc w:val="both"/>
        <w:ind w:firstLine="464"/>
        <w:spacing w:after="0" w:line="261" w:lineRule="auto"/>
        <w:tabs>
          <w:tab w:leader="none" w:pos="75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shall have occurred and be continuing either (i) on the date of such deposit (other than a Default or Event of Default resulting from the incurrence of Debt all or a portion of the proceeds of which shall be applied to such deposit) or (ii) insofar as Section 7.01(a)(vi) or 7.01(a)</w:t>
      </w:r>
    </w:p>
    <w:p>
      <w:pPr>
        <w:ind w:left="360" w:hanging="352"/>
        <w:spacing w:after="0"/>
        <w:tabs>
          <w:tab w:leader="none" w:pos="3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hereof is concerned, at any time in the period ending on the 91st day after the date of deposit;</w:t>
      </w:r>
    </w:p>
    <w:p>
      <w:pPr>
        <w:spacing w:after="0" w:line="206" w:lineRule="exact"/>
        <w:rPr>
          <w:rFonts w:ascii="Times New Roman" w:cs="Times New Roman" w:eastAsia="Times New Roman" w:hAnsi="Times New Roman"/>
          <w:sz w:val="18"/>
          <w:szCs w:val="18"/>
          <w:color w:val="auto"/>
        </w:rPr>
      </w:pPr>
    </w:p>
    <w:p>
      <w:pPr>
        <w:ind w:right="380" w:firstLine="464"/>
        <w:spacing w:after="0" w:line="266" w:lineRule="auto"/>
        <w:tabs>
          <w:tab w:leader="none" w:pos="74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Legal Defeasance or Covenant Defeasance shall not result in a breach or violation of, or constitute a default under, any agreement or instrument (other than the Notes and the Indenture) to which the Partnership or any of its Subsidiaries is a party or by which the Partnership or any of its Subsidiaries is bound;</w:t>
      </w:r>
    </w:p>
    <w:p>
      <w:pPr>
        <w:spacing w:after="0" w:line="176" w:lineRule="exact"/>
        <w:rPr>
          <w:rFonts w:ascii="Times New Roman" w:cs="Times New Roman" w:eastAsia="Times New Roman" w:hAnsi="Times New Roman"/>
          <w:sz w:val="18"/>
          <w:szCs w:val="18"/>
          <w:color w:val="auto"/>
        </w:rPr>
      </w:pPr>
    </w:p>
    <w:p>
      <w:pPr>
        <w:ind w:right="80" w:firstLine="464"/>
        <w:spacing w:after="0" w:line="282" w:lineRule="auto"/>
        <w:tabs>
          <w:tab w:leader="none" w:pos="72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shall have delivered to the Trustee an Opinion of Counsel to the effect that after the 91st day following the deposit, the trust funds shall not be subject to the effect of any applicable bankruptcy, insolvency, reorganization or similar laws affecting creditors’ rights generally;</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360"/>
          </w:cols>
          <w:pgMar w:left="240" w:top="270" w:right="299" w:bottom="1440" w:gutter="0" w:footer="0" w:header="0"/>
        </w:sectPr>
      </w:pPr>
    </w:p>
    <w:bookmarkStart w:id="24" w:name="page25"/>
    <w:bookmarkEnd w:id="24"/>
    <w:p>
      <w:pPr>
        <w:ind w:right="460" w:firstLine="464"/>
        <w:spacing w:after="0" w:line="266" w:lineRule="auto"/>
        <w:tabs>
          <w:tab w:leader="none" w:pos="75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Issuers shall have delivered to the Trustee an Officers’ Certificate stating that the deposit was not made by the Issuers with the intent of preferring the Holders over any other creditors of the Issuers or with the intent of defeating, hindering, delaying or defrauding any other creditors of the Issuers; and</w:t>
      </w:r>
    </w:p>
    <w:p>
      <w:pPr>
        <w:spacing w:after="0" w:line="176" w:lineRule="exact"/>
        <w:rPr>
          <w:rFonts w:ascii="Times New Roman" w:cs="Times New Roman" w:eastAsia="Times New Roman" w:hAnsi="Times New Roman"/>
          <w:sz w:val="18"/>
          <w:szCs w:val="18"/>
          <w:color w:val="auto"/>
        </w:rPr>
      </w:pPr>
    </w:p>
    <w:p>
      <w:pPr>
        <w:ind w:right="620" w:firstLine="464"/>
        <w:spacing w:after="0" w:line="282" w:lineRule="auto"/>
        <w:tabs>
          <w:tab w:leader="none" w:pos="75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shall have delivered to the Trustee an Officers’ Certificate and an Opinion of Counsel, each stating that all conditions precedent provided for or relating to the Legal Defeasance or the Covenant Defeasance have been complied with.</w:t>
      </w:r>
    </w:p>
    <w:p>
      <w:pPr>
        <w:spacing w:after="0" w:line="16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 xml:space="preserve">Section 8.05. </w:t>
      </w:r>
      <w:r>
        <w:rPr>
          <w:rFonts w:ascii="Times New Roman" w:cs="Times New Roman" w:eastAsia="Times New Roman" w:hAnsi="Times New Roman"/>
          <w:sz w:val="18"/>
          <w:szCs w:val="18"/>
          <w:u w:val="single" w:color="auto"/>
          <w:color w:val="auto"/>
        </w:rPr>
        <w:t>Deposited Money and U.S. Government Obligations to be Held in Trust; Other Miscellaneous Provisions</w:t>
      </w:r>
      <w:r>
        <w:rPr>
          <w:rFonts w:ascii="Times New Roman" w:cs="Times New Roman" w:eastAsia="Times New Roman" w:hAnsi="Times New Roman"/>
          <w:sz w:val="18"/>
          <w:szCs w:val="18"/>
          <w:color w:val="auto"/>
        </w:rPr>
        <w:t>. Subject to Section 8.06 hereof, all money and U.S. Government Obligations (including the proceeds thereof) deposited with the Trustee (or other qualifying trustee, collectively for purposes of this Section 8.05, the “Trustee”) pursuant to Section 8.04 hereof in respect of the outstanding Notes shall be held in trust and applied by the Trustee, in accordance with the provisions of such Notes and the Indenture, to the payment, either directly or through any paying agent (including an Issuer acting as paying agent) as the Trustee may determine, to the Holders of such Notes of all sums due and to become due thereon in respect of principal, premium, if any, and interest, but such money need not be segregated from other funds except to the extent required by law.</w:t>
      </w:r>
    </w:p>
    <w:p>
      <w:pPr>
        <w:spacing w:after="0" w:line="188" w:lineRule="exact"/>
        <w:rPr>
          <w:sz w:val="20"/>
          <w:szCs w:val="20"/>
          <w:color w:val="auto"/>
        </w:rPr>
      </w:pPr>
    </w:p>
    <w:p>
      <w:pPr>
        <w:ind w:right="360" w:firstLine="456"/>
        <w:spacing w:after="0" w:line="266" w:lineRule="auto"/>
        <w:rPr>
          <w:sz w:val="20"/>
          <w:szCs w:val="20"/>
          <w:color w:val="auto"/>
        </w:rPr>
      </w:pPr>
      <w:r>
        <w:rPr>
          <w:rFonts w:ascii="Times New Roman" w:cs="Times New Roman" w:eastAsia="Times New Roman" w:hAnsi="Times New Roman"/>
          <w:sz w:val="18"/>
          <w:szCs w:val="18"/>
          <w:color w:val="auto"/>
        </w:rPr>
        <w:t>The Issuers shall pay and indemnify the Trustee against any tax, fee or other charge imposed on or assessed against the cash or U.S. Government Obligations deposited pursuant to Section 8.04 hereof or the principal and interest received in respect thereof other than any such tax, fee or other charge which by law is for the account of the Holders of the Outstanding Notes.</w:t>
      </w:r>
    </w:p>
    <w:p>
      <w:pPr>
        <w:spacing w:after="0" w:line="176" w:lineRule="exact"/>
        <w:rPr>
          <w:sz w:val="20"/>
          <w:szCs w:val="20"/>
          <w:color w:val="auto"/>
        </w:rPr>
      </w:pPr>
    </w:p>
    <w:p>
      <w:pPr>
        <w:jc w:val="both"/>
        <w:ind w:right="100" w:firstLine="456"/>
        <w:spacing w:after="0" w:line="257" w:lineRule="auto"/>
        <w:rPr>
          <w:sz w:val="20"/>
          <w:szCs w:val="20"/>
          <w:color w:val="auto"/>
        </w:rPr>
      </w:pPr>
      <w:r>
        <w:rPr>
          <w:rFonts w:ascii="Times New Roman" w:cs="Times New Roman" w:eastAsia="Times New Roman" w:hAnsi="Times New Roman"/>
          <w:sz w:val="18"/>
          <w:szCs w:val="18"/>
          <w:color w:val="auto"/>
        </w:rPr>
        <w:t>Anything in this Article VIII to the contrary notwithstanding, the Trustee shall deliver or pay to the Issuers from time to time upon the written request of the Issuers any money or U.S. Government Obligations held by it as provided in Section 8.04 hereof which, in the opinion of a nationally recognized firm of independent public accountants expressed in a written certification thereof delivered to the Trustee (which may be the opinion delivered under</w:t>
      </w:r>
    </w:p>
    <w:p>
      <w:pPr>
        <w:spacing w:after="0" w:line="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Section 8.04(a) hereof), are in excess of the amount thereof that would then be required to be deposited to effect an equivalent Legal Defeasance or Covenant Defeasance.</w:t>
      </w:r>
    </w:p>
    <w:p>
      <w:pPr>
        <w:spacing w:after="0" w:line="18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 xml:space="preserve">Section 8.06. </w:t>
      </w:r>
      <w:r>
        <w:rPr>
          <w:rFonts w:ascii="Times New Roman" w:cs="Times New Roman" w:eastAsia="Times New Roman" w:hAnsi="Times New Roman"/>
          <w:sz w:val="18"/>
          <w:szCs w:val="18"/>
          <w:u w:val="single" w:color="auto"/>
          <w:color w:val="auto"/>
        </w:rPr>
        <w:t>Repayment to Issuers</w:t>
      </w:r>
      <w:r>
        <w:rPr>
          <w:rFonts w:ascii="Times New Roman" w:cs="Times New Roman" w:eastAsia="Times New Roman" w:hAnsi="Times New Roman"/>
          <w:sz w:val="18"/>
          <w:szCs w:val="18"/>
          <w:color w:val="auto"/>
        </w:rPr>
        <w:t xml:space="preserve">. Any money deposited with the Trustee or any paying agent, or then held by the Issuers, in trust for the payment of the principal of, premium on, if any, or interest on any Note and remaining unclaimed for two years after such principal, premium, if any, or interest has become due and payable shall be paid to the Issuers on their written request or (if then held by the Issuers) shall be discharged from such trust; and the Holder of such Note shall thereafter, as an unsecured creditor, look only to the Issuers for payment thereof, and all liability of the Trustee or such paying agent with respect to such trust money, and all liability of the Issuers as trustee thereof, shall thereupon cease;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Trustee or such paying agent, before being required to make any such repayment, may at the expense of the Issuers cause to be published once, in </w:t>
      </w:r>
      <w:r>
        <w:rPr>
          <w:rFonts w:ascii="Times New Roman" w:cs="Times New Roman" w:eastAsia="Times New Roman" w:hAnsi="Times New Roman"/>
          <w:sz w:val="18"/>
          <w:szCs w:val="18"/>
          <w:i w:val="1"/>
          <w:iCs w:val="1"/>
          <w:color w:val="auto"/>
        </w:rPr>
        <w:t>The New York Times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The Wall Street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Journal </w:t>
      </w:r>
      <w:r>
        <w:rPr>
          <w:rFonts w:ascii="Times New Roman" w:cs="Times New Roman" w:eastAsia="Times New Roman" w:hAnsi="Times New Roman"/>
          <w:sz w:val="18"/>
          <w:szCs w:val="18"/>
          <w:color w:val="auto"/>
        </w:rPr>
        <w:t>(U.S. edition), notice that such money remains unclaimed and that, after a date specified therein, which shall not be less than 30 days from the date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notification or publication, any unclaimed balance of such money then remaining shall be repaid to the Issuers.</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380"/>
          </w:cols>
          <w:pgMar w:left="240" w:top="270" w:right="279" w:bottom="1440" w:gutter="0" w:footer="0" w:header="0"/>
        </w:sectPr>
      </w:pPr>
    </w:p>
    <w:bookmarkStart w:id="25" w:name="page26"/>
    <w:bookmarkEnd w:id="25"/>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9.07. </w:t>
      </w:r>
      <w:r>
        <w:rPr>
          <w:rFonts w:ascii="Times New Roman" w:cs="Times New Roman" w:eastAsia="Times New Roman" w:hAnsi="Times New Roman"/>
          <w:sz w:val="18"/>
          <w:szCs w:val="18"/>
          <w:u w:val="single" w:color="auto"/>
          <w:color w:val="auto"/>
        </w:rPr>
        <w:t>Reinstatement</w:t>
      </w:r>
      <w:r>
        <w:rPr>
          <w:rFonts w:ascii="Times New Roman" w:cs="Times New Roman" w:eastAsia="Times New Roman" w:hAnsi="Times New Roman"/>
          <w:sz w:val="18"/>
          <w:szCs w:val="18"/>
          <w:color w:val="auto"/>
        </w:rPr>
        <w:t>. If the Trustee or paying agent is unable to apply any Dollars or U.S. Government Obligations in accordance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8.02 or 8.03 hereof, as the case may be, by reason of any order or judgment of any court or governmental authority enjoining, restraining or otherwise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prohibiting such application, then the Issuers’ obligations under the Indenture and the Notes and the Subsidiary Guarantors’ obligations under the Guarantees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be revived and reinstated as though no deposit had occurred pursuant to Section 8.02 or 8.03 hereof until such time as the Trustee or paying agent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permitted to apply all such money in accordance with Section 8.02 or 8.03 hereof, as the case may be;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Issuers make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of principal of, premium on, if any, or interest on any Note following the reinstatement of their obligations, the Issuers shall be subrogated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rights of the Holders of such Notes to receive such payment from the money held by the Trustee or paying agent.</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IX</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SUBSIDIARY GUARANTEES</w:t>
      </w:r>
    </w:p>
    <w:p>
      <w:pPr>
        <w:spacing w:after="0" w:line="207"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u w:val="single" w:color="auto"/>
          <w:color w:val="auto"/>
        </w:rPr>
        <w:t>Subsidiary Guarantees</w:t>
      </w:r>
      <w:r>
        <w:rPr>
          <w:rFonts w:ascii="Times New Roman" w:cs="Times New Roman" w:eastAsia="Times New Roman" w:hAnsi="Times New Roman"/>
          <w:sz w:val="18"/>
          <w:szCs w:val="18"/>
          <w:color w:val="auto"/>
        </w:rPr>
        <w:t>. (a) Each Subsidiary Guarantor hereby jointly and severally unconditionally and irrevocably guarantees on a senior basis to each Holder and to the Trustee and its successors and assigns (i) the full and punctual payment of principal, premium, if any, and interest with respect to, the Notes when due, whether at maturity, by acceleration, by redemption or otherwise, and all other monetary obligations of the Issuers under the Indenture (including obligations to the Trustee) and the Notes and (ii) the full and punctual performance within applicable grace periods of all other obligations of the Issuers under the Indenture and the Notes (all the foregoing being hereinafter collectively called the “Note Obligations”). Each Subsidiary Guarantor further agrees that the Note Obligations may be extended or renewed, in whole or in part, without notice or further assent from each such Subsidiary Guarantor, and that each such Subsidiary Guarantor shall remain bound under this Article IX notwithstanding any extension or renewal of any Note Obligation.</w:t>
      </w:r>
    </w:p>
    <w:p>
      <w:pPr>
        <w:spacing w:after="0" w:line="185" w:lineRule="exact"/>
        <w:rPr>
          <w:sz w:val="20"/>
          <w:szCs w:val="20"/>
          <w:color w:val="auto"/>
        </w:rPr>
      </w:pPr>
    </w:p>
    <w:p>
      <w:pPr>
        <w:ind w:right="20" w:firstLine="464"/>
        <w:spacing w:after="0" w:line="255" w:lineRule="auto"/>
        <w:tabs>
          <w:tab w:leader="none" w:pos="75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Subsidiary Guarantor waives presentation to, demand of, payment from and protest to the Issuers of any of the Note Obligations and also waives notice of protest for nonpayment. Each Subsidiary Guarantor waives notice of any Default or Event of Default under the Notes or the Note Obligations. The obligations of each Subsidiary Guarantor hereunder shall not be affected by (i) the failure of any Holder or the Trustee to assert any claim or demand or to enforce any right or remedy against the Issuers or any other Person under the Indenture, the Notes or any other agreement or otherwise; (ii) any extension or renewal of any thereof; (iii) any rescission, waiver, amendment or modification of any of the terms or provisions of the Indenture, the Notes or any other agreement; (iv) the release of any security held by any Holder or the Trustee for the Note Obligations or any of them; (v) the failure of any Holder or Trustee to exercise any right or remedy against any other guarantor of the Note Obligations; or (vi) any change in the ownership of such Subsidiary Guarantor, except as provided in Section 9.02 hereof.</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380"/>
          </w:cols>
          <w:pgMar w:left="240" w:top="270" w:right="279" w:bottom="1440" w:gutter="0" w:footer="0" w:header="0"/>
        </w:sectPr>
      </w:pPr>
    </w:p>
    <w:bookmarkStart w:id="26" w:name="page27"/>
    <w:bookmarkEnd w:id="26"/>
    <w:p>
      <w:pPr>
        <w:jc w:val="both"/>
        <w:ind w:left="-40" w:firstLine="464"/>
        <w:spacing w:after="0" w:line="266" w:lineRule="auto"/>
        <w:tabs>
          <w:tab w:leader="none" w:pos="70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Subsidiary Guarantor further agrees that its Guarantee herein constitutes a guarantee of payment, performance and compliance when due (and not a guarantee of collection) and waives any right to require that any resort be had by any Holder or the Trustee to any security held for payment of the Note Obligations.</w:t>
      </w:r>
    </w:p>
    <w:p>
      <w:pPr>
        <w:spacing w:after="0" w:line="176" w:lineRule="exact"/>
        <w:rPr>
          <w:rFonts w:ascii="Times New Roman" w:cs="Times New Roman" w:eastAsia="Times New Roman" w:hAnsi="Times New Roman"/>
          <w:sz w:val="18"/>
          <w:szCs w:val="18"/>
          <w:color w:val="auto"/>
        </w:rPr>
      </w:pPr>
    </w:p>
    <w:p>
      <w:pPr>
        <w:ind w:left="-40" w:right="80" w:firstLine="464"/>
        <w:spacing w:after="0" w:line="255" w:lineRule="auto"/>
        <w:tabs>
          <w:tab w:leader="none" w:pos="71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each Subsidiary Guarantor hereunder shall not be subject to any reduction, limitation, impairment or termination for any reason other than indefeasible payment in full of the Note Obligations, including any claim of waiver, release, surrender, alteration or compromise, and shall not be subject to any defense of setoff, counterclaim, recoupment or termination whatsoever or by reason of the invalidity, illegality or unenforceability of the Note Obligations or otherwise. Without limiting the generality of the foregoing, the obligations of each Subsidiary Guarantor herein shall not be discharged or impaired or otherwise affected by the failure of any Holder or the Trustee to assert any claim or demand or to enforce any remedy under the Indenture, the Notes or any other agreement, by any waiver or modification of any thereof, by any default, failure or delay, willful or otherwise, in the performance of the obligations, or by any other act or thing or omission or delay to do any other act or thing which may or might in any manner or to any extent vary the risk of any Subsidiary Guarantor or would otherwise operate as a discharge of any Subsidiary Guarantor as a matter of law or equity.</w:t>
      </w:r>
    </w:p>
    <w:p>
      <w:pPr>
        <w:spacing w:after="0" w:line="185" w:lineRule="exact"/>
        <w:rPr>
          <w:rFonts w:ascii="Times New Roman" w:cs="Times New Roman" w:eastAsia="Times New Roman" w:hAnsi="Times New Roman"/>
          <w:sz w:val="18"/>
          <w:szCs w:val="18"/>
          <w:color w:val="auto"/>
        </w:rPr>
      </w:pPr>
    </w:p>
    <w:p>
      <w:pPr>
        <w:jc w:val="both"/>
        <w:ind w:left="-40" w:right="80" w:firstLine="464"/>
        <w:spacing w:after="0" w:line="266" w:lineRule="auto"/>
        <w:tabs>
          <w:tab w:leader="none" w:pos="70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Subsidiary Guarantor further agrees that its Guarantee herein shall continue to be effective or be reinstated, as the case may be, if at any time payment, or any part thereof, of principal, premium, if any, or interest with respect to any Note Obligation is rescinded or must otherwise be restored by any Holder or the Trustee upon the bankruptcy or reorganization of either of the Issuers or otherwise.</w:t>
      </w:r>
    </w:p>
    <w:p>
      <w:pPr>
        <w:spacing w:after="0" w:line="176" w:lineRule="exact"/>
        <w:rPr>
          <w:rFonts w:ascii="Times New Roman" w:cs="Times New Roman" w:eastAsia="Times New Roman" w:hAnsi="Times New Roman"/>
          <w:sz w:val="18"/>
          <w:szCs w:val="18"/>
          <w:color w:val="auto"/>
        </w:rPr>
      </w:pPr>
    </w:p>
    <w:p>
      <w:pPr>
        <w:ind w:left="-40" w:right="60" w:firstLine="464"/>
        <w:spacing w:after="0" w:line="256" w:lineRule="auto"/>
        <w:tabs>
          <w:tab w:leader="none" w:pos="68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furtherance of the foregoing and not in limitation of any other right which any Holder or the Trustee has at law or in equity against any Subsidiary Guarantor by virtue hereof, upon the failure of the Issuers to pay the principal, premium, if any, or interest with respect to any Note Obligation when and as the same shall become due, whether at maturity, by acceleration, by redemption or otherwise, or to perform or comply with any other Note Obligation, each Subsidiary Guarantor hereby promises to and shall forthwith pay, or cause to be paid, in cash, to the Holders or the Trustee an amount equal to the sum of (i) the unpaid principal amount of such Note Obligations, (ii) accrued and unpaid interest on such Note Obligations (but only to the extent not prohibited by law) and (iii) all other monetary Note Obligations of the Issuers to the Holders and the Trustee.</w:t>
      </w:r>
    </w:p>
    <w:p>
      <w:pPr>
        <w:spacing w:after="0" w:line="187" w:lineRule="exact"/>
        <w:rPr>
          <w:rFonts w:ascii="Times New Roman" w:cs="Times New Roman" w:eastAsia="Times New Roman" w:hAnsi="Times New Roman"/>
          <w:sz w:val="18"/>
          <w:szCs w:val="18"/>
          <w:color w:val="auto"/>
        </w:rPr>
      </w:pPr>
    </w:p>
    <w:p>
      <w:pPr>
        <w:ind w:left="-40" w:right="120" w:firstLine="464"/>
        <w:spacing w:after="0" w:line="255" w:lineRule="auto"/>
        <w:tabs>
          <w:tab w:leader="none" w:pos="71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Subsidiary Guarantor agrees that it shall not be entitled to any right of subrogation in relation to the Holders in respect of any Note Obligations guaranteed hereby until payment in full of all Note Obligations. Each Subsidiary Guarantor further agrees that, as between it, on the one hand, and the Holders and the Trustee, on the other hand, (i) the maturity of the Note Obligations guaranteed hereby may be accelerated as provided in Article VII hereof for the purposes of any Subsidiary Guarantor’s Guarantee herein, notwithstanding any stay, injunction or other prohibition preventing such acceleration in respect of the Note Obligations guaranteed hereby, and (ii) in the event of any declaration of acceleration of such obligations as provided in Article VII hereof, such Note Obligations (whether or not due and payable) shall forthwith become due and payable by such Subsidiary Guarantor for the purposes of this Section 9.01.</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340"/>
          </w:cols>
          <w:pgMar w:left="280" w:top="270" w:right="279" w:bottom="1440" w:gutter="0" w:footer="0" w:header="0"/>
        </w:sectPr>
      </w:pPr>
    </w:p>
    <w:bookmarkStart w:id="27" w:name="page28"/>
    <w:bookmarkEnd w:id="27"/>
    <w:p>
      <w:pPr>
        <w:ind w:right="160" w:firstLine="464"/>
        <w:spacing w:after="0" w:line="282" w:lineRule="auto"/>
        <w:tabs>
          <w:tab w:leader="none" w:pos="75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Subsidiary Guarantor also agrees to pay any and all costs and expenses (including reasonable attorneys’ fees) incurred by the Trustee or any Holder in enforcing any rights under this Section 9.01.</w:t>
      </w:r>
    </w:p>
    <w:p>
      <w:pPr>
        <w:spacing w:after="0" w:line="16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u w:val="single" w:color="auto"/>
          <w:color w:val="auto"/>
        </w:rPr>
        <w:t>Limitation on Liability</w:t>
      </w:r>
      <w:r>
        <w:rPr>
          <w:rFonts w:ascii="Times New Roman" w:cs="Times New Roman" w:eastAsia="Times New Roman" w:hAnsi="Times New Roman"/>
          <w:sz w:val="18"/>
          <w:szCs w:val="18"/>
          <w:color w:val="auto"/>
        </w:rPr>
        <w:t>. Any term or provision of the Indenture to the contrary notwithstanding, the maximum, aggregate amount of the Note Obligations guaranteed hereunder by any Subsidiary Guarantor shall not exceed the maximum amount that, after giving effect to all other contingent and fixed liabilities of such Subsidiary Guarantor and to any collections from or payments made by or on behalf of any other Subsidiary Guarantor in respect of its obligations under its Guarantee, can be hereby guaranteed without rendering the Indenture, as it relates to any Subsidiary Guarantor, voidable under applicable law relating to fraudulent conveyance or fraudulent transfer.</w:t>
      </w:r>
    </w:p>
    <w:p>
      <w:pPr>
        <w:spacing w:after="0" w:line="184" w:lineRule="exact"/>
        <w:rPr>
          <w:sz w:val="20"/>
          <w:szCs w:val="20"/>
          <w:color w:val="auto"/>
        </w:rPr>
      </w:pPr>
    </w:p>
    <w:p>
      <w:pPr>
        <w:ind w:right="340" w:firstLine="456"/>
        <w:spacing w:after="0" w:line="261" w:lineRule="auto"/>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Article IX shall be binding upon each Subsidiary Guarantor and, except as provided in Section 9.07, its successors and assigns and shall inure to the benefit of the successors and assigns of the Trustee and the Holders and, in the event of any transfer or assignment of rights by any Holder or the Trustee, the rights and privileges conferred upon that party in the Indenture and in the Notes shall automatically extend to and be vested in such transferee or assignee, all subject to the terms and conditions of the Indenture.</w:t>
      </w:r>
    </w:p>
    <w:p>
      <w:pPr>
        <w:spacing w:after="0" w:line="180"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u w:val="single" w:color="auto"/>
          <w:color w:val="auto"/>
        </w:rPr>
        <w:t>No Waiver</w:t>
      </w:r>
      <w:r>
        <w:rPr>
          <w:rFonts w:ascii="Times New Roman" w:cs="Times New Roman" w:eastAsia="Times New Roman" w:hAnsi="Times New Roman"/>
          <w:sz w:val="18"/>
          <w:szCs w:val="18"/>
          <w:color w:val="auto"/>
        </w:rPr>
        <w:t>. Neither a failure nor a delay on the part of either the Trustee or the Holders in exercising any right, power or privilege under this Article IX shall operate as a waiver thereof, nor shall a single or partial exercise thereof preclude any other or further exercise of any right, power or privilege. The rights, remedies and benefits of the Trustee and the Holders herein expressly specified are cumulative and not exclusive of any other rights, remedies or benefits which either may have under this Article IX at law, in equity, by statute or otherwise.</w:t>
      </w:r>
    </w:p>
    <w:p>
      <w:pPr>
        <w:spacing w:after="0" w:line="180"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u w:val="single" w:color="auto"/>
          <w:color w:val="auto"/>
        </w:rPr>
        <w:t>Modification</w:t>
      </w:r>
      <w:r>
        <w:rPr>
          <w:rFonts w:ascii="Times New Roman" w:cs="Times New Roman" w:eastAsia="Times New Roman" w:hAnsi="Times New Roman"/>
          <w:sz w:val="18"/>
          <w:szCs w:val="18"/>
          <w:color w:val="auto"/>
        </w:rPr>
        <w:t>. No modification, amendment or waiver of any provision of this Article IX, nor the consent to any departure by any Subsidiary Guarantor therefrom, shall in any event be effective unless the same shall be in writing and signed by the Trustee, and then such waiver or consent shall be effective only in the specific instance and for the purpose for which given. No notice to or demand on any Subsidiary Guarantor in any case shall entitle such Subsidiary Guarantor to any other or further notice or demand in the same, similar or other circumstances.</w:t>
      </w:r>
    </w:p>
    <w:p>
      <w:pPr>
        <w:spacing w:after="0" w:line="180"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u w:val="single" w:color="auto"/>
          <w:color w:val="auto"/>
        </w:rPr>
        <w:t>Execution of Supplemental Indenture for Future Subsidiary Guarantors</w:t>
      </w:r>
      <w:r>
        <w:rPr>
          <w:rFonts w:ascii="Times New Roman" w:cs="Times New Roman" w:eastAsia="Times New Roman" w:hAnsi="Times New Roman"/>
          <w:sz w:val="18"/>
          <w:szCs w:val="18"/>
          <w:color w:val="auto"/>
        </w:rPr>
        <w:t>. Each Subsidiary which is required to become a Subsidiary Guarantor pursuant to Section 5.05 hereof shall promptly execute and deliver to the Trustee a supplemental Indenture in substantially the form of Exhibit B hereto pursuant to which such Subsidiary shall become a Subsidiary Guarantor under this Article IX and shall guarantee the Note Obligations. Concurrently with the execution and delivery of such supplemental Indenture, the Issuers shall</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270" w:right="239" w:bottom="1440" w:gutter="0" w:footer="0" w:header="0"/>
        </w:sectPr>
      </w:pPr>
    </w:p>
    <w:bookmarkStart w:id="28" w:name="page29"/>
    <w:bookmarkEnd w:id="28"/>
    <w:p>
      <w:pPr>
        <w:ind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deliver to the Trustee an Opinion of Counsel to the effect that such supplemental Indenture has been duly authorized, executed and delivered by such Subsidiary and that, subject to the application of bankruptcy, insolvency, moratorium, fraudulent conveyance or transfer and other similar laws relating to creditors’ rights generally and to the principles of equity, whether considered in a proceeding at law or in equity, the Guarantee of such Subsidiary Guarantor is a legal, valid and binding obligation of such Subsidiary Guarantor, enforceable against such Subsidiary Guarantor in accordance with its terms.</w:t>
      </w:r>
    </w:p>
    <w:p>
      <w:pPr>
        <w:spacing w:after="0" w:line="180" w:lineRule="exact"/>
        <w:rPr>
          <w:sz w:val="20"/>
          <w:szCs w:val="20"/>
          <w:color w:val="auto"/>
        </w:rPr>
      </w:pPr>
    </w:p>
    <w:p>
      <w:pPr>
        <w:ind w:right="360" w:firstLine="456"/>
        <w:spacing w:after="0" w:line="266" w:lineRule="auto"/>
        <w:rPr>
          <w:sz w:val="20"/>
          <w:szCs w:val="20"/>
          <w:color w:val="auto"/>
        </w:rPr>
      </w:pPr>
      <w:r>
        <w:rPr>
          <w:rFonts w:ascii="Times New Roman" w:cs="Times New Roman" w:eastAsia="Times New Roman" w:hAnsi="Times New Roman"/>
          <w:sz w:val="18"/>
          <w:szCs w:val="18"/>
          <w:color w:val="auto"/>
        </w:rPr>
        <w:t xml:space="preserve">Section 9.07. </w:t>
      </w:r>
      <w:r>
        <w:rPr>
          <w:rFonts w:ascii="Times New Roman" w:cs="Times New Roman" w:eastAsia="Times New Roman" w:hAnsi="Times New Roman"/>
          <w:sz w:val="18"/>
          <w:szCs w:val="18"/>
          <w:u w:val="single" w:color="auto"/>
          <w:color w:val="auto"/>
        </w:rPr>
        <w:t>Release of Guarantee</w:t>
      </w:r>
      <w:r>
        <w:rPr>
          <w:rFonts w:ascii="Times New Roman" w:cs="Times New Roman" w:eastAsia="Times New Roman" w:hAnsi="Times New Roman"/>
          <w:sz w:val="18"/>
          <w:szCs w:val="18"/>
          <w:color w:val="auto"/>
        </w:rPr>
        <w:t>. Provided that no Default shall have occurred and shall be continuing under the Indenture, the Guarantee of a Subsidiary Guarantor under this Article IX shall terminate and be of no further force and effect, and such Subsidiary Guarantor shall be released from the Indenture and all Note Obligations, upon the following events:</w:t>
      </w:r>
    </w:p>
    <w:p>
      <w:pPr>
        <w:spacing w:after="0" w:line="176" w:lineRule="exact"/>
        <w:rPr>
          <w:sz w:val="20"/>
          <w:szCs w:val="20"/>
          <w:color w:val="auto"/>
        </w:rPr>
      </w:pPr>
    </w:p>
    <w:p>
      <w:pPr>
        <w:ind w:firstLine="464"/>
        <w:spacing w:after="0" w:line="282" w:lineRule="auto"/>
        <w:tabs>
          <w:tab w:leader="none" w:pos="74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sale or other disposition of all or substantially all of the assets of such Subsidiary Guarantor (including by way of merger, consolidation or otherwise) to any Person that is not an Affiliate of either of the Issuers (provided such sale or other disposition is not prohibited by the Indenture);</w:t>
      </w:r>
    </w:p>
    <w:p>
      <w:pPr>
        <w:spacing w:after="0" w:line="161" w:lineRule="exact"/>
        <w:rPr>
          <w:rFonts w:ascii="Times New Roman" w:cs="Times New Roman" w:eastAsia="Times New Roman" w:hAnsi="Times New Roman"/>
          <w:sz w:val="18"/>
          <w:szCs w:val="18"/>
          <w:color w:val="auto"/>
        </w:rPr>
      </w:pPr>
    </w:p>
    <w:p>
      <w:pPr>
        <w:ind w:left="760" w:hanging="296"/>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sale or other disposition of all of the Equity Interests of a Subsidiary Guarantor, to any Person that is not an Affiliate of either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Issuers; or</w:t>
      </w:r>
    </w:p>
    <w:p>
      <w:pPr>
        <w:spacing w:after="0" w:line="206" w:lineRule="exact"/>
        <w:rPr>
          <w:rFonts w:ascii="Times New Roman" w:cs="Times New Roman" w:eastAsia="Times New Roman" w:hAnsi="Times New Roman"/>
          <w:sz w:val="18"/>
          <w:szCs w:val="18"/>
          <w:color w:val="auto"/>
        </w:rPr>
      </w:pPr>
    </w:p>
    <w:p>
      <w:pPr>
        <w:ind w:right="120" w:firstLine="464"/>
        <w:spacing w:after="0" w:line="282" w:lineRule="auto"/>
        <w:tabs>
          <w:tab w:leader="none" w:pos="74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release or discharge of all guarantees by such Subsidiary Guarantor of any Debt of the Issuers (other than any Debt Securities), upon delivery by the Issuers to the Trustee of a written notice of such release or discharge from the guarantees.</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X</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MISCELLANEOUS</w:t>
      </w:r>
    </w:p>
    <w:p>
      <w:pPr>
        <w:spacing w:after="0" w:line="207"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u w:val="single" w:color="auto"/>
          <w:color w:val="auto"/>
        </w:rPr>
        <w:t>Additional Amendments</w:t>
      </w:r>
      <w:r>
        <w:rPr>
          <w:rFonts w:ascii="Times New Roman" w:cs="Times New Roman" w:eastAsia="Times New Roman" w:hAnsi="Times New Roman"/>
          <w:sz w:val="18"/>
          <w:szCs w:val="18"/>
          <w:color w:val="auto"/>
        </w:rPr>
        <w:t>. With respect to the Notes, references to (A) “Section 6.01” in the Original Indenture shall be deemed to be references to “Section 7.01 of this Supplemental Indenture; (B) “Section 11.02” in the Original Indenture shall be deemed to be references to “Section 8.06” of this Supplemental Indenture; (C) “Section 6.01(g) or (h)” in the Original Indenture shall be deemed to be references to Section 7.01(a)(vi) or (a)(vii) of this Supplemental Indenture; and (D) “Article X” in the Original Indenture shall be deemed to be a reference to Article VI of this Supplemental Indenture.</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10.02. </w:t>
      </w:r>
      <w:r>
        <w:rPr>
          <w:rFonts w:ascii="Times New Roman" w:cs="Times New Roman" w:eastAsia="Times New Roman" w:hAnsi="Times New Roman"/>
          <w:sz w:val="18"/>
          <w:szCs w:val="18"/>
          <w:u w:val="single" w:color="auto"/>
          <w:color w:val="auto"/>
        </w:rPr>
        <w:t>Integral Part</w:t>
      </w:r>
      <w:r>
        <w:rPr>
          <w:rFonts w:ascii="Times New Roman" w:cs="Times New Roman" w:eastAsia="Times New Roman" w:hAnsi="Times New Roman"/>
          <w:sz w:val="18"/>
          <w:szCs w:val="18"/>
          <w:color w:val="auto"/>
        </w:rPr>
        <w:t>. This Supplemental Indenture constitutes an integral part of the Indenture.</w:t>
      </w:r>
    </w:p>
    <w:p>
      <w:pPr>
        <w:spacing w:after="0" w:line="225"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 xml:space="preserve">Section 10.03. </w:t>
      </w:r>
      <w:r>
        <w:rPr>
          <w:rFonts w:ascii="Times New Roman" w:cs="Times New Roman" w:eastAsia="Times New Roman" w:hAnsi="Times New Roman"/>
          <w:sz w:val="18"/>
          <w:szCs w:val="18"/>
          <w:u w:val="single" w:color="auto"/>
          <w:color w:val="auto"/>
        </w:rPr>
        <w:t>Adoption, Ratification and Confirmation</w:t>
      </w:r>
      <w:r>
        <w:rPr>
          <w:rFonts w:ascii="Times New Roman" w:cs="Times New Roman" w:eastAsia="Times New Roman" w:hAnsi="Times New Roman"/>
          <w:sz w:val="18"/>
          <w:szCs w:val="18"/>
          <w:color w:val="auto"/>
        </w:rPr>
        <w:t>. The Original Indenture, as supplemented and amended by this Supplemental Indenture, is in all respects hereby adopted, ratified and confirmed.</w:t>
      </w:r>
    </w:p>
    <w:p>
      <w:pPr>
        <w:spacing w:after="0" w:line="162"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 xml:space="preserve">Section 10.04.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Supplemental Indenture may be executed in any number of counterparts, each of which when so executed shall be deemed an original; and all such counterparts shall together constitute but one and the same instrument.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270" w:right="239" w:bottom="1440" w:gutter="0" w:footer="0" w:header="0"/>
        </w:sectPr>
      </w:pPr>
    </w:p>
    <w:bookmarkStart w:id="29" w:name="page30"/>
    <w:bookmarkEnd w:id="29"/>
    <w:p>
      <w:pPr>
        <w:ind w:firstLine="456"/>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10.05.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THIS SUPPLEMENTAL INDENTURE AND THE NOTES SHALL BE GOVERNED BY AND CONSTRUED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 ACCORDANCE WITH THE LAWS OF THE STATE OF NEW YORK.</w:t>
      </w:r>
    </w:p>
    <w:p>
      <w:pPr>
        <w:spacing w:after="0" w:line="15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[Signatures on following pages]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320"/>
          </w:cols>
          <w:pgMar w:left="240" w:top="266" w:right="339" w:bottom="1440" w:gutter="0" w:footer="0" w:header="0"/>
        </w:sectPr>
      </w:pPr>
    </w:p>
    <w:bookmarkStart w:id="30" w:name="page31"/>
    <w:bookmarkEnd w:id="30"/>
    <w:p>
      <w:pPr>
        <w:ind w:left="39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4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u w:val="single" w:color="auto"/>
          <w:color w:val="auto"/>
        </w:rPr>
        <w:t>ISSUERS</w:t>
      </w:r>
      <w:r>
        <w:rPr>
          <w:rFonts w:ascii="Times New Roman" w:cs="Times New Roman" w:eastAsia="Times New Roman" w:hAnsi="Times New Roman"/>
          <w:sz w:val="18"/>
          <w:szCs w:val="18"/>
          <w:b w:val="1"/>
          <w:bCs w:val="1"/>
          <w:color w:val="auto"/>
        </w:rPr>
        <w:t>:</w:t>
      </w:r>
    </w:p>
    <w:p>
      <w:pPr>
        <w:spacing w:after="0" w:line="13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p>
      <w:pPr>
        <w:spacing w:after="0" w:line="243" w:lineRule="exact"/>
        <w:rPr>
          <w:sz w:val="20"/>
          <w:szCs w:val="20"/>
          <w:color w:val="auto"/>
        </w:rPr>
      </w:pPr>
    </w:p>
    <w:tbl>
      <w:tblPr>
        <w:tblLayout w:type="fixed"/>
        <w:tblInd w:w="566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PAA GP LLC</w:t>
            </w:r>
          </w:p>
        </w:tc>
      </w:tr>
      <w:tr>
        <w:trPr>
          <w:trHeight w:val="234"/>
        </w:trPr>
        <w:tc>
          <w:tcPr>
            <w:tcW w:w="540" w:type="dxa"/>
            <w:vAlign w:val="bottom"/>
          </w:tcPr>
          <w:p>
            <w:pPr>
              <w:spacing w:after="0"/>
              <w:rPr>
                <w:sz w:val="20"/>
                <w:szCs w:val="20"/>
                <w:color w:val="auto"/>
              </w:rPr>
            </w:pPr>
          </w:p>
        </w:tc>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427"/>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PLAINS AAP, L.P.</w:t>
            </w:r>
          </w:p>
        </w:tc>
      </w:tr>
      <w:tr>
        <w:trPr>
          <w:trHeight w:val="234"/>
        </w:trPr>
        <w:tc>
          <w:tcPr>
            <w:tcW w:w="540" w:type="dxa"/>
            <w:vAlign w:val="bottom"/>
          </w:tcPr>
          <w:p>
            <w:pPr>
              <w:spacing w:after="0"/>
              <w:rPr>
                <w:sz w:val="20"/>
                <w:szCs w:val="20"/>
                <w:color w:val="auto"/>
              </w:rPr>
            </w:pPr>
          </w:p>
        </w:tc>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its Sole Member</w:t>
            </w:r>
          </w:p>
        </w:tc>
      </w:tr>
      <w:tr>
        <w:trPr>
          <w:trHeight w:val="427"/>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PLAINS ALL AMERICAN GP LLC</w:t>
            </w:r>
          </w:p>
        </w:tc>
      </w:tr>
      <w:tr>
        <w:trPr>
          <w:trHeight w:val="234"/>
        </w:trPr>
        <w:tc>
          <w:tcPr>
            <w:tcW w:w="540" w:type="dxa"/>
            <w:vAlign w:val="bottom"/>
          </w:tcPr>
          <w:p>
            <w:pPr>
              <w:spacing w:after="0"/>
              <w:rPr>
                <w:sz w:val="20"/>
                <w:szCs w:val="20"/>
                <w:color w:val="auto"/>
              </w:rPr>
            </w:pPr>
          </w:p>
        </w:tc>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44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 Charles Kingswell-Smith</w:t>
            </w:r>
          </w:p>
        </w:tc>
      </w:tr>
      <w:tr>
        <w:trPr>
          <w:trHeight w:val="191"/>
        </w:trPr>
        <w:tc>
          <w:tcPr>
            <w:tcW w:w="5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020" w:type="dxa"/>
            <w:vAlign w:val="bottom"/>
          </w:tcPr>
          <w:p>
            <w:pPr>
              <w:ind w:left="140"/>
              <w:spacing w:after="0" w:line="191" w:lineRule="exact"/>
              <w:rPr>
                <w:sz w:val="20"/>
                <w:szCs w:val="20"/>
                <w:color w:val="auto"/>
              </w:rPr>
            </w:pPr>
            <w:r>
              <w:rPr>
                <w:rFonts w:ascii="Times New Roman" w:cs="Times New Roman" w:eastAsia="Times New Roman" w:hAnsi="Times New Roman"/>
                <w:sz w:val="18"/>
                <w:szCs w:val="18"/>
                <w:color w:val="auto"/>
              </w:rPr>
              <w:t>Charles Kingswell-Smith</w:t>
            </w:r>
          </w:p>
        </w:tc>
      </w:t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Vice President and Treasurer</w:t>
            </w:r>
          </w:p>
        </w:tc>
      </w:tr>
      <w:tr>
        <w:trPr>
          <w:trHeight w:val="432"/>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PAA FINANCE CORP.</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 Charles Kingswell-Smith</w:t>
            </w:r>
          </w:p>
        </w:tc>
      </w:tr>
      <w:tr>
        <w:trPr>
          <w:trHeight w:val="191"/>
        </w:trPr>
        <w:tc>
          <w:tcPr>
            <w:tcW w:w="5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020" w:type="dxa"/>
            <w:vAlign w:val="bottom"/>
          </w:tcPr>
          <w:p>
            <w:pPr>
              <w:ind w:left="140"/>
              <w:spacing w:after="0" w:line="191" w:lineRule="exact"/>
              <w:rPr>
                <w:sz w:val="20"/>
                <w:szCs w:val="20"/>
                <w:color w:val="auto"/>
              </w:rPr>
            </w:pPr>
            <w:r>
              <w:rPr>
                <w:rFonts w:ascii="Times New Roman" w:cs="Times New Roman" w:eastAsia="Times New Roman" w:hAnsi="Times New Roman"/>
                <w:sz w:val="18"/>
                <w:szCs w:val="18"/>
                <w:color w:val="auto"/>
              </w:rPr>
              <w:t>Charles Kingswell-Smith</w:t>
            </w:r>
          </w:p>
        </w:tc>
      </w:t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Vice President and Treasurer</w:t>
            </w:r>
          </w:p>
        </w:tc>
      </w:tr>
    </w:tbl>
    <w:p>
      <w:pPr>
        <w:spacing w:after="0" w:line="200" w:lineRule="exact"/>
        <w:rPr>
          <w:sz w:val="20"/>
          <w:szCs w:val="20"/>
          <w:color w:val="auto"/>
        </w:rPr>
      </w:pPr>
    </w:p>
    <w:p>
      <w:pPr>
        <w:spacing w:after="0" w:line="212"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i w:val="1"/>
          <w:iCs w:val="1"/>
          <w:color w:val="auto"/>
        </w:rPr>
        <w:t>Signature Page to Twenty-Sixth Supplemental Indenture</w:t>
      </w:r>
    </w:p>
    <w:p>
      <w:pPr>
        <w:spacing w:after="0" w:line="171"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220"/>
          </w:cols>
          <w:pgMar w:left="1440" w:top="270" w:right="239" w:bottom="1440" w:gutter="0" w:footer="0" w:header="0"/>
        </w:sectPr>
      </w:pPr>
    </w:p>
    <w:bookmarkStart w:id="31" w:name="page32"/>
    <w:bookmarkEnd w:id="31"/>
    <w:p>
      <w:pPr>
        <w:ind w:left="566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TRUSTEE</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U.S. BANK NATIONAL ASSOCIATION,</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as Trustee</w:t>
      </w:r>
    </w:p>
    <w:p>
      <w:pPr>
        <w:spacing w:after="0" w:line="220" w:lineRule="exact"/>
        <w:rPr>
          <w:sz w:val="20"/>
          <w:szCs w:val="20"/>
          <w:color w:val="auto"/>
        </w:rPr>
      </w:pPr>
    </w:p>
    <w:tbl>
      <w:tblPr>
        <w:tblLayout w:type="fixed"/>
        <w:tblInd w:w="566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 Shazia Flores</w:t>
            </w:r>
          </w:p>
        </w:tc>
      </w:tr>
      <w:tr>
        <w:trPr>
          <w:trHeight w:val="191"/>
        </w:trPr>
        <w:tc>
          <w:tcPr>
            <w:tcW w:w="5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020" w:type="dxa"/>
            <w:vAlign w:val="bottom"/>
          </w:tcPr>
          <w:p>
            <w:pPr>
              <w:ind w:left="140"/>
              <w:spacing w:after="0" w:line="191" w:lineRule="exact"/>
              <w:rPr>
                <w:sz w:val="20"/>
                <w:szCs w:val="20"/>
                <w:color w:val="auto"/>
              </w:rPr>
            </w:pPr>
            <w:r>
              <w:rPr>
                <w:rFonts w:ascii="Times New Roman" w:cs="Times New Roman" w:eastAsia="Times New Roman" w:hAnsi="Times New Roman"/>
                <w:sz w:val="18"/>
                <w:szCs w:val="18"/>
                <w:color w:val="auto"/>
              </w:rPr>
              <w:t>Shazia Flores</w:t>
            </w:r>
          </w:p>
        </w:tc>
      </w:t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Assistant Vice President</w:t>
            </w:r>
          </w:p>
        </w:tc>
      </w:tr>
    </w:tbl>
    <w:p>
      <w:pPr>
        <w:spacing w:after="0" w:line="200" w:lineRule="exact"/>
        <w:rPr>
          <w:sz w:val="20"/>
          <w:szCs w:val="20"/>
          <w:color w:val="auto"/>
        </w:rPr>
      </w:pPr>
    </w:p>
    <w:p>
      <w:pPr>
        <w:spacing w:after="0" w:line="212"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i w:val="1"/>
          <w:iCs w:val="1"/>
          <w:color w:val="auto"/>
        </w:rPr>
        <w:t>Signature Page to Twenty-Sixth Supplemental Indenture</w:t>
      </w:r>
    </w:p>
    <w:p>
      <w:pPr>
        <w:spacing w:after="0" w:line="171"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220"/>
          </w:cols>
          <w:pgMar w:left="1440" w:top="266"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2860" w:type="dxa"/>
            <w:vAlign w:val="bottom"/>
          </w:tcPr>
          <w:p>
            <w:pPr>
              <w:spacing w:after="0"/>
              <w:rPr>
                <w:sz w:val="17"/>
                <w:szCs w:val="17"/>
                <w:color w:val="auto"/>
              </w:rPr>
            </w:pPr>
          </w:p>
        </w:tc>
        <w:tc>
          <w:tcPr>
            <w:tcW w:w="7660" w:type="dxa"/>
            <w:vAlign w:val="bottom"/>
          </w:tcPr>
          <w:p>
            <w:pPr>
              <w:spacing w:after="0"/>
              <w:rPr>
                <w:sz w:val="17"/>
                <w:szCs w:val="17"/>
                <w:color w:val="auto"/>
              </w:rPr>
            </w:pPr>
          </w:p>
        </w:tc>
        <w:tc>
          <w:tcPr>
            <w:tcW w:w="9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8"/>
              </w:rPr>
              <w:t>EXHIBIT A</w:t>
            </w:r>
          </w:p>
        </w:tc>
      </w:tr>
      <w:tr>
        <w:trPr>
          <w:trHeight w:val="453"/>
        </w:trPr>
        <w:tc>
          <w:tcPr>
            <w:tcW w:w="2860" w:type="dxa"/>
            <w:vAlign w:val="bottom"/>
          </w:tcPr>
          <w:p>
            <w:pPr>
              <w:spacing w:after="0"/>
              <w:rPr>
                <w:sz w:val="24"/>
                <w:szCs w:val="24"/>
                <w:color w:val="auto"/>
              </w:rPr>
            </w:pPr>
          </w:p>
        </w:tc>
        <w:tc>
          <w:tcPr>
            <w:tcW w:w="8560" w:type="dxa"/>
            <w:vAlign w:val="bottom"/>
            <w:gridSpan w:val="4"/>
          </w:tcPr>
          <w:p>
            <w:pPr>
              <w:jc w:val="center"/>
              <w:ind w:right="2840"/>
              <w:spacing w:after="0"/>
              <w:rPr>
                <w:sz w:val="20"/>
                <w:szCs w:val="20"/>
                <w:color w:val="auto"/>
              </w:rPr>
            </w:pPr>
            <w:r>
              <w:rPr>
                <w:rFonts w:ascii="Times New Roman" w:cs="Times New Roman" w:eastAsia="Times New Roman" w:hAnsi="Times New Roman"/>
                <w:sz w:val="18"/>
                <w:szCs w:val="18"/>
                <w:color w:val="auto"/>
                <w:w w:val="99"/>
              </w:rPr>
              <w:t>(Form of Face of Note)</w:t>
            </w:r>
          </w:p>
        </w:tc>
      </w:tr>
      <w:tr>
        <w:trPr>
          <w:trHeight w:val="419"/>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CUSIP 72650R BF8</w:t>
            </w:r>
          </w:p>
        </w:tc>
        <w:tc>
          <w:tcPr>
            <w:tcW w:w="7660" w:type="dxa"/>
            <w:vAlign w:val="bottom"/>
          </w:tcPr>
          <w:p>
            <w:pPr>
              <w:spacing w:after="0"/>
              <w:rPr>
                <w:sz w:val="24"/>
                <w:szCs w:val="24"/>
                <w:color w:val="auto"/>
              </w:rPr>
            </w:pPr>
          </w:p>
        </w:tc>
        <w:tc>
          <w:tcPr>
            <w:tcW w:w="9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No.</w:t>
            </w:r>
          </w:p>
        </w:tc>
      </w:tr>
      <w:tr>
        <w:trPr>
          <w:trHeight w:val="196"/>
        </w:trPr>
        <w:tc>
          <w:tcPr>
            <w:tcW w:w="2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ISIN US72650RBF82</w:t>
            </w:r>
          </w:p>
        </w:tc>
        <w:tc>
          <w:tcPr>
            <w:tcW w:w="80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r>
      <w:tr>
        <w:trPr>
          <w:trHeight w:val="434"/>
        </w:trPr>
        <w:tc>
          <w:tcPr>
            <w:tcW w:w="2860" w:type="dxa"/>
            <w:vAlign w:val="bottom"/>
          </w:tcPr>
          <w:p>
            <w:pPr>
              <w:spacing w:after="0"/>
              <w:rPr>
                <w:sz w:val="24"/>
                <w:szCs w:val="24"/>
                <w:color w:val="auto"/>
              </w:rPr>
            </w:pPr>
          </w:p>
        </w:tc>
        <w:tc>
          <w:tcPr>
            <w:tcW w:w="8560" w:type="dxa"/>
            <w:vAlign w:val="bottom"/>
            <w:gridSpan w:val="4"/>
          </w:tcPr>
          <w:p>
            <w:pPr>
              <w:jc w:val="center"/>
              <w:ind w:right="2860"/>
              <w:spacing w:after="0"/>
              <w:rPr>
                <w:sz w:val="20"/>
                <w:szCs w:val="20"/>
                <w:color w:val="auto"/>
              </w:rPr>
            </w:pPr>
            <w:r>
              <w:rPr>
                <w:rFonts w:ascii="Times New Roman" w:cs="Times New Roman" w:eastAsia="Times New Roman" w:hAnsi="Times New Roman"/>
                <w:sz w:val="18"/>
                <w:szCs w:val="18"/>
                <w:color w:val="auto"/>
                <w:w w:val="99"/>
              </w:rPr>
              <w:t>PLAINS ALL AMERICAN PIPELINE, L.P.</w:t>
            </w:r>
          </w:p>
        </w:tc>
      </w:tr>
      <w:tr>
        <w:trPr>
          <w:trHeight w:val="234"/>
        </w:trPr>
        <w:tc>
          <w:tcPr>
            <w:tcW w:w="2860" w:type="dxa"/>
            <w:vAlign w:val="bottom"/>
          </w:tcPr>
          <w:p>
            <w:pPr>
              <w:spacing w:after="0"/>
              <w:rPr>
                <w:sz w:val="20"/>
                <w:szCs w:val="20"/>
                <w:color w:val="auto"/>
              </w:rPr>
            </w:pPr>
          </w:p>
        </w:tc>
        <w:tc>
          <w:tcPr>
            <w:tcW w:w="8560" w:type="dxa"/>
            <w:vAlign w:val="bottom"/>
            <w:gridSpan w:val="4"/>
          </w:tcPr>
          <w:p>
            <w:pPr>
              <w:jc w:val="center"/>
              <w:ind w:right="2860"/>
              <w:spacing w:after="0"/>
              <w:rPr>
                <w:sz w:val="20"/>
                <w:szCs w:val="20"/>
                <w:color w:val="auto"/>
              </w:rPr>
            </w:pPr>
            <w:r>
              <w:rPr>
                <w:rFonts w:ascii="Times New Roman" w:cs="Times New Roman" w:eastAsia="Times New Roman" w:hAnsi="Times New Roman"/>
                <w:sz w:val="18"/>
                <w:szCs w:val="18"/>
                <w:color w:val="auto"/>
                <w:w w:val="97"/>
              </w:rPr>
              <w:t>PAA FINANCE CORP.</w:t>
            </w:r>
          </w:p>
        </w:tc>
      </w:tr>
      <w:tr>
        <w:trPr>
          <w:trHeight w:val="432"/>
        </w:trPr>
        <w:tc>
          <w:tcPr>
            <w:tcW w:w="2860" w:type="dxa"/>
            <w:vAlign w:val="bottom"/>
          </w:tcPr>
          <w:p>
            <w:pPr>
              <w:spacing w:after="0"/>
              <w:rPr>
                <w:sz w:val="24"/>
                <w:szCs w:val="24"/>
                <w:color w:val="auto"/>
              </w:rPr>
            </w:pPr>
          </w:p>
        </w:tc>
        <w:tc>
          <w:tcPr>
            <w:tcW w:w="8560" w:type="dxa"/>
            <w:vAlign w:val="bottom"/>
            <w:gridSpan w:val="4"/>
          </w:tcPr>
          <w:p>
            <w:pPr>
              <w:jc w:val="center"/>
              <w:ind w:right="2840"/>
              <w:spacing w:after="0"/>
              <w:rPr>
                <w:sz w:val="20"/>
                <w:szCs w:val="20"/>
                <w:color w:val="auto"/>
              </w:rPr>
            </w:pPr>
            <w:r>
              <w:rPr>
                <w:rFonts w:ascii="Times New Roman" w:cs="Times New Roman" w:eastAsia="Times New Roman" w:hAnsi="Times New Roman"/>
                <w:sz w:val="18"/>
                <w:szCs w:val="18"/>
                <w:color w:val="auto"/>
              </w:rPr>
              <w:t>3.60% Senior Notes due 2024</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Plains All American Pipeline, L.P., a Delaware limited partnership, and PAA Finance Corp., a Delaware corporation, jointly and severally promise to pay to</w:t>
      </w:r>
    </w:p>
    <w:tbl>
      <w:tblPr>
        <w:tblLayout w:type="fixed"/>
        <w:tblInd w:w="0" w:type="dxa"/>
        <w:tblCellMar>
          <w:top w:w="0" w:type="dxa"/>
          <w:left w:w="0" w:type="dxa"/>
          <w:bottom w:w="0" w:type="dxa"/>
          <w:right w:w="0" w:type="dxa"/>
        </w:tblCellMar>
      </w:tblPr>
      <w:tr>
        <w:trPr>
          <w:trHeight w:val="203"/>
        </w:trPr>
        <w:tc>
          <w:tcPr>
            <w:tcW w:w="900" w:type="dxa"/>
            <w:vAlign w:val="bottom"/>
            <w:tcBorders>
              <w:bottom w:val="single" w:sz="8" w:color="auto"/>
            </w:tcBorders>
          </w:tcPr>
          <w:p>
            <w:pPr>
              <w:spacing w:after="0"/>
              <w:rPr>
                <w:sz w:val="17"/>
                <w:szCs w:val="17"/>
                <w:color w:val="auto"/>
              </w:rPr>
            </w:pPr>
          </w:p>
        </w:tc>
        <w:tc>
          <w:tcPr>
            <w:tcW w:w="314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 or registered assigns, the principal sum of</w:t>
            </w:r>
          </w:p>
        </w:tc>
        <w:tc>
          <w:tcPr>
            <w:tcW w:w="540" w:type="dxa"/>
            <w:vAlign w:val="bottom"/>
            <w:tcBorders>
              <w:bottom w:val="single" w:sz="8" w:color="auto"/>
            </w:tcBorders>
          </w:tcPr>
          <w:p>
            <w:pPr>
              <w:spacing w:after="0"/>
              <w:rPr>
                <w:sz w:val="17"/>
                <w:szCs w:val="17"/>
                <w:color w:val="auto"/>
              </w:rPr>
            </w:pPr>
          </w:p>
        </w:tc>
        <w:tc>
          <w:tcPr>
            <w:tcW w:w="6540" w:type="dxa"/>
            <w:vAlign w:val="bottom"/>
            <w:gridSpan w:val="2"/>
          </w:tcPr>
          <w:p>
            <w:pPr>
              <w:ind w:left="60"/>
              <w:spacing w:after="0" w:line="203" w:lineRule="exact"/>
              <w:rPr>
                <w:sz w:val="20"/>
                <w:szCs w:val="20"/>
                <w:color w:val="auto"/>
              </w:rPr>
            </w:pPr>
            <w:r>
              <w:rPr>
                <w:rFonts w:ascii="Times New Roman" w:cs="Times New Roman" w:eastAsia="Times New Roman" w:hAnsi="Times New Roman"/>
                <w:sz w:val="18"/>
                <w:szCs w:val="18"/>
                <w:color w:val="auto"/>
              </w:rPr>
              <w:t>Dollars [or such greater or lesser amount as may be endorsed on the Schedule attached</w:t>
            </w:r>
          </w:p>
        </w:tc>
      </w:tr>
      <w:tr>
        <w:trPr>
          <w:trHeight w:val="237"/>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hereto]</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on November 1, 2024.</w:t>
            </w:r>
          </w:p>
        </w:tc>
        <w:tc>
          <w:tcPr>
            <w:tcW w:w="5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414"/>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Payment Dates: May 1 and November 1</w:t>
            </w:r>
          </w:p>
        </w:tc>
        <w:tc>
          <w:tcPr>
            <w:tcW w:w="5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234"/>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Record Dates: April 15 and October 15</w:t>
            </w:r>
          </w:p>
        </w:tc>
        <w:tc>
          <w:tcPr>
            <w:tcW w:w="5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441"/>
        </w:trPr>
        <w:tc>
          <w:tcPr>
            <w:tcW w:w="9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540" w:type="dxa"/>
            <w:vAlign w:val="bottom"/>
            <w:gridSpan w:val="2"/>
          </w:tcPr>
          <w:p>
            <w:pPr>
              <w:ind w:left="2280"/>
              <w:spacing w:after="0"/>
              <w:rPr>
                <w:sz w:val="20"/>
                <w:szCs w:val="20"/>
                <w:color w:val="auto"/>
              </w:rPr>
            </w:pPr>
            <w:r>
              <w:rPr>
                <w:rFonts w:ascii="Times New Roman" w:cs="Times New Roman" w:eastAsia="Times New Roman" w:hAnsi="Times New Roman"/>
                <w:sz w:val="18"/>
                <w:szCs w:val="18"/>
                <w:color w:val="auto"/>
              </w:rPr>
              <w:t>PLAINS ALL AMERICAN PIPELINE, L.P.</w:t>
            </w:r>
          </w:p>
        </w:tc>
      </w:tr>
      <w:tr>
        <w:trPr>
          <w:trHeight w:val="216"/>
        </w:trPr>
        <w:tc>
          <w:tcPr>
            <w:tcW w:w="9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74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PAA GP LLC, its General Partner</w:t>
            </w:r>
          </w:p>
        </w:tc>
      </w:tr>
      <w:tr>
        <w:trPr>
          <w:trHeight w:val="216"/>
        </w:trPr>
        <w:tc>
          <w:tcPr>
            <w:tcW w:w="9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74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Plains AAP, L.P., its Sole Member</w:t>
            </w:r>
          </w:p>
        </w:tc>
      </w:tr>
      <w:tr>
        <w:trPr>
          <w:trHeight w:val="234"/>
        </w:trPr>
        <w:tc>
          <w:tcPr>
            <w:tcW w:w="9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74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Plains All American GP LLC, its General Partner</w:t>
            </w:r>
          </w:p>
        </w:tc>
      </w:tr>
    </w:tbl>
    <w:p>
      <w:pPr>
        <w:spacing w:after="0" w:line="19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-130810</wp:posOffset>
            </wp:positionV>
            <wp:extent cx="254698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PAA FINANCE CORP.</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-130810</wp:posOffset>
            </wp:positionV>
            <wp:extent cx="254698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TRUSTEE’S CERTIFICATE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AUTHENTICATION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is one of the Debt Securities of the series designated therein referred to in the within-mentioned Indenture.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BANK NATIONAL ASSOCIATION,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Trustee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-130810</wp:posOffset>
            </wp:positionV>
            <wp:extent cx="252158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17145</wp:posOffset>
            </wp:positionV>
            <wp:extent cx="252158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21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343535</wp:posOffset>
            </wp:positionV>
            <wp:extent cx="7289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460" w:hanging="452"/>
        <w:spacing w:after="0"/>
        <w:tabs>
          <w:tab w:leader="none" w:pos="46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To be included only if the Note is issued in global form.</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420"/>
          </w:cols>
          <w:pgMar w:left="240" w:top="257" w:right="239" w:bottom="1440" w:gutter="0" w:footer="0" w:header="0"/>
        </w:sectPr>
      </w:pPr>
    </w:p>
    <w:bookmarkStart w:id="33" w:name="page34"/>
    <w:bookmarkEnd w:id="33"/>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(Form of Back of Note)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3.60% Senior Notes due 2024</w:t>
      </w:r>
    </w:p>
    <w:p>
      <w:pPr>
        <w:spacing w:after="0" w:line="2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b w:val="1"/>
          <w:bCs w:val="1"/>
          <w:color w:val="auto"/>
        </w:rPr>
        <w:t>[THIS GLOBAL SECURITY IS HELD BY OR ON BEHALF OF THE DEPOSITARY (AS DEFINED IN THE INDENTURE GOVERNING THIS NOTE) IN CUSTODY FOR THE BENEFIT OF THE BENEFICIAL OWNERS HEREOF, AND IS NOT TRANSFERABLE TO ANY PERSON UNDER ANY CIRCUMSTANCES EXCEPT THAT (A) THE TRUSTEE MAY MAKE SUCH NOTATIONS HEREON AS MAY BE REQUIRED PURSUANT TO SECTION 2.08 OF THE ORIGINAL INDENTURE, (B) THIS GLOBAL SECURITY MAY BE EXCHANGED IN WHOLE BUT NOT IN PART PURSUANT TO SECTION 2.15 OF THE ORIGINAL INDENTURE, (C) THIS GLOBAL SECURITY MAY BE DELIVERED TO THE TRUSTEE FOR CANCELLATION PURSUANT TO SECTION 2.10 OF THE ORIGINAL INDENTURE AND (D) THIS GLOBAL SECURITY MAY BE TRANSFERRED TO A SUCCESSOR DEPOSITARY OR ITS NOMINEE WITH THE PRIOR WRITTEN CONSENT OF THE ISSUERS.]</w:t>
      </w:r>
      <w:r>
        <w:rPr>
          <w:rFonts w:ascii="Times New Roman" w:cs="Times New Roman" w:eastAsia="Times New Roman" w:hAnsi="Times New Roman"/>
          <w:sz w:val="15"/>
          <w:szCs w:val="15"/>
          <w:color w:val="auto"/>
        </w:rPr>
        <w:t>2</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Capitalized terms used herein shall have the meanings assigned to them in the Indenture referred to below unless otherwise indicated.</w:t>
      </w:r>
    </w:p>
    <w:p>
      <w:pPr>
        <w:spacing w:after="0" w:line="225" w:lineRule="exact"/>
        <w:rPr>
          <w:sz w:val="20"/>
          <w:szCs w:val="20"/>
          <w:color w:val="auto"/>
        </w:rPr>
      </w:pPr>
    </w:p>
    <w:p>
      <w:pPr>
        <w:ind w:right="340" w:firstLine="464"/>
        <w:spacing w:after="0" w:line="276" w:lineRule="auto"/>
        <w:tabs>
          <w:tab w:leader="none" w:pos="681"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Interest</w:t>
      </w:r>
      <w:r>
        <w:rPr>
          <w:rFonts w:ascii="Times New Roman" w:cs="Times New Roman" w:eastAsia="Times New Roman" w:hAnsi="Times New Roman"/>
          <w:sz w:val="17"/>
          <w:szCs w:val="17"/>
          <w:color w:val="auto"/>
        </w:rPr>
        <w:t>. Plains All American Pipeline, L.P., a Delaware limited partnership (the “Partnership”), and PAA Finance Corp., a Delaware corporation (“PAA Finance” and, together with the Partnership, the “Issuers”), jointly and severally promise to pay interest on the principal amount of this Note at</w:t>
      </w:r>
    </w:p>
    <w:p>
      <w:pPr>
        <w:ind w:right="10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3.60% per annum from September 9, 2014 until maturity. The Issuers shall pay interest semi-annually on May 1 and November 1 of each such year, or if any such day is not a Business Day, on the next succeeding Business Day (each an “Interest Payment Date”). Interest on the Notes shall accrue from the most recent date to which interest has been paid or, if no interest has been paid, from the date of issuance. The first Interest Payment Date shall be May 1, 2015. The Issuers shall pay interest (including post-petition interest in any proceeding under any Bankruptcy Law) on overdue principal and premium, if any, from time to time on demand at a rate that is 1% per annum in excess of the rate then in effect; and they shall pay interest (including post-petition interest in any proceeding under any Bankruptcy Law) on overdue installments of interest (without regard to any applicable grace periods) from time to time on demand at the same rate to the extent lawful. Interest shall be computed on the basis of a 360-day year of twelve 30-day months.</w:t>
      </w:r>
    </w:p>
    <w:p>
      <w:pPr>
        <w:spacing w:after="0" w:line="189" w:lineRule="exact"/>
        <w:rPr>
          <w:rFonts w:ascii="Times New Roman" w:cs="Times New Roman" w:eastAsia="Times New Roman" w:hAnsi="Times New Roman"/>
          <w:sz w:val="17"/>
          <w:szCs w:val="17"/>
          <w:color w:val="auto"/>
        </w:rPr>
      </w:pPr>
    </w:p>
    <w:p>
      <w:pPr>
        <w:ind w:firstLine="464"/>
        <w:spacing w:after="0" w:line="258" w:lineRule="auto"/>
        <w:tabs>
          <w:tab w:leader="none" w:pos="68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Payment</w:t>
      </w:r>
      <w:r>
        <w:rPr>
          <w:rFonts w:ascii="Times New Roman" w:cs="Times New Roman" w:eastAsia="Times New Roman" w:hAnsi="Times New Roman"/>
          <w:sz w:val="18"/>
          <w:szCs w:val="18"/>
          <w:color w:val="auto"/>
        </w:rPr>
        <w:t>. The Issuers shall pay interest on the Notes (except defaulted interest) to the Persons who are registered Holders of Notes at the close of business on the April 15 or October 15 next preceding the Interest Payment Date, even if such Notes are canceled after such record date and on or before such Interest Payment Date, except as provided in Section 2.17 of the Original Indenture with respect to defaulted interest, and the Issuers shall pay principal (and premium, if any) of the Notes upon surrender thereof to the Trustee or a paying agent on or after the Stated Maturity thereof. The Notes shall be payable as to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89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58" w:lineRule="exact"/>
        <w:rPr>
          <w:sz w:val="20"/>
          <w:szCs w:val="20"/>
          <w:color w:val="auto"/>
        </w:rPr>
      </w:pPr>
    </w:p>
    <w:p>
      <w:pPr>
        <w:ind w:left="460" w:hanging="452"/>
        <w:spacing w:after="0"/>
        <w:tabs>
          <w:tab w:leader="none" w:pos="46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To be included only if the Note is issued in global form.</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420"/>
          </w:cols>
          <w:pgMar w:left="240" w:top="270" w:right="239" w:bottom="1440" w:gutter="0" w:footer="0" w:header="0"/>
        </w:sectPr>
      </w:pPr>
    </w:p>
    <w:bookmarkStart w:id="34" w:name="page35"/>
    <w:bookmarkEnd w:id="34"/>
    <w:p>
      <w:pPr>
        <w:ind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premium, if any, and interest at the office or agency of the Trustee maintained for such purpose within or without The City and State of New York, or, at the option of the Issuers, payment of interest may be made by check mailed to the Holders at their addresses set forth in the register of Holders,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payment by wire transfer of immediately available funds shall be required with respect to principal of and interest and premium, if any, on, each Global Security and all other Notes the Holders of which shall have provided wire transfer instructions to the Issuers or the paying agent on or prior to the applicable record date. Such payment shall be in such coin or currency of the United States of America as at the time of payment is legal tender for payment of public and private debts.</w:t>
      </w:r>
    </w:p>
    <w:p>
      <w:pPr>
        <w:spacing w:after="0" w:line="188" w:lineRule="exact"/>
        <w:rPr>
          <w:sz w:val="20"/>
          <w:szCs w:val="20"/>
          <w:color w:val="auto"/>
        </w:rPr>
      </w:pPr>
    </w:p>
    <w:p>
      <w:pPr>
        <w:ind w:right="140" w:firstLine="464"/>
        <w:spacing w:after="0" w:line="282" w:lineRule="auto"/>
        <w:tabs>
          <w:tab w:leader="none" w:pos="68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Paying Agent and Registrar</w:t>
      </w:r>
      <w:r>
        <w:rPr>
          <w:rFonts w:ascii="Times New Roman" w:cs="Times New Roman" w:eastAsia="Times New Roman" w:hAnsi="Times New Roman"/>
          <w:sz w:val="18"/>
          <w:szCs w:val="18"/>
          <w:color w:val="auto"/>
        </w:rPr>
        <w:t>. Initially, U.S. Bank National Association, the Trustee under the Indenture, shall act as paying agent and Registrar. The Issuers may change any paying agent or Registrar without notice to any Holder. The Issuers or any of their Subsidiaries may act in any such capacity.</w:t>
      </w:r>
    </w:p>
    <w:p>
      <w:pPr>
        <w:spacing w:after="0" w:line="161" w:lineRule="exact"/>
        <w:rPr>
          <w:rFonts w:ascii="Times New Roman" w:cs="Times New Roman" w:eastAsia="Times New Roman" w:hAnsi="Times New Roman"/>
          <w:sz w:val="18"/>
          <w:szCs w:val="18"/>
          <w:color w:val="auto"/>
        </w:rPr>
      </w:pPr>
    </w:p>
    <w:p>
      <w:pPr>
        <w:ind w:firstLine="464"/>
        <w:spacing w:after="0" w:line="253" w:lineRule="auto"/>
        <w:tabs>
          <w:tab w:leader="none" w:pos="68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The Issuers issued the Notes under an Indenture dated as of September 25, 2002 (the “Original Indenture”), as supplemented by the Twenty-Sixth Supplemental Indenture dated as of September 9, 2014 (the “Supplemental Indenture” and, together with the Original Indenture, the “Indenture”) among the Issuers and the Trustee. The terms of the Notes include those stated in the Indenture and those made part of the Indenture by reference to the Trust Indenture Act of 1939, as amended (15 U.S. Code §§ 77aaa-77bbbb). The Notes are subject to all such terms, and Holders are referred to the Indenture and such Act for a statement of such terms. To the extent any provision of this Note conflicts with the express provisions of the Indenture, the provisions of the Indenture shall govern and be controlling. The Notes are joint and several obligations of the Issuers initially in aggregate principal amount of $750 million. The Issuers may issue an unlimited aggregate principal amount of Additional Notes under the Indenture. Any such Additional Notes that are actually issued shall be treated as issued and outstanding Notes (and as the same series (with identical terms other than with respect to the issue date, the date of first payment of interest, if applicable, and the payment of interest accruing prior to the issue date) as the initial Notes) for all purposes of the Indenture, including waivers, amendments, redemptions and offers to purchase. To secure the due and punctual payment of the principal and interest on the Notes and all other amounts payable by the Issuers under the Indenture and the Notes when and as the same shall be due and payable, whether at maturity, by acceleration or otherwise, according to the terms of the Notes and the Indenture, the Subsidiary Guarantors have unconditionally guaranteed the Note Obligations under the Indenture and the Notes on a senior basis pursuant to the terms of the Indenture.</w:t>
      </w:r>
    </w:p>
    <w:p>
      <w:pPr>
        <w:spacing w:after="0" w:line="188" w:lineRule="exact"/>
        <w:rPr>
          <w:rFonts w:ascii="Times New Roman" w:cs="Times New Roman" w:eastAsia="Times New Roman" w:hAnsi="Times New Roman"/>
          <w:sz w:val="18"/>
          <w:szCs w:val="18"/>
          <w:color w:val="auto"/>
        </w:rPr>
      </w:pPr>
    </w:p>
    <w:p>
      <w:pPr>
        <w:ind w:left="680" w:hanging="216"/>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Optional 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40" w:hanging="276"/>
        <w:spacing w:after="0"/>
        <w:tabs>
          <w:tab w:leader="none" w:pos="7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their option at any time prior to maturity, the Issuers may choose to redeem all or any portion of the Notes at once or from time to time.</w:t>
      </w:r>
    </w:p>
    <w:p>
      <w:pPr>
        <w:spacing w:after="0" w:line="225" w:lineRule="exact"/>
        <w:rPr>
          <w:rFonts w:ascii="Times New Roman" w:cs="Times New Roman" w:eastAsia="Times New Roman" w:hAnsi="Times New Roman"/>
          <w:sz w:val="18"/>
          <w:szCs w:val="18"/>
          <w:color w:val="auto"/>
        </w:rPr>
      </w:pPr>
    </w:p>
    <w:p>
      <w:pPr>
        <w:ind w:right="60" w:firstLine="464"/>
        <w:spacing w:after="0" w:line="266" w:lineRule="auto"/>
        <w:tabs>
          <w:tab w:leader="none" w:pos="75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redeem the Notes before August 1, 2024, the Issuers must pay a redemption price equal to the greater of (i) 100% of the principal amount of the Notes to be redeemed, and (ii) as determined by the Quotation Agent (as defined below), the sum of the present values of the remaining scheduled payments of principal and interest on the Notes to be</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1420"/>
          </w:cols>
          <w:pgMar w:left="240" w:top="270" w:right="239" w:bottom="1440" w:gutter="0" w:footer="0" w:header="0"/>
        </w:sectPr>
      </w:pPr>
    </w:p>
    <w:bookmarkStart w:id="35" w:name="page36"/>
    <w:bookmarkEnd w:id="35"/>
    <w:p>
      <w:pPr>
        <w:ind w:right="1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redeemed (not including any portion of those payments of interest accrued as of the date of redemption) discounted to the date of redemption on a semi-annual basis (assuming a 360-day year consisting of twelve 30-day months) at the Adjusted Treasury Rate (as defined below) plus 20 basis points, plus, in either case, accrued and unpaid interest to the date of redemption (subject to the right of Holders on the relevant record date to receive interest due on the relevant interest payment date).</w:t>
      </w:r>
    </w:p>
    <w:p>
      <w:pPr>
        <w:spacing w:after="0" w:line="180" w:lineRule="exact"/>
        <w:rPr>
          <w:sz w:val="20"/>
          <w:szCs w:val="20"/>
          <w:color w:val="auto"/>
        </w:rPr>
      </w:pPr>
    </w:p>
    <w:p>
      <w:pPr>
        <w:jc w:val="both"/>
        <w:ind w:right="40" w:firstLine="464"/>
        <w:spacing w:after="0" w:line="266" w:lineRule="auto"/>
        <w:tabs>
          <w:tab w:leader="none" w:pos="70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redeem the Notes on or after August 1, 2024, the Issuers must pay a redemption price equal to 100% of the principal amount of the Notes to be redeemed plus accrued and unpaid interest to the date of redemption (subject to the right of Holders on the relevant record date to receive interest due on the relevant interest payment date).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purposes of determining any redemption price, the following definitions shall apply:</w:t>
      </w:r>
    </w:p>
    <w:p>
      <w:pPr>
        <w:spacing w:after="0" w:line="225"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“Adjusted Treasury Rate” means, with respect to any date of redemption, the rate per annum equal to the semi-annual equivalent yield to maturity of the Comparable Treasury Issue, assuming a price for the Comparable Treasury Issue (expressed as a percentage of its principal amount) equal to the Comparable Treasury Price for the date of redemption.</w:t>
      </w:r>
    </w:p>
    <w:p>
      <w:pPr>
        <w:spacing w:after="0" w:line="176"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color w:val="auto"/>
        </w:rPr>
        <w:t>“Comparable Treasury Issue”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the Notes.</w:t>
      </w:r>
    </w:p>
    <w:p>
      <w:pPr>
        <w:spacing w:after="0" w:line="176"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“Comparable Treasury Price” means, with respect to any date of redemption, (a) the average of the Reference Treasury Dealer Quotations for the date of redemption, after excluding the highest and lowest Reference Treasury Dealer Quotations, or (b) if the Trustee obtains fewer than five Reference Treasury Dealer Quotations, the average of all such Reference Treasury Dealer Quotations.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“Quotation Agent” means a Primary Treasury Dealer (as defined below) appointed by the Issuers.</w:t>
      </w:r>
    </w:p>
    <w:p>
      <w:pPr>
        <w:spacing w:after="0" w:line="225" w:lineRule="exact"/>
        <w:rPr>
          <w:sz w:val="20"/>
          <w:szCs w:val="20"/>
          <w:color w:val="auto"/>
        </w:rPr>
      </w:pPr>
    </w:p>
    <w:p>
      <w:pPr>
        <w:ind w:right="240" w:firstLine="456"/>
        <w:spacing w:after="0" w:line="266" w:lineRule="auto"/>
        <w:rPr>
          <w:sz w:val="20"/>
          <w:szCs w:val="20"/>
          <w:color w:val="auto"/>
        </w:rPr>
      </w:pPr>
      <w:r>
        <w:rPr>
          <w:rFonts w:ascii="Times New Roman" w:cs="Times New Roman" w:eastAsia="Times New Roman" w:hAnsi="Times New Roman"/>
          <w:sz w:val="18"/>
          <w:szCs w:val="18"/>
          <w:color w:val="auto"/>
        </w:rPr>
        <w:t>“Reference Treasury Dealer” means J.P. Morgan Securities LLC, Barclays Capital Inc., BNP Paribas Securities Corp. and Merrill Lynch, Pierce, Fenner &amp; Smith Incorporated, or their respective successors; provided, however, that if any of the foregoing shall cease to be a primary U.S. Government securities dealer in the United States (a “Primary Treasury Dealer”), the Issuers shall substitute another Primary Treasury Dealer.</w:t>
      </w:r>
    </w:p>
    <w:p>
      <w:pPr>
        <w:spacing w:after="0" w:line="176" w:lineRule="exact"/>
        <w:rPr>
          <w:sz w:val="20"/>
          <w:szCs w:val="20"/>
          <w:color w:val="auto"/>
        </w:rPr>
      </w:pPr>
    </w:p>
    <w:p>
      <w:pPr>
        <w:ind w:right="240" w:firstLine="456"/>
        <w:spacing w:after="0" w:line="261" w:lineRule="auto"/>
        <w:rPr>
          <w:sz w:val="20"/>
          <w:szCs w:val="20"/>
          <w:color w:val="auto"/>
        </w:rPr>
      </w:pPr>
      <w:r>
        <w:rPr>
          <w:rFonts w:ascii="Times New Roman" w:cs="Times New Roman" w:eastAsia="Times New Roman" w:hAnsi="Times New Roman"/>
          <w:sz w:val="18"/>
          <w:szCs w:val="18"/>
          <w:color w:val="auto"/>
        </w:rPr>
        <w:t>“Reference Treasury Dealer Quotations” means, with respect to each Reference Treasury Dealer and any date of redemption, the average, as determined by the Trustee, of the bid and asked prices for the Comparable Treasury Issue (expressed in each case as a percentage of its principal amount) quoted in writing to the Trustee by that Reference Treasury Dealer at 5:00 p.m., New York City time, on the third business day preceding that date of redemption.</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1300"/>
          </w:cols>
          <w:pgMar w:left="240" w:top="270" w:right="359" w:bottom="1440" w:gutter="0" w:footer="0" w:header="0"/>
        </w:sectPr>
      </w:pPr>
    </w:p>
    <w:bookmarkStart w:id="36" w:name="page37"/>
    <w:bookmarkEnd w:id="36"/>
    <w:p>
      <w:pPr>
        <w:ind w:left="-20" w:right="120" w:firstLine="464"/>
        <w:spacing w:after="0" w:line="261" w:lineRule="auto"/>
        <w:tabs>
          <w:tab w:leader="none" w:pos="66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 of Redemption</w:t>
      </w:r>
      <w:r>
        <w:rPr>
          <w:rFonts w:ascii="Times New Roman" w:cs="Times New Roman" w:eastAsia="Times New Roman" w:hAnsi="Times New Roman"/>
          <w:sz w:val="18"/>
          <w:szCs w:val="18"/>
          <w:color w:val="auto"/>
        </w:rPr>
        <w:t>. Notice of redemption shall be mailed at least 30 days but not more than 60 days before the redemption date to each Holder whose Notes are to be redeemed at its registered address. Notes in denominations larger than $2,000 may be redeemed in part but only in whole multiples of $1,000, unless all of the Notes held by a Holder are to be redeemed. Unless the Issuers default in payment of the redemption price, on and after the redemption date interest ceases to accrue on Notes or portions thereof called for redemption.</w:t>
      </w:r>
    </w:p>
    <w:p>
      <w:pPr>
        <w:spacing w:after="0" w:line="180" w:lineRule="exact"/>
        <w:rPr>
          <w:rFonts w:ascii="Times New Roman" w:cs="Times New Roman" w:eastAsia="Times New Roman" w:hAnsi="Times New Roman"/>
          <w:sz w:val="18"/>
          <w:szCs w:val="18"/>
          <w:color w:val="auto"/>
        </w:rPr>
      </w:pPr>
    </w:p>
    <w:p>
      <w:pPr>
        <w:ind w:left="-20" w:right="20" w:firstLine="464"/>
        <w:spacing w:after="0" w:line="255" w:lineRule="auto"/>
        <w:tabs>
          <w:tab w:leader="none" w:pos="66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Denominations, Transfer, Exchange</w:t>
      </w:r>
      <w:r>
        <w:rPr>
          <w:rFonts w:ascii="Times New Roman" w:cs="Times New Roman" w:eastAsia="Times New Roman" w:hAnsi="Times New Roman"/>
          <w:sz w:val="18"/>
          <w:szCs w:val="18"/>
          <w:color w:val="auto"/>
        </w:rPr>
        <w:t>. The Notes are in registered form without coupons in minimum denominations of $2,000 and integral multiples of $1,000. The transfer of Notes may be registered and Notes may be exchanged as provided in the Indenture. The Registrar and the Trustee may require a Holder, among other things, to furnish appropriate endorsements and transfer documents and the Issuers may require a Holder to pay any taxes or other governmental charges required by law or permitted by the Indenture. The Issuers need not exchange or register the transfer of any Note or portion of a Note selected for redemption or repurchase, except for the unredeemed or unrepurchased portion of any Note being redeemed or repurchased in part. Also, the Issuers need not exchange or register the transfer of any Notes for a period of 15 days before a selection of Notes to be redeemed or repurchased or during the period between a record date and the corresponding Interest Payment Date.</w:t>
      </w:r>
    </w:p>
    <w:p>
      <w:pPr>
        <w:spacing w:after="0" w:line="189" w:lineRule="exact"/>
        <w:rPr>
          <w:rFonts w:ascii="Times New Roman" w:cs="Times New Roman" w:eastAsia="Times New Roman" w:hAnsi="Times New Roman"/>
          <w:sz w:val="18"/>
          <w:szCs w:val="18"/>
          <w:color w:val="auto"/>
        </w:rPr>
      </w:pPr>
    </w:p>
    <w:p>
      <w:pPr>
        <w:ind w:left="660" w:hanging="216"/>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Persons Deemed Owners</w:t>
      </w:r>
      <w:r>
        <w:rPr>
          <w:rFonts w:ascii="Times New Roman" w:cs="Times New Roman" w:eastAsia="Times New Roman" w:hAnsi="Times New Roman"/>
          <w:sz w:val="18"/>
          <w:szCs w:val="18"/>
          <w:color w:val="auto"/>
        </w:rPr>
        <w:t>. The registered Holder of a Note shall be treated as its owner for all purposes.</w:t>
      </w:r>
    </w:p>
    <w:p>
      <w:pPr>
        <w:spacing w:after="0" w:line="225" w:lineRule="exact"/>
        <w:rPr>
          <w:rFonts w:ascii="Times New Roman" w:cs="Times New Roman" w:eastAsia="Times New Roman" w:hAnsi="Times New Roman"/>
          <w:sz w:val="18"/>
          <w:szCs w:val="18"/>
          <w:color w:val="auto"/>
        </w:rPr>
      </w:pPr>
    </w:p>
    <w:p>
      <w:pPr>
        <w:ind w:left="-20" w:firstLine="464"/>
        <w:spacing w:after="0" w:line="253" w:lineRule="auto"/>
        <w:tabs>
          <w:tab w:leader="none" w:pos="66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Supplement and Waiver</w:t>
      </w:r>
      <w:r>
        <w:rPr>
          <w:rFonts w:ascii="Times New Roman" w:cs="Times New Roman" w:eastAsia="Times New Roman" w:hAnsi="Times New Roman"/>
          <w:sz w:val="18"/>
          <w:szCs w:val="18"/>
          <w:color w:val="auto"/>
        </w:rPr>
        <w:t>. Subject to certain exceptions, the Indenture or the Notes may be amended or supplemented with the consent of the Holders of a majority in aggregate principal amount of the then Outstanding Notes, and any existing default or compliance with any provision of the Indenture or the Notes may be waived with the consent of the Holders of a majority in aggregate principal amount of the then Outstanding Notes. Without the consent of any Holder of a Note, the Indenture or the Notes may be amended or supplemented for any of the purposes set forth in Section 9.01 of the Original Indenture (as amended by the Supplemental Indenture), including to cure any ambiguity, defect or inconsistency, to provide for the assumption of an Issuer’s obligations to Holders of the Notes in case of a merger or consolidation of such Issuer or sale of all or substantially all of such Issuer’s assets, to add or release Subsidiary Guarantors (or their successors) pursuant to the terms of the Indenture, to make any change that would provide any additional rights or benefits to the Holders of the Notes or that does not adversely affect the legal rights under the Indenture of any Holder of the Notes, to comply with the requirements of the Commission to permit the qualification of the Indenture under the Trust Indenture Act, to evidence or provide for the acceptance of appointment under the Indenture of a successor Trustee, to add any additional Events of Default, to secure the Notes or the Guarantees or to establish the form or terms of any other series of Debt Securities.</w:t>
      </w:r>
    </w:p>
    <w:p>
      <w:pPr>
        <w:spacing w:after="0" w:line="192" w:lineRule="exact"/>
        <w:rPr>
          <w:rFonts w:ascii="Times New Roman" w:cs="Times New Roman" w:eastAsia="Times New Roman" w:hAnsi="Times New Roman"/>
          <w:sz w:val="18"/>
          <w:szCs w:val="18"/>
          <w:color w:val="auto"/>
        </w:rPr>
      </w:pPr>
    </w:p>
    <w:p>
      <w:pPr>
        <w:ind w:left="-20" w:firstLine="464"/>
        <w:spacing w:after="0" w:line="261" w:lineRule="auto"/>
        <w:tabs>
          <w:tab w:leader="none" w:pos="75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Defaults and Remedies</w:t>
      </w:r>
      <w:r>
        <w:rPr>
          <w:rFonts w:ascii="Times New Roman" w:cs="Times New Roman" w:eastAsia="Times New Roman" w:hAnsi="Times New Roman"/>
          <w:sz w:val="18"/>
          <w:szCs w:val="18"/>
          <w:color w:val="auto"/>
        </w:rPr>
        <w:t>. Events of Default with respect to the Notes include: (i) default for 60 days in the payment when due of interest on the Notes; (ii) default in payment when due of principal of or premium, if any, on the Notes at maturity, upon redemption or otherwise, (iii) failure by an Issuer or any Subsidiary Guarantor for 90 days after notice to comply with any of the other agreements in the Indenture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notice need not be given, and an Event of Default shall occur, 90 days after any breach of the provisions of Section 6.01 of the</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1380"/>
          </w:cols>
          <w:pgMar w:left="260" w:top="270" w:right="259" w:bottom="1440" w:gutter="0" w:footer="0" w:header="0"/>
        </w:sectPr>
      </w:pPr>
    </w:p>
    <w:bookmarkStart w:id="37" w:name="page38"/>
    <w:bookmarkEnd w:id="37"/>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Supplemental Indenture); (iv) default under any mortgage, indenture or instrument under which there may be issued or by which there may be secured or evidenced any Debt of an Issuer or any of the Partnership’s Subsidiaries (or the payment of which is guaranteed by the Partnership or any of its Subsidiaries), whether such Debt or guarantee now exists or is created after the Issue Date, if that default (a) is caused by a failure to pay principal of or premium, if any, or interest on such Debt prior to the expiration of the grace period provided in such Debt (a “Payment Default”) or (b) results in the acceleration of the maturity of such Debt to a date prior to its original stated maturity, and, in each case described in clause (a) or (b), the principal amount of any such Debt, together with the principal amount of any other such Debt under which there has been a Payment Default or the maturity of which has been so accelerated, aggregates $25.0 million or more, subject to the proviso set forth in Section 7.01(a)(iv) of the Supplemental Indenture; (v) except as permitted by the Indenture, any Guarantee shall cease for any reason to be in full force and effect (except as otherwise provided in the Indenture) or is declared null and void in a judicial proceeding or any Subsidiary Guarantor, or any Person acting on behalf of any Subsidiary Guarantor, shall deny or disaffirm its obligations under the Indenture or its Guarantee and (vi) certain events of bankruptcy or insolvency with respect to an Issuer or any of the Subsidiary Guarantors. If any Event of Default occurs and is continuing, the Trustee or the Holders of at least 25% in aggregate principal amount of the then Outstanding Notes may declare all the Notes to be due and payable. Notwithstanding the foregoing, in the case of an Event of Default arising from certain events of bankruptcy or insolvency involving an Issuer, but not any Subsidiary Guarantor, all Outstanding Notes shall become due and payable without further action or notice. Holders may not enforce the Indenture or the Notes except as provided in the Indenture. Subject to certain limitations, Holders of a majority in aggregate principal amount of the then Outstanding Notes may direct the Trustee in its exercise of any trust or power. If and so long as the board of directors, an executive committee of the board of directors or trust committee of Responsible Officers of the Trustee in good faith so determines, the Trustee may withhold from Holders of the Notes notice of any continuing Default (except a Default relating to the payment of principal, premium, if any, or interest) if it determines that withholding notice is in their interests. The Holders of a majority in aggregate principal amount of the Notes then Outstanding by notice to the Trustee may on behalf of the Holders of all of the Notes waive any past Default or Event of Default and its consequences under the Indenture except a continuing Default or Event of Default in the payment of interest on, the principal of, or premium, if any, on the Notes or any other Default specified in Section 6.06 of the Original Indenture. The Issuers and the Subsidiary Guarantors are required to deliver to the Trustee annually a statement regarding compliance with the Indenture, and the Issuers are required upon becoming aware of any Default or Event of Default, to deliver to the Trustee a statement specifying such Default or Event of Default.</w:t>
      </w:r>
    </w:p>
    <w:p>
      <w:pPr>
        <w:spacing w:after="0" w:line="189" w:lineRule="exact"/>
        <w:rPr>
          <w:sz w:val="20"/>
          <w:szCs w:val="20"/>
          <w:color w:val="auto"/>
        </w:rPr>
      </w:pPr>
    </w:p>
    <w:p>
      <w:pPr>
        <w:ind w:right="180" w:firstLine="464"/>
        <w:spacing w:after="0" w:line="282" w:lineRule="auto"/>
        <w:tabs>
          <w:tab w:leader="none" w:pos="76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Trustee Dealings with Issuers</w:t>
      </w:r>
      <w:r>
        <w:rPr>
          <w:rFonts w:ascii="Times New Roman" w:cs="Times New Roman" w:eastAsia="Times New Roman" w:hAnsi="Times New Roman"/>
          <w:sz w:val="18"/>
          <w:szCs w:val="18"/>
          <w:color w:val="auto"/>
        </w:rPr>
        <w:t>. The Trustee, in its individual or any other capacity, may make loans to, accept deposits from, and perform services for the Issuers or their Affiliates, and may otherwise deal with the Issuers or their Affiliates, as if it were not the Trustee.</w:t>
      </w:r>
    </w:p>
    <w:p>
      <w:pPr>
        <w:spacing w:after="0" w:line="161" w:lineRule="exact"/>
        <w:rPr>
          <w:rFonts w:ascii="Times New Roman" w:cs="Times New Roman" w:eastAsia="Times New Roman" w:hAnsi="Times New Roman"/>
          <w:sz w:val="18"/>
          <w:szCs w:val="18"/>
          <w:color w:val="auto"/>
        </w:rPr>
      </w:pPr>
    </w:p>
    <w:p>
      <w:pPr>
        <w:ind w:right="280" w:firstLine="464"/>
        <w:spacing w:after="0" w:line="282" w:lineRule="auto"/>
        <w:tabs>
          <w:tab w:leader="none" w:pos="77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Recourse Against Others</w:t>
      </w:r>
      <w:r>
        <w:rPr>
          <w:rFonts w:ascii="Times New Roman" w:cs="Times New Roman" w:eastAsia="Times New Roman" w:hAnsi="Times New Roman"/>
          <w:sz w:val="18"/>
          <w:szCs w:val="18"/>
          <w:color w:val="auto"/>
        </w:rPr>
        <w:t>. The General Partner and its directors, officers, employees and members (in their capacities as such) shall not have any liability for any obligations of the Issuers under the Notes. In addition, the Managing General Partner and its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1420"/>
          </w:cols>
          <w:pgMar w:left="240" w:top="270" w:right="239" w:bottom="1440" w:gutter="0" w:footer="0" w:header="0"/>
        </w:sectPr>
      </w:pPr>
    </w:p>
    <w:bookmarkStart w:id="38" w:name="page39"/>
    <w:bookmarkEnd w:id="38"/>
    <w:p>
      <w:pPr>
        <w:ind w:right="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directors, officers, employees and members shall not have any liability for any obligations of the Issuers under the Notes. Each Holder of Notes by accepting a Note waives and releases all such liability. The waiver and release are part of the consideration for issuance of the Notes.</w:t>
      </w:r>
    </w:p>
    <w:p>
      <w:pPr>
        <w:spacing w:after="0" w:line="162" w:lineRule="exact"/>
        <w:rPr>
          <w:sz w:val="20"/>
          <w:szCs w:val="20"/>
          <w:color w:val="auto"/>
        </w:rPr>
      </w:pPr>
    </w:p>
    <w:p>
      <w:pPr>
        <w:ind w:left="780" w:hanging="316"/>
        <w:spacing w:after="0"/>
        <w:tabs>
          <w:tab w:leader="none" w:pos="7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Authentication</w:t>
      </w:r>
      <w:r>
        <w:rPr>
          <w:rFonts w:ascii="Times New Roman" w:cs="Times New Roman" w:eastAsia="Times New Roman" w:hAnsi="Times New Roman"/>
          <w:sz w:val="18"/>
          <w:szCs w:val="18"/>
          <w:color w:val="auto"/>
        </w:rPr>
        <w:t>. This Note shall not be valid until authenticated by the manual signature of the Trustee or an authenticating agent.</w:t>
      </w:r>
    </w:p>
    <w:p>
      <w:pPr>
        <w:spacing w:after="0" w:line="225" w:lineRule="exact"/>
        <w:rPr>
          <w:rFonts w:ascii="Times New Roman" w:cs="Times New Roman" w:eastAsia="Times New Roman" w:hAnsi="Times New Roman"/>
          <w:sz w:val="18"/>
          <w:szCs w:val="18"/>
          <w:color w:val="auto"/>
        </w:rPr>
      </w:pPr>
    </w:p>
    <w:p>
      <w:pPr>
        <w:ind w:right="260" w:firstLine="464"/>
        <w:spacing w:after="0" w:line="266" w:lineRule="auto"/>
        <w:tabs>
          <w:tab w:leader="none" w:pos="77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Abbreviations</w:t>
      </w:r>
      <w:r>
        <w:rPr>
          <w:rFonts w:ascii="Times New Roman" w:cs="Times New Roman" w:eastAsia="Times New Roman" w:hAnsi="Times New Roman"/>
          <w:sz w:val="18"/>
          <w:szCs w:val="18"/>
          <w:color w:val="auto"/>
        </w:rPr>
        <w:t>. Customary abbreviations may be used in the name of a Holder or an assignee, such as: TEN COM (= tenants in common), TEN ENT (= tenants by the entireties), JT TEN (= joint tenants with right of survivorship and not as tenants in common), CUST (= Custodian), and U/G/M/A (= Uniform Gifts to Minors Act).</w:t>
      </w:r>
    </w:p>
    <w:p>
      <w:pPr>
        <w:spacing w:after="0" w:line="176" w:lineRule="exact"/>
        <w:rPr>
          <w:rFonts w:ascii="Times New Roman" w:cs="Times New Roman" w:eastAsia="Times New Roman" w:hAnsi="Times New Roman"/>
          <w:sz w:val="18"/>
          <w:szCs w:val="18"/>
          <w:color w:val="auto"/>
        </w:rPr>
      </w:pPr>
    </w:p>
    <w:p>
      <w:pPr>
        <w:ind w:firstLine="464"/>
        <w:spacing w:after="0" w:line="261" w:lineRule="auto"/>
        <w:tabs>
          <w:tab w:leader="none" w:pos="77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CUSIP and ISIN Numbers</w:t>
      </w:r>
      <w:r>
        <w:rPr>
          <w:rFonts w:ascii="Times New Roman" w:cs="Times New Roman" w:eastAsia="Times New Roman" w:hAnsi="Times New Roman"/>
          <w:sz w:val="18"/>
          <w:szCs w:val="18"/>
          <w:color w:val="auto"/>
        </w:rPr>
        <w:t>. Pursuant to a recommendation promulgated by the Committee on Uniform Security Identification Procedures, the Issuers have caused CUSIP and corresponding ISIN numbers to be printed on the Notes, and the Trustee may use CUSIP and corresponding ISIN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Issuers shall furnish to any Holder upon written request and without charge a copy of the Indenture. Requests may be made to:</w:t>
      </w:r>
    </w:p>
    <w:p>
      <w:pPr>
        <w:spacing w:after="0" w:line="22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Plains All American Pipeline, L.P.</w:t>
      </w:r>
    </w:p>
    <w:p>
      <w:pPr>
        <w:spacing w:after="0" w:line="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333 Clay Street, Suite 1600</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1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1340"/>
          </w:cols>
          <w:pgMar w:left="240" w:top="270" w:right="319" w:bottom="1440" w:gutter="0" w:footer="0" w:header="0"/>
        </w:sectPr>
      </w:pPr>
    </w:p>
    <w:bookmarkStart w:id="39" w:name="page40"/>
    <w:bookmarkEnd w:id="39"/>
    <w:p>
      <w:pPr>
        <w:ind w:left="50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Assignment Form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assign this Note, fill in the form below: (I)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523240</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797560</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(Print or type assignee’s name, address and zip code)</w:t>
            </w:r>
          </w:p>
        </w:tc>
        <w:tc>
          <w:tcPr>
            <w:tcW w:w="1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40" w:type="dxa"/>
            <w:vAlign w:val="bottom"/>
          </w:tcPr>
          <w:p>
            <w:pPr>
              <w:spacing w:after="0"/>
              <w:rPr>
                <w:sz w:val="20"/>
                <w:szCs w:val="20"/>
                <w:color w:val="auto"/>
              </w:rPr>
            </w:pPr>
          </w:p>
        </w:tc>
      </w:tr>
      <w:tr>
        <w:trPr>
          <w:trHeight w:val="392"/>
        </w:trPr>
        <w:tc>
          <w:tcPr>
            <w:tcW w:w="1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and irrevocably appoint</w:t>
            </w:r>
          </w:p>
        </w:tc>
        <w:tc>
          <w:tcPr>
            <w:tcW w:w="4540" w:type="dxa"/>
            <w:vAlign w:val="bottom"/>
            <w:tcBorders>
              <w:bottom w:val="single" w:sz="8" w:color="auto"/>
            </w:tcBorders>
            <w:gridSpan w:val="2"/>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agent to transfer this Note on the books</w:t>
            </w:r>
          </w:p>
        </w:tc>
      </w:tr>
      <w:tr>
        <w:trPr>
          <w:trHeight w:val="237"/>
        </w:trPr>
        <w:tc>
          <w:tcPr>
            <w:tcW w:w="63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of the Issuers. The agent may substitute another to act for him.</w:t>
            </w:r>
          </w:p>
        </w:tc>
        <w:tc>
          <w:tcPr>
            <w:tcW w:w="1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40" w:type="dxa"/>
            <w:vAlign w:val="bottom"/>
          </w:tcPr>
          <w:p>
            <w:pPr>
              <w:spacing w:after="0"/>
              <w:rPr>
                <w:sz w:val="20"/>
                <w:szCs w:val="20"/>
                <w:color w:val="auto"/>
              </w:rPr>
            </w:pPr>
          </w:p>
        </w:tc>
      </w:tr>
      <w:tr>
        <w:trPr>
          <w:trHeight w:val="378"/>
        </w:trPr>
        <w:tc>
          <w:tcPr>
            <w:tcW w:w="4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r>
      <w:tr>
        <w:trPr>
          <w:trHeight w:val="385"/>
        </w:trPr>
        <w:tc>
          <w:tcPr>
            <w:tcW w:w="63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Date:</w:t>
            </w:r>
          </w:p>
        </w:tc>
        <w:tc>
          <w:tcPr>
            <w:tcW w:w="1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696"/>
        </w:trPr>
        <w:tc>
          <w:tcPr>
            <w:tcW w:w="44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1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Your Signature:</w:t>
            </w:r>
          </w:p>
        </w:tc>
      </w:tr>
      <w:tr>
        <w:trPr>
          <w:trHeight w:val="182"/>
        </w:trPr>
        <w:tc>
          <w:tcPr>
            <w:tcW w:w="4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35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color w:val="auto"/>
              </w:rPr>
              <w:t>(Sign exactly as your name appears on the face of this Note)</w:t>
            </w:r>
          </w:p>
        </w:tc>
      </w:tr>
      <w:tr>
        <w:trPr>
          <w:trHeight w:val="757"/>
        </w:trPr>
        <w:tc>
          <w:tcPr>
            <w:tcW w:w="63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Signature Guarantee:</w:t>
            </w:r>
          </w:p>
        </w:tc>
        <w:tc>
          <w:tcPr>
            <w:tcW w:w="1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119"/>
        </w:trPr>
        <w:tc>
          <w:tcPr>
            <w:tcW w:w="4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240" w:type="dxa"/>
            <w:vAlign w:val="bottom"/>
            <w:tcBorders>
              <w:top w:val="single" w:sz="8" w:color="auto"/>
            </w:tcBorders>
            <w:gridSpan w:val="3"/>
          </w:tcPr>
          <w:p>
            <w:pPr>
              <w:ind w:left="40"/>
              <w:spacing w:after="0" w:line="119" w:lineRule="exact"/>
              <w:rPr>
                <w:sz w:val="20"/>
                <w:szCs w:val="20"/>
                <w:color w:val="auto"/>
              </w:rPr>
            </w:pPr>
            <w:r>
              <w:rPr>
                <w:rFonts w:ascii="Times New Roman" w:cs="Times New Roman" w:eastAsia="Times New Roman" w:hAnsi="Times New Roman"/>
                <w:sz w:val="13"/>
                <w:szCs w:val="13"/>
                <w:color w:val="auto"/>
              </w:rPr>
              <w:t>(Signature must be guaranteed by a financial institution that is a member</w:t>
            </w:r>
          </w:p>
        </w:tc>
        <w:tc>
          <w:tcPr>
            <w:tcW w:w="5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40" w:type="dxa"/>
            <w:vAlign w:val="bottom"/>
          </w:tcPr>
          <w:p>
            <w:pPr>
              <w:spacing w:after="0"/>
              <w:rPr>
                <w:sz w:val="10"/>
                <w:szCs w:val="10"/>
                <w:color w:val="auto"/>
              </w:rPr>
            </w:pPr>
          </w:p>
        </w:tc>
      </w:tr>
      <w:tr>
        <w:trPr>
          <w:trHeight w:val="149"/>
        </w:trPr>
        <w:tc>
          <w:tcPr>
            <w:tcW w:w="4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760" w:type="dxa"/>
            <w:vAlign w:val="bottom"/>
            <w:gridSpan w:val="4"/>
          </w:tcPr>
          <w:p>
            <w:pPr>
              <w:ind w:left="40"/>
              <w:spacing w:after="0" w:line="149" w:lineRule="exact"/>
              <w:rPr>
                <w:sz w:val="20"/>
                <w:szCs w:val="20"/>
                <w:color w:val="auto"/>
              </w:rPr>
            </w:pPr>
            <w:r>
              <w:rPr>
                <w:rFonts w:ascii="Times New Roman" w:cs="Times New Roman" w:eastAsia="Times New Roman" w:hAnsi="Times New Roman"/>
                <w:sz w:val="14"/>
                <w:szCs w:val="14"/>
                <w:color w:val="auto"/>
              </w:rPr>
              <w:t>of the Securities Transfer Agent Medallion Program (“STAMP”), the</w:t>
            </w:r>
          </w:p>
        </w:tc>
        <w:tc>
          <w:tcPr>
            <w:tcW w:w="1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40" w:type="dxa"/>
            <w:vAlign w:val="bottom"/>
          </w:tcPr>
          <w:p>
            <w:pPr>
              <w:spacing w:after="0"/>
              <w:rPr>
                <w:sz w:val="12"/>
                <w:szCs w:val="12"/>
                <w:color w:val="auto"/>
              </w:rPr>
            </w:pPr>
          </w:p>
        </w:tc>
      </w:tr>
      <w:tr>
        <w:trPr>
          <w:trHeight w:val="149"/>
        </w:trPr>
        <w:tc>
          <w:tcPr>
            <w:tcW w:w="4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760" w:type="dxa"/>
            <w:vAlign w:val="bottom"/>
            <w:gridSpan w:val="4"/>
          </w:tcPr>
          <w:p>
            <w:pPr>
              <w:ind w:left="40"/>
              <w:spacing w:after="0" w:line="149" w:lineRule="exact"/>
              <w:rPr>
                <w:sz w:val="20"/>
                <w:szCs w:val="20"/>
                <w:color w:val="auto"/>
              </w:rPr>
            </w:pPr>
            <w:r>
              <w:rPr>
                <w:rFonts w:ascii="Times New Roman" w:cs="Times New Roman" w:eastAsia="Times New Roman" w:hAnsi="Times New Roman"/>
                <w:sz w:val="14"/>
                <w:szCs w:val="14"/>
                <w:color w:val="auto"/>
              </w:rPr>
              <w:t>Stock Exchange Medallion Program (“SEMP”), the New York Stock</w:t>
            </w:r>
          </w:p>
        </w:tc>
        <w:tc>
          <w:tcPr>
            <w:tcW w:w="1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40" w:type="dxa"/>
            <w:vAlign w:val="bottom"/>
          </w:tcPr>
          <w:p>
            <w:pPr>
              <w:spacing w:after="0"/>
              <w:rPr>
                <w:sz w:val="12"/>
                <w:szCs w:val="12"/>
                <w:color w:val="auto"/>
              </w:rPr>
            </w:pPr>
          </w:p>
        </w:tc>
      </w:tr>
      <w:tr>
        <w:trPr>
          <w:trHeight w:val="149"/>
        </w:trPr>
        <w:tc>
          <w:tcPr>
            <w:tcW w:w="4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760" w:type="dxa"/>
            <w:vAlign w:val="bottom"/>
            <w:gridSpan w:val="4"/>
          </w:tcPr>
          <w:p>
            <w:pPr>
              <w:ind w:left="40"/>
              <w:spacing w:after="0" w:line="149" w:lineRule="exact"/>
              <w:rPr>
                <w:sz w:val="20"/>
                <w:szCs w:val="20"/>
                <w:color w:val="auto"/>
              </w:rPr>
            </w:pPr>
            <w:r>
              <w:rPr>
                <w:rFonts w:ascii="Times New Roman" w:cs="Times New Roman" w:eastAsia="Times New Roman" w:hAnsi="Times New Roman"/>
                <w:sz w:val="14"/>
                <w:szCs w:val="14"/>
                <w:color w:val="auto"/>
              </w:rPr>
              <w:t>Exchange, Inc. Medallion Signature Program (“MSP”) or such other</w:t>
            </w:r>
          </w:p>
        </w:tc>
        <w:tc>
          <w:tcPr>
            <w:tcW w:w="1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40" w:type="dxa"/>
            <w:vAlign w:val="bottom"/>
          </w:tcPr>
          <w:p>
            <w:pPr>
              <w:spacing w:after="0"/>
              <w:rPr>
                <w:sz w:val="12"/>
                <w:szCs w:val="12"/>
                <w:color w:val="auto"/>
              </w:rPr>
            </w:pPr>
          </w:p>
        </w:tc>
      </w:tr>
      <w:tr>
        <w:trPr>
          <w:trHeight w:val="149"/>
        </w:trPr>
        <w:tc>
          <w:tcPr>
            <w:tcW w:w="4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760" w:type="dxa"/>
            <w:vAlign w:val="bottom"/>
            <w:gridSpan w:val="4"/>
          </w:tcPr>
          <w:p>
            <w:pPr>
              <w:ind w:left="40"/>
              <w:spacing w:after="0" w:line="149" w:lineRule="exact"/>
              <w:rPr>
                <w:sz w:val="20"/>
                <w:szCs w:val="20"/>
                <w:color w:val="auto"/>
              </w:rPr>
            </w:pPr>
            <w:r>
              <w:rPr>
                <w:rFonts w:ascii="Times New Roman" w:cs="Times New Roman" w:eastAsia="Times New Roman" w:hAnsi="Times New Roman"/>
                <w:sz w:val="14"/>
                <w:szCs w:val="14"/>
                <w:color w:val="auto"/>
              </w:rPr>
              <w:t>signature guarantee program as may be determined by the Registrar in</w:t>
            </w:r>
          </w:p>
        </w:tc>
        <w:tc>
          <w:tcPr>
            <w:tcW w:w="1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40" w:type="dxa"/>
            <w:vAlign w:val="bottom"/>
          </w:tcPr>
          <w:p>
            <w:pPr>
              <w:spacing w:after="0"/>
              <w:rPr>
                <w:sz w:val="12"/>
                <w:szCs w:val="12"/>
                <w:color w:val="auto"/>
              </w:rPr>
            </w:pPr>
          </w:p>
        </w:tc>
      </w:tr>
      <w:tr>
        <w:trPr>
          <w:trHeight w:val="149"/>
        </w:trPr>
        <w:tc>
          <w:tcPr>
            <w:tcW w:w="4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760" w:type="dxa"/>
            <w:vAlign w:val="bottom"/>
            <w:gridSpan w:val="4"/>
          </w:tcPr>
          <w:p>
            <w:pPr>
              <w:ind w:left="40"/>
              <w:spacing w:after="0" w:line="149" w:lineRule="exact"/>
              <w:rPr>
                <w:sz w:val="20"/>
                <w:szCs w:val="20"/>
                <w:color w:val="auto"/>
              </w:rPr>
            </w:pPr>
            <w:r>
              <w:rPr>
                <w:rFonts w:ascii="Times New Roman" w:cs="Times New Roman" w:eastAsia="Times New Roman" w:hAnsi="Times New Roman"/>
                <w:sz w:val="14"/>
                <w:szCs w:val="14"/>
                <w:color w:val="auto"/>
              </w:rPr>
              <w:t>addition to, or in substitution for, STAMP, SEMP or MSP, all in</w:t>
            </w:r>
          </w:p>
        </w:tc>
        <w:tc>
          <w:tcPr>
            <w:tcW w:w="1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40" w:type="dxa"/>
            <w:vAlign w:val="bottom"/>
          </w:tcPr>
          <w:p>
            <w:pPr>
              <w:spacing w:after="0"/>
              <w:rPr>
                <w:sz w:val="12"/>
                <w:szCs w:val="12"/>
                <w:color w:val="auto"/>
              </w:rPr>
            </w:pPr>
          </w:p>
        </w:tc>
      </w:tr>
      <w:tr>
        <w:trPr>
          <w:trHeight w:val="188"/>
        </w:trPr>
        <w:tc>
          <w:tcPr>
            <w:tcW w:w="4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760" w:type="dxa"/>
            <w:vAlign w:val="bottom"/>
            <w:gridSpan w:val="4"/>
          </w:tcPr>
          <w:p>
            <w:pPr>
              <w:ind w:left="40"/>
              <w:spacing w:after="0"/>
              <w:rPr>
                <w:sz w:val="20"/>
                <w:szCs w:val="20"/>
                <w:color w:val="auto"/>
              </w:rPr>
            </w:pPr>
            <w:r>
              <w:rPr>
                <w:rFonts w:ascii="Times New Roman" w:cs="Times New Roman" w:eastAsia="Times New Roman" w:hAnsi="Times New Roman"/>
                <w:sz w:val="14"/>
                <w:szCs w:val="14"/>
                <w:color w:val="auto"/>
              </w:rPr>
              <w:t>accordance with the Securities Exchange Act of 1934, as amended.)</w:t>
            </w:r>
          </w:p>
        </w:tc>
        <w:tc>
          <w:tcPr>
            <w:tcW w:w="1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40" w:type="dxa"/>
            <w:vAlign w:val="bottom"/>
          </w:tcPr>
          <w:p>
            <w:pPr>
              <w:spacing w:after="0"/>
              <w:rPr>
                <w:sz w:val="16"/>
                <w:szCs w:val="16"/>
                <w:color w:val="auto"/>
              </w:rPr>
            </w:pPr>
          </w:p>
        </w:tc>
      </w:tr>
      <w:tr>
        <w:trPr>
          <w:trHeight w:val="348"/>
        </w:trPr>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540" w:type="dxa"/>
            <w:vAlign w:val="bottom"/>
            <w:gridSpan w:val="2"/>
          </w:tcPr>
          <w:p>
            <w:pPr>
              <w:ind w:left="3820"/>
              <w:spacing w:after="0"/>
              <w:rPr>
                <w:sz w:val="20"/>
                <w:szCs w:val="20"/>
                <w:color w:val="auto"/>
              </w:rPr>
            </w:pPr>
            <w:r>
              <w:rPr>
                <w:rFonts w:ascii="Times New Roman" w:cs="Times New Roman" w:eastAsia="Times New Roman" w:hAnsi="Times New Roman"/>
                <w:sz w:val="18"/>
                <w:szCs w:val="18"/>
                <w:color w:val="auto"/>
              </w:rPr>
              <w:t>A-8</w:t>
            </w:r>
          </w:p>
        </w:tc>
        <w:tc>
          <w:tcPr>
            <w:tcW w:w="1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40" w:type="dxa"/>
            <w:vAlign w:val="bottom"/>
          </w:tcPr>
          <w:p>
            <w:pPr>
              <w:spacing w:after="0"/>
              <w:rPr>
                <w:sz w:val="24"/>
                <w:szCs w:val="24"/>
                <w:color w:val="auto"/>
              </w:rPr>
            </w:pPr>
          </w:p>
        </w:tc>
      </w:tr>
    </w:tbl>
    <w:p>
      <w:pPr>
        <w:sectPr>
          <w:pgSz w:w="11900" w:h="16838" w:orient="portrait"/>
          <w:cols w:equalWidth="0" w:num="1">
            <w:col w:w="11420"/>
          </w:cols>
          <w:pgMar w:left="240" w:top="266" w:right="239" w:bottom="1440" w:gutter="0" w:footer="0" w:header="0"/>
        </w:sectPr>
      </w:pPr>
    </w:p>
    <w:bookmarkStart w:id="40" w:name="page41"/>
    <w:bookmarkEnd w:id="4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740" w:type="dxa"/>
            <w:vAlign w:val="bottom"/>
            <w:gridSpan w:val="8"/>
          </w:tcPr>
          <w:p>
            <w:pPr>
              <w:jc w:val="center"/>
              <w:ind w:left="1290"/>
              <w:spacing w:after="0"/>
              <w:rPr>
                <w:sz w:val="20"/>
                <w:szCs w:val="20"/>
                <w:color w:val="auto"/>
              </w:rPr>
            </w:pPr>
            <w:r>
              <w:rPr>
                <w:rFonts w:ascii="Times New Roman" w:cs="Times New Roman" w:eastAsia="Times New Roman" w:hAnsi="Times New Roman"/>
                <w:sz w:val="18"/>
                <w:szCs w:val="18"/>
                <w:b w:val="1"/>
                <w:bCs w:val="1"/>
                <w:color w:val="auto"/>
              </w:rPr>
              <w:t>SCHEDULE OF INCREASES OR DECREASES IN THE GLOBAL NOTE</w:t>
            </w:r>
            <w:r>
              <w:rPr>
                <w:rFonts w:ascii="Times New Roman" w:cs="Times New Roman" w:eastAsia="Times New Roman" w:hAnsi="Times New Roman"/>
                <w:sz w:val="15"/>
                <w:szCs w:val="15"/>
                <w:b w:val="1"/>
                <w:bCs w:val="1"/>
                <w:color w:val="auto"/>
              </w:rPr>
              <w:t>3</w:t>
            </w:r>
          </w:p>
        </w:tc>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60" w:type="dxa"/>
            <w:vAlign w:val="bottom"/>
          </w:tcPr>
          <w:p>
            <w:pPr>
              <w:spacing w:after="0"/>
              <w:rPr>
                <w:sz w:val="24"/>
                <w:szCs w:val="24"/>
                <w:color w:val="auto"/>
              </w:rPr>
            </w:pPr>
          </w:p>
        </w:tc>
        <w:tc>
          <w:tcPr>
            <w:tcW w:w="4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original principal amount of this Global Note is $</w:t>
            </w:r>
          </w:p>
        </w:tc>
        <w:tc>
          <w:tcPr>
            <w:tcW w:w="6600" w:type="dxa"/>
            <w:vAlign w:val="bottom"/>
            <w:gridSpan w:val="8"/>
          </w:tcPr>
          <w:p>
            <w:pPr>
              <w:ind w:left="240"/>
              <w:spacing w:after="0"/>
              <w:rPr>
                <w:sz w:val="20"/>
                <w:szCs w:val="20"/>
                <w:color w:val="auto"/>
              </w:rPr>
            </w:pPr>
            <w:r>
              <w:rPr>
                <w:rFonts w:ascii="Times New Roman" w:cs="Times New Roman" w:eastAsia="Times New Roman" w:hAnsi="Times New Roman"/>
                <w:sz w:val="18"/>
                <w:szCs w:val="18"/>
                <w:color w:val="auto"/>
              </w:rPr>
              <w:t>. The following increases or decreases in this Global Note have been made:</w:t>
            </w:r>
          </w:p>
        </w:tc>
        <w:tc>
          <w:tcPr>
            <w:tcW w:w="0" w:type="dxa"/>
            <w:vAlign w:val="bottom"/>
          </w:tcPr>
          <w:p>
            <w:pPr>
              <w:spacing w:after="0"/>
              <w:rPr>
                <w:sz w:val="1"/>
                <w:szCs w:val="1"/>
                <w:color w:val="auto"/>
              </w:rPr>
            </w:pPr>
          </w:p>
        </w:tc>
      </w:tr>
      <w:tr>
        <w:trPr>
          <w:trHeight w:val="387"/>
        </w:trPr>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6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 of</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940" w:type="dxa"/>
            <w:vAlign w:val="bottom"/>
            <w:gridSpan w:val="2"/>
            <w:vMerge w:val="restart"/>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56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Amount of</w:t>
            </w: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0" w:type="dxa"/>
            <w:vAlign w:val="bottom"/>
            <w:gridSpan w:val="2"/>
            <w:vMerge w:val="continue"/>
          </w:tcPr>
          <w:p>
            <w:pPr>
              <w:spacing w:after="0"/>
              <w:rPr>
                <w:sz w:val="12"/>
                <w:szCs w:val="12"/>
                <w:color w:val="auto"/>
              </w:rPr>
            </w:pPr>
          </w:p>
        </w:tc>
        <w:tc>
          <w:tcPr>
            <w:tcW w:w="1560" w:type="dxa"/>
            <w:vAlign w:val="bottom"/>
            <w:gridSpan w:val="2"/>
          </w:tcPr>
          <w:p>
            <w:pPr>
              <w:jc w:val="center"/>
              <w:ind w:right="560"/>
              <w:spacing w:after="0" w:line="147" w:lineRule="exact"/>
              <w:rPr>
                <w:sz w:val="20"/>
                <w:szCs w:val="20"/>
                <w:color w:val="auto"/>
              </w:rPr>
            </w:pPr>
            <w:r>
              <w:rPr>
                <w:rFonts w:ascii="Times New Roman" w:cs="Times New Roman" w:eastAsia="Times New Roman" w:hAnsi="Times New Roman"/>
                <w:sz w:val="14"/>
                <w:szCs w:val="14"/>
                <w:b w:val="1"/>
                <w:bCs w:val="1"/>
                <w:color w:val="auto"/>
              </w:rPr>
              <w:t>this Global Note</w:t>
            </w:r>
          </w:p>
        </w:tc>
        <w:tc>
          <w:tcPr>
            <w:tcW w:w="96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authorized</w:t>
            </w:r>
          </w:p>
        </w:tc>
        <w:tc>
          <w:tcPr>
            <w:tcW w:w="0" w:type="dxa"/>
            <w:vAlign w:val="bottom"/>
          </w:tcPr>
          <w:p>
            <w:pPr>
              <w:spacing w:after="0"/>
              <w:rPr>
                <w:sz w:val="1"/>
                <w:szCs w:val="1"/>
                <w:color w:val="auto"/>
              </w:rPr>
            </w:pPr>
          </w:p>
        </w:tc>
      </w:tr>
      <w:tr>
        <w:trPr>
          <w:trHeight w:val="149"/>
        </w:trPr>
        <w:tc>
          <w:tcPr>
            <w:tcW w:w="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940" w:type="dxa"/>
            <w:vAlign w:val="bottom"/>
            <w:gridSpan w:val="2"/>
          </w:tcPr>
          <w:p>
            <w:pPr>
              <w:jc w:val="center"/>
              <w:ind w:left="188"/>
              <w:spacing w:after="0" w:line="149" w:lineRule="exact"/>
              <w:rPr>
                <w:sz w:val="20"/>
                <w:szCs w:val="20"/>
                <w:color w:val="auto"/>
              </w:rPr>
            </w:pPr>
            <w:r>
              <w:rPr>
                <w:rFonts w:ascii="Times New Roman" w:cs="Times New Roman" w:eastAsia="Times New Roman" w:hAnsi="Times New Roman"/>
                <w:sz w:val="14"/>
                <w:szCs w:val="14"/>
                <w:b w:val="1"/>
                <w:bCs w:val="1"/>
                <w:color w:val="auto"/>
              </w:rPr>
              <w:t>decrease in</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increase in</w:t>
            </w:r>
          </w:p>
        </w:tc>
        <w:tc>
          <w:tcPr>
            <w:tcW w:w="156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following such</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signatory of</w:t>
            </w:r>
          </w:p>
        </w:tc>
        <w:tc>
          <w:tcPr>
            <w:tcW w:w="0" w:type="dxa"/>
            <w:vAlign w:val="bottom"/>
          </w:tcPr>
          <w:p>
            <w:pPr>
              <w:spacing w:after="0"/>
              <w:rPr>
                <w:sz w:val="1"/>
                <w:szCs w:val="1"/>
                <w:color w:val="auto"/>
              </w:rPr>
            </w:pPr>
          </w:p>
        </w:tc>
      </w:tr>
      <w:tr>
        <w:trPr>
          <w:trHeight w:val="149"/>
        </w:trPr>
        <w:tc>
          <w:tcPr>
            <w:tcW w:w="4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940" w:type="dxa"/>
            <w:vAlign w:val="bottom"/>
            <w:gridSpan w:val="2"/>
          </w:tcPr>
          <w:p>
            <w:pPr>
              <w:jc w:val="center"/>
              <w:ind w:left="208"/>
              <w:spacing w:after="0" w:line="149" w:lineRule="exact"/>
              <w:rPr>
                <w:sz w:val="20"/>
                <w:szCs w:val="20"/>
                <w:color w:val="auto"/>
              </w:rPr>
            </w:pPr>
            <w:r>
              <w:rPr>
                <w:rFonts w:ascii="Times New Roman" w:cs="Times New Roman" w:eastAsia="Times New Roman" w:hAnsi="Times New Roman"/>
                <w:sz w:val="14"/>
                <w:szCs w:val="14"/>
                <w:b w:val="1"/>
                <w:bCs w:val="1"/>
                <w:color w:val="auto"/>
              </w:rPr>
              <w:t>Principal Amount</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Principal Amount</w:t>
            </w:r>
          </w:p>
        </w:tc>
        <w:tc>
          <w:tcPr>
            <w:tcW w:w="156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Trustee or Note</w:t>
            </w:r>
          </w:p>
        </w:tc>
        <w:tc>
          <w:tcPr>
            <w:tcW w:w="0" w:type="dxa"/>
            <w:vAlign w:val="bottom"/>
          </w:tcPr>
          <w:p>
            <w:pPr>
              <w:spacing w:after="0"/>
              <w:rPr>
                <w:sz w:val="1"/>
                <w:szCs w:val="1"/>
                <w:color w:val="auto"/>
              </w:rPr>
            </w:pPr>
          </w:p>
        </w:tc>
      </w:tr>
      <w:tr>
        <w:trPr>
          <w:trHeight w:val="135"/>
        </w:trPr>
        <w:tc>
          <w:tcPr>
            <w:tcW w:w="600" w:type="dxa"/>
            <w:vAlign w:val="bottom"/>
            <w:tcBorders>
              <w:bottom w:val="single" w:sz="8" w:color="auto"/>
            </w:tcBorders>
            <w:gridSpan w:val="2"/>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Exchange</w:t>
            </w:r>
          </w:p>
        </w:tc>
        <w:tc>
          <w:tcPr>
            <w:tcW w:w="5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940" w:type="dxa"/>
            <w:vAlign w:val="bottom"/>
            <w:gridSpan w:val="2"/>
          </w:tcPr>
          <w:p>
            <w:pPr>
              <w:jc w:val="center"/>
              <w:ind w:left="188"/>
              <w:spacing w:after="0" w:line="129" w:lineRule="exact"/>
              <w:rPr>
                <w:sz w:val="20"/>
                <w:szCs w:val="20"/>
                <w:color w:val="auto"/>
              </w:rPr>
            </w:pPr>
            <w:r>
              <w:rPr>
                <w:rFonts w:ascii="Times New Roman" w:cs="Times New Roman" w:eastAsia="Times New Roman" w:hAnsi="Times New Roman"/>
                <w:sz w:val="14"/>
                <w:szCs w:val="14"/>
                <w:b w:val="1"/>
                <w:bCs w:val="1"/>
                <w:color w:val="auto"/>
              </w:rPr>
              <w:t>of this Global Note</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0" w:type="dxa"/>
            <w:vAlign w:val="bottom"/>
            <w:gridSpan w:val="2"/>
          </w:tcPr>
          <w:p>
            <w:pPr>
              <w:jc w:val="center"/>
              <w:ind w:right="440"/>
              <w:spacing w:after="0" w:line="129" w:lineRule="exact"/>
              <w:rPr>
                <w:sz w:val="20"/>
                <w:szCs w:val="20"/>
                <w:color w:val="auto"/>
              </w:rPr>
            </w:pPr>
            <w:r>
              <w:rPr>
                <w:rFonts w:ascii="Times New Roman" w:cs="Times New Roman" w:eastAsia="Times New Roman" w:hAnsi="Times New Roman"/>
                <w:sz w:val="14"/>
                <w:szCs w:val="14"/>
                <w:b w:val="1"/>
                <w:bCs w:val="1"/>
                <w:color w:val="auto"/>
              </w:rPr>
              <w:t>of this Global Note</w:t>
            </w:r>
          </w:p>
        </w:tc>
        <w:tc>
          <w:tcPr>
            <w:tcW w:w="1560" w:type="dxa"/>
            <w:vAlign w:val="bottom"/>
            <w:gridSpan w:val="2"/>
          </w:tcPr>
          <w:p>
            <w:pPr>
              <w:jc w:val="center"/>
              <w:ind w:right="560"/>
              <w:spacing w:after="0" w:line="129" w:lineRule="exact"/>
              <w:rPr>
                <w:sz w:val="20"/>
                <w:szCs w:val="20"/>
                <w:color w:val="auto"/>
              </w:rPr>
            </w:pPr>
            <w:r>
              <w:rPr>
                <w:rFonts w:ascii="Times New Roman" w:cs="Times New Roman" w:eastAsia="Times New Roman" w:hAnsi="Times New Roman"/>
                <w:sz w:val="14"/>
                <w:szCs w:val="14"/>
                <w:b w:val="1"/>
                <w:bCs w:val="1"/>
                <w:color w:val="auto"/>
              </w:rPr>
              <w:t>(or increase)</w:t>
            </w:r>
          </w:p>
        </w:tc>
        <w:tc>
          <w:tcPr>
            <w:tcW w:w="9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Custodian</w:t>
            </w:r>
          </w:p>
        </w:tc>
        <w:tc>
          <w:tcPr>
            <w:tcW w:w="0" w:type="dxa"/>
            <w:vAlign w:val="bottom"/>
          </w:tcPr>
          <w:p>
            <w:pPr>
              <w:spacing w:after="0"/>
              <w:rPr>
                <w:sz w:val="1"/>
                <w:szCs w:val="1"/>
                <w:color w:val="auto"/>
              </w:rPr>
            </w:pPr>
          </w:p>
        </w:tc>
      </w:tr>
      <w:tr>
        <w:trPr>
          <w:trHeight w:val="21"/>
        </w:trPr>
        <w:tc>
          <w:tcPr>
            <w:tcW w:w="4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gridSpan w:val="2"/>
          </w:tcPr>
          <w:p>
            <w:pPr>
              <w:spacing w:after="0"/>
              <w:rPr>
                <w:sz w:val="21"/>
                <w:szCs w:val="21"/>
                <w:color w:val="auto"/>
              </w:rPr>
            </w:pPr>
          </w:p>
        </w:tc>
        <w:tc>
          <w:tcPr>
            <w:tcW w:w="3180" w:type="dxa"/>
            <w:vAlign w:val="bottom"/>
            <w:gridSpan w:val="2"/>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60" w:type="dxa"/>
            <w:vAlign w:val="bottom"/>
          </w:tcPr>
          <w:p>
            <w:pPr>
              <w:spacing w:after="0"/>
              <w:rPr>
                <w:sz w:val="20"/>
                <w:szCs w:val="20"/>
                <w:color w:val="auto"/>
              </w:rPr>
            </w:pPr>
            <w:r>
              <w:rPr>
                <w:rFonts w:ascii="Times New Roman" w:cs="Times New Roman" w:eastAsia="Times New Roman" w:hAnsi="Times New Roman"/>
                <w:sz w:val="15"/>
                <w:szCs w:val="15"/>
                <w:color w:val="auto"/>
              </w:rPr>
              <w:t>3</w:t>
            </w:r>
          </w:p>
        </w:tc>
        <w:tc>
          <w:tcPr>
            <w:tcW w:w="4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To be included only if the Note is issued in global form.</w:t>
            </w: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5"/>
        </w:trPr>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0" w:type="dxa"/>
            <w:vAlign w:val="bottom"/>
            <w:gridSpan w:val="3"/>
          </w:tcPr>
          <w:p>
            <w:pPr>
              <w:jc w:val="center"/>
              <w:ind w:right="2560"/>
              <w:spacing w:after="0"/>
              <w:rPr>
                <w:sz w:val="20"/>
                <w:szCs w:val="20"/>
                <w:color w:val="auto"/>
              </w:rPr>
            </w:pPr>
            <w:r>
              <w:rPr>
                <w:rFonts w:ascii="Times New Roman" w:cs="Times New Roman" w:eastAsia="Times New Roman" w:hAnsi="Times New Roman"/>
                <w:sz w:val="18"/>
                <w:szCs w:val="18"/>
                <w:color w:val="auto"/>
                <w:w w:val="99"/>
              </w:rPr>
              <w:t>A-9</w:t>
            </w: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6" w:right="239" w:bottom="1440" w:gutter="0" w:footer="0" w:header="0"/>
        </w:sectPr>
      </w:pPr>
    </w:p>
    <w:bookmarkStart w:id="41" w:name="page42"/>
    <w:bookmarkEnd w:id="4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207"/>
        </w:trPr>
        <w:tc>
          <w:tcPr>
            <w:tcW w:w="5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EXHIBIT B</w:t>
            </w:r>
          </w:p>
        </w:tc>
      </w:tr>
      <w:tr>
        <w:trPr>
          <w:trHeight w:val="453"/>
        </w:trPr>
        <w:tc>
          <w:tcPr>
            <w:tcW w:w="10960" w:type="dxa"/>
            <w:vAlign w:val="bottom"/>
            <w:gridSpan w:val="4"/>
          </w:tcPr>
          <w:p>
            <w:pPr>
              <w:ind w:left="3600"/>
              <w:spacing w:after="0"/>
              <w:rPr>
                <w:sz w:val="20"/>
                <w:szCs w:val="20"/>
                <w:color w:val="auto"/>
              </w:rPr>
            </w:pPr>
            <w:r>
              <w:rPr>
                <w:rFonts w:ascii="Times New Roman" w:cs="Times New Roman" w:eastAsia="Times New Roman" w:hAnsi="Times New Roman"/>
                <w:sz w:val="18"/>
                <w:szCs w:val="18"/>
                <w:color w:val="auto"/>
              </w:rPr>
              <w:t>FORM OF SUPPLEMENTAL INDENTURE</w:t>
            </w:r>
          </w:p>
        </w:tc>
      </w:tr>
      <w:tr>
        <w:trPr>
          <w:trHeight w:val="392"/>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INDENTURE (this “Supplemental Indenture”), dated as of</w:t>
            </w:r>
          </w:p>
        </w:tc>
        <w:tc>
          <w:tcPr>
            <w:tcW w:w="900" w:type="dxa"/>
            <w:vAlign w:val="bottom"/>
            <w:tcBorders>
              <w:bottom w:val="single" w:sz="8" w:color="auto"/>
            </w:tcBorders>
          </w:tcPr>
          <w:p>
            <w:pPr>
              <w:spacing w:after="0"/>
              <w:rPr>
                <w:sz w:val="24"/>
                <w:szCs w:val="24"/>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among Plains All American Pipeline, L.P., a Delaware</w:t>
            </w:r>
          </w:p>
        </w:tc>
      </w:tr>
    </w:tbl>
    <w:p>
      <w:pPr>
        <w:spacing w:after="0" w:line="9" w:lineRule="exact"/>
        <w:rPr>
          <w:sz w:val="20"/>
          <w:szCs w:val="20"/>
          <w:color w:val="auto"/>
        </w:rPr>
      </w:pPr>
    </w:p>
    <w:p>
      <w:pPr>
        <w:ind w:left="540" w:right="280" w:hanging="539"/>
        <w:spacing w:after="0" w:line="276" w:lineRule="auto"/>
        <w:rPr>
          <w:sz w:val="20"/>
          <w:szCs w:val="20"/>
          <w:color w:val="auto"/>
        </w:rPr>
      </w:pPr>
      <w:r>
        <w:rPr>
          <w:rFonts w:ascii="Times New Roman" w:cs="Times New Roman" w:eastAsia="Times New Roman" w:hAnsi="Times New Roman"/>
          <w:sz w:val="17"/>
          <w:szCs w:val="17"/>
          <w:color w:val="auto"/>
        </w:rPr>
        <w:t>limited partnership (the “Partnership”), PAA Finance Corp., a Delaware corporation (“PAA Finance” and, together with the Partnership, the “Issuers”), (the “Subsidiary Guarantor”), a direct or indirect subsidiary of Plains All American Pipeline, L.P. (or its successor), a Delaware limited partnership</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“Partnership”), and U.S. Bank National Association, as trustee under the indenture referred to below (the “Trustee”).</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5"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WHEREAS, the Issuers have heretofore executed and delivered to the Trustee an indenture (the “Original Indenture”), dated as of September 25, 2002, as supplemented by the Twenty-Sixth Supplemental Indenture (the “Twenty-Sixth Supplemental Indenture” and, together with the Original Indenture, the “Indenture”) dated as of September 9, 2014, among the Issuers and the Trustee, providing for the issuance of the Issuers’ 3.60% Senior Notes due 2024 (the “Notes”);</w:t>
      </w:r>
    </w:p>
    <w:p>
      <w:pPr>
        <w:spacing w:after="0" w:line="180" w:lineRule="exact"/>
        <w:rPr>
          <w:sz w:val="20"/>
          <w:szCs w:val="20"/>
          <w:color w:val="auto"/>
        </w:rPr>
      </w:pPr>
    </w:p>
    <w:p>
      <w:pPr>
        <w:ind w:right="240" w:firstLine="456"/>
        <w:spacing w:after="0" w:line="266" w:lineRule="auto"/>
        <w:rPr>
          <w:sz w:val="20"/>
          <w:szCs w:val="20"/>
          <w:color w:val="auto"/>
        </w:rPr>
      </w:pPr>
      <w:r>
        <w:rPr>
          <w:rFonts w:ascii="Times New Roman" w:cs="Times New Roman" w:eastAsia="Times New Roman" w:hAnsi="Times New Roman"/>
          <w:sz w:val="18"/>
          <w:szCs w:val="18"/>
          <w:color w:val="auto"/>
        </w:rPr>
        <w:t>WHEREAS, Section 5.05 of the Twenty-Sixth Supplemental Indenture provides that under certain circumstances the Partnership is required to cause the Subsidiary Guarantor to execute and deliver to the Trustee a supplemental indenture pursuant to which the Subsidiary Guarantor shall unconditionally guarantee all of the Issuers’ obligations under the Notes pursuant to a Guarantee on the terms and conditions set forth herein; and</w:t>
      </w:r>
    </w:p>
    <w:p>
      <w:pPr>
        <w:spacing w:after="0" w:line="176" w:lineRule="exact"/>
        <w:rPr>
          <w:sz w:val="20"/>
          <w:szCs w:val="20"/>
          <w:color w:val="auto"/>
        </w:rPr>
      </w:pPr>
    </w:p>
    <w:p>
      <w:pPr>
        <w:ind w:right="360" w:firstLine="456"/>
        <w:spacing w:after="0" w:line="282" w:lineRule="auto"/>
        <w:rPr>
          <w:sz w:val="20"/>
          <w:szCs w:val="20"/>
          <w:color w:val="auto"/>
        </w:rPr>
      </w:pPr>
      <w:r>
        <w:rPr>
          <w:rFonts w:ascii="Times New Roman" w:cs="Times New Roman" w:eastAsia="Times New Roman" w:hAnsi="Times New Roman"/>
          <w:sz w:val="18"/>
          <w:szCs w:val="18"/>
          <w:color w:val="auto"/>
        </w:rPr>
        <w:t>WHEREAS, pursuant to Section 9.01 of the Original Indenture, the Issuers and the Trustee are authorized to execute and deliver this Supplemental Indenture;</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NOW THEREFORE, in consideration of the foregoing and for other good and valuable consideration, the receipt of which is hereby acknowledged,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Issuers, the Subsidiary Guarantor and the Trustee mutually covenant and agree for the equal and ratable benefit of the holders of the Notes as follows:</w:t>
      </w:r>
    </w:p>
    <w:p>
      <w:pPr>
        <w:spacing w:after="0" w:line="207" w:lineRule="exact"/>
        <w:rPr>
          <w:sz w:val="20"/>
          <w:szCs w:val="20"/>
          <w:color w:val="auto"/>
        </w:rPr>
      </w:pPr>
    </w:p>
    <w:p>
      <w:pPr>
        <w:ind w:left="680" w:hanging="216"/>
        <w:spacing w:after="0"/>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p>
    <w:p>
      <w:pPr>
        <w:spacing w:after="0" w:line="225" w:lineRule="exact"/>
        <w:rPr>
          <w:sz w:val="20"/>
          <w:szCs w:val="20"/>
          <w:color w:val="auto"/>
        </w:rPr>
      </w:pPr>
    </w:p>
    <w:p>
      <w:pPr>
        <w:ind w:left="760" w:hanging="296"/>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terms used herein without definition shall have the meanings assigned to them in the Indenture.</w:t>
      </w:r>
    </w:p>
    <w:p>
      <w:pPr>
        <w:spacing w:after="0" w:line="225" w:lineRule="exact"/>
        <w:rPr>
          <w:rFonts w:ascii="Times New Roman" w:cs="Times New Roman" w:eastAsia="Times New Roman" w:hAnsi="Times New Roman"/>
          <w:sz w:val="18"/>
          <w:szCs w:val="18"/>
          <w:color w:val="auto"/>
        </w:rPr>
      </w:pPr>
    </w:p>
    <w:p>
      <w:pPr>
        <w:ind w:right="180" w:firstLine="464"/>
        <w:spacing w:after="0" w:line="261" w:lineRule="auto"/>
        <w:tabs>
          <w:tab w:leader="none" w:pos="75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purposes of this Supplemental Indenture, except as otherwise herein expressly provided or unless the context otherwise requires: (i) the terms and expressions used herein shall have the same meanings as corresponding terms and expressions used in the Indenture; and (ii) the words “herein,” “hereof” and “hereby” and other words of similar import used in this Supplemental Indenture refer to this Supplemental Indenture as a whole and not to any particular section hereof.</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1420"/>
          </w:cols>
          <w:pgMar w:left="240" w:top="257" w:right="239" w:bottom="1440" w:gutter="0" w:footer="0" w:header="0"/>
        </w:sectPr>
      </w:pPr>
    </w:p>
    <w:bookmarkStart w:id="42" w:name="page43"/>
    <w:bookmarkEnd w:id="42"/>
    <w:p>
      <w:pPr>
        <w:ind w:left="-40" w:right="20" w:firstLine="464"/>
        <w:spacing w:after="0" w:line="258" w:lineRule="auto"/>
        <w:tabs>
          <w:tab w:leader="none" w:pos="64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to Guarantee.</w:t>
      </w:r>
      <w:r>
        <w:rPr>
          <w:rFonts w:ascii="Times New Roman" w:cs="Times New Roman" w:eastAsia="Times New Roman" w:hAnsi="Times New Roman"/>
          <w:sz w:val="18"/>
          <w:szCs w:val="18"/>
          <w:color w:val="auto"/>
        </w:rPr>
        <w:t xml:space="preserve"> The Subsidiary Guarantor hereby agrees, jointly and severally with all other Subsidiary Guarantors under the Indenture, if any, to guarantee the Issuers’ obligations under the Notes on the terms and subject to the conditions set forth in Article IX of the Twenty-Sixth Supplemental Indenture and to be bound by all other applicable provisions of the Indenture. Except as expressly amended hereby, the Indenture is in all respects ratified and confirmed and all the terms, conditions and provisions thereof shall remain in full force and effect. This Supplemental Indenture shall form a part of the Indenture for all purposes, and every holder of Notes heretofore or hereafter authenticated and delivered shall be bound hereby.</w:t>
      </w:r>
    </w:p>
    <w:p>
      <w:pPr>
        <w:spacing w:after="0" w:line="179" w:lineRule="exact"/>
        <w:rPr>
          <w:rFonts w:ascii="Times New Roman" w:cs="Times New Roman" w:eastAsia="Times New Roman" w:hAnsi="Times New Roman"/>
          <w:sz w:val="18"/>
          <w:szCs w:val="18"/>
          <w:color w:val="auto"/>
        </w:rPr>
      </w:pPr>
    </w:p>
    <w:p>
      <w:pPr>
        <w:ind w:left="-40" w:firstLine="464"/>
        <w:spacing w:after="0" w:line="286" w:lineRule="auto"/>
        <w:tabs>
          <w:tab w:leader="none" w:pos="64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b w:val="1"/>
          <w:bCs w:val="1"/>
          <w:color w:val="auto"/>
        </w:rPr>
        <w:t xml:space="preserve"> THIS SUPPLEMENTAL INDENTURE SHALL BE DEEMED TO BE A NEW YORK CONTRACT, AND FOR ALL PURPOSES SHALL BE CONSTRUED IN ACCORDANCE WITH, THE LAWS OF THE STATE OF NEW YORK.</w:t>
      </w:r>
    </w:p>
    <w:p>
      <w:pPr>
        <w:spacing w:after="0" w:line="158" w:lineRule="exact"/>
        <w:rPr>
          <w:rFonts w:ascii="Times New Roman" w:cs="Times New Roman" w:eastAsia="Times New Roman" w:hAnsi="Times New Roman"/>
          <w:sz w:val="18"/>
          <w:szCs w:val="18"/>
          <w:color w:val="auto"/>
        </w:rPr>
      </w:pPr>
    </w:p>
    <w:p>
      <w:pPr>
        <w:ind w:left="640" w:hanging="216"/>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Trustee Makes No Representation.</w:t>
      </w:r>
      <w:r>
        <w:rPr>
          <w:rFonts w:ascii="Times New Roman" w:cs="Times New Roman" w:eastAsia="Times New Roman" w:hAnsi="Times New Roman"/>
          <w:sz w:val="18"/>
          <w:szCs w:val="18"/>
          <w:color w:val="auto"/>
        </w:rPr>
        <w:t xml:space="preserve"> The Trustee makes no representation as to the validity or sufficiency of this Supplemental Indenture.</w:t>
      </w:r>
    </w:p>
    <w:p>
      <w:pPr>
        <w:spacing w:after="0" w:line="225" w:lineRule="exact"/>
        <w:rPr>
          <w:rFonts w:ascii="Times New Roman" w:cs="Times New Roman" w:eastAsia="Times New Roman" w:hAnsi="Times New Roman"/>
          <w:sz w:val="18"/>
          <w:szCs w:val="18"/>
          <w:color w:val="auto"/>
        </w:rPr>
      </w:pPr>
    </w:p>
    <w:p>
      <w:pPr>
        <w:ind w:left="-40" w:right="400" w:firstLine="464"/>
        <w:spacing w:after="0" w:line="282" w:lineRule="auto"/>
        <w:tabs>
          <w:tab w:leader="none" w:pos="64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xml:space="preserve"> The parties may sign any number of copies of this Supplemental Indenture. Each signed copy shall be an original, but all of them together represent the same agreement.</w:t>
      </w:r>
    </w:p>
    <w:p>
      <w:pPr>
        <w:spacing w:after="0" w:line="161" w:lineRule="exact"/>
        <w:rPr>
          <w:rFonts w:ascii="Times New Roman" w:cs="Times New Roman" w:eastAsia="Times New Roman" w:hAnsi="Times New Roman"/>
          <w:sz w:val="18"/>
          <w:szCs w:val="18"/>
          <w:color w:val="auto"/>
        </w:rPr>
      </w:pPr>
    </w:p>
    <w:p>
      <w:pPr>
        <w:ind w:left="640" w:hanging="216"/>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Headings.</w:t>
      </w:r>
      <w:r>
        <w:rPr>
          <w:rFonts w:ascii="Times New Roman" w:cs="Times New Roman" w:eastAsia="Times New Roman" w:hAnsi="Times New Roman"/>
          <w:sz w:val="18"/>
          <w:szCs w:val="18"/>
          <w:color w:val="auto"/>
        </w:rPr>
        <w:t xml:space="preserve"> The Section headings herein are for convenience only and shall not effect the construction thereof.</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w:t>
      </w:r>
    </w:p>
    <w:p>
      <w:pPr>
        <w:sectPr>
          <w:pgSz w:w="11900" w:h="16838" w:orient="portrait"/>
          <w:cols w:equalWidth="0" w:num="1">
            <w:col w:w="11360"/>
          </w:cols>
          <w:pgMar w:left="280" w:top="270" w:right="2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caused this Supplemental Indenture to be duly executed as of the date first above written.</w:t>
      </w:r>
    </w:p>
    <w:p>
      <w:pPr>
        <w:spacing w:after="0" w:line="252"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PLAINS ALL AMERICAN PIPELINE, L.P.</w:t>
      </w:r>
    </w:p>
    <w:p>
      <w:pPr>
        <w:spacing w:after="0" w:line="225" w:lineRule="exact"/>
        <w:rPr>
          <w:sz w:val="20"/>
          <w:szCs w:val="20"/>
          <w:color w:val="auto"/>
        </w:rPr>
      </w:pPr>
    </w:p>
    <w:tbl>
      <w:tblPr>
        <w:tblLayout w:type="fixed"/>
        <w:tblInd w:w="640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PAA GP LLC, its General Partner</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Plains AAP, L.P., its Sole Member</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Plains All American GP LLC, its General Partner</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spacing w:after="0"/>
              <w:rPr>
                <w:sz w:val="24"/>
                <w:szCs w:val="24"/>
                <w:color w:val="auto"/>
              </w:rPr>
            </w:pPr>
          </w:p>
        </w:tc>
      </w:tr>
      <w:tr>
        <w:trPr>
          <w:trHeight w:val="191"/>
        </w:trPr>
        <w:tc>
          <w:tcPr>
            <w:tcW w:w="5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020" w:type="dxa"/>
            <w:vAlign w:val="bottom"/>
          </w:tcPr>
          <w:p>
            <w:pPr>
              <w:spacing w:after="0"/>
              <w:rPr>
                <w:sz w:val="16"/>
                <w:szCs w:val="16"/>
                <w:color w:val="auto"/>
              </w:rPr>
            </w:pPr>
          </w:p>
        </w:tc>
      </w:t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spacing w:after="0"/>
              <w:rPr>
                <w:sz w:val="20"/>
                <w:szCs w:val="20"/>
                <w:color w:val="auto"/>
              </w:rPr>
            </w:pPr>
          </w:p>
        </w:tc>
      </w:tr>
    </w:tbl>
    <w:p>
      <w:pPr>
        <w:spacing w:after="0" w:line="200" w:lineRule="exact"/>
        <w:rPr>
          <w:sz w:val="20"/>
          <w:szCs w:val="20"/>
          <w:color w:val="auto"/>
        </w:rPr>
      </w:pPr>
    </w:p>
    <w:p>
      <w:pPr>
        <w:spacing w:after="0" w:line="214"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PAA FINANCE CORP.</w:t>
      </w:r>
    </w:p>
    <w:p>
      <w:pPr>
        <w:spacing w:after="0" w:line="225"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4403725</wp:posOffset>
            </wp:positionH>
            <wp:positionV relativeFrom="paragraph">
              <wp:posOffset>-130810</wp:posOffset>
            </wp:positionV>
            <wp:extent cx="25558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ind w:left="640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36"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[SUBSIDIARY GUARANTOR],</w:t>
      </w:r>
    </w:p>
    <w:p>
      <w:pPr>
        <w:spacing w:after="0" w:line="225"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4403725</wp:posOffset>
            </wp:positionH>
            <wp:positionV relativeFrom="paragraph">
              <wp:posOffset>-130810</wp:posOffset>
            </wp:positionV>
            <wp:extent cx="255587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ind w:left="640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36"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U.S. BANK NATIONAL ASSOCIATION, as Trustee</w:t>
      </w:r>
    </w:p>
    <w:p>
      <w:pPr>
        <w:spacing w:after="0" w:line="225"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4403725</wp:posOffset>
            </wp:positionH>
            <wp:positionV relativeFrom="paragraph">
              <wp:posOffset>-130810</wp:posOffset>
            </wp:positionV>
            <wp:extent cx="255587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ind w:left="6400"/>
        <w:spacing w:after="0"/>
        <w:rPr>
          <w:sz w:val="20"/>
          <w:szCs w:val="20"/>
          <w:color w:val="auto"/>
        </w:rPr>
      </w:pPr>
      <w:r>
        <w:rPr>
          <w:rFonts w:ascii="Times New Roman" w:cs="Times New Roman" w:eastAsia="Times New Roman" w:hAnsi="Times New Roman"/>
          <w:sz w:val="18"/>
          <w:szCs w:val="18"/>
          <w:color w:val="auto"/>
        </w:rPr>
        <w:t>Title:</w:t>
      </w:r>
    </w:p>
    <w:p>
      <w:pPr>
        <w:spacing w:after="0" w:line="15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B-3</w:t>
      </w:r>
    </w:p>
    <w:sectPr>
      <w:pgSz w:w="11900" w:h="16838" w:orient="portrait"/>
      <w:cols w:equalWidth="0" w:num="1">
        <w:col w:w="10960"/>
      </w:cols>
      <w:pgMar w:left="70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lvl w:ilvl="1">
      <w:lvlJc w:val="left"/>
      <w:lvlText w:val="•"/>
      <w:numFmt w:val="bullet"/>
      <w:start w:val="1"/>
    </w:lvl>
  </w:abstractNum>
  <w:abstractNum w:abstractNumId="2">
    <w:nsid w:val="721DA317"/>
    <w:multiLevelType w:val="hybridMultilevel"/>
    <w:lvl w:ilvl="0">
      <w:lvlJc w:val="left"/>
      <w:lvlText w:val="(%1)"/>
      <w:numFmt w:val="lowerLetter"/>
      <w:start w:val="1"/>
    </w:lvl>
  </w:abstractNum>
  <w:abstractNum w:abstractNumId="3">
    <w:nsid w:val="2443A858"/>
    <w:multiLevelType w:val="hybridMultilevel"/>
    <w:lvl w:ilvl="0">
      <w:lvlJc w:val="left"/>
      <w:lvlText w:val="(%1)"/>
      <w:numFmt w:val="lowerLetter"/>
      <w:start w:val="2"/>
    </w:lvl>
  </w:abstractNum>
  <w:abstractNum w:abstractNumId="4">
    <w:nsid w:val="2D1D5AE9"/>
    <w:multiLevelType w:val="hybridMultilevel"/>
    <w:lvl w:ilvl="0">
      <w:lvlJc w:val="left"/>
      <w:lvlText w:val="(%1)"/>
      <w:numFmt w:val="decimal"/>
      <w:start w:val="1"/>
    </w:lvl>
  </w:abstractNum>
  <w:abstractNum w:abstractNumId="5">
    <w:nsid w:val="6763845E"/>
    <w:multiLevelType w:val="hybridMultilevel"/>
    <w:lvl w:ilvl="0">
      <w:lvlJc w:val="left"/>
      <w:lvlText w:val="(%1)"/>
      <w:numFmt w:val="decimal"/>
      <w:start w:val="11"/>
    </w:lvl>
  </w:abstractNum>
  <w:abstractNum w:abstractNumId="6">
    <w:nsid w:val="75A2A8D4"/>
    <w:multiLevelType w:val="hybridMultilevel"/>
    <w:lvl w:ilvl="0">
      <w:lvlJc w:val="left"/>
      <w:lvlText w:val="(%1)"/>
      <w:numFmt w:val="decimal"/>
      <w:start w:val="18"/>
    </w:lvl>
  </w:abstractNum>
  <w:abstractNum w:abstractNumId="7">
    <w:nsid w:val="8EDBDAB"/>
    <w:multiLevelType w:val="hybridMultilevel"/>
    <w:lvl w:ilvl="0">
      <w:lvlJc w:val="left"/>
      <w:lvlText w:val="(%1)"/>
      <w:numFmt w:val="decimal"/>
      <w:start w:val="2"/>
    </w:lvl>
  </w:abstractNum>
  <w:abstractNum w:abstractNumId="8">
    <w:nsid w:val="79838CB2"/>
    <w:multiLevelType w:val="hybridMultilevel"/>
    <w:lvl w:ilvl="0">
      <w:lvlJc w:val="left"/>
      <w:lvlText w:val="(%1)"/>
      <w:numFmt w:val="decimal"/>
      <w:start w:val="2"/>
    </w:lvl>
  </w:abstractNum>
  <w:abstractNum w:abstractNumId="9">
    <w:nsid w:val="4353D0CD"/>
    <w:multiLevelType w:val="hybridMultilevel"/>
    <w:lvl w:ilvl="0">
      <w:lvlJc w:val="left"/>
      <w:lvlText w:val="(%1)"/>
      <w:numFmt w:val="decimal"/>
      <w:start w:val="1"/>
    </w:lvl>
  </w:abstractNum>
  <w:abstractNum w:abstractNumId="10">
    <w:nsid w:val="B03E0C6"/>
    <w:multiLevelType w:val="hybridMultilevel"/>
    <w:lvl w:ilvl="0">
      <w:lvlJc w:val="left"/>
      <w:lvlText w:val="(%1)"/>
      <w:numFmt w:val="lowerLetter"/>
      <w:start w:val="1"/>
    </w:lvl>
  </w:abstractNum>
  <w:abstractNum w:abstractNumId="11">
    <w:nsid w:val="189A769B"/>
    <w:multiLevelType w:val="hybridMultilevel"/>
    <w:lvl w:ilvl="0">
      <w:lvlJc w:val="left"/>
      <w:lvlText w:val="(%1)"/>
      <w:numFmt w:val="lowerLetter"/>
      <w:start w:val="2"/>
    </w:lvl>
  </w:abstractNum>
  <w:abstractNum w:abstractNumId="12">
    <w:nsid w:val="54E49EB4"/>
    <w:multiLevelType w:val="hybridMultilevel"/>
    <w:lvl w:ilvl="0">
      <w:lvlJc w:val="left"/>
      <w:lvlText w:val="(%1)"/>
      <w:numFmt w:val="lowerLetter"/>
      <w:start w:val="1"/>
    </w:lvl>
  </w:abstractNum>
  <w:abstractNum w:abstractNumId="13">
    <w:nsid w:val="71F32454"/>
    <w:multiLevelType w:val="hybridMultilevel"/>
    <w:lvl w:ilvl="0">
      <w:lvlJc w:val="left"/>
      <w:lvlText w:val="(%1)"/>
      <w:numFmt w:val="lowerRoman"/>
      <w:start w:val="1"/>
    </w:lvl>
  </w:abstractNum>
  <w:abstractNum w:abstractNumId="14">
    <w:nsid w:val="2CA88611"/>
    <w:multiLevelType w:val="hybridMultilevel"/>
    <w:lvl w:ilvl="0">
      <w:lvlJc w:val="left"/>
      <w:lvlText w:val="(%1)"/>
      <w:numFmt w:val="lowerLetter"/>
      <w:start w:val="1"/>
    </w:lvl>
  </w:abstractNum>
  <w:abstractNum w:abstractNumId="15">
    <w:nsid w:val="836C40E"/>
    <w:multiLevelType w:val="hybridMultilevel"/>
    <w:lvl w:ilvl="0">
      <w:lvlJc w:val="left"/>
      <w:lvlText w:val="(%1)"/>
      <w:numFmt w:val="lowerLetter"/>
      <w:start w:val="1"/>
    </w:lvl>
  </w:abstractNum>
  <w:abstractNum w:abstractNumId="16">
    <w:nsid w:val="2901D82"/>
    <w:multiLevelType w:val="hybridMultilevel"/>
    <w:lvl w:ilvl="0">
      <w:lvlJc w:val="left"/>
      <w:lvlText w:val="(%1)"/>
      <w:numFmt w:val="lowerLetter"/>
      <w:start w:val="1"/>
    </w:lvl>
    <w:lvl w:ilvl="1">
      <w:lvlJc w:val="left"/>
      <w:lvlText w:val="(%2)"/>
      <w:numFmt w:val="lowerLetter"/>
      <w:start w:val="9"/>
    </w:lvl>
  </w:abstractNum>
  <w:abstractNum w:abstractNumId="17">
    <w:nsid w:val="3A95F874"/>
    <w:multiLevelType w:val="hybridMultilevel"/>
    <w:lvl w:ilvl="0">
      <w:lvlJc w:val="left"/>
      <w:lvlText w:val="(%1)"/>
      <w:numFmt w:val="lowerRoman"/>
      <w:start w:val="2"/>
    </w:lvl>
    <w:lvl w:ilvl="1">
      <w:lvlJc w:val="left"/>
      <w:lvlText w:val="(%2)"/>
      <w:numFmt w:val="upperLetter"/>
      <w:start w:val="1"/>
    </w:lvl>
  </w:abstractNum>
  <w:abstractNum w:abstractNumId="18">
    <w:nsid w:val="8138641"/>
    <w:multiLevelType w:val="hybridMultilevel"/>
    <w:lvl w:ilvl="0">
      <w:lvlJc w:val="left"/>
      <w:lvlText w:val="%1"/>
      <w:numFmt w:val="lowerRoman"/>
      <w:start w:val="1"/>
    </w:lvl>
    <w:lvl w:ilvl="1">
      <w:lvlJc w:val="left"/>
      <w:lvlText w:val="(%2)"/>
      <w:numFmt w:val="upperLetter"/>
      <w:start w:val="4"/>
    </w:lvl>
  </w:abstractNum>
  <w:abstractNum w:abstractNumId="19">
    <w:nsid w:val="1E7FF521"/>
    <w:multiLevelType w:val="hybridMultilevel"/>
    <w:lvl w:ilvl="0">
      <w:lvlJc w:val="left"/>
      <w:lvlText w:val="(%1)"/>
      <w:numFmt w:val="lowerRoman"/>
      <w:start w:val="7"/>
    </w:lvl>
    <w:lvl w:ilvl="1">
      <w:lvlJc w:val="left"/>
      <w:lvlText w:val="(%2)"/>
      <w:numFmt w:val="upperLetter"/>
      <w:start w:val="1"/>
    </w:lvl>
  </w:abstractNum>
  <w:abstractNum w:abstractNumId="20">
    <w:nsid w:val="7C3DBD3D"/>
    <w:multiLevelType w:val="hybridMultilevel"/>
    <w:lvl w:ilvl="0">
      <w:lvlJc w:val="left"/>
      <w:lvlText w:val="(%1)"/>
      <w:numFmt w:val="lowerLetter"/>
      <w:start w:val="2"/>
    </w:lvl>
  </w:abstractNum>
  <w:abstractNum w:abstractNumId="21">
    <w:nsid w:val="737B8DDC"/>
    <w:multiLevelType w:val="hybridMultilevel"/>
    <w:lvl w:ilvl="0">
      <w:lvlJc w:val="left"/>
      <w:lvlText w:val="(%1)"/>
      <w:numFmt w:val="lowerLetter"/>
      <w:start w:val="1"/>
    </w:lvl>
  </w:abstractNum>
  <w:abstractNum w:abstractNumId="22">
    <w:nsid w:val="6CEAF087"/>
    <w:multiLevelType w:val="hybridMultilevel"/>
    <w:lvl w:ilvl="0">
      <w:lvlJc w:val="left"/>
      <w:lvlText w:val="%1"/>
      <w:numFmt w:val="lowerRoman"/>
      <w:start w:val="1"/>
    </w:lvl>
    <w:lvl w:ilvl="1">
      <w:lvlJc w:val="left"/>
      <w:lvlText w:val="(%2)"/>
      <w:numFmt w:val="lowerLetter"/>
      <w:start w:val="1"/>
    </w:lvl>
  </w:abstractNum>
  <w:abstractNum w:abstractNumId="23">
    <w:nsid w:val="22221A70"/>
    <w:multiLevelType w:val="hybridMultilevel"/>
    <w:lvl w:ilvl="0">
      <w:lvlJc w:val="left"/>
      <w:lvlText w:val="(%1)"/>
      <w:numFmt w:val="lowerRoman"/>
      <w:start w:val="7"/>
    </w:lvl>
    <w:lvl w:ilvl="1">
      <w:lvlJc w:val="left"/>
      <w:lvlText w:val="(%2)"/>
      <w:numFmt w:val="lowerLetter"/>
      <w:start w:val="5"/>
    </w:lvl>
  </w:abstractNum>
  <w:abstractNum w:abstractNumId="24">
    <w:nsid w:val="4516DDE9"/>
    <w:multiLevelType w:val="hybridMultilevel"/>
    <w:lvl w:ilvl="0">
      <w:lvlJc w:val="left"/>
      <w:lvlText w:val="(%1)"/>
      <w:numFmt w:val="lowerLetter"/>
      <w:start w:val="7"/>
    </w:lvl>
  </w:abstractNum>
  <w:abstractNum w:abstractNumId="25">
    <w:nsid w:val="3006C83E"/>
    <w:multiLevelType w:val="hybridMultilevel"/>
    <w:lvl w:ilvl="0">
      <w:lvlJc w:val="left"/>
      <w:lvlText w:val="(%1)"/>
      <w:numFmt w:val="lowerLetter"/>
      <w:start w:val="2"/>
    </w:lvl>
  </w:abstractNum>
  <w:abstractNum w:abstractNumId="26">
    <w:nsid w:val="614FD4A1"/>
    <w:multiLevelType w:val="hybridMultilevel"/>
    <w:lvl w:ilvl="0">
      <w:lvlJc w:val="left"/>
      <w:lvlText w:val="(%1)"/>
      <w:numFmt w:val="lowerLetter"/>
      <w:start w:val="3"/>
    </w:lvl>
  </w:abstractNum>
  <w:abstractNum w:abstractNumId="27">
    <w:nsid w:val="419AC241"/>
    <w:multiLevelType w:val="hybridMultilevel"/>
    <w:lvl w:ilvl="0">
      <w:lvlJc w:val="left"/>
      <w:lvlText w:val="(%1)"/>
      <w:numFmt w:val="lowerLetter"/>
      <w:start w:val="8"/>
    </w:lvl>
  </w:abstractNum>
  <w:abstractNum w:abstractNumId="28">
    <w:nsid w:val="5577F8E1"/>
    <w:multiLevelType w:val="hybridMultilevel"/>
    <w:lvl w:ilvl="0">
      <w:lvlJc w:val="left"/>
      <w:lvlText w:val="(%1)"/>
      <w:numFmt w:val="lowerLetter"/>
      <w:start w:val="1"/>
    </w:lvl>
  </w:abstractNum>
  <w:abstractNum w:abstractNumId="29">
    <w:nsid w:val="440BADFC"/>
    <w:multiLevelType w:val="hybridMultilevel"/>
    <w:lvl w:ilvl="0">
      <w:lvlJc w:val="left"/>
      <w:lvlText w:val="1"/>
      <w:numFmt w:val="bullet"/>
      <w:start w:val="1"/>
    </w:lvl>
  </w:abstractNum>
  <w:abstractNum w:abstractNumId="30">
    <w:nsid w:val="5072367"/>
    <w:multiLevelType w:val="hybridMultilevel"/>
    <w:lvl w:ilvl="0">
      <w:lvlJc w:val="left"/>
      <w:lvlText w:val="%1."/>
      <w:numFmt w:val="decimal"/>
      <w:start w:val="1"/>
    </w:lvl>
  </w:abstractNum>
  <w:abstractNum w:abstractNumId="31">
    <w:nsid w:val="3804823E"/>
    <w:multiLevelType w:val="hybridMultilevel"/>
    <w:lvl w:ilvl="0">
      <w:lvlJc w:val="left"/>
      <w:lvlText w:val="2"/>
      <w:numFmt w:val="bullet"/>
      <w:start w:val="1"/>
    </w:lvl>
  </w:abstractNum>
  <w:abstractNum w:abstractNumId="32">
    <w:nsid w:val="77465F01"/>
    <w:multiLevelType w:val="hybridMultilevel"/>
    <w:lvl w:ilvl="0">
      <w:lvlJc w:val="left"/>
      <w:lvlText w:val="%1."/>
      <w:numFmt w:val="decimal"/>
      <w:start w:val="3"/>
    </w:lvl>
  </w:abstractNum>
  <w:abstractNum w:abstractNumId="33">
    <w:nsid w:val="7724C67E"/>
    <w:multiLevelType w:val="hybridMultilevel"/>
    <w:lvl w:ilvl="0">
      <w:lvlJc w:val="left"/>
      <w:lvlText w:val="(%1)"/>
      <w:numFmt w:val="lowerLetter"/>
      <w:start w:val="1"/>
    </w:lvl>
  </w:abstractNum>
  <w:abstractNum w:abstractNumId="34">
    <w:nsid w:val="5C482A97"/>
    <w:multiLevelType w:val="hybridMultilevel"/>
    <w:lvl w:ilvl="0">
      <w:lvlJc w:val="left"/>
      <w:lvlText w:val="(%1)"/>
      <w:numFmt w:val="lowerLetter"/>
      <w:start w:val="3"/>
    </w:lvl>
  </w:abstractNum>
  <w:abstractNum w:abstractNumId="35">
    <w:nsid w:val="2463B9EA"/>
    <w:multiLevelType w:val="hybridMultilevel"/>
    <w:lvl w:ilvl="0">
      <w:lvlJc w:val="left"/>
      <w:lvlText w:val="%1."/>
      <w:numFmt w:val="decimal"/>
      <w:start w:val="6"/>
    </w:lvl>
  </w:abstractNum>
  <w:abstractNum w:abstractNumId="36">
    <w:nsid w:val="5E884ADC"/>
    <w:multiLevelType w:val="hybridMultilevel"/>
    <w:lvl w:ilvl="0">
      <w:lvlJc w:val="left"/>
      <w:lvlText w:val="%1."/>
      <w:numFmt w:val="decimal"/>
      <w:start w:val="11"/>
    </w:lvl>
  </w:abstractNum>
  <w:abstractNum w:abstractNumId="37">
    <w:nsid w:val="51EAD36B"/>
    <w:multiLevelType w:val="hybridMultilevel"/>
    <w:lvl w:ilvl="0">
      <w:lvlJc w:val="left"/>
      <w:lvlText w:val="%1."/>
      <w:numFmt w:val="decimal"/>
      <w:start w:val="13"/>
    </w:lvl>
  </w:abstractNum>
  <w:abstractNum w:abstractNumId="38">
    <w:nsid w:val="2D517796"/>
    <w:multiLevelType w:val="hybridMultilevel"/>
    <w:lvl w:ilvl="0">
      <w:lvlJc w:val="left"/>
      <w:lvlText w:val="%1."/>
      <w:numFmt w:val="decimal"/>
      <w:start w:val="1"/>
    </w:lvl>
  </w:abstractNum>
  <w:abstractNum w:abstractNumId="39">
    <w:nsid w:val="580BD78F"/>
    <w:multiLevelType w:val="hybridMultilevel"/>
    <w:lvl w:ilvl="0">
      <w:lvlJc w:val="left"/>
      <w:lvlText w:val="(%1)"/>
      <w:numFmt w:val="lowerLetter"/>
      <w:start w:val="1"/>
    </w:lvl>
  </w:abstractNum>
  <w:abstractNum w:abstractNumId="40">
    <w:nsid w:val="153EA438"/>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2020-01-28T14:16:51Z</dcterms:created>
  <dcterms:modified xsi:type="dcterms:W3CDTF">2020-01-28T14:16:51Z</dcterms:modified>
</cp:coreProperties>
</file>