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Table of Contents</w:t>
        </w:r>
      </w:hyperlink>
    </w:p>
    <w:p>
      <w:pPr>
        <w:spacing w:after="0" w:line="19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July 22, 2005)</w:t>
      </w:r>
    </w:p>
    <w:p>
      <w:pPr>
        <w:spacing w:after="0" w:line="9" w:lineRule="exact"/>
        <w:rPr>
          <w:sz w:val="24"/>
          <w:szCs w:val="24"/>
          <w:color w:val="auto"/>
        </w:rPr>
      </w:pPr>
    </w:p>
    <w:p>
      <w:pPr>
        <w:ind w:left="6960"/>
        <w:spacing w:after="0"/>
        <w:rPr>
          <w:sz w:val="20"/>
          <w:szCs w:val="20"/>
          <w:color w:val="auto"/>
        </w:rPr>
      </w:pPr>
      <w:r>
        <w:rPr>
          <w:rFonts w:ascii="Arial" w:cs="Arial" w:eastAsia="Arial" w:hAnsi="Arial"/>
          <w:sz w:val="18"/>
          <w:szCs w:val="18"/>
          <w:b w:val="1"/>
          <w:bCs w:val="1"/>
          <w:color w:val="auto"/>
        </w:rPr>
        <w:t>Filed pursuant to Rule 424(b)(3)</w:t>
      </w:r>
    </w:p>
    <w:p>
      <w:pPr>
        <w:spacing w:after="0" w:line="9" w:lineRule="exact"/>
        <w:rPr>
          <w:sz w:val="24"/>
          <w:szCs w:val="24"/>
          <w:color w:val="auto"/>
        </w:rPr>
      </w:pPr>
    </w:p>
    <w:p>
      <w:pPr>
        <w:ind w:left="6960"/>
        <w:spacing w:after="0"/>
        <w:rPr>
          <w:sz w:val="20"/>
          <w:szCs w:val="20"/>
          <w:color w:val="auto"/>
        </w:rPr>
      </w:pPr>
      <w:r>
        <w:rPr>
          <w:rFonts w:ascii="Arial" w:cs="Arial" w:eastAsia="Arial" w:hAnsi="Arial"/>
          <w:sz w:val="18"/>
          <w:szCs w:val="18"/>
          <w:b w:val="1"/>
          <w:bCs w:val="1"/>
          <w:color w:val="auto"/>
        </w:rPr>
        <w:t>Registration No. 333-126447</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4,500,000 Common Units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142240</wp:posOffset>
            </wp:positionV>
            <wp:extent cx="244411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4411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$42.20 per common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3235960</wp:posOffset>
            </wp:positionH>
            <wp:positionV relativeFrom="paragraph">
              <wp:posOffset>140335</wp:posOffset>
            </wp:positionV>
            <wp:extent cx="79311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right="140" w:firstLine="436"/>
        <w:spacing w:after="0" w:line="268" w:lineRule="auto"/>
        <w:rPr>
          <w:sz w:val="20"/>
          <w:szCs w:val="20"/>
          <w:color w:val="auto"/>
        </w:rPr>
      </w:pPr>
      <w:r>
        <w:rPr>
          <w:rFonts w:ascii="Arial" w:cs="Arial" w:eastAsia="Arial" w:hAnsi="Arial"/>
          <w:sz w:val="18"/>
          <w:szCs w:val="18"/>
          <w:color w:val="auto"/>
        </w:rPr>
        <w:t>We are selling 4,500,000 of our common units. Our common units are listed on the New York Stock Exchange under the symbol "PAA." The last reported sale price of our common units on the New York Stock Exchange on September 22, 2005, was $42.20 per common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3235960</wp:posOffset>
            </wp:positionH>
            <wp:positionV relativeFrom="paragraph">
              <wp:posOffset>121285</wp:posOffset>
            </wp:positionV>
            <wp:extent cx="79311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389" w:lineRule="exact"/>
        <w:rPr>
          <w:sz w:val="24"/>
          <w:szCs w:val="24"/>
          <w:color w:val="auto"/>
        </w:rPr>
      </w:pPr>
    </w:p>
    <w:p>
      <w:pPr>
        <w:ind w:right="1080" w:firstLine="439"/>
        <w:spacing w:after="0" w:line="281" w:lineRule="auto"/>
        <w:rPr>
          <w:sz w:val="20"/>
          <w:szCs w:val="20"/>
          <w:color w:val="auto"/>
        </w:rPr>
      </w:pPr>
      <w:r>
        <w:rPr>
          <w:rFonts w:ascii="Arial" w:cs="Arial" w:eastAsia="Arial" w:hAnsi="Arial"/>
          <w:sz w:val="24"/>
          <w:szCs w:val="24"/>
          <w:b w:val="1"/>
          <w:bCs w:val="1"/>
          <w:color w:val="auto"/>
        </w:rPr>
        <w:t>Investing in our common units involves risks. See "Risk Factors" on page S-</w:t>
      </w:r>
      <w:r>
        <w:rPr>
          <w:rFonts w:ascii="Arial" w:cs="Arial" w:eastAsia="Arial" w:hAnsi="Arial"/>
          <w:sz w:val="24"/>
          <w:szCs w:val="24"/>
          <w:color w:val="auto"/>
        </w:rPr>
        <w:t>9</w:t>
      </w:r>
      <w:r>
        <w:rPr>
          <w:rFonts w:ascii="Arial" w:cs="Arial" w:eastAsia="Arial" w:hAnsi="Arial"/>
          <w:sz w:val="24"/>
          <w:szCs w:val="24"/>
          <w:b w:val="1"/>
          <w:bCs w:val="1"/>
          <w:color w:val="auto"/>
        </w:rPr>
        <w:t xml:space="preserve"> of this prospectus supplement and beginning on page 5 of the accompanying prospectus.</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472"/>
              <w:spacing w:after="0"/>
              <w:rPr>
                <w:sz w:val="20"/>
                <w:szCs w:val="20"/>
                <w:color w:val="auto"/>
              </w:rPr>
            </w:pPr>
            <w:r>
              <w:rPr>
                <w:rFonts w:ascii="Arial" w:cs="Arial" w:eastAsia="Arial" w:hAnsi="Arial"/>
                <w:sz w:val="18"/>
                <w:szCs w:val="18"/>
                <w:b w:val="1"/>
                <w:bCs w:val="1"/>
                <w:color w:val="auto"/>
              </w:rPr>
              <w:t>Per</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3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Common Unit</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jc w:val="right"/>
              <w:ind w:right="7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3"/>
              </w:rPr>
              <w:t>42.200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85"/>
              </w:rPr>
              <w:t>189,900,000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2"/>
              <w:spacing w:after="0"/>
              <w:rPr>
                <w:sz w:val="20"/>
                <w:szCs w:val="20"/>
                <w:color w:val="auto"/>
              </w:rPr>
            </w:pPr>
            <w:r>
              <w:rPr>
                <w:rFonts w:ascii="Arial" w:cs="Arial" w:eastAsia="Arial" w:hAnsi="Arial"/>
                <w:sz w:val="18"/>
                <w:szCs w:val="18"/>
                <w:color w:val="auto"/>
              </w:rPr>
              <w:t>1.688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92"/>
              <w:spacing w:after="0"/>
              <w:rPr>
                <w:sz w:val="20"/>
                <w:szCs w:val="20"/>
                <w:color w:val="auto"/>
              </w:rPr>
            </w:pPr>
            <w:r>
              <w:rPr>
                <w:rFonts w:ascii="Arial" w:cs="Arial" w:eastAsia="Arial" w:hAnsi="Arial"/>
                <w:sz w:val="18"/>
                <w:szCs w:val="18"/>
                <w:color w:val="auto"/>
              </w:rPr>
              <w:t>7,596,000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Plains All American Pipeline, L.P.</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3"/>
              </w:rPr>
              <w:t>40.512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85"/>
              </w:rPr>
              <w:t>182,304,000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5757545</wp:posOffset>
            </wp:positionH>
            <wp:positionV relativeFrom="paragraph">
              <wp:posOffset>-492760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-492760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-492760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-492760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Delivery of the common units will be made on or about September 30, 2005.</w:t>
      </w:r>
    </w:p>
    <w:p>
      <w:pPr>
        <w:spacing w:after="0" w:line="219" w:lineRule="exact"/>
        <w:rPr>
          <w:sz w:val="24"/>
          <w:szCs w:val="24"/>
          <w:color w:val="auto"/>
        </w:rPr>
      </w:pPr>
    </w:p>
    <w:p>
      <w:pPr>
        <w:ind w:right="460" w:firstLine="439"/>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9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We have granted the underwriters an option to purchase up to 675,000 additional 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3235960</wp:posOffset>
            </wp:positionH>
            <wp:positionV relativeFrom="paragraph">
              <wp:posOffset>146050</wp:posOffset>
            </wp:positionV>
            <wp:extent cx="79311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4"/>
          <w:szCs w:val="24"/>
          <w:color w:val="auto"/>
        </w:rPr>
      </w:pPr>
    </w:p>
    <w:p>
      <w:pPr>
        <w:spacing w:after="0"/>
        <w:tabs>
          <w:tab w:leader="none" w:pos="9100" w:val="left"/>
        </w:tabs>
        <w:rPr>
          <w:sz w:val="20"/>
          <w:szCs w:val="20"/>
          <w:color w:val="auto"/>
        </w:rPr>
      </w:pPr>
      <w:r>
        <w:rPr>
          <w:rFonts w:ascii="Arial" w:cs="Arial" w:eastAsia="Arial" w:hAnsi="Arial"/>
          <w:sz w:val="24"/>
          <w:szCs w:val="24"/>
          <w:b w:val="1"/>
          <w:bCs w:val="1"/>
          <w:color w:val="auto"/>
        </w:rPr>
        <w:t>Wachovia Securities</w:t>
      </w:r>
      <w:r>
        <w:rPr>
          <w:sz w:val="20"/>
          <w:szCs w:val="20"/>
          <w:color w:val="auto"/>
        </w:rPr>
        <w:tab/>
      </w:r>
      <w:r>
        <w:rPr>
          <w:rFonts w:ascii="Arial" w:cs="Arial" w:eastAsia="Arial" w:hAnsi="Arial"/>
          <w:sz w:val="22"/>
          <w:szCs w:val="22"/>
          <w:b w:val="1"/>
          <w:bCs w:val="1"/>
          <w:color w:val="auto"/>
        </w:rPr>
        <w:t>UBS Investment Bank</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205" w:lineRule="exact"/>
        <w:rPr>
          <w:sz w:val="24"/>
          <w:szCs w:val="24"/>
          <w:color w:val="auto"/>
        </w:rPr>
      </w:pPr>
    </w:p>
    <w:p>
      <w:pPr>
        <w:ind w:left="660"/>
        <w:spacing w:after="0"/>
        <w:rPr>
          <w:sz w:val="20"/>
          <w:szCs w:val="20"/>
          <w:color w:val="auto"/>
        </w:rPr>
      </w:pPr>
      <w:r>
        <w:rPr>
          <w:rFonts w:ascii="Arial" w:cs="Arial" w:eastAsia="Arial" w:hAnsi="Arial"/>
          <w:sz w:val="24"/>
          <w:szCs w:val="24"/>
          <w:b w:val="1"/>
          <w:bCs w:val="1"/>
          <w:color w:val="auto"/>
        </w:rPr>
        <w:t>Citigroup</w:t>
      </w:r>
    </w:p>
    <w:p>
      <w:pPr>
        <w:spacing w:after="0" w:line="291" w:lineRule="exact"/>
        <w:rPr>
          <w:sz w:val="24"/>
          <w:szCs w:val="24"/>
          <w:color w:val="auto"/>
        </w:rPr>
      </w:pPr>
    </w:p>
    <w:p>
      <w:pPr>
        <w:ind w:left="2300"/>
        <w:spacing w:after="0"/>
        <w:rPr>
          <w:sz w:val="20"/>
          <w:szCs w:val="20"/>
          <w:color w:val="auto"/>
        </w:rPr>
      </w:pPr>
      <w:r>
        <w:rPr>
          <w:rFonts w:ascii="Arial" w:cs="Arial" w:eastAsia="Arial" w:hAnsi="Arial"/>
          <w:sz w:val="24"/>
          <w:szCs w:val="24"/>
          <w:b w:val="1"/>
          <w:bCs w:val="1"/>
          <w:color w:val="auto"/>
        </w:rPr>
        <w:t>A.G. Edwards</w:t>
      </w:r>
    </w:p>
    <w:p>
      <w:pPr>
        <w:spacing w:after="0" w:line="291" w:lineRule="exact"/>
        <w:rPr>
          <w:sz w:val="24"/>
          <w:szCs w:val="24"/>
          <w:color w:val="auto"/>
        </w:rPr>
      </w:pPr>
    </w:p>
    <w:p>
      <w:pPr>
        <w:ind w:left="4460"/>
        <w:spacing w:after="0"/>
        <w:rPr>
          <w:sz w:val="20"/>
          <w:szCs w:val="20"/>
          <w:color w:val="auto"/>
        </w:rPr>
      </w:pPr>
      <w:r>
        <w:rPr>
          <w:rFonts w:ascii="Arial" w:cs="Arial" w:eastAsia="Arial" w:hAnsi="Arial"/>
          <w:sz w:val="24"/>
          <w:szCs w:val="24"/>
          <w:b w:val="1"/>
          <w:bCs w:val="1"/>
          <w:color w:val="auto"/>
        </w:rPr>
        <w:t>Lehman Brothers</w:t>
      </w:r>
    </w:p>
    <w:p>
      <w:pPr>
        <w:spacing w:after="0" w:line="291" w:lineRule="exact"/>
        <w:rPr>
          <w:sz w:val="24"/>
          <w:szCs w:val="24"/>
          <w:color w:val="auto"/>
        </w:rPr>
      </w:pPr>
    </w:p>
    <w:p>
      <w:pPr>
        <w:ind w:left="6560"/>
        <w:spacing w:after="0"/>
        <w:rPr>
          <w:sz w:val="20"/>
          <w:szCs w:val="20"/>
          <w:color w:val="auto"/>
        </w:rPr>
      </w:pPr>
      <w:r>
        <w:rPr>
          <w:rFonts w:ascii="Arial" w:cs="Arial" w:eastAsia="Arial" w:hAnsi="Arial"/>
          <w:sz w:val="24"/>
          <w:szCs w:val="24"/>
          <w:b w:val="1"/>
          <w:bCs w:val="1"/>
          <w:color w:val="auto"/>
        </w:rPr>
        <w:t>RBC Capital Markets</w:t>
      </w:r>
    </w:p>
    <w:p>
      <w:pPr>
        <w:spacing w:after="0" w:line="291" w:lineRule="exact"/>
        <w:rPr>
          <w:sz w:val="24"/>
          <w:szCs w:val="24"/>
          <w:color w:val="auto"/>
        </w:rPr>
      </w:pPr>
    </w:p>
    <w:p>
      <w:pPr>
        <w:ind w:left="8580"/>
        <w:spacing w:after="0"/>
        <w:rPr>
          <w:sz w:val="20"/>
          <w:szCs w:val="20"/>
          <w:color w:val="auto"/>
        </w:rPr>
      </w:pPr>
      <w:r>
        <w:rPr>
          <w:rFonts w:ascii="Arial" w:cs="Arial" w:eastAsia="Arial" w:hAnsi="Arial"/>
          <w:sz w:val="24"/>
          <w:szCs w:val="24"/>
          <w:b w:val="1"/>
          <w:bCs w:val="1"/>
          <w:color w:val="auto"/>
        </w:rPr>
        <w:t>Sanders Morris Harris</w:t>
      </w:r>
    </w:p>
    <w:p>
      <w:pPr>
        <w:sectPr>
          <w:pgSz w:w="11900" w:h="16838" w:orient="portrait"/>
          <w:cols w:equalWidth="0" w:num="1">
            <w:col w:w="11420"/>
          </w:cols>
          <w:pgMar w:left="240" w:top="685" w:right="239" w:bottom="1012" w:gutter="0" w:footer="0" w:header="0"/>
        </w:sect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The date of this prospectus supplement is September 23,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01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17"/>
        </w:trPr>
        <w:tc>
          <w:tcPr>
            <w:tcW w:w="3900" w:type="dxa"/>
            <w:vAlign w:val="bottom"/>
          </w:tcPr>
          <w:p>
            <w:pPr>
              <w:spacing w:after="0"/>
              <w:rPr>
                <w:sz w:val="24"/>
                <w:szCs w:val="24"/>
                <w:color w:val="auto"/>
              </w:rPr>
            </w:pPr>
          </w:p>
        </w:tc>
        <w:tc>
          <w:tcPr>
            <w:tcW w:w="7540" w:type="dxa"/>
            <w:vAlign w:val="bottom"/>
            <w:gridSpan w:val="4"/>
          </w:tcPr>
          <w:p>
            <w:pPr>
              <w:ind w:left="480"/>
              <w:spacing w:after="0"/>
              <w:rPr>
                <w:sz w:val="20"/>
                <w:szCs w:val="20"/>
                <w:color w:val="auto"/>
              </w:rPr>
            </w:pPr>
            <w:r>
              <w:rPr>
                <w:rFonts w:ascii="Arial" w:cs="Arial" w:eastAsia="Arial" w:hAnsi="Arial"/>
                <w:sz w:val="24"/>
                <w:szCs w:val="24"/>
                <w:b w:val="1"/>
                <w:bCs w:val="1"/>
                <w:color w:val="auto"/>
              </w:rPr>
              <w:t>TABLE OF CONTENTS</w:t>
            </w:r>
          </w:p>
        </w:tc>
        <w:tc>
          <w:tcPr>
            <w:tcW w:w="0" w:type="dxa"/>
            <w:vAlign w:val="bottom"/>
          </w:tcPr>
          <w:p>
            <w:pPr>
              <w:spacing w:after="0"/>
              <w:rPr>
                <w:sz w:val="1"/>
                <w:szCs w:val="1"/>
                <w:color w:val="auto"/>
              </w:rPr>
            </w:pPr>
          </w:p>
        </w:tc>
      </w:tr>
      <w:tr>
        <w:trPr>
          <w:trHeight w:val="212"/>
        </w:trPr>
        <w:tc>
          <w:tcPr>
            <w:tcW w:w="3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7520" w:type="dxa"/>
            <w:vAlign w:val="bottom"/>
            <w:gridSpan w:val="3"/>
            <w:shd w:val="clear" w:color="auto" w:fill="CCEEFF"/>
          </w:tcPr>
          <w:p>
            <w:pPr>
              <w:jc w:val="center"/>
              <w:ind w:right="3792"/>
              <w:spacing w:after="0"/>
              <w:rPr>
                <w:sz w:val="20"/>
                <w:szCs w:val="20"/>
                <w:color w:val="auto"/>
              </w:rPr>
            </w:pPr>
            <w:r>
              <w:rPr>
                <w:rFonts w:ascii="Arial" w:cs="Arial" w:eastAsia="Arial" w:hAnsi="Arial"/>
                <w:sz w:val="18"/>
                <w:szCs w:val="18"/>
                <w:b w:val="1"/>
                <w:bCs w:val="1"/>
                <w:color w:val="auto"/>
                <w:w w:val="85"/>
              </w:rPr>
              <w:t>Prospectus Supplement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Plains All American Pipeline, L.P.</w:t>
            </w: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80" w:type="dxa"/>
            <w:vAlign w:val="bottom"/>
          </w:tcPr>
          <w:p>
            <w:pPr>
              <w:jc w:val="right"/>
              <w:spacing w:after="0"/>
              <w:rPr>
                <w:sz w:val="20"/>
                <w:szCs w:val="20"/>
                <w:color w:val="auto"/>
              </w:rPr>
            </w:pPr>
            <w:r>
              <w:rPr>
                <w:rFonts w:ascii="Arial" w:cs="Arial" w:eastAsia="Arial" w:hAnsi="Arial"/>
                <w:sz w:val="18"/>
                <w:szCs w:val="18"/>
                <w:color w:val="auto"/>
              </w:rPr>
              <w:t>S-1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The Offering</w:t>
            </w:r>
          </w:p>
        </w:tc>
        <w:tc>
          <w:tcPr>
            <w:tcW w:w="1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Risk Factors</w:t>
            </w: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80" w:type="dxa"/>
            <w:vAlign w:val="bottom"/>
          </w:tcPr>
          <w:p>
            <w:pPr>
              <w:jc w:val="right"/>
              <w:spacing w:after="0"/>
              <w:rPr>
                <w:sz w:val="20"/>
                <w:szCs w:val="20"/>
                <w:color w:val="auto"/>
              </w:rPr>
            </w:pPr>
            <w:r>
              <w:rPr>
                <w:rFonts w:ascii="Arial" w:cs="Arial" w:eastAsia="Arial" w:hAnsi="Arial"/>
                <w:sz w:val="18"/>
                <w:szCs w:val="18"/>
                <w:color w:val="auto"/>
              </w:rPr>
              <w:t>S-9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1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Price Range of Common Units and Distributions</w:t>
            </w: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80" w:type="dxa"/>
            <w:vAlign w:val="bottom"/>
          </w:tcPr>
          <w:p>
            <w:pPr>
              <w:jc w:val="right"/>
              <w:spacing w:after="0"/>
              <w:rPr>
                <w:sz w:val="20"/>
                <w:szCs w:val="20"/>
                <w:color w:val="auto"/>
              </w:rPr>
            </w:pPr>
            <w:r>
              <w:rPr>
                <w:rFonts w:ascii="Arial" w:cs="Arial" w:eastAsia="Arial" w:hAnsi="Arial"/>
                <w:sz w:val="18"/>
                <w:szCs w:val="18"/>
                <w:color w:val="auto"/>
              </w:rPr>
              <w:t>S-13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1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Tax Considerations</w:t>
            </w: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80" w:type="dxa"/>
            <w:vAlign w:val="bottom"/>
          </w:tcPr>
          <w:p>
            <w:pPr>
              <w:jc w:val="right"/>
              <w:spacing w:after="0"/>
              <w:rPr>
                <w:sz w:val="20"/>
                <w:szCs w:val="20"/>
                <w:color w:val="auto"/>
              </w:rPr>
            </w:pPr>
            <w:r>
              <w:rPr>
                <w:rFonts w:ascii="Arial" w:cs="Arial" w:eastAsia="Arial" w:hAnsi="Arial"/>
                <w:sz w:val="18"/>
                <w:szCs w:val="18"/>
                <w:color w:val="auto"/>
              </w:rPr>
              <w:t>S-15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Underwriting</w:t>
            </w:r>
          </w:p>
        </w:tc>
        <w:tc>
          <w:tcPr>
            <w:tcW w:w="1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Legal Matters</w:t>
            </w: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80" w:type="dxa"/>
            <w:vAlign w:val="bottom"/>
          </w:tcPr>
          <w:p>
            <w:pPr>
              <w:jc w:val="right"/>
              <w:spacing w:after="0"/>
              <w:rPr>
                <w:sz w:val="20"/>
                <w:szCs w:val="20"/>
                <w:color w:val="auto"/>
              </w:rPr>
            </w:pPr>
            <w:r>
              <w:rPr>
                <w:rFonts w:ascii="Arial" w:cs="Arial" w:eastAsia="Arial" w:hAnsi="Arial"/>
                <w:sz w:val="18"/>
                <w:szCs w:val="18"/>
                <w:color w:val="auto"/>
              </w:rPr>
              <w:t>S-19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1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80" w:type="dxa"/>
            <w:vAlign w:val="bottom"/>
          </w:tcPr>
          <w:p>
            <w:pPr>
              <w:jc w:val="right"/>
              <w:spacing w:after="0"/>
              <w:rPr>
                <w:sz w:val="20"/>
                <w:szCs w:val="20"/>
                <w:color w:val="auto"/>
              </w:rPr>
            </w:pPr>
            <w:r>
              <w:rPr>
                <w:rFonts w:ascii="Arial" w:cs="Arial" w:eastAsia="Arial" w:hAnsi="Arial"/>
                <w:sz w:val="18"/>
                <w:szCs w:val="18"/>
                <w:color w:val="auto"/>
              </w:rPr>
              <w:t>S-19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1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3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540" w:type="dxa"/>
            <w:vAlign w:val="bottom"/>
            <w:gridSpan w:val="3"/>
          </w:tcPr>
          <w:p>
            <w:pPr>
              <w:jc w:val="center"/>
              <w:ind w:right="4920"/>
              <w:spacing w:after="0"/>
              <w:rPr>
                <w:sz w:val="20"/>
                <w:szCs w:val="20"/>
                <w:color w:val="auto"/>
              </w:rPr>
            </w:pPr>
            <w:r>
              <w:rPr>
                <w:rFonts w:ascii="Arial" w:cs="Arial" w:eastAsia="Arial" w:hAnsi="Arial"/>
                <w:sz w:val="18"/>
                <w:szCs w:val="18"/>
                <w:b w:val="1"/>
                <w:bCs w:val="1"/>
                <w:color w:val="auto"/>
                <w:w w:val="83"/>
              </w:rPr>
              <w:t>Prospectus</w:t>
            </w:r>
          </w:p>
        </w:tc>
        <w:tc>
          <w:tcPr>
            <w:tcW w:w="0" w:type="dxa"/>
            <w:vAlign w:val="bottom"/>
          </w:tcPr>
          <w:p>
            <w:pPr>
              <w:spacing w:after="0"/>
              <w:rPr>
                <w:sz w:val="1"/>
                <w:szCs w:val="1"/>
                <w:color w:val="auto"/>
              </w:rPr>
            </w:pPr>
          </w:p>
        </w:tc>
      </w:tr>
      <w:tr>
        <w:trPr>
          <w:trHeight w:val="43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10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Where You Can Find Information</w:t>
            </w:r>
          </w:p>
        </w:tc>
        <w:tc>
          <w:tcPr>
            <w:tcW w:w="75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7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Who We Are</w:t>
            </w:r>
          </w:p>
        </w:tc>
        <w:tc>
          <w:tcPr>
            <w:tcW w:w="75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7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Use of Proceeds</w:t>
            </w:r>
          </w:p>
        </w:tc>
        <w:tc>
          <w:tcPr>
            <w:tcW w:w="75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7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Description of Our Debt Securities</w:t>
            </w:r>
          </w:p>
        </w:tc>
        <w:tc>
          <w:tcPr>
            <w:tcW w:w="75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Our Common Units</w:t>
            </w:r>
          </w:p>
        </w:tc>
        <w:tc>
          <w:tcPr>
            <w:tcW w:w="7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Cash Distribution Policy</w:t>
            </w:r>
          </w:p>
        </w:tc>
        <w:tc>
          <w:tcPr>
            <w:tcW w:w="75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Our Partnership Agreement</w:t>
            </w:r>
          </w:p>
        </w:tc>
        <w:tc>
          <w:tcPr>
            <w:tcW w:w="7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Tax Considerations</w:t>
            </w:r>
          </w:p>
        </w:tc>
        <w:tc>
          <w:tcPr>
            <w:tcW w:w="752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7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Legal Matters</w:t>
            </w:r>
          </w:p>
        </w:tc>
        <w:tc>
          <w:tcPr>
            <w:tcW w:w="75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7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SUPPLEMENT AND THE ACCOMPANYING PROSPECTUS</w:t>
      </w:r>
    </w:p>
    <w:p>
      <w:pPr>
        <w:spacing w:after="0" w:line="213"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 If the description of the offering varies between the prospectus supplement and the base prospectus, you should rely on the information in the prospectus supplement.</w:t>
      </w:r>
    </w:p>
    <w:p>
      <w:pPr>
        <w:spacing w:after="0" w:line="157" w:lineRule="exact"/>
        <w:rPr>
          <w:sz w:val="20"/>
          <w:szCs w:val="20"/>
          <w:color w:val="auto"/>
        </w:rPr>
      </w:pPr>
    </w:p>
    <w:p>
      <w:pPr>
        <w:jc w:val="both"/>
        <w:ind w:right="300" w:firstLine="351"/>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 this prospectus. We have not authorized anyone to provide you with different information. We are not making an offer of the common units in any jurisdiction where the offer is not permitted. You should not assume that the information contained in this prospectus or in the documents incorporated by reference in this prospectus is accurate as of any date other than the date on the front of those documents.</w:t>
      </w:r>
    </w:p>
    <w:p>
      <w:pPr>
        <w:spacing w:after="0" w:line="190" w:lineRule="exact"/>
        <w:rPr>
          <w:sz w:val="20"/>
          <w:szCs w:val="20"/>
          <w:color w:val="auto"/>
        </w:rPr>
      </w:pPr>
    </w:p>
    <w:p>
      <w:pPr>
        <w:jc w:val="center"/>
        <w:ind w:right="300"/>
        <w:spacing w:after="0" w:line="378" w:lineRule="auto"/>
        <w:rPr>
          <w:sz w:val="20"/>
          <w:szCs w:val="20"/>
          <w:color w:val="auto"/>
        </w:rPr>
      </w:pPr>
      <w:r>
        <w:rPr>
          <w:rFonts w:ascii="Arial" w:cs="Arial" w:eastAsia="Arial" w:hAnsi="Arial"/>
          <w:sz w:val="15"/>
          <w:szCs w:val="15"/>
          <w:b w:val="1"/>
          <w:bCs w:val="1"/>
          <w:color w:val="auto"/>
        </w:rPr>
        <w:t>The information in this prospectus supplement is not complete. You should review carefully all of the detailed information appearing in this prospectus supplement, the accompanying prospectus and the documents we have incorporated by reference before making any investment decision.</w:t>
      </w:r>
    </w:p>
    <w:p>
      <w:pPr>
        <w:spacing w:after="0" w:line="111" w:lineRule="exact"/>
        <w:rPr>
          <w:sz w:val="20"/>
          <w:szCs w:val="20"/>
          <w:color w:val="auto"/>
        </w:rPr>
      </w:pPr>
    </w:p>
    <w:p>
      <w:pPr>
        <w:jc w:val="both"/>
        <w:ind w:right="120" w:firstLine="351"/>
        <w:spacing w:after="0" w:line="303" w:lineRule="auto"/>
        <w:rPr>
          <w:sz w:val="20"/>
          <w:szCs w:val="20"/>
          <w:color w:val="auto"/>
        </w:rPr>
      </w:pPr>
      <w:r>
        <w:rPr>
          <w:rFonts w:ascii="Arial" w:cs="Arial" w:eastAsia="Arial" w:hAnsi="Arial"/>
          <w:sz w:val="15"/>
          <w:szCs w:val="15"/>
          <w:color w:val="auto"/>
        </w:rPr>
        <w:t>It is expected that delivery of the common units will be made against payment therefor on or about the date specified in the last paragraph of the cover page hereof, which will be the fifth business day following the date of the pricing of the common units. Pursuant to Rule 15c6-1 under the Securities Exchange Act of 1934, trades in the secondary market generally are required to settle in three business days, unless the parties to any such trade expressly agree otherwise.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Accordingly, purchasers who wish to trade common units on the date of pricing or the next two succeeding business days will be required to specify an alternative settlement cycle at the time of any such trade to prevent a failed settlement. Purchasers of common units who wish to trade common units on the date of pricing or the next succeeding two business days should consult their own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PLAINS ALL AMERICAN PIPELINE, L.P.</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operations can be categorized into two primary business activities:</w:t>
      </w:r>
    </w:p>
    <w:p>
      <w:pPr>
        <w:spacing w:after="0" w:line="239" w:lineRule="exact"/>
        <w:rPr>
          <w:sz w:val="20"/>
          <w:szCs w:val="20"/>
          <w:color w:val="auto"/>
        </w:rPr>
      </w:pPr>
    </w:p>
    <w:p>
      <w:pPr>
        <w:ind w:left="1080" w:right="120" w:hanging="532"/>
        <w:spacing w:after="0" w:line="25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Crude Oil Pipeline Transportation Operations. </w:t>
      </w:r>
      <w:r>
        <w:rPr>
          <w:rFonts w:ascii="Arial" w:cs="Arial" w:eastAsia="Arial" w:hAnsi="Arial"/>
          <w:sz w:val="18"/>
          <w:szCs w:val="18"/>
          <w:color w:val="auto"/>
        </w:rPr>
        <w:t>As of June 30, 2005, we owned approximately 15,000 miles of active gathering and mainline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crude oil pipelines located throughout the United States and Canada, of which 13,000 miles are included in our pipeline segment. Our activities from pipeline operations generally consist of transporting crude oil for a fee, third party leases of pipeline capacity, barrel exchanges and buy/sell arrangements.</w:t>
      </w:r>
    </w:p>
    <w:p>
      <w:pPr>
        <w:spacing w:after="0" w:line="224" w:lineRule="exact"/>
        <w:rPr>
          <w:rFonts w:ascii="Arial" w:cs="Arial" w:eastAsia="Arial" w:hAnsi="Arial"/>
          <w:sz w:val="18"/>
          <w:szCs w:val="18"/>
          <w:color w:val="auto"/>
        </w:rPr>
      </w:pPr>
    </w:p>
    <w:p>
      <w:pPr>
        <w:ind w:left="1080" w:right="100" w:hanging="532"/>
        <w:spacing w:after="0" w:line="288"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Gathering, Marketing, Terminalling and Storage Operations. </w:t>
      </w:r>
      <w:r>
        <w:rPr>
          <w:rFonts w:ascii="Arial" w:cs="Arial" w:eastAsia="Arial" w:hAnsi="Arial"/>
          <w:sz w:val="16"/>
          <w:szCs w:val="16"/>
          <w:color w:val="auto"/>
        </w:rPr>
        <w:t>As of June 30, 2005, we owned and operated approximately 37.0 million barrels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above ground crude oil terminalling and storage facilities, including approximately 23 million barrels of tankage that are associated with our pipeline operations within our pipeline segment. These facilities include a crude oil terminalling and storage facility at Cushing, Oklahoma. Cushing, which we refer to in this prospectus supplement as the Cushing Interchange, is one of the largest crude oil market hubs in the United States and the designated delivery point for New York Mercantile Exchange ("NYMEX") crude oil futures contracts. We also utilize our storage tanks to counter cyclically balance our gathering and marketing operations and to execute different hedging strategies to stabilize profits and reduce the negative impact of crude oil market volatility. Our terminalling and storage operations generate revenue through a combination of storage and throughput charges to third parties. We also own approximately 1.8 million barrels of LPG storage. Our gathering and marketing operations include:</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620" w:hanging="532"/>
        <w:spacing w:after="0"/>
        <w:tabs>
          <w:tab w:leader="none" w:pos="162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purchase of crude oil at the wellhead and the bulk purchase of crude oil at pipeline and terminal facilities as well as foreign cargoes;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transportation of crude oil on trucks, barges and pipelines;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subsequent resale or exchange of crude oil at various points along the crude oil distribution chain; and</w:t>
      </w:r>
    </w:p>
    <w:p>
      <w:pPr>
        <w:spacing w:after="0" w:line="238"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purchase of LPG from producers, refiners and other marketers, the storage of LPG at storage facilities owned by us or third parties and the sale of LPG to wholesalers, retailers and industrial end users.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 September 14, 2005, PAA/Vulcan Gas Storage, LLC ("Plains/Vulcan"), a joint venture in which we own 50%, acquired Energy Center Investments ("ECI"), an indirect subsidiary of Sempra Energy that operates and develops natural gas storage facilities. See "—Recent Developments—Acquisition of Natural Gas Storage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Our principal business strategy is to efficiently and competitively provide services to our customers, while capitalizing on the regional crude oil supply and demand imbalances that exist in the United States and Canada by combining the strategic location and distinctive capabilities of our transportation and terminalling assets with our extensive marketing and distribution expertise to generate sustainable earnings and cash flow.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ind w:left="360"/>
        <w:spacing w:after="0"/>
        <w:rPr>
          <w:sz w:val="20"/>
          <w:szCs w:val="20"/>
          <w:color w:val="auto"/>
        </w:rPr>
      </w:pPr>
      <w:r>
        <w:rPr>
          <w:rFonts w:ascii="Arial" w:cs="Arial" w:eastAsia="Arial" w:hAnsi="Arial"/>
          <w:sz w:val="18"/>
          <w:szCs w:val="18"/>
          <w:color w:val="auto"/>
        </w:rPr>
        <w:t>We intend to execute our business strategy by:</w:t>
      </w:r>
    </w:p>
    <w:p>
      <w:pPr>
        <w:spacing w:after="0" w:line="239" w:lineRule="exact"/>
        <w:rPr>
          <w:sz w:val="20"/>
          <w:szCs w:val="20"/>
          <w:color w:val="auto"/>
        </w:rPr>
      </w:pPr>
    </w:p>
    <w:p>
      <w:pPr>
        <w:ind w:left="1080" w:right="9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and optimizing throughput on our existing pipeline and gathering assets and realizing cost efficiencies through operational improvements;</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utilizing our Cushing Terminal and our other assets to service the needs of refiners and to profit from merchant activities that take advantage of crude oil pricing and quality differentials;</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utilizing our assets along the Gulf Coast and our Cushing Terminal to increase our presence in the importation of foreign crude through Gulf of Mexico receipt facilities to U.S. refiners;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of crude oil transportation assets, including pipelines, gathering systems, terminalling and storage facilities and other assets that complement our existing asset base and distribution capabilities;</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optimizing and expanding our Canadian operations and our presence in certain areas of the U.S. to take advantage of anticipated increases in the volume and qualities of crude oil produced in these areas as well as increased foreign crude import activities in the Gulf Coast area; and</w:t>
      </w:r>
    </w:p>
    <w:p>
      <w:pPr>
        <w:spacing w:after="0" w:line="152"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prudently and economically leveraging our asset base, knowledge base and skill sets to participate in energy businesses that are closely related to, or significantly intertwined with, the crude oil business.</w:t>
      </w:r>
    </w:p>
    <w:p>
      <w:pPr>
        <w:spacing w:after="0" w:line="186"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To a lesser degree, we also engage in a similar business strategy with respect to the wholesale marketing and storage of LPG, which we began as a result of an acquisition in mid-2001, and recently entered into the natural gas storage business. See "—Recent Developments—Acquisition of Natural Gas Storage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Strategy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Targeted Credit Profile</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believe that an important factor in our continued success will be our ability to maintain a competitive cost of capital and access to the capital markets. We have consistently communicated to the financial community our intention to maintain a strong credit profile that we believe is consistent with an investment grade credit rating. We have targeted a general credit profile with the following attributes:</w:t>
      </w:r>
    </w:p>
    <w:p>
      <w:pPr>
        <w:spacing w:after="0" w:line="20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55% or less;</w:t>
      </w:r>
    </w:p>
    <w:p>
      <w:pPr>
        <w:spacing w:after="0" w:line="252"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average long-term debt-to-EBITDA ratio of approximately 3.5x or less (EBITDA is earnings before interest, taxes, depreciation and amortization);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average EBITDA-to-interest coverage ratio of approximately 3.3x or better.</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At June 30, 2005, we were within our targeted credit profile. In order for us to maintain our targeted credit profile and achieve growth through acquisitions, we intend to fund acquisitions and significant expansion capital projects using approximately equal proportions of equity and debt. In certain cases, acquisitions will initially be financed using debt since it is difficult to predict the actual timing of accessing the market to raise equity. Accordingly, from time to time we may be outside the parameters of our targeted credit profile.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Rating</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Currently, our senior unsecured ratings with Standard &amp; Poor's Ratings Services and Moody's Investors Service, Inc. are BBB- stable and Baa3 stable, respectively, both of which are investment grade. We cannot assure you that these ratings will remain in effect for any given period of time or that one or both of these ratings will not be lowered or withdrawn entirely by a rating agency. A credit rating is not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recommendation to buy, sell or hold securities, and may be revised or withdrawn at any time. Each rating should be evaluated independently of any other rating.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following competitive strengths position us to successfully execute our business strategy:</w:t>
      </w:r>
    </w:p>
    <w:p>
      <w:pPr>
        <w:spacing w:after="0" w:line="239" w:lineRule="exact"/>
        <w:rPr>
          <w:sz w:val="20"/>
          <w:szCs w:val="20"/>
          <w:color w:val="auto"/>
        </w:rPr>
      </w:pPr>
    </w:p>
    <w:p>
      <w:pPr>
        <w:ind w:left="1080" w:right="100" w:hanging="532"/>
        <w:spacing w:after="0" w:line="254"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pipeline assets are strategically located and have additional capacity. </w:t>
      </w:r>
      <w:r>
        <w:rPr>
          <w:rFonts w:ascii="Arial" w:cs="Arial" w:eastAsia="Arial" w:hAnsi="Arial"/>
          <w:sz w:val="18"/>
          <w:szCs w:val="18"/>
          <w:color w:val="auto"/>
        </w:rPr>
        <w:t>Our primary crude oil pipeline transportation and gathering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located in well-established oil producing regions and are connected, directly or indirectly, with our terminalling and storage assets that service major North American refinery and distribution markets where we have strong business relationships. In many instances, these assets are strategically positioned to maximize the value of our crude oil by transporting it to major trading locations and premium markets. Certain of our pipeline networks currently possess additional capacity that can accommodate increased demand without significant additional capital investments.</w:t>
      </w:r>
    </w:p>
    <w:p>
      <w:pPr>
        <w:spacing w:after="0" w:line="225"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Cushing Terminal is strategically located and operationally flexible. </w:t>
      </w:r>
      <w:r>
        <w:rPr>
          <w:rFonts w:ascii="Arial" w:cs="Arial" w:eastAsia="Arial" w:hAnsi="Arial"/>
          <w:sz w:val="16"/>
          <w:szCs w:val="16"/>
          <w:color w:val="auto"/>
        </w:rPr>
        <w:t>Our Cushing Terminal interconnects with the Cushing Interchange's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 inbound and outbound pipelines, providing access to both foreign and domestic crude oil. Our Cushing Terminal is one of the most modern large scale terminalling and storage facilities at the Cushing Interchange, incorporating operational enhancements designed to safely and efficiently terminal, store, blend and segregate large volumes and multiple varieties of crude oil, as well as extensive environmental safeguards. We have completed four separate expansion phases at the Cushing Terminal since it became operational in late 1993, which increased the Cushing Terminal's tankage to 6.3 million barrels. We are currently in our fifth expansion of the Cushing Terminal. The Phase V expansion is expected to be operational in the fourth quarter of 2005 and will increase the Cushing Terminal's capacity by approximately 1.1 million barrels. In addition, we own approximately 31 million barrels of above-ground crude oil terminalling and storage assets elsewhere in the United States and Canada that are used in our pipeline operations or that complement our Cushing Terminal and enable us to serve the needs of our customers.</w:t>
      </w:r>
    </w:p>
    <w:p>
      <w:pPr>
        <w:spacing w:after="0" w:line="187"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possess specialized crude oil market knowledge. </w:t>
      </w:r>
      <w:r>
        <w:rPr>
          <w:rFonts w:ascii="Arial" w:cs="Arial" w:eastAsia="Arial" w:hAnsi="Arial"/>
          <w:sz w:val="18"/>
          <w:szCs w:val="18"/>
          <w:color w:val="auto"/>
        </w:rPr>
        <w:t>We believe that our business relationships with participants in various phases of the crude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oil distribution chain, from crude oil producers to refiners, as well as our own industry expertise, provide us with an extensive understanding of the North American physical crude oil markets.</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business activities are counter-cyclically balanced. </w:t>
      </w:r>
      <w:r>
        <w:rPr>
          <w:rFonts w:ascii="Arial" w:cs="Arial" w:eastAsia="Arial" w:hAnsi="Arial"/>
          <w:sz w:val="18"/>
          <w:szCs w:val="18"/>
          <w:color w:val="auto"/>
        </w:rPr>
        <w:t>We believe that our terminalling and storage activities and our gathering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activities are counter-cyclical. We believe that this balance of activities, combined with our pipeline transportation operations, has a stabilizing effect on our cash flow from operations.</w:t>
      </w:r>
    </w:p>
    <w:p>
      <w:pPr>
        <w:spacing w:after="0" w:line="221" w:lineRule="exact"/>
        <w:rPr>
          <w:rFonts w:ascii="Arial" w:cs="Arial" w:eastAsia="Arial" w:hAnsi="Arial"/>
          <w:sz w:val="18"/>
          <w:szCs w:val="18"/>
          <w:color w:val="auto"/>
        </w:rPr>
      </w:pPr>
    </w:p>
    <w:p>
      <w:pPr>
        <w:ind w:left="1080" w:right="220" w:hanging="532"/>
        <w:spacing w:after="0" w:line="291"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have the financial flexibility to continue to pursue expansion and acquisition opportunities. </w:t>
      </w:r>
      <w:r>
        <w:rPr>
          <w:rFonts w:ascii="Arial" w:cs="Arial" w:eastAsia="Arial" w:hAnsi="Arial"/>
          <w:sz w:val="16"/>
          <w:szCs w:val="16"/>
          <w:color w:val="auto"/>
        </w:rPr>
        <w:t>We believe we have significant resources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finance strategic expansion and acquisition opportunities, including our ability to issue additional partnership units, to borrow under our credit facilities and to issue additional notes in the long-term debt capital markets. As of June 30, 2005, after giving effect to the funding of the ECI acquisition and the application of the proceeds from this offering and the Concurrent Sale (as defined below under "Recent Developments— Concurrent Issuance of Common Units"), we would have had approximately $720.0 million available under our committed revolving credit facilities. Our usage is subject to covenant compliance.</w:t>
      </w:r>
    </w:p>
    <w:p>
      <w:pPr>
        <w:spacing w:after="0" w:line="187"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We have an experienced management team whose interests are aligned with those of our unitholders</w:t>
      </w:r>
      <w:r>
        <w:rPr>
          <w:rFonts w:ascii="Arial" w:cs="Arial" w:eastAsia="Arial" w:hAnsi="Arial"/>
          <w:sz w:val="18"/>
          <w:szCs w:val="18"/>
          <w:color w:val="auto"/>
        </w:rPr>
        <w:t>. Our executive management team has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of more than 20 years industry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 w:name="page6"/>
    <w:bookmarkEnd w:id="5"/>
    <w:p>
      <w:pPr>
        <w:ind w:left="1080" w:right="80"/>
        <w:spacing w:after="0" w:line="255" w:lineRule="auto"/>
        <w:rPr>
          <w:sz w:val="20"/>
          <w:szCs w:val="20"/>
          <w:color w:val="auto"/>
        </w:rPr>
      </w:pPr>
      <w:r>
        <w:rPr>
          <w:rFonts w:ascii="Arial" w:cs="Arial" w:eastAsia="Arial" w:hAnsi="Arial"/>
          <w:sz w:val="18"/>
          <w:szCs w:val="18"/>
          <w:color w:val="auto"/>
        </w:rPr>
        <w:t>experience, with an average of over 15 years with us or our predecessors and affiliates. Members of our senior management team own an approximate 5% interest in our general partner and collectively own approximately 650,000 common units, as well as vested, unexercised options to purchase approximately 360,000 common units. In addition, through grants of phantom units and options, the senior management team also owns significant contingent equity incentives that generally vest upon achievement of performance objectives, continued service or, in certain cases, both.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Natural Gas Storage Facilities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On September 14, 2005, Plains/Vulcan completed the acquisition of all of the equity interests of ECI, an indirect subsidiary of Sempra Energy that develops and operates underground natural gas storage facilities. Plains/Vulcan is owned 50% by us and 50% by a subsidiary of Vulcan Capital, the investment arm of Paul G. Allen ("Vulcan Capital"). The total purchase price, excluding transaction costs, for the ECI equity interests was approximately $250 million. Plains/Vulcan anticipates that it will make additional expenditures of approximately $260 million over the next several years to complete a project under construction. Plains/Vulcan anticipates entering into a credit facility to cover a portion of these costs and base gas requirements.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Vulcan Capital each made an initial cash investment of $112.5 million ($225 million in the aggregate to Plains/Vulcan), and a subsidiary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Plains/Vulcan placed a $90 million credit facility contemporaneously with closing. Our portion of the purchase price was funded with a combination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$112.5 million cash investment, borrowed under our senior unsecured revolving credit facility, and our indirect share of the borrowings under the Plains/Vulcan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subsidiary-level credit facility, with excess funds from such sources used for closing costs and future liquidity.</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ECI's principal assets consist of (i) Bluewater Gas Storage, an operating natural gas storage facility in Michigan with current natural gas storage working capacity of approximately 20 Bcf; (ii) Pine Prairie Energy Center ("Pine Prairie"), a 24 Bcf salt dome natural gas storage facility under development in Louisiana; and (iii) other similar projects and opportunities under various stages of review and evaluation.</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Based on current estimates, we expect the initial capital requirements associated with our proportionate ownership of Plains/Vulcan to be approximately $255 million, which includes our initial cash payment of $112.5 million and our indirect share of the Plains/Vulcan subsidiary-level credit facility, as well as future capital contributions. Actual costs may differ materially from current estimates because of factors beyond our control such as shortages or cost increases of power supplies, materials or labor (including the direct and indirect effects of Hurricanes Katrina and Rita on the availability of materials, the cost of natural gas and the demand for oil-field services).</w:t>
      </w:r>
    </w:p>
    <w:p>
      <w:pPr>
        <w:spacing w:after="0" w:line="197" w:lineRule="exact"/>
        <w:rPr>
          <w:sz w:val="20"/>
          <w:szCs w:val="20"/>
          <w:color w:val="auto"/>
        </w:rPr>
      </w:pPr>
    </w:p>
    <w:p>
      <w:pPr>
        <w:ind w:right="700" w:firstLine="348"/>
        <w:spacing w:after="0" w:line="332" w:lineRule="auto"/>
        <w:rPr>
          <w:sz w:val="20"/>
          <w:szCs w:val="20"/>
          <w:color w:val="auto"/>
        </w:rPr>
      </w:pPr>
      <w:r>
        <w:rPr>
          <w:rFonts w:ascii="Arial" w:cs="Arial" w:eastAsia="Arial" w:hAnsi="Arial"/>
          <w:sz w:val="16"/>
          <w:szCs w:val="16"/>
          <w:color w:val="auto"/>
        </w:rPr>
        <w:t>The Board of Directors of Plains/Vulcan, which will include an equal number of representatives from us and Vulcan Capital, will be responsible for providing strategic direction and policy-making, and we will be responsible for the day-to-day operations of Plains/Vulcan.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Through its affiliates, Vulcan Capital owns approximately 54% of our general partner and approximately 20% of our outstanding common units.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Concurrent Issuance of Common Units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Concurrent with the closing of this underwritten offering, we have agreed to issue 679,000 common units pursuant to our existing shelf registration statement directly to investment funds affiliated with Kayne Anderson Capital Advisors, L.P. in a privately negotiated transaction (the "Concurrent Sale") for a purchase price per unit equal to $40.512 (the public offering price less underwriting discounts and commissions), which equates to the net price per unit received by us in this offering. We expect to receive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ind w:right="80"/>
        <w:spacing w:after="0" w:line="259" w:lineRule="auto"/>
        <w:rPr>
          <w:sz w:val="20"/>
          <w:szCs w:val="20"/>
          <w:color w:val="auto"/>
        </w:rPr>
      </w:pPr>
      <w:r>
        <w:rPr>
          <w:rFonts w:ascii="Arial" w:cs="Arial" w:eastAsia="Arial" w:hAnsi="Arial"/>
          <w:sz w:val="18"/>
          <w:szCs w:val="18"/>
          <w:color w:val="auto"/>
        </w:rPr>
        <w:t>approximately $28.0 million of net proceeds, including our general partner's proportionate capital contribution after deducting estimated offering expenses, from the Concurrent Sale. The Concurrent Sale is conditioned on the consummation of this underwritten offering of common units, but the consummation of this offering of common units to you is not conditioned upon consummation of the Concurrent Sale.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Hurricanes Katrina and Rita</w:t>
      </w:r>
    </w:p>
    <w:p>
      <w:pPr>
        <w:spacing w:after="0" w:line="225" w:lineRule="exact"/>
        <w:rPr>
          <w:sz w:val="20"/>
          <w:szCs w:val="20"/>
          <w:color w:val="auto"/>
        </w:rPr>
      </w:pPr>
    </w:p>
    <w:p>
      <w:pPr>
        <w:ind w:right="460" w:firstLine="351"/>
        <w:spacing w:after="0" w:line="323" w:lineRule="auto"/>
        <w:rPr>
          <w:sz w:val="20"/>
          <w:szCs w:val="20"/>
          <w:color w:val="auto"/>
        </w:rPr>
      </w:pPr>
      <w:r>
        <w:rPr>
          <w:rFonts w:ascii="Arial" w:cs="Arial" w:eastAsia="Arial" w:hAnsi="Arial"/>
          <w:sz w:val="15"/>
          <w:szCs w:val="15"/>
          <w:color w:val="auto"/>
        </w:rPr>
        <w:t>Our preliminary damage assessment of the impact of Hurricanes Katrina and Rita on our Gulf Coast assets indicates that, in most cases, the extent of physical damage is not significant, and the bulk of associated costs will be covered by insurance. Because of lost power and communications and extensive flooding, access to certain assets remains difficult. For those assets rendered nonfunctional because of the hurricanes, we expect to encounter shortages of equipment and personnel to effect repairs, which could extend the time and increase the costs associated with returning such assets to service.</w:t>
      </w:r>
    </w:p>
    <w:p>
      <w:pPr>
        <w:spacing w:after="0" w:line="15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are continuing to assess damage to our Gulf Coast assets. The cumulative impact of the hurricanes on our operations, however, may not be known for some time and will be dependent upon when power is restored to our facilities, the extent of damage to our and third-party assets, the potential impact of shut-in crude oil production and refining capacity and the extent of any environmental exposure. The profitability of our pipeline operations depends on the volume of crude oil shipped, and the profitability of our gathering and marketing activities is generally dependent on the volumes of crude oil we purchase and gather. Also, the success of our business strategy to increase and optimize throughput on our pipeline and gathering assets is dependent on our securing additional supplies of crude oil. The interruption in the production of oil from the Gulf Coast region caused by Hurricanes Katrina and Rita has reduced the production and limited the supply of crude oil available in the market and therefore decreased the volumes shipped on our pipelines and the volumes available for us to purchase in the market. Although substantial uncertainty remains, as of September 27, 2005 we do not expect the effects of Hurricanes Katrina and Rita will have a material impact on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Changes at Our General Partner</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August 12, 2005, Sable Investments, L.P., a 19.0% owner of our general partner, sold its interest to the remaining owners of our general partner. This transaction resulted from the exercise of a right of first refusal by all of the remaining owners in response to an offer to purchase the Sable interest. As a result of this transaction, Vulcan Energy Corporation ("Vulcan"), an affiliate of Vulcan Capital, increased its ownership interest in our general partner from 44% to approximately 54%, which effectively would have enabled Vulcan to elect five of our general partner's eight board members.</w:t>
      </w:r>
    </w:p>
    <w:p>
      <w:pPr>
        <w:spacing w:after="0" w:line="16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conjunction with the transaction, our general partner entered into an excess voting rights agreement with Vulcan pursuant to which Vulcan has agreed to restrict certain of its voting rights to help preserve a balanced board. Specifically, Vulcan agreed that with respect to any action taken by the members for the election or removal of an independent director, Vulcan will vote all of its membership interest in excess of 49.9% in the same manner as, and proportionate to, the votes of all membership interests other than Vulcan's. Vulcan has the right at any time to give notice of termination of the agreement. The time between notice and termination depends on the circumstances, but would never be longer than one year. Upon any breach by Vulcan of, or notice of termination under, the agreement, the employment agreement waivers described below would terminate. In addition, Lynx Holdings, L.P., similarly agreed that, in the same circumstances, it will vote all of its 1.23% membership interest in the same manner as, and proportionate to, the votes of all membership interests other than Vulcan's and Lynx Holdings'. Also in connection with the transaction, the chief executive officer and the chief operating officer of our general partner agreed to waive certain change-of-control payment rights that would otherwise have been triggered as a result of the increase in Vulcan's ownership interest in the general partner to approximately 54%.</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Distribution Increase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July 21, 2005, we announced a cash distribution of $0.65 per unit on all outstanding limited partner units. This second quarter distribution was paid on August 12, 2005. This distribution equals an annual distribution of $2.60 per unit and represents an increase of 12.6% over the second quarter of 2004 distribution.</w:t>
      </w:r>
    </w:p>
    <w:p>
      <w:pPr>
        <w:spacing w:after="0" w:line="194" w:lineRule="exact"/>
        <w:rPr>
          <w:sz w:val="20"/>
          <w:szCs w:val="20"/>
          <w:color w:val="auto"/>
        </w:rPr>
      </w:pPr>
    </w:p>
    <w:p>
      <w:pPr>
        <w:ind w:right="80" w:firstLine="351"/>
        <w:spacing w:after="0" w:line="314" w:lineRule="auto"/>
        <w:rPr>
          <w:sz w:val="20"/>
          <w:szCs w:val="20"/>
          <w:color w:val="auto"/>
        </w:rPr>
      </w:pPr>
      <w:r>
        <w:rPr>
          <w:rFonts w:ascii="Arial" w:cs="Arial" w:eastAsia="Arial" w:hAnsi="Arial"/>
          <w:sz w:val="15"/>
          <w:szCs w:val="15"/>
          <w:color w:val="auto"/>
        </w:rPr>
        <w:t>During our conference call to discuss the acquisition of ECI, our management disclosed its intent to recommend to the board of directors of our general partner a post-closing distribution increase of two and a half cents per quarter, or ten cents per unit on an annualized basis. Such an increase would result in a quarterly distribution of $0.675 per unit, which equals an annualized distribution rate of $2.70 per unit. Subject to the approval of the board of directors of our general partner and the absence of any material adverse developments or potentially attractive opportunities that would make such an increase inadvisable, we expect this increase to be reflected in our distribution related to the third quarter of 2005. Under our partnership agreement, generally our general partner is entitled to 50% of the amount we distribute to each unitholder in excess of $0.675 per unit per quarter. See "The Offering—Cash distributions."</w:t>
      </w:r>
    </w:p>
    <w:p>
      <w:pPr>
        <w:spacing w:after="0" w:line="15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90"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560" w:type="dxa"/>
            <w:vAlign w:val="bottom"/>
          </w:tcPr>
          <w:p>
            <w:pPr>
              <w:ind w:left="1900"/>
              <w:spacing w:after="0"/>
              <w:rPr>
                <w:sz w:val="20"/>
                <w:szCs w:val="20"/>
                <w:color w:val="auto"/>
              </w:rPr>
            </w:pPr>
            <w:r>
              <w:rPr>
                <w:rFonts w:ascii="Arial" w:cs="Arial" w:eastAsia="Arial" w:hAnsi="Arial"/>
                <w:sz w:val="18"/>
                <w:szCs w:val="18"/>
                <w:b w:val="1"/>
                <w:bCs w:val="1"/>
                <w:color w:val="auto"/>
              </w:rPr>
              <w:t>THE OFFERING</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Common units we are offering</w:t>
            </w: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9"/>
              </w:rPr>
              <w:t>4,500,000 common units; 5,175,000 common units if the underwriters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6"/>
              </w:rPr>
              <w:t>exercise their option to purchase additional common units in full.</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w w:val="96"/>
              </w:rPr>
              <w:t>Except as the context otherwise indicates, the information in this</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w w:val="95"/>
              </w:rPr>
              <w:t>prospectus supplement assumes no exercise of the underwriters'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w w:val="91"/>
              </w:rPr>
              <w:t>option to purchase additional common units and does not reflect the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rPr>
              <w:t>issuance of 679,000 common units in the Concurrent Sale.</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Units outstanding after this offering</w:t>
            </w: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4"/>
              </w:rPr>
              <w:t>72,414,576 common units if the underwriters do not exercise their</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9"/>
              </w:rPr>
              <w:t>option to purchase additional common units and 73,089,576 common</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2"/>
              </w:rPr>
              <w:t>units if the underwriters exercise their option to purchase additional</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common units in full.</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12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5560" w:type="dxa"/>
            <w:vAlign w:val="bottom"/>
          </w:tcPr>
          <w:p>
            <w:pPr>
              <w:ind w:left="620"/>
              <w:spacing w:after="0"/>
              <w:rPr>
                <w:sz w:val="20"/>
                <w:szCs w:val="20"/>
                <w:color w:val="auto"/>
              </w:rPr>
            </w:pPr>
            <w:r>
              <w:rPr>
                <w:rFonts w:ascii="Arial" w:cs="Arial" w:eastAsia="Arial" w:hAnsi="Arial"/>
                <w:sz w:val="18"/>
                <w:szCs w:val="18"/>
                <w:color w:val="auto"/>
                <w:w w:val="89"/>
              </w:rPr>
              <w:t>We intend to use the net proceeds from this offering of approximately</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w w:val="92"/>
              </w:rPr>
              <w:t>$185.9 million, including our general partner's proportionate capital</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rPr>
              <w:t>contribution after deducting the underwriting discounts and</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w w:val="88"/>
              </w:rPr>
              <w:t>commissions and estimated offering expenses, to repay indebtedness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w w:val="97"/>
              </w:rPr>
              <w:t>outstanding under our senior unsecured revolving credit facility,</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w w:val="98"/>
              </w:rPr>
              <w:t>which was incurred to fund the ECI acquisition, and for general</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rPr>
              <w:t>partnership purposes.</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w:t>
            </w: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1"/>
              </w:rPr>
              <w:t>Under our partnership agreement, we must distribute all of our cash</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0"/>
              </w:rPr>
              <w:t>on hand at the end of each quarter, less reserves established by our</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general partner in its discretion. We refer to this cash as "available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cash," and we define its meaning in our partnership agreement.</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w w:val="93"/>
              </w:rPr>
              <w:t>On July 21, 2005, we declared a quarterly cash distribution for the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w w:val="91"/>
              </w:rPr>
              <w:t>second quarter of $0.65 per limited partner unit, or $2.60 per limited</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w w:val="95"/>
              </w:rPr>
              <w:t>partner unit on an annualized basis. This distribution was paid on</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560" w:type="dxa"/>
            <w:vAlign w:val="bottom"/>
          </w:tcPr>
          <w:p>
            <w:pPr>
              <w:ind w:left="620"/>
              <w:spacing w:after="0"/>
              <w:rPr>
                <w:sz w:val="20"/>
                <w:szCs w:val="20"/>
                <w:color w:val="auto"/>
              </w:rPr>
            </w:pPr>
            <w:r>
              <w:rPr>
                <w:rFonts w:ascii="Arial" w:cs="Arial" w:eastAsia="Arial" w:hAnsi="Arial"/>
                <w:sz w:val="18"/>
                <w:szCs w:val="18"/>
                <w:color w:val="auto"/>
              </w:rPr>
              <w:t>August 12, 2005.</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During our conference call to discuss the acquisition of ECI, our</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8"/>
              </w:rPr>
              <w:t>management disclosed its intent to recommend to the board of</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9"/>
              </w:rPr>
              <w:t>directors of our general partner a post-closing distribution increase of</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7"/>
              </w:rPr>
              <w:t>two and a half cents per quarter, or ten cents per unit on an annualized</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basis. Such an increase would result in a quarterly distribution of</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9"/>
              </w:rPr>
              <w:t>$0.675 per unit, which equals an annualized distribution rate of $2.70</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8"/>
              </w:rPr>
              <w:t>per unit. Subject to the approval of the board of directors of our</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general partner and the absence of any material adverse developments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9"/>
              </w:rPr>
              <w:t>or potentially attractive opportunities that would make such an</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2"/>
              </w:rPr>
              <w:t>increase inadvisable, we expect this increase to be reflected in our</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distribution related to the third quarter of 2005.</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560" w:type="dxa"/>
            <w:vAlign w:val="bottom"/>
          </w:tcPr>
          <w:p>
            <w:pPr>
              <w:ind w:left="2480"/>
              <w:spacing w:after="0"/>
              <w:rPr>
                <w:sz w:val="20"/>
                <w:szCs w:val="20"/>
                <w:color w:val="auto"/>
              </w:rPr>
            </w:pPr>
            <w:r>
              <w:rPr>
                <w:rFonts w:ascii="Arial" w:cs="Arial" w:eastAsia="Arial" w:hAnsi="Arial"/>
                <w:sz w:val="18"/>
                <w:szCs w:val="18"/>
                <w:color w:val="auto"/>
              </w:rPr>
              <w:t>S-7</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left="3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505450" cy="1235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05450" cy="1235075"/>
                    </a:xfrm>
                    <a:prstGeom prst="rect">
                      <a:avLst/>
                    </a:prstGeom>
                    <a:noFill/>
                  </pic:spPr>
                </pic:pic>
              </a:graphicData>
            </a:graphic>
          </wp:anchor>
        </w:drawing>
        <w:t>Under the quarterly incentive distribution provisions in our</w:t>
      </w:r>
    </w:p>
    <w:p>
      <w:pPr>
        <w:spacing w:after="0" w:line="15"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partnership agreement, generally our general partner is entitled,</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without duplication, to 15% of amounts we distribute until each</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unitholder receives a total of $0.495 per common unit, 25% of</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amounts we distribute until each unitholder receives a total of $0.675</w:t>
      </w:r>
    </w:p>
    <w:p>
      <w:pPr>
        <w:spacing w:after="0" w:line="44"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per common unit and 50% thereafter. For a description of our cash</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distribution policy, please read "Cash Distribution Policy" in the</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accompanying base prospectus.</w:t>
      </w:r>
    </w:p>
    <w:p>
      <w:pPr>
        <w:sectPr>
          <w:pgSz w:w="11900" w:h="16838" w:orient="portrait"/>
          <w:cols w:equalWidth="0" w:num="1">
            <w:col w:w="10219"/>
          </w:cols>
          <w:pgMar w:left="240" w:top="347" w:right="1440" w:bottom="1440" w:gutter="0" w:footer="0" w:header="0"/>
        </w:sectPr>
      </w:pPr>
    </w:p>
    <w:p>
      <w:pPr>
        <w:spacing w:after="0" w:line="21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Estimated ratio of taxable income to distributions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599"/>
        <w:spacing w:after="0" w:line="290" w:lineRule="auto"/>
        <w:rPr>
          <w:sz w:val="20"/>
          <w:szCs w:val="20"/>
          <w:color w:val="auto"/>
        </w:rPr>
      </w:pPr>
      <w:r>
        <w:rPr>
          <w:rFonts w:ascii="Arial" w:cs="Arial" w:eastAsia="Arial" w:hAnsi="Arial"/>
          <w:sz w:val="16"/>
          <w:szCs w:val="16"/>
          <w:color w:val="auto"/>
        </w:rPr>
        <w:t>We estimate that if you own the common units you purchase in this offering through the record date for the distribution for the period ending December 31, 2007, you will be allocated, on a cumulative basis, an amount of federal taxable income for that period that will be less than 20% of the cash distributed to you with respect to that period. Please read "Tax Considerations" in this prospectus supplement for the basis of this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-21590</wp:posOffset>
            </wp:positionV>
            <wp:extent cx="550545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05450" cy="27432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3020" w:space="720"/>
            <w:col w:w="6479"/>
          </w:cols>
          <w:pgMar w:left="240" w:top="347" w:right="1440" w:bottom="1440" w:gutter="0" w:footer="0" w:header="0"/>
          <w:type w:val="continuous"/>
        </w:sectPr>
      </w:pPr>
    </w:p>
    <w:p>
      <w:pPr>
        <w:spacing w:after="0"/>
        <w:tabs>
          <w:tab w:leader="none" w:pos="3720" w:val="left"/>
        </w:tabs>
        <w:rPr>
          <w:sz w:val="20"/>
          <w:szCs w:val="20"/>
          <w:color w:val="auto"/>
        </w:rPr>
      </w:pPr>
      <w:r>
        <w:rPr>
          <w:rFonts w:ascii="Arial" w:cs="Arial" w:eastAsia="Arial" w:hAnsi="Arial"/>
          <w:sz w:val="18"/>
          <w:szCs w:val="18"/>
          <w:color w:val="auto"/>
        </w:rPr>
        <w:t>New York Stock Exchange symbol</w:t>
      </w:r>
      <w:r>
        <w:rPr>
          <w:sz w:val="20"/>
          <w:szCs w:val="20"/>
          <w:color w:val="auto"/>
        </w:rPr>
        <w:tab/>
      </w:r>
      <w:r>
        <w:rPr>
          <w:rFonts w:ascii="Arial" w:cs="Arial" w:eastAsia="Arial" w:hAnsi="Arial"/>
          <w:sz w:val="16"/>
          <w:szCs w:val="16"/>
          <w:color w:val="auto"/>
        </w:rPr>
        <w:t>PAA.</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45"/>
        <w:spacing w:after="0" w:line="256" w:lineRule="auto"/>
        <w:rPr>
          <w:sz w:val="20"/>
          <w:szCs w:val="20"/>
          <w:color w:val="auto"/>
        </w:rPr>
      </w:pPr>
      <w:r>
        <w:rPr>
          <w:rFonts w:ascii="Arial" w:cs="Arial" w:eastAsia="Arial" w:hAnsi="Arial"/>
          <w:sz w:val="18"/>
          <w:szCs w:val="18"/>
          <w:color w:val="auto"/>
        </w:rPr>
        <w:t>You should read carefully the discussion of the material risks relating to an investment in the common units offered by us under the caption "Risk Factors" beginning on page 5 of the accompanying base prospectus, as well as those risks discussed in our Annual Report on Form 10-K for the year ended December 31, 2004, and our Quarterly Reports on Form 10-Q for the quarters ended March 31, 2005 and June 30, 2005, which are incorporated by reference into this prospectus supplement.</w:t>
      </w:r>
    </w:p>
    <w:p>
      <w:pPr>
        <w:spacing w:after="0" w:line="197" w:lineRule="exact"/>
        <w:rPr>
          <w:sz w:val="20"/>
          <w:szCs w:val="20"/>
          <w:color w:val="auto"/>
        </w:rPr>
      </w:pPr>
    </w:p>
    <w:p>
      <w:pPr>
        <w:ind w:right="100" w:firstLine="345"/>
        <w:spacing w:after="0" w:line="268" w:lineRule="auto"/>
        <w:rPr>
          <w:sz w:val="20"/>
          <w:szCs w:val="20"/>
          <w:color w:val="auto"/>
        </w:rPr>
      </w:pPr>
      <w:r>
        <w:rPr>
          <w:rFonts w:ascii="Arial" w:cs="Arial" w:eastAsia="Arial" w:hAnsi="Arial"/>
          <w:sz w:val="18"/>
          <w:szCs w:val="18"/>
          <w:color w:val="auto"/>
        </w:rPr>
        <w:t>You should also consider the risks associated with our operating lines of business that are distinct and separate from our historical operations, as well as the following additional risks before deciding to purchase common units in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Hurricanes Katrina and Rita and other hurricanes may adversely affect our business.</w:t>
      </w:r>
    </w:p>
    <w:p>
      <w:pPr>
        <w:spacing w:after="0" w:line="225" w:lineRule="exact"/>
        <w:rPr>
          <w:sz w:val="20"/>
          <w:szCs w:val="20"/>
          <w:color w:val="auto"/>
        </w:rPr>
      </w:pPr>
    </w:p>
    <w:p>
      <w:pPr>
        <w:ind w:right="440" w:firstLine="351"/>
        <w:spacing w:after="0" w:line="323" w:lineRule="auto"/>
        <w:rPr>
          <w:sz w:val="20"/>
          <w:szCs w:val="20"/>
          <w:color w:val="auto"/>
        </w:rPr>
      </w:pPr>
      <w:r>
        <w:rPr>
          <w:rFonts w:ascii="Arial" w:cs="Arial" w:eastAsia="Arial" w:hAnsi="Arial"/>
          <w:sz w:val="15"/>
          <w:szCs w:val="15"/>
          <w:color w:val="auto"/>
        </w:rPr>
        <w:t>Our preliminary damage assessment of the impact of Hurricanes Katrina and Rita on our Gulf Coast assets indicates that, in most cases, the extent of physical damage is not significant, and the bulk of associated costs will be covered by insurance. Because of lost power and communications and extensive flooding, access to certain assets remains difficult. For those assets rendered nonfunctional because of the hurricanes, we expect to encounter shortages of equipment and personnel to effect repairs, which could extend the time and increase the costs associated with returning such assets to service.</w:t>
      </w:r>
    </w:p>
    <w:p>
      <w:pPr>
        <w:spacing w:after="0" w:line="152"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are continuing to assess damage to our Gulf Coast assets. The cumulative impact of the hurricanes on our operations, however, may not be known for some time and will be dependent upon when power is restored to our facilities, the extent of damage to our and third-party assets, the potential impact of shut-in crude oil production and refining capacity and the extent of any environmental exposure. The profitability of our pipeline operations depends on the volume of crude oil shipped, and the profitability of our gathering and marketing activities is generally dependent on the volumes of crude oil we purchase and gather. Also, the success of our business strategy to increase and optimize throughput on our pipeline and gathering assets is dependent on our securing additional supplies of crude oil. The interruption in the production of oil from the Gulf Coast region caused by Hurricanes Katrina and Rita has reduced the production and limited the supply of crude oil available in the market and therefore decreased the volumes shipped on our pipelines and the volumes available for us to purchase in the market. Although substantial uncertainty remains, as of September 27, 2005 we do not expect the effects of Hurricanes Katrina and Rita will have a material impact on our results of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Future hurricanes could have effects similar to and worse than Hurricanes Katrina and Rita, and could materially impact our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Marine Transportation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of crude oil has inherent operating risks.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gathering and marketing operations include purchasing crude oil that is carried on third party tankers. Our water-borne cargoes of crude oil are at risk of being damaged or lost because of events such as marine disaster, bad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our reputation and customer relationships generally. While certain of these risks may be covered under our insurance program, any of these circumstances or events could increase our costs or lower our revenues, which could result in a reduction in the market price of our equity or debt securities.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Maritime claimants could arrest the vessels carrying our cargoes.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our oil could substantially delay our shipment.</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our cargo for claims relating to a vessel with which we have no relation.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 in the Natural Gas Storage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facilities are new and have limited operating history.</w:t>
      </w:r>
    </w:p>
    <w:p>
      <w:pPr>
        <w:spacing w:after="0" w:line="225" w:lineRule="exact"/>
        <w:rPr>
          <w:sz w:val="20"/>
          <w:szCs w:val="20"/>
          <w:color w:val="auto"/>
        </w:rPr>
      </w:pPr>
    </w:p>
    <w:p>
      <w:pPr>
        <w:ind w:right="320" w:firstLine="341"/>
        <w:spacing w:after="0" w:line="306" w:lineRule="auto"/>
        <w:rPr>
          <w:sz w:val="20"/>
          <w:szCs w:val="20"/>
          <w:color w:val="auto"/>
        </w:rPr>
      </w:pPr>
      <w:r>
        <w:rPr>
          <w:rFonts w:ascii="Arial" w:cs="Arial" w:eastAsia="Arial" w:hAnsi="Arial"/>
          <w:sz w:val="16"/>
          <w:szCs w:val="16"/>
          <w:color w:val="auto"/>
        </w:rPr>
        <w:t>Although we believe that our operating facilities are designed substantially to meet our contractual obligations with respect to injection and withdrawal volumes and specifications, the facilities are new and have a limited operating history. If we fail to receive or deliver natural gas at contracted rates, or cannot deliver natural gas consistent with contractual quality specifications, we could incur significant costs to maintain compliance with our contracts.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history operating natural gas storage facilities.</w:t>
      </w:r>
    </w:p>
    <w:p>
      <w:pPr>
        <w:spacing w:after="0" w:line="225"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Although many aspects of the natural gas storage industry are similar in many respects to our crude oil gathering, marketing, terminalling and storage operations, our current management does not have any experience in operating natural gas storage facilities. There are significant risks and costs inherent in our efforts to undertake entering into natural gas storage operations, including the risk that our new line of business may not be profitable and that we might not be able to operate the natural gas storage business or implement our operating policies and strategies successfully.</w:t>
      </w:r>
    </w:p>
    <w:p>
      <w:pPr>
        <w:spacing w:after="0" w:line="16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will be required to devote a great deal of capital, management time and other resources by entering into the natural gas storage business. The devotion of these resources to natural gas storage operations could adversely affect our existing business. Entering into the natural gas storage industry may require substantial changes, including acquisition costs, capital development expenditures, adding management and employees who possess the skills we believe we will need to operate a natural gas storage business, and realigning our current organization to reflect this new line of business. Entering into the natural gas storage industry will require an investment in personnel and assets and the assumption of risks that may be greater than we have previously assumed.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or local regulatory measures could adversely affect our business.</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Our natural gas storage operations are subject to federal, state and local regulatory authorities. Specifically, our natural gas storage facilities and related assets are or will be subject to regulation by the Federal Energy Regulatory Commission or the Michigan Public Service Commission. Our facilities essentially have market-based rate authority from such agencies. Any loss of market-based rate authority could have an adverse impact on our revenues associated with providing storage services.</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addition, failure to comply with applicable regulations under the Natural Gas Act of 1938, Natural Gas Policy Act of 1978, and certain other state laws could result in the imposition of administrative, civil and criminal remedies.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Our gas storage business depends on third-party pipelines to transport natural gas.</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depend on third-party pipelines to move natural gas for our customers to and from our facilities. Any interruption of service on the pipelines or lateral connections or adverse change in the terms and conditions of service could have a material adverse effect on our ability, and the ability of our customers, to transport natural gas to and from our facilities, and could have a corresponding material adverse effect on our storage revenues. In addition, the rates charged by the interconnected pipeline for transportation to and from our facilities affect the utilization and value of our storage services. Significant changes in the rates charged by the pipeline or the rates charged by other pipelines with which the interconnected pipelines compete could also have a material adverse effect on our storage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encounter competition from a variety of sources.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compete with other storage providers, including local distribution companies ("LDCs"), utilities and affiliates of LDCs and utilities. Certain major pipeline companies have existing storage facilities connected to their systems that compete with certain of our facilities. Construction of new capacity could have an adverse impact on our competitive position.</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Expanding our business by constructing new storage facilities subjects us to construction risks; there is no guarantee that Pine Prairie will be developed in the expected time frame or at the expected cost or generate the expected returns.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One of the ways we intend to grow our business is through the construction and development of new storage facilities or additions to our existing facilities. The construction of additional storage facilities or new pipeline interconnects involves numerous regulatory, environmental, political and legal uncertainties beyond our control, and requires the expenditure of significant amounts of capital. As we undertake these projects, they may be completed behind schedule or over the budgeted cost. Because of increased demand for materials, equipment and services in the wake of Hurricanes Katrina and Rita, there could be shortages and cost increases associated with construction projects. Moreover, our revenues will not increase immediately upon the expenditure of funds on a particular project. We may also construct facilities in anticipation of market growth that may never materialize. For example, Pine Prairie is currently under development and there is no guarantee that it will be fully developed in the expected time frame or at the expected cost or generate the expected returns.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retain existing customers or acquire new customers, which would reduce our revenues and limit our future profitability.</w:t>
      </w:r>
    </w:p>
    <w:p>
      <w:pPr>
        <w:spacing w:after="0" w:line="24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renewal or replacement of existing contracts with our customers at rates sufficient to maintain or exceed current or anticipated revenues and cash flows depends on a number of factors beyond our control, including competition from other storage providers and the supply of and demand for natural gas in the markets we serve. The inability to renew or replace our current contracts as they expire and to respond appropriately to changing market conditions could have a negative effect on our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obligations under storage agreements may be suspended in some circumstances.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Some third parties' obligations under their agreements with us may be permanently or temporarily reduced upon the occurrence of certain events, some of which are beyond our control, including force majeure. Force majeure events include (but are not limited to) revolutions, wars, acts of enemies, embargoes, import or export restrictions, strikes, lockouts, fires, storms, floods, acts of God, explosions and mechanical or physical failures of our equipment or facilities or the equipment or facilities of third parties.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The nature of our investment in natural gas storage assets and business could expose us to significant compliance costs and liabilities.</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operations involving the storage of natural gas are subject to stringent federal, state and local laws and regulations governing the discharge of materials into the environment,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and the issuance of injunctions that may restrict or prohibit our operations or even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materials into the environment could, to the extent such event is not insured, subject us to substantial expense, including both the cost to comply with applicable laws and regulations and liability to private parties for personal injury or property damage.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structures can create operational difficulties.</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natural gas storage operations are conducted through Plains/Vulcan, a joint venture between us and a subsidiary of Vulcan Capital, with each of us owning 50%. The board of directors of Plains/Vulcan, which will include an equal number of representatives from us and Vulcan Capital, will be responsible for providing strategic direction and policy-making, and we will be responsible for the day-to-day operations of Plains/Vulcan.</w:t>
      </w:r>
    </w:p>
    <w:p>
      <w:pPr>
        <w:spacing w:after="0" w:line="161"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As with any such joint venture arrangements, differences in views among the joint venture participants may result in delayed decisions or in failures to agree on major matters, potentially adversely affecting the business and operations of the joint ventures and in turn our business and operations.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net proceeds of this offering will be approximately $185.9 million, including our general partner's proportionate capital contribution, after deducting the underwriting discounts and commissions and estimated offering expenses. We intend to use the net proceeds of this offering (as well as the proceeds from any exercise of the underwriters' option to purchase additional common units) to repay indebtedness outstanding under our senior unsecured revolving credit facility, which was incurred to fund the ECI acquisition, and for general partnership purposes.</w:t>
      </w:r>
    </w:p>
    <w:p>
      <w:pPr>
        <w:spacing w:after="0" w:line="16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Indebtedness under our senior unsecured revolving credit facility was approximately $420.7 million as of September 19, 2005, and had an annual interest rate of 4.6%. Our $900 million senior unsecured revolving credit facility matures in November 2009. Substantially all of the outstanding indebtedness under the facility was incurred to fund acquisitions, working capital requirements and the purchase of hedged inventory.</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PRICE RANGE OF COMMON UNITS AND DISTRIBUTIONS</w:t>
      </w:r>
    </w:p>
    <w:p>
      <w:pPr>
        <w:spacing w:after="0" w:line="231"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of September 19, 2005, we had 67,914,576 common units outstanding, held by approximately 32,000 holders, including common units held in street name. Our common units are traded on the New York Stock Exchange under the symbol "PAA."</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following table sets forth, for the periods indicated, the high and low sales prices for the common units, as reported on the New York Stock Exchange Composite Transactions Tape, and quarterly cash distributions declared per common unit and subordinated unit. The last reported sale price of common units on the New York Stock Exchange on September 22, 2005 was $42.20 per common unit.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4"/>
          </w:tcPr>
          <w:p>
            <w:pPr>
              <w:jc w:val="right"/>
              <w:ind w:right="392"/>
              <w:spacing w:after="0"/>
              <w:rPr>
                <w:sz w:val="20"/>
                <w:szCs w:val="20"/>
                <w:color w:val="auto"/>
              </w:rPr>
            </w:pPr>
            <w:r>
              <w:rPr>
                <w:rFonts w:ascii="Arial" w:cs="Arial" w:eastAsia="Arial" w:hAnsi="Arial"/>
                <w:sz w:val="18"/>
                <w:szCs w:val="18"/>
                <w:b w:val="1"/>
                <w:bCs w:val="1"/>
                <w:color w:val="auto"/>
              </w:rPr>
              <w:t>Price Range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vMerge w:val="restart"/>
          </w:tcPr>
          <w:p>
            <w:pPr>
              <w:jc w:val="center"/>
              <w:ind w:right="192"/>
              <w:spacing w:after="0"/>
              <w:rPr>
                <w:sz w:val="20"/>
                <w:szCs w:val="20"/>
                <w:color w:val="auto"/>
              </w:rPr>
            </w:pPr>
            <w:r>
              <w:rPr>
                <w:rFonts w:ascii="Arial" w:cs="Arial" w:eastAsia="Arial" w:hAnsi="Arial"/>
                <w:sz w:val="18"/>
                <w:szCs w:val="18"/>
                <w:b w:val="1"/>
                <w:bCs w:val="1"/>
                <w:color w:val="auto"/>
                <w:w w:val="86"/>
              </w:rPr>
              <w:t>Cash</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center"/>
              <w:ind w:right="172"/>
              <w:spacing w:after="0"/>
              <w:rPr>
                <w:sz w:val="20"/>
                <w:szCs w:val="20"/>
                <w:color w:val="auto"/>
              </w:rPr>
            </w:pPr>
            <w:r>
              <w:rPr>
                <w:rFonts w:ascii="Arial" w:cs="Arial" w:eastAsia="Arial" w:hAnsi="Arial"/>
                <w:sz w:val="18"/>
                <w:szCs w:val="18"/>
                <w:b w:val="1"/>
                <w:bCs w:val="1"/>
                <w:color w:val="auto"/>
                <w:w w:val="90"/>
              </w:rPr>
              <w:t>Distributions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center"/>
              <w:ind w:right="172"/>
              <w:spacing w:after="0"/>
              <w:rPr>
                <w:sz w:val="20"/>
                <w:szCs w:val="20"/>
                <w:color w:val="auto"/>
              </w:rPr>
            </w:pPr>
            <w:r>
              <w:rPr>
                <w:rFonts w:ascii="Arial" w:cs="Arial" w:eastAsia="Arial" w:hAnsi="Arial"/>
                <w:sz w:val="18"/>
                <w:szCs w:val="18"/>
                <w:b w:val="1"/>
                <w:bCs w:val="1"/>
                <w:color w:val="auto"/>
                <w:w w:val="93"/>
              </w:rPr>
              <w:t>per Unit(1)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30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26.90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24.20</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0.5625</w:t>
            </w:r>
          </w:p>
        </w:tc>
        <w:tc>
          <w:tcPr>
            <w:tcW w:w="0" w:type="dxa"/>
            <w:vAlign w:val="bottom"/>
          </w:tcPr>
          <w:p>
            <w:pPr>
              <w:spacing w:after="0"/>
              <w:rPr>
                <w:sz w:val="1"/>
                <w:szCs w:val="1"/>
                <w:color w:val="auto"/>
              </w:rPr>
            </w:pPr>
          </w:p>
        </w:tc>
      </w:tr>
      <w:tr>
        <w:trPr>
          <w:trHeight w:val="457"/>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2004</w:t>
            </w:r>
          </w:p>
        </w:tc>
        <w:tc>
          <w:tcPr>
            <w:tcW w:w="3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0.6125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30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40.98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36.50</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Third Quarter (through September 22, 2005)</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ind w:right="6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0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-2775585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-2775585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-2398395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-2398395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-2398395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-2398395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-2398395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-2398395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cash distributions attributable to the quarter and paid within 45 days after the quarter.</w:t>
      </w:r>
    </w:p>
    <w:p>
      <w:pPr>
        <w:spacing w:after="0" w:line="252" w:lineRule="exact"/>
        <w:rPr>
          <w:rFonts w:ascii="Arial" w:cs="Arial" w:eastAsia="Arial" w:hAnsi="Arial"/>
          <w:sz w:val="18"/>
          <w:szCs w:val="18"/>
          <w:color w:val="auto"/>
        </w:rPr>
      </w:pPr>
    </w:p>
    <w:p>
      <w:pPr>
        <w:ind w:left="540" w:hanging="532"/>
        <w:spacing w:after="0" w:line="306"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distributions attributable to the third quarter of 2005 have not yet been declared or paid; however, during our conference call to discuss the acquisition of ECI, our management disclosed its intent to recommend to the board of directors of our general partner a distribution increase of two and a half cents for the quarter. See "Plains All American Pipeline, L.P.—Recent Developments—Distribution Increase."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our capitalization as of June 30, 2005 (1) on a historical unaudited basis, (2) as adjusted to give effect to borrowing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$112.5 million under our senior unsecured revolving credit facility related to the ECI acquisition, the issuance of 679,000 common units in the Concurrent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application of the expected net proceeds of $28.0 million from the Concurrent Sale and (3) as further adjusted to give effect to the sale of the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offered by this prospectus supplement, the application of the net proceeds therefrom and our general partner's proportionate capital contribution, net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offering expenses. This information should be read in conjunction with our financial statements and the notes thereto that are incorporated by reference into this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prospectus supplement and the accompanying base prospectus.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ind w:right="152"/>
              <w:spacing w:after="0"/>
              <w:rPr>
                <w:sz w:val="20"/>
                <w:szCs w:val="20"/>
                <w:color w:val="auto"/>
              </w:rPr>
            </w:pPr>
            <w:r>
              <w:rPr>
                <w:rFonts w:ascii="Arial" w:cs="Arial" w:eastAsia="Arial" w:hAnsi="Arial"/>
                <w:sz w:val="18"/>
                <w:szCs w:val="18"/>
                <w:b w:val="1"/>
                <w:bCs w:val="1"/>
                <w:color w:val="auto"/>
              </w:rPr>
              <w:t>June 30, 2005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As Adjusted for</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the Acquisition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432"/>
              <w:spacing w:after="0"/>
              <w:rPr>
                <w:sz w:val="20"/>
                <w:szCs w:val="20"/>
                <w:color w:val="auto"/>
              </w:rPr>
            </w:pPr>
            <w:r>
              <w:rPr>
                <w:rFonts w:ascii="Arial" w:cs="Arial" w:eastAsia="Arial" w:hAnsi="Arial"/>
                <w:sz w:val="18"/>
                <w:szCs w:val="18"/>
                <w:b w:val="1"/>
                <w:bCs w:val="1"/>
                <w:color w:val="auto"/>
              </w:rPr>
              <w:t>As Further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and Concurrent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372"/>
              <w:spacing w:after="0"/>
              <w:rPr>
                <w:sz w:val="20"/>
                <w:szCs w:val="20"/>
                <w:color w:val="auto"/>
              </w:rPr>
            </w:pPr>
            <w:r>
              <w:rPr>
                <w:rFonts w:ascii="Arial" w:cs="Arial" w:eastAsia="Arial" w:hAnsi="Arial"/>
                <w:sz w:val="18"/>
                <w:szCs w:val="18"/>
                <w:b w:val="1"/>
                <w:bCs w:val="1"/>
                <w:color w:val="auto"/>
              </w:rPr>
              <w:t>Adjusted for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b w:val="1"/>
                <w:bCs w:val="1"/>
                <w:color w:val="auto"/>
              </w:rPr>
              <w:t>Actual</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Sale(1)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ind w:right="372"/>
              <w:spacing w:after="0"/>
              <w:rPr>
                <w:sz w:val="20"/>
                <w:szCs w:val="20"/>
                <w:color w:val="auto"/>
              </w:rPr>
            </w:pPr>
            <w:r>
              <w:rPr>
                <w:rFonts w:ascii="Arial" w:cs="Arial" w:eastAsia="Arial" w:hAnsi="Arial"/>
                <w:sz w:val="18"/>
                <w:szCs w:val="18"/>
                <w:b w:val="1"/>
                <w:bCs w:val="1"/>
                <w:color w:val="auto"/>
              </w:rPr>
              <w:t>this Offering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jc w:val="right"/>
              <w:ind w:right="132"/>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6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105"/>
        </w:trPr>
        <w:tc>
          <w:tcPr>
            <w:tcW w:w="5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Short term debt(2)</w:t>
            </w: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40" w:type="dxa"/>
            <w:vAlign w:val="bottom"/>
            <w:gridSpan w:val="3"/>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40" w:type="dxa"/>
            <w:vAlign w:val="bottom"/>
            <w:gridSpan w:val="3"/>
            <w:vMerge w:val="continue"/>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820,769</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820,769</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719,420</w:t>
            </w:r>
          </w:p>
        </w:tc>
        <w:tc>
          <w:tcPr>
            <w:tcW w:w="0" w:type="dxa"/>
            <w:vAlign w:val="bottom"/>
          </w:tcPr>
          <w:p>
            <w:pPr>
              <w:spacing w:after="0"/>
              <w:rPr>
                <w:sz w:val="1"/>
                <w:szCs w:val="1"/>
                <w:color w:val="auto"/>
              </w:rPr>
            </w:pPr>
          </w:p>
        </w:tc>
      </w:tr>
      <w:tr>
        <w:trPr>
          <w:trHeight w:val="107"/>
        </w:trPr>
        <w:tc>
          <w:tcPr>
            <w:tcW w:w="1660" w:type="dxa"/>
            <w:vAlign w:val="bottom"/>
            <w:gridSpan w:val="2"/>
          </w:tcPr>
          <w:p>
            <w:pPr>
              <w:spacing w:after="0"/>
              <w:rPr>
                <w:sz w:val="9"/>
                <w:szCs w:val="9"/>
                <w:color w:val="auto"/>
              </w:rPr>
            </w:pPr>
          </w:p>
        </w:tc>
        <w:tc>
          <w:tcPr>
            <w:tcW w:w="3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 term debt:</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Senior unsecured revolving credit facility and other (2)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6,421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90,952</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notes, net of unamortized discount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946,733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946,733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Total long term debt</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953,154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1,037,685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953,154</w:t>
            </w:r>
          </w:p>
        </w:tc>
        <w:tc>
          <w:tcPr>
            <w:tcW w:w="0" w:type="dxa"/>
            <w:vAlign w:val="bottom"/>
          </w:tcPr>
          <w:p>
            <w:pPr>
              <w:spacing w:after="0"/>
              <w:rPr>
                <w:sz w:val="1"/>
                <w:szCs w:val="1"/>
                <w:color w:val="auto"/>
              </w:rPr>
            </w:pPr>
          </w:p>
        </w:tc>
      </w:tr>
      <w:tr>
        <w:trPr>
          <w:trHeight w:val="120"/>
        </w:trPr>
        <w:tc>
          <w:tcPr>
            <w:tcW w:w="1660" w:type="dxa"/>
            <w:vAlign w:val="bottom"/>
            <w:gridSpan w:val="2"/>
          </w:tcPr>
          <w:p>
            <w:pPr>
              <w:spacing w:after="0"/>
              <w:rPr>
                <w:sz w:val="10"/>
                <w:szCs w:val="10"/>
                <w:color w:val="auto"/>
              </w:rPr>
            </w:pPr>
          </w:p>
        </w:tc>
        <w:tc>
          <w:tcPr>
            <w:tcW w:w="3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Common unitholders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970,199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997,607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1,179,611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Total partner's capital</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999,977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1,027,946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1,213,826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capitalization</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1,953,131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2,065,631</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2,166,980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-4113530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-4113530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-3410585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-3410585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-3410585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-3410585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-3410585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-3410585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-1781175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-1781175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-1781175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-1781175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-1781175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-1781175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-1489075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-1489075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-1489075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-1489075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-1489075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-1489075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-768985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-768985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-768985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-768985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-768985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-768985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-477520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-477520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-477520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-477520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-477520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-477520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306"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ECI acquisition borrowing is shown based on the equity method of accounting. This anticipated accounting treatment is subject to final review and interpretation of the application of FIN 46R "Consolidation of Variable Interest Entities." If ECI were consolidated, debt would increase by an additional $90 million, cash would increase by approximately $63 million and minority interest would be $112.5 million.</w:t>
      </w:r>
    </w:p>
    <w:p>
      <w:pPr>
        <w:spacing w:after="0" w:line="187" w:lineRule="exact"/>
        <w:rPr>
          <w:rFonts w:ascii="Arial" w:cs="Arial" w:eastAsia="Arial" w:hAnsi="Arial"/>
          <w:sz w:val="16"/>
          <w:szCs w:val="16"/>
          <w:color w:val="auto"/>
        </w:rPr>
      </w:pPr>
    </w:p>
    <w:p>
      <w:pPr>
        <w:ind w:left="540" w:right="80" w:hanging="532"/>
        <w:spacing w:after="0" w:line="256"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June 30, 2005, we have classified $160.0 million of borrowings under our senior unsecured revolving credit facility as short-term. These borrowings are designated as working capital borrowings, must be repaid within one year and are primarily for hedged LPG and crude oil inventory and NYMEX margin deposits. The remaining balance is associated with borrowings under our hedged inventory facility, and will be repaid from the proceeds of the sale of the hedged inventory.</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TAX CONSIDERATIONS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estimate that if you purchase common units in this offering and own them through the record date for the distribution for the fourth quarter of 2007, then you will be allocated, on a cumulative basis, an amount of federal taxable income for such period that will be less than 20% of the cash distributed to you with respect to that period. This estimate is based upon many assumptions regarding our business and operations including assumptions with respect to capital expenditures, cash flows, availability of foreign tax credits and anticipated cash distributions. This estimate and our assumptions are subject to, among other things, numerous business, economic, regulatory, competitive and political uncertainties beyond our control. Further, this estimate is based on current tax law and certain tax reporting positions that we have adopted and with which the IRS might disagree. Accordingly, we cannot assure you that this estimate will be correct. The actual percentage of distributions that will constitute taxable income could be higher or lower, and any differences could be material and could materially affect the value of the common units. See "Tax Considerations" in the accompanying base prospectus.</w:t>
      </w:r>
    </w:p>
    <w:p>
      <w:pPr>
        <w:spacing w:after="0" w:line="17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tax consequences to you of an investment in common units will depend in part on your own tax circumstances. For example, ownership of common units by tax-exempt entities, regulated investment companies and foreign investors raises issues unique to such persons. For a discussion of the principal federal income tax considerations associated with our operations and the purchase, ownership and disposition of common units, see "Tax Considerations" in the accompanying base prospectus. You are urged to consult your own tax advisor about the federal, state, foreign and local tax consequences peculiar to your circumstances.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Wachovia Capital Markets, LLC and UBS Securities LLC are acting as joint book-running managers of the underwritten offering and representatives of the underwriters named below. Subject to the terms and conditions stated in the underwriting agreement dated the date of this prospectus supplement, each underwriter named below has agreed to purchase, and we have agreed to sell to that underwriter, the number of common units set forth opposite the underwriter's name.</w:t>
      </w:r>
    </w:p>
    <w:p>
      <w:pPr>
        <w:spacing w:after="0" w:line="191"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412"/>
              <w:spacing w:after="0"/>
              <w:rPr>
                <w:sz w:val="20"/>
                <w:szCs w:val="20"/>
                <w:color w:val="auto"/>
              </w:rPr>
            </w:pPr>
            <w:r>
              <w:rPr>
                <w:rFonts w:ascii="Arial" w:cs="Arial" w:eastAsia="Arial" w:hAnsi="Arial"/>
                <w:sz w:val="18"/>
                <w:szCs w:val="18"/>
                <w:b w:val="1"/>
                <w:bCs w:val="1"/>
                <w:color w:val="auto"/>
              </w:rPr>
              <w:t>Number of</w:t>
            </w:r>
          </w:p>
        </w:tc>
      </w:tr>
      <w:tr>
        <w:trPr>
          <w:trHeight w:val="228"/>
        </w:trPr>
        <w:tc>
          <w:tcPr>
            <w:tcW w:w="548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240" w:type="dxa"/>
            <w:vAlign w:val="bottom"/>
          </w:tcPr>
          <w:p>
            <w:pPr>
              <w:spacing w:after="0"/>
              <w:rPr>
                <w:sz w:val="19"/>
                <w:szCs w:val="19"/>
                <w:color w:val="auto"/>
              </w:rPr>
            </w:pPr>
          </w:p>
        </w:tc>
        <w:tc>
          <w:tcPr>
            <w:tcW w:w="1800" w:type="dxa"/>
            <w:vAlign w:val="bottom"/>
          </w:tcPr>
          <w:p>
            <w:pPr>
              <w:jc w:val="right"/>
              <w:ind w:right="292"/>
              <w:spacing w:after="0"/>
              <w:rPr>
                <w:sz w:val="20"/>
                <w:szCs w:val="20"/>
                <w:color w:val="auto"/>
              </w:rPr>
            </w:pPr>
            <w:r>
              <w:rPr>
                <w:rFonts w:ascii="Arial" w:cs="Arial" w:eastAsia="Arial" w:hAnsi="Arial"/>
                <w:sz w:val="18"/>
                <w:szCs w:val="18"/>
                <w:b w:val="1"/>
                <w:bCs w:val="1"/>
                <w:color w:val="auto"/>
              </w:rPr>
              <w:t>common units</w:t>
            </w:r>
          </w:p>
        </w:tc>
      </w:tr>
      <w:tr>
        <w:trPr>
          <w:trHeight w:val="120"/>
        </w:trPr>
        <w:tc>
          <w:tcPr>
            <w:tcW w:w="54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r>
      <w:tr>
        <w:trPr>
          <w:trHeight w:val="105"/>
        </w:trPr>
        <w:tc>
          <w:tcPr>
            <w:tcW w:w="5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1,035,000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UBS Securities LLC</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1,035,000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828,000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A.G. Edwards &amp; Sons, Inc.</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540,000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Lehman Brothers Inc.</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540,000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RBC Capital Markets Corporation</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261,000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Sanders Morris Harris Inc.</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261,000</w:t>
            </w:r>
          </w:p>
        </w:tc>
      </w:tr>
      <w:tr>
        <w:trPr>
          <w:trHeight w:val="118"/>
        </w:trPr>
        <w:tc>
          <w:tcPr>
            <w:tcW w:w="5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4,500,000</w:t>
            </w:r>
          </w:p>
        </w:tc>
      </w:tr>
      <w:tr>
        <w:trPr>
          <w:trHeight w:val="107"/>
        </w:trPr>
        <w:tc>
          <w:tcPr>
            <w:tcW w:w="5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61"/>
        </w:trPr>
        <w:tc>
          <w:tcPr>
            <w:tcW w:w="5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-1437640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-1437640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-1437640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-1437640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-323215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underwriting agreement provides that the obligations of the underwriters to purchase the common units included in this offering are subject to approval of legal matters by counsel and to other conditions. The underwriters are obligated to purchase all of the common units (other than those covered by the over-allotment option to purchase additional common units described below) if they purchase any of the common units.</w:t>
      </w:r>
    </w:p>
    <w:p>
      <w:pPr>
        <w:spacing w:after="0" w:line="161" w:lineRule="exact"/>
        <w:rPr>
          <w:sz w:val="20"/>
          <w:szCs w:val="20"/>
          <w:color w:val="auto"/>
        </w:rPr>
      </w:pPr>
    </w:p>
    <w:p>
      <w:pPr>
        <w:jc w:val="both"/>
        <w:ind w:right="140" w:firstLine="348"/>
        <w:spacing w:after="0" w:line="298" w:lineRule="auto"/>
        <w:rPr>
          <w:sz w:val="20"/>
          <w:szCs w:val="20"/>
          <w:color w:val="auto"/>
        </w:rPr>
      </w:pPr>
      <w:r>
        <w:rPr>
          <w:rFonts w:ascii="Arial" w:cs="Arial" w:eastAsia="Arial" w:hAnsi="Arial"/>
          <w:sz w:val="16"/>
          <w:szCs w:val="16"/>
          <w:color w:val="auto"/>
        </w:rPr>
        <w:t>The underwriters propose to offer some of the common units directly to the public at the public offering price set forth on the cover page of this prospectus supplement and some of the common units to dealers at the public offering price less a concession not to exceed $1.013 per common unit. The underwriters may allow, and dealers may reallow, a concession not to exceed $0.10 per common unit on sales to other dealers. If all of the common units are not sold at the initial offering price, the underwriters may change the public offering price and the other selling terms.</w:t>
      </w:r>
    </w:p>
    <w:p>
      <w:pPr>
        <w:spacing w:after="0" w:line="167"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supplement, to purchase up to 675,000 additional common units at the public offering price less the underwriting discount. To the extent the option is exercised, each underwriter must purchase a number of additional common units approximately proportionate to that underwriter's initial purchase commitment.</w:t>
      </w:r>
    </w:p>
    <w:p>
      <w:pPr>
        <w:spacing w:after="0" w:line="161"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We, our general partner, certain officers and directors of the limited liability company that controls our general partner, and Vulcan Energy Corp. have agreed that, for a period of 60 days from the date of this prospectus supplement, we and they will not, without the prior written consent of Wachovia Capital Markets, LLC, offer, sell, contract to sell, pledge or otherwise dispose of any common units or any securities convertible into or exchangeable for common units. George R. Coiner, Senior Vice President of the limited liability company that controls our general partner, is not subject to this agreement and may sell some or all of his common units during the lock-up period. Mr. Coiner owns 33,026 common units. Mr. Coiner also has vested, unexercised options to purchase 72,500 common units. In addition, particular officers of the limited liability company that controls our general partner who own 15,000 common units or fewer are not subject to this agreement. This agreement also will not apply to grants under existing employee benefit plans, to issuances of common units in connection with acquisitions and capital improvements that increase cash flow from operations on a per unit basis, to certain sales of common units by the officers or directors of the company that controls our general partner to pay tax liabilities associated with the vesting of units or exercise of options, or to sales of common units in connection with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right="180"/>
        <w:spacing w:after="0" w:line="256" w:lineRule="auto"/>
        <w:rPr>
          <w:sz w:val="20"/>
          <w:szCs w:val="20"/>
          <w:color w:val="auto"/>
        </w:rPr>
      </w:pPr>
      <w:r>
        <w:rPr>
          <w:rFonts w:ascii="Arial" w:cs="Arial" w:eastAsia="Arial" w:hAnsi="Arial"/>
          <w:sz w:val="18"/>
          <w:szCs w:val="18"/>
          <w:color w:val="auto"/>
        </w:rPr>
        <w:t>the exercise, cancellation or other disposition of options under the general partner's Performance Option Plan, which expire on or before December 31, 2005. Wachovia Capital Markets, LLC in its sole discretion may release any of the common units subject to these lock-up agreements at any time without notice. In addition, the purchasers in the Concurrent Sale have agreed with us that they will not sell the 679,000 common units purchased for a period of 60 days from the date of this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listed on the New York Stock Exchange under the symbol "PAA."</w:t>
      </w:r>
    </w:p>
    <w:p>
      <w:pPr>
        <w:spacing w:after="0" w:line="225"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common units.</w:t>
      </w:r>
    </w:p>
    <w:p>
      <w:pPr>
        <w:spacing w:after="0" w:line="133"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No Exercise</w:t>
            </w:r>
          </w:p>
        </w:tc>
        <w:tc>
          <w:tcPr>
            <w:tcW w:w="12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Full Exercise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Per common unit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7,596,000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8,735,400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-359410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-359410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-359410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-359410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common units in the open market. These transactions may include short sales, syndicate covering transactions and stabilizing transactions. Short sales involve syndicate sales of common units in excess of the number of common units to be purchased by the underwriters in the offering, which creates a syndicate short position. "Covered" short sales are sales of common units made in an amount up to the number of common units represented by the underwriters' over-allotment option. In determining the source of common units to close out the covered syndicate short position, the underwriters will consider, among other things, the price of common units available for purchase in the open market as compared to the price at which they may purchase units through the over-allotment option. Transactions to close out the covered syndicate short position involve either purchases of the common units in the open market after the distribution has been completed or the exercise of the over-allotment option. The underwriters may also make "naked" short sales of common units in excess of the over-allotment option. The underwriters must close out any naked short position by purchasing common units in the open market. A naked short position is more likely to be created if the underwriters are concerned that there may be downward pressure on the price of the common units in the open market after pricing that could adversely affect investors who purchase in the offering. Stabilizing transactions consist of bids for or purchases of common units in the open market while the offering is in progress. Prior to purchasing the common units being offered pursuant to this prospectus supplement, one of the representatives purchased, on behalf of the underwriters, 90,200 common units at an average price of $42.46 per unit, in stabilizing transactions.</w:t>
      </w:r>
    </w:p>
    <w:p>
      <w:pPr>
        <w:spacing w:after="0" w:line="175" w:lineRule="exact"/>
        <w:rPr>
          <w:sz w:val="20"/>
          <w:szCs w:val="20"/>
          <w:color w:val="auto"/>
        </w:rPr>
      </w:pPr>
    </w:p>
    <w:p>
      <w:pPr>
        <w:ind w:right="300" w:firstLine="348"/>
        <w:spacing w:after="0" w:line="370" w:lineRule="auto"/>
        <w:rPr>
          <w:sz w:val="20"/>
          <w:szCs w:val="20"/>
          <w:color w:val="auto"/>
        </w:rPr>
      </w:pPr>
      <w:r>
        <w:rPr>
          <w:rFonts w:ascii="Arial" w:cs="Arial" w:eastAsia="Arial" w:hAnsi="Arial"/>
          <w:sz w:val="15"/>
          <w:szCs w:val="15"/>
          <w:color w:val="auto"/>
        </w:rPr>
        <w:t>The underwriters also may impose a penalty bid. Penalty bids permit the underwriters to reclaim a selling concession from a syndicate member when the representatives repurchase common units originally sold by that syndicate member in order to cover syndicate short positions or make stabilizing purchases.</w:t>
      </w:r>
    </w:p>
    <w:p>
      <w:pPr>
        <w:spacing w:after="0" w:line="116" w:lineRule="exact"/>
        <w:rPr>
          <w:sz w:val="20"/>
          <w:szCs w:val="20"/>
          <w:color w:val="auto"/>
        </w:rPr>
      </w:pPr>
    </w:p>
    <w:p>
      <w:pPr>
        <w:jc w:val="both"/>
        <w:ind w:right="20" w:firstLine="341"/>
        <w:spacing w:after="0" w:line="256"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common units. They may also cause the price of the common units to be higher than the price that would otherwise exist in the open market in the absence of these transactions. The underwriters may conduct these transactions on the New York Stock Exchange or in the over-the-counter market, or otherwise. If the underwriters commence any of these transactions, they may discontinue them at any time.</w:t>
      </w:r>
    </w:p>
    <w:p>
      <w:pPr>
        <w:spacing w:after="0" w:line="197"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It is expected that delivery of the common units will be made against payment therefor on or about the date specified in the last paragraph of the cover page hereof, which will be the fifth business day following the date of the pricing of the common units. Pursuant to Rule 15c6-1 under the Securities Exchange Act of 1934, trades in the secondary market generally are required to settle in three business days, unless the parties to any such trade expressly agree otherwise. Accordingly, purchasers who wish to trade common units on the date of pricing or the next two succeeding business days will be required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 w:name="page20"/>
    <w:bookmarkEnd w:id="19"/>
    <w:p>
      <w:pPr>
        <w:ind w:right="200"/>
        <w:spacing w:after="0" w:line="268" w:lineRule="auto"/>
        <w:rPr>
          <w:sz w:val="20"/>
          <w:szCs w:val="20"/>
          <w:color w:val="auto"/>
        </w:rPr>
      </w:pPr>
      <w:r>
        <w:rPr>
          <w:rFonts w:ascii="Arial" w:cs="Arial" w:eastAsia="Arial" w:hAnsi="Arial"/>
          <w:sz w:val="18"/>
          <w:szCs w:val="18"/>
          <w:color w:val="auto"/>
        </w:rPr>
        <w:t>specify an alternative settlement cycle at the time of any such trade to prevent a failed settlement. Purchasers of common units who wish to trade common units on the date of pricing or the next succeeding two business days should consult their own advisors.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total expenses of this offering, excluding underwriting discounts and commissions, will be approximately $300,000.</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Some of the underwriters and their affiliates have performed investment and commercial banking and advisory services for us and our affiliates from time to time for which they have received customary fees and expenses. The underwriters and their affiliates may, from time to time, engage in transactions with and perform services for us in the ordinary course of their business. Each of Wachovia Capital Markets, LLC, UBS Securities LLC, Citigroup Global Markets Inc. and RBC Capital Markets Corporation (or an affiliate thereof) is a lender under our credit facilities. An affiliate of Wachovia Capital Markets, LLC also owns a 4.176% interest in our general partner as well as 328,668 common units.</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This prospectus supplement and the accompanying prospectus in electronic format may be made available on the websites maintained by one or more of the underwriters. The underwriters may agree to allocate a number of common units for sale to their online brokerage account holders. The common units will be allocated to underwriters that may make Internet distributions on the same basis as other allocations. In addition, common units may be sold by the underwriters to securities dealers who resell common units to online brokerage account holders.</w:t>
      </w:r>
    </w:p>
    <w:p>
      <w:pPr>
        <w:spacing w:after="0" w:line="19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Other than this prospectus supplement and the accompanying prospectus in electronic format, information contained in any website maintained by an underwriter is not part of this prospectus supplement or the accompanying prospectus or registration statement of which the accompanying prospectus forms a part, has not been endorsed by us and should not be relied on by investors in deciding whether to purchase common units. The underwriters are not responsible for information contained in websites that they do not maintain.</w:t>
      </w:r>
    </w:p>
    <w:p>
      <w:pPr>
        <w:spacing w:after="0" w:line="197" w:lineRule="exact"/>
        <w:rPr>
          <w:sz w:val="20"/>
          <w:szCs w:val="20"/>
          <w:color w:val="auto"/>
        </w:rPr>
      </w:pPr>
    </w:p>
    <w:p>
      <w:pPr>
        <w:jc w:val="both"/>
        <w:ind w:right="420" w:firstLine="348"/>
        <w:spacing w:after="0" w:line="259" w:lineRule="auto"/>
        <w:rPr>
          <w:sz w:val="20"/>
          <w:szCs w:val="20"/>
          <w:color w:val="auto"/>
        </w:rPr>
      </w:pPr>
      <w:r>
        <w:rPr>
          <w:rFonts w:ascii="Arial" w:cs="Arial" w:eastAsia="Arial" w:hAnsi="Arial"/>
          <w:sz w:val="18"/>
          <w:szCs w:val="18"/>
          <w:color w:val="auto"/>
        </w:rPr>
        <w:t>We, together with our subsidiary operating partnerships and their general partner, our general partner and the limited liability company that controls our general partner, have agreed to indemnify the underwriters against certain liabilities, including liabilities under the Securities Act of 1933, or to contribute to payments the underwriters may be required to make because of any of those liabilities.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Because the National Association of Securities Dealers, Inc. views our common units as interests in a direct participation program, this offering is being made in compliance with Rule 2810 of the NASD Conduct Rules. Investor suitability with respect to the common units will be judged similarly to the suitability with respect to other securities that are listed for trading on a national securities exchange.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Vinson &amp; Elkins L.L.P. will issue opinions about the validity of the common units offered hereby and various other legal matters in connection with the offering on our behalf. Baker Botts L.L.P., the underwriters' counsel, will also issue opinions about various legal matters in connection with the offering on behalf of the underwriters.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balance sheet as of December 31, 2004 of Plains AAP, L.P. incorporated in this prospectus by reference to Plains All American Pipeline, L.P.'s Current Report on Form 8-K filed April 8, 2005 has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SEC allows us to "incorporate by reference" information we file with it. This procedure means that we can disclose important information to you by referring you to documents filed with the SEC. The information we incorporate by reference (excluding any information furnished and not filed with the SEC) is part of this prospectus supplement and later information that we file with the SEC (excluding any information furnished and not filed with the SEC) will automatically update and supersede this information. We incorporate by reference the documents listed below:</w:t>
      </w:r>
    </w:p>
    <w:p>
      <w:pPr>
        <w:spacing w:after="0" w:line="180"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2004 filed on March 3, 2005;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Reports on Form 10-Q for the periods ended March 31, 2005 and June 30, 2005;</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Reports on Form 8-K filed on January 26, 2005; February 23, 2005; March 8, 2005; April 1, 2005; April 8, 2005; April 21, 2005; April 25, 2005; May 12, 2005; May 25, 2005; May 31, 2005; August 16, 2005; August 22, 2005; September 16, 2005; September 19, 2005 and September 21, 2005;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making written or telephone requests for copies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142" w:lineRule="exact"/>
        <w:rPr>
          <w:sz w:val="20"/>
          <w:szCs w:val="20"/>
          <w:color w:val="auto"/>
        </w:rPr>
      </w:pPr>
    </w:p>
    <w:p>
      <w:pPr>
        <w:ind w:right="200" w:firstLine="345"/>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and the accompanying base prospectus. We have not authorized anyone else to provide you with any information. You should not assume that the information incorporated by reference or provided in this prospectus supplement or the accompanying base prospectus is accurate as of any date other than its date.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All statements, other than statements of historical fact, included in this prospectus supplement and incorporated by reference are forward-looking statements, including, but not limited to, statements identified by the words "anticipate," "believe," "estimate," "expect," "plan," "intend" and "forecast," and similar expressions and statements regarding our business strategy, plans and objectives for future operations. These statements reflect our current views with respect to future events, based on what we believe are reasonable assumptions. Certain factors could cause actual results to differ materially from results anticipated in the forward looking statements. These factors include, but are not limited to:</w:t>
      </w:r>
    </w:p>
    <w:p>
      <w:pPr>
        <w:spacing w:after="0" w:line="210" w:lineRule="exact"/>
        <w:rPr>
          <w:sz w:val="20"/>
          <w:szCs w:val="20"/>
          <w:color w:val="auto"/>
        </w:rPr>
      </w:pPr>
    </w:p>
    <w:p>
      <w:pPr>
        <w:ind w:left="1080" w:right="1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abrupt or severe production declines or production interruptions in outer continental shelf production located offshore California and transported on our pipeline system;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declines in volumes shipped on the Basin Pipeline, Capline Pipeline and our other pipelines by us and third party shippers;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third party drilling efforts in areas in which we operate pipelines or gather crude oil;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demand for natural gas or various grades of crude oil and resulting changes in pricing conditions or transmission throughput requirements;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transmission 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interruptions in service and fluctuations in rates of third-party pipelines;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creditworthiness of, and performance by, counter-parties;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crude oil and natural gas price fluctuations;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current and future laws, rulings and governmental regulations;</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 (including the direct and indirect effects of Hurricanes Katrina and Rita on the availability of materials, the cost of natural gas and the demand for oil-field services);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 w:name="page23"/>
    <w:bookmarkEnd w:id="22"/>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Other factors described herein or incorporated by reference, or factors that are unknown or unpredictable, could also have a material adverse effect on future results. Please read "Risk Factors" on page S-9 of this prospectus supplement and beginning on page 5 of the accompanying base prospectus.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ind w:left="4700"/>
        <w:spacing w:after="0"/>
        <w:rPr>
          <w:sz w:val="20"/>
          <w:szCs w:val="20"/>
          <w:color w:val="auto"/>
        </w:rPr>
      </w:pPr>
      <w:r>
        <w:rPr>
          <w:rFonts w:ascii="Arial" w:cs="Arial" w:eastAsia="Arial" w:hAnsi="Arial"/>
          <w:sz w:val="32"/>
          <w:szCs w:val="32"/>
          <w:b w:val="1"/>
          <w:bCs w:val="1"/>
          <w:color w:val="auto"/>
        </w:rPr>
        <w:t>$2,000,000,000</w:t>
      </w:r>
    </w:p>
    <w:p>
      <w:pPr>
        <w:spacing w:after="0" w:line="213" w:lineRule="exact"/>
        <w:rPr>
          <w:sz w:val="20"/>
          <w:szCs w:val="20"/>
          <w:color w:val="auto"/>
        </w:rPr>
      </w:pPr>
    </w:p>
    <w:p>
      <w:pPr>
        <w:ind w:left="3360"/>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PAA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136525</wp:posOffset>
            </wp:positionV>
            <wp:extent cx="105029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may from time to time offer the following securities under this prospectus:</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common units representing limited partner interests in Plains All American Pipeline, L.P.;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securities of Plains All American Pipeline, L.P.</w:t>
      </w:r>
    </w:p>
    <w:p>
      <w:pPr>
        <w:spacing w:after="0" w:line="225"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PAA Finance Corp. may act as co-issuer of the debt securities, and all other subsidiaries of Plains All American Pipeline, L.P., other than "minor" subsidiaries as such item is interpreted in securities regulations governing financial reporting for guarantors, may guarantee the debt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common units are traded on the New York Stock Exchange under the symbol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time we sell securities we will provide a prospectus supplement that will contain specific information about the terms of that offering. The prospectus supplement may also add, update or change information contained in this prospectus. You should read this prospectus and any prospectus supplement carefully before you invest. You should also read the documents we have referred you to in the "Where You Can Find More Information" section of this prospectus for information on us and for our financial statements.</w:t>
      </w:r>
    </w:p>
    <w:p>
      <w:pPr>
        <w:spacing w:after="0" w:line="178" w:lineRule="exact"/>
        <w:rPr>
          <w:sz w:val="20"/>
          <w:szCs w:val="20"/>
          <w:color w:val="auto"/>
        </w:rPr>
      </w:pPr>
    </w:p>
    <w:p>
      <w:pPr>
        <w:ind w:right="340" w:firstLine="351"/>
        <w:spacing w:after="0" w:line="335" w:lineRule="auto"/>
        <w:rPr>
          <w:sz w:val="20"/>
          <w:szCs w:val="20"/>
          <w:color w:val="auto"/>
        </w:rPr>
      </w:pPr>
      <w:r>
        <w:rPr>
          <w:rFonts w:ascii="Arial" w:cs="Arial" w:eastAsia="Arial" w:hAnsi="Arial"/>
          <w:sz w:val="19"/>
          <w:szCs w:val="19"/>
          <w:b w:val="1"/>
          <w:bCs w:val="1"/>
          <w:color w:val="auto"/>
        </w:rPr>
        <w:t>Limited partnerships are inherently different from corporations. You should consider each of the factors described under "Risk Factors," which begin on page 5, in deciding whether or not to buy any of our securities.</w:t>
      </w:r>
    </w:p>
    <w:p>
      <w:pPr>
        <w:spacing w:after="0" w:line="11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our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is July 22,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ABOUT THIS PROSPECTUS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WHO WE ARE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RATIO OF EARNINGS TO FIXED CHARGES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OUR DEBT SECURITIES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DESCRIPTION OF OUR COMMON UNITS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CASH DISTRIBUTION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DESCRIPTION OF OUR PARTNERSHIP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TAX CONSIDERATIONS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PLAN OF DISTRIBUTION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EXPERTS</w:t>
        </w:r>
      </w:hyperlink>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This prospectus is part of a registration statement on Form S-3 that we filed with the Securities and Exchange Commission, or SEC, using a "shelf" registration process. Under this shelf process, we may offer from time to time up to $2,000,000,000 of our securities. Each time we offer securities, we will provide you with a prospectus supplement that will describe, among other things, the specific amounts and prices of the securities being offered and the terms of the offering, including, in the case of debt securities, the specific terms of the securities. The prospectus supplement may also add, update or change information contained in this prospectus. Therefore, before you invest in our securities, you should read this prospectus and any attached prospectus supplements.</w:t>
      </w:r>
    </w:p>
    <w:p>
      <w:pPr>
        <w:spacing w:after="0" w:line="15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this registration statement, the terms "we," "our," "ours," and "us" refer to Plains All American Pipeline, L.P. and its subsidiaries, unless otherwise indicated or the context requires otherwise.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w:t>
      </w:r>
    </w:p>
    <w:p>
      <w:pPr>
        <w:spacing w:after="0" w:line="188"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2005;</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Reports on Forms 8-K filed on January 26, 2005; February 23, 2005; March 8, 2005; April 1, 2005; April 8, 2005; April 21, 2005; April 25, 2005; May 12, 2005; May 25, 2005; and May 31, 2005;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making written or telephone requests for copies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 xml:space="preserve">Additionally, you may read and copy any materials that we have filed with the SEC at the SEC's Public Reference Room at 450 Fifth Street, N.W.,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142" w:lineRule="exact"/>
        <w:rPr>
          <w:sz w:val="20"/>
          <w:szCs w:val="20"/>
          <w:color w:val="auto"/>
        </w:rPr>
      </w:pPr>
    </w:p>
    <w:p>
      <w:pPr>
        <w:jc w:val="both"/>
        <w:ind w:right="360" w:firstLine="345"/>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statements, other than statements of historical fact, included or incorporated by reference in this prospectus or the accompanying prospectus supplement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183" w:lineRule="exact"/>
        <w:rPr>
          <w:sz w:val="20"/>
          <w:szCs w:val="20"/>
          <w:color w:val="auto"/>
        </w:rPr>
      </w:pPr>
    </w:p>
    <w:p>
      <w:pPr>
        <w:ind w:left="1080" w:right="1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abrupt or severe production declines or production interruptions in outer continental shelf production located offshore California and transported on our pipeline system;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integration and future performance of acquired assets or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declines in volumes shipped on the Basin Pipeline, Capline Pipeline and our other pipelines by third party shippers;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third party drilling efforts in areas in which we operate pipelines or gather crude oil;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various grades of crude oil and resulting changes in pricing conditions or transmission throughput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transmission 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crude oil price fluctuations;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current and future laws, rulings and governmental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7" w:name="page28"/>
    <w:bookmarkEnd w:id="27"/>
    <w:p>
      <w:pPr>
        <w:ind w:right="80" w:firstLine="351"/>
        <w:spacing w:after="0" w:line="259" w:lineRule="auto"/>
        <w:rPr>
          <w:sz w:val="20"/>
          <w:szCs w:val="20"/>
          <w:color w:val="auto"/>
        </w:rPr>
      </w:pPr>
      <w:r>
        <w:rPr>
          <w:rFonts w:ascii="Arial" w:cs="Arial" w:eastAsia="Arial" w:hAnsi="Arial"/>
          <w:sz w:val="18"/>
          <w:szCs w:val="18"/>
          <w:color w:val="auto"/>
        </w:rPr>
        <w:t>Other factors described herein or incorporated by reference, or factors that are unknown or unpredictable, could also have a material adverse effect on future results. Please read "Risk Factors" beginning on page 5 of this prospectus. Except as required by securities laws applicable to the documents incorporated by reference, we do not intend to update these forward-looking statements and information.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WHO WE ARE</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 crude oil pipeline transportation operations and gathering, marketing, terminalling and storage operations.</w:t>
      </w:r>
    </w:p>
    <w:p>
      <w:pPr>
        <w:spacing w:after="0" w:line="197"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Our principal business strategy is to efficiently and competitively provide services to our customers, while capitalizing on the regional crude oil supply and demand imbalances that exist in the United States and Canada by combining the strategic location and distinctive capabilities of our transportation and terminalling assets with our extensive marketing and distribution expertise to generate sustainable earnings and cash flow.</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execute our business strategy by:</w:t>
      </w:r>
    </w:p>
    <w:p>
      <w:pPr>
        <w:spacing w:after="0" w:line="239" w:lineRule="exact"/>
        <w:rPr>
          <w:sz w:val="20"/>
          <w:szCs w:val="20"/>
          <w:color w:val="auto"/>
        </w:rPr>
      </w:pPr>
    </w:p>
    <w:p>
      <w:pPr>
        <w:ind w:left="1080" w:right="9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and optimizing throughput on our existing pipeline and gathering assets and realizing cost efficiencies through operational improvements;</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utilizing our Cushing Terminal and our other assets to service the needs of refiners and to profit from merchant activities that take advantage of crude oil pricing and quality differentials;</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utilizing assets we have recently acquired along the Gulf Coast and our Cushing Terminal to increase our presence in the importation of foreign crude through Gulf of Mexico receipt facilities to U.S. refiners;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of crude oil transportation assets, including pipelines, gathering systems, terminalling and storage facilities and other assets that complement our existing asset base and distribution capabilities;</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optimizing and expanding our Canadian operations and our presence in certain areas of the U.S. to take advantage of anticipated increases in the volume and qualities of crude oil produced in these areas as well as increased foreign crude import activities in the Gulf Coast area; and</w:t>
      </w:r>
    </w:p>
    <w:p>
      <w:pPr>
        <w:spacing w:after="0" w:line="152"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prudently and economically leveraging our asset base, knowledge base and skill sets to participate in energy businesses that are closely related to, or significantly intertwined with, the crude oil business.</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To a lesser degree, we also engage in a similar business strategy with respect to the wholesale marketing and storage of LPG, which we began as a result of an acquisition in mid-2001.</w:t>
      </w:r>
    </w:p>
    <w:p>
      <w:pPr>
        <w:spacing w:after="0" w:line="186" w:lineRule="exact"/>
        <w:rPr>
          <w:sz w:val="20"/>
          <w:szCs w:val="20"/>
          <w:color w:val="auto"/>
        </w:rPr>
      </w:pPr>
    </w:p>
    <w:p>
      <w:pPr>
        <w:ind w:right="540" w:firstLine="351"/>
        <w:spacing w:after="0" w:line="298" w:lineRule="auto"/>
        <w:rPr>
          <w:sz w:val="20"/>
          <w:szCs w:val="20"/>
          <w:color w:val="auto"/>
        </w:rPr>
      </w:pPr>
      <w:r>
        <w:rPr>
          <w:rFonts w:ascii="Arial" w:cs="Arial" w:eastAsia="Arial" w:hAnsi="Arial"/>
          <w:sz w:val="16"/>
          <w:szCs w:val="16"/>
          <w:color w:val="auto"/>
        </w:rPr>
        <w:t>Plains All American Pipeline, L.P. is a Delaware limited partnership.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Plains AAP, L.P., a Delaware limited partnership, serves as our general partner. Plains All American GP LLC is the general partner of Plains AAP, L.P. Our U.S. operations 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line="259" w:lineRule="auto"/>
        <w:rPr>
          <w:sz w:val="20"/>
          <w:szCs w:val="20"/>
          <w:color w:val="auto"/>
        </w:rPr>
      </w:pPr>
      <w:r>
        <w:rPr>
          <w:rFonts w:ascii="Arial" w:cs="Arial" w:eastAsia="Arial" w:hAnsi="Arial"/>
          <w:sz w:val="18"/>
          <w:szCs w:val="18"/>
          <w:color w:val="auto"/>
        </w:rPr>
        <w:t>conducted through, and our operating assets are owned by, Plains Marketing, L.P., a Delaware limited partnership, and Plains Pipeline, L.P., a Texas limited partnership. Our Canadian operations are conducted through, and our Canadian operating assets are owned by, Plains Marketing Canada, L.P., a Canadian limited partnership.</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principal executive offices are located at 333 Clay Street, Suite 1600, Houston, Texas 77002, and our phone number is (713) 646-4100.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estimate that capital expenditures for expansion projects will be approximately $180 million during 2005, an $80 million increase over the estimate provided in our Annual Report on Form 10-K for the year ended December 31, 2004. This increase results primarily from additional organic growth projects, including the recently announced construction of a St. James, Louisiana crude oil storage facility. We estimate the total project cost for the St. James facility will be approximately $70 million, of which approximately $21 million will be spent in 2005.</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You should carefully consider the following risk factors together with all of the other information included or incorporated by reference in this prospectus in evaluating an investment in Plains All American Pipeline. If any of the following risks were actually to occur, our business, financial condition or results of operations could be materially adversely affected. When we offer and sell any securities pursuant to a prospectus supplement, we may include additional risk factors relevant to such securities in the prospectus supplement.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b w:val="1"/>
          <w:bCs w:val="1"/>
          <w:i w:val="1"/>
          <w:iCs w:val="1"/>
          <w:color w:val="auto"/>
        </w:rPr>
        <w:t>The level of our profitability is dependent upon an adequate supply of crude oil from fields located offshore and onshore California. Production from these offshore fields has experienced substantial production declines since 1995.</w:t>
      </w:r>
    </w:p>
    <w:p>
      <w:pPr>
        <w:spacing w:after="0" w:line="186"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$3.2 million. In addition, any significant production disruption from the Santa Ynez field due to production problems, transportation problems or other reasons could have a material adverse effect on our business.</w:t>
      </w:r>
    </w:p>
    <w:p>
      <w:pPr>
        <w:spacing w:after="0" w:line="19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b w:val="1"/>
          <w:bCs w:val="1"/>
          <w:i w:val="1"/>
          <w:iCs w:val="1"/>
          <w:color w:val="auto"/>
        </w:rPr>
        <w:t>Our trading policies cannot eliminate all price risks. In addition, any non-compliance with our trading policies could result in significant financial losses.</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and over the 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Moreover, we are exposed to some risks that are not hedged, including certain basis risks and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w:t>
      </w:r>
    </w:p>
    <w:p>
      <w:pPr>
        <w:spacing w:after="0" w:line="17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do not make acquisitions on economically acceptable terms our future growth may be limited.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ability to grow is substantially dependent on our ability to make acquisitions that result in an increase in adjusted operating surplus per unit. If we are unable to make such accretive acquisitions either because (i) we are unable to identify attractive acquisition candidates or negotiate acceptable purchase contracts with them, (ii) we are unable to raise financing for such acquisitions on economically acceptable terms or (iii) we are outbid by competitors, our future growth will be limited.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0" w:name="page31"/>
    <w:bookmarkEnd w:id="30"/>
    <w:p>
      <w:pPr>
        <w:ind w:right="20"/>
        <w:spacing w:after="0" w:line="259" w:lineRule="auto"/>
        <w:rPr>
          <w:sz w:val="20"/>
          <w:szCs w:val="20"/>
          <w:color w:val="auto"/>
        </w:rPr>
      </w:pPr>
      <w:r>
        <w:rPr>
          <w:rFonts w:ascii="Arial" w:cs="Arial" w:eastAsia="Arial" w:hAnsi="Arial"/>
          <w:sz w:val="18"/>
          <w:szCs w:val="18"/>
          <w:color w:val="auto"/>
        </w:rPr>
        <w:t>In particular, competition for midstream assets and businesses has intensified substantially and as a result such assets and businesses have become more costly. As a result, we may not be able to complete the number or size of acquisitions that we have targeted internally or to continue to grow as quickly as we have historically.</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Our acquisition strategy requires access to new capital. Tightened capital markets or other factors which increase our cost of capital could impair our ability to grow.</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business strategy is substantially dependent on acquiring additional assets or operations. 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impact our cost of capital as well as our ability to execute our acquisition strategy.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acquisition strategy involves risks that may adversely affect our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acquisition involves potential risks, including:</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from the acquired assets and businesses that is below the forecasts we used in evaluating the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including liabilities arising from the operation of the acquired businesses or assets prior to our acquisition;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Any of these factors could adversely affect our ability to achieve anticipated levels of cash flows from our acquisitions, realize other anticipated benefits and our ability to pay distributions or meet our debt service requirements.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nature of our assets and business could expose us to significant compliance costs and liabilities.</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Our operations involving the storage, treatment, processing, and transportation of liquid hydrocarbons including crude oil are subject to stringent federal, state, and local laws and regulations governing the discharge of materials into the environment, and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liability to private parties for personal injury or property damage.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ind w:left="360"/>
        <w:spacing w:after="0"/>
        <w:rPr>
          <w:sz w:val="20"/>
          <w:szCs w:val="20"/>
          <w:color w:val="auto"/>
        </w:rPr>
      </w:pPr>
      <w:r>
        <w:rPr>
          <w:rFonts w:ascii="Arial" w:cs="Arial" w:eastAsia="Arial" w:hAnsi="Arial"/>
          <w:sz w:val="18"/>
          <w:szCs w:val="18"/>
          <w:b w:val="1"/>
          <w:bCs w:val="1"/>
          <w:i w:val="1"/>
          <w:iCs w:val="1"/>
          <w:color w:val="auto"/>
        </w:rPr>
        <w:t>The profitability of our pipeline operations depends on the volume of crude oil shipped.</w:t>
      </w:r>
    </w:p>
    <w:p>
      <w:pPr>
        <w:spacing w:after="0" w:line="225" w:lineRule="exact"/>
        <w:rPr>
          <w:sz w:val="20"/>
          <w:szCs w:val="20"/>
          <w:color w:val="auto"/>
        </w:rPr>
      </w:pPr>
    </w:p>
    <w:p>
      <w:pPr>
        <w:ind w:right="160" w:firstLine="348"/>
        <w:spacing w:after="0" w:line="318" w:lineRule="auto"/>
        <w:rPr>
          <w:sz w:val="20"/>
          <w:szCs w:val="20"/>
          <w:color w:val="auto"/>
        </w:rPr>
      </w:pPr>
      <w:r>
        <w:rPr>
          <w:rFonts w:ascii="Arial" w:cs="Arial" w:eastAsia="Arial" w:hAnsi="Arial"/>
          <w:sz w:val="15"/>
          <w:szCs w:val="15"/>
          <w:color w:val="auto"/>
        </w:rPr>
        <w:t>Third party shippers generally do not have long term contractual commitments to ship crude oil on our pipelines. A decision by a shipper to substantially reduce or cease to ship volumes of crude oil on our 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$1.7 million. In addition, we estimate that an average 10,000 barrel per day variance on the Capline Pipeline System, equivalent to an approximate 7% volume variance on that system, would change annualized segment profit by approximately $1.5 million.</w:t>
      </w:r>
    </w:p>
    <w:p>
      <w:pPr>
        <w:spacing w:after="0" w:line="15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The success of our business strategy to increase and optimize throughput on our pipeline and gathering assets is dependent upon our securing additional supplies of crude oil.</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Our operations are dependent upon demand for crude oil by refiners in the Midwest and on the Gulf Coast. Any decrease in this demand could adversely affect our business.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 and any decrease in this demand could adversely affect our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face intense competition in our gathering, marketing, terminalling and storage activities.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We estimate that a $0.01 variance in the average segment profit per barrel would have an approximate $2.5 million annual effect on segment profit.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The profitability of our gathering and marketing activities is generally dependent on the volumes of crude oil we purchase and gather.</w:t>
      </w:r>
    </w:p>
    <w:p>
      <w:pPr>
        <w:spacing w:after="0" w:line="248" w:lineRule="exact"/>
        <w:rPr>
          <w:sz w:val="20"/>
          <w:szCs w:val="20"/>
          <w:color w:val="auto"/>
        </w:rPr>
      </w:pPr>
    </w:p>
    <w:p>
      <w:pPr>
        <w:ind w:right="340" w:firstLine="348"/>
        <w:spacing w:after="0" w:line="289" w:lineRule="auto"/>
        <w:rPr>
          <w:sz w:val="20"/>
          <w:szCs w:val="20"/>
          <w:color w:val="auto"/>
        </w:rPr>
      </w:pPr>
      <w:r>
        <w:rPr>
          <w:rFonts w:ascii="Arial" w:cs="Arial" w:eastAsia="Arial" w:hAnsi="Arial"/>
          <w:sz w:val="16"/>
          <w:szCs w:val="16"/>
          <w:color w:val="auto"/>
        </w:rPr>
        <w:t>To maintain the volumes of crude oil we purchase,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there are existing relationships between producers and other gatherers and purchasers of crude oil. We estimate that a 15,000 barrel per day decrease in barrels gathered by us would have an approximate $2.8 million per year negative impact on segment profit. This impact is based on a reasonable margin throughout various market conditions. Actual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margins vary based on the location of the crude oil, the strength or weakness of the market and the grade or quality of crude oil.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Loss of credit rating or the ability to receive open credit could negatively affect our ability to capitalize on a volatile market</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are exposed to the credit risk of our customers in the ordinary course of our gathering and marketing activities.</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There can be no assurance that we have adequately assessed the credit worthiness of our existing or future counterparties or that there will not be an unanticipated deterioration in their credit worthiness, which could have an adverse impact on us.</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pipeline assets are subject to federal, state and provincial regulation.</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domestic interstate common carrier pipelines are subject to regulation by the Federal Energy Regulatory Commission (FERC) under the Interstate Commerce Act. The Interstate Commerce Act requires that tariff rates for petroleum pipelines be just and reasonable and non-discriminatory. We are also subject to the Pipeline Safety Regulations of the U.S. Department of Transportation. Our intrastate pipeline transportation activities are subject to various state laws and regulations as well as orders of regulatory bodies.</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Canadian pipeline assets are subject to regulation by the National Energy Board and by provincial agencies. With respect to a pipeline over which it has jurisdiction, each of these Canadian agencies has the power to determine the rates we are allowed to charge for transportation on such pipeline. The extent to which regulatory agencies can override existing transportation contracts has not been fully decided.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pipeline systems are dependent upon their interconnections with other crude oil pipelines to reach end markets.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Reduced throughput on these interconnecting pipelines as a result of testing, line repair, reduced operating pressures or other causes could result in reduced throughput on our pipeline systems that would adversely affect our profitability.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Fluctuations in demand can negatively affect our operating results.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33" w:name="page34"/>
    <w:bookmarkEnd w:id="33"/>
    <w:p>
      <w:pPr>
        <w:ind w:left="360"/>
        <w:spacing w:after="0"/>
        <w:rPr>
          <w:sz w:val="20"/>
          <w:szCs w:val="20"/>
          <w:color w:val="auto"/>
        </w:rPr>
      </w:pPr>
      <w:r>
        <w:rPr>
          <w:rFonts w:ascii="Arial" w:cs="Arial" w:eastAsia="Arial" w:hAnsi="Arial"/>
          <w:sz w:val="18"/>
          <w:szCs w:val="18"/>
          <w:b w:val="1"/>
          <w:bCs w:val="1"/>
          <w:i w:val="1"/>
          <w:iCs w:val="1"/>
          <w:color w:val="auto"/>
        </w:rPr>
        <w:t>The terms of our indebtedness may limit our ability to borrow additional funds or capitalize on business opportunities.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March 31, 2005, our total outstanding long-term debt was approximately $930 million. Various limitations in our indebtedness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operating results.</w:t>
      </w:r>
    </w:p>
    <w:p>
      <w:pPr>
        <w:spacing w:after="0" w:line="225"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Because we conduct operations in Canada, we are exposed to currency fluctuations and exchange rate risks that may adversely affect our results of operations.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and the establishment of financial reserves.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Plains All American Pipeline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Cost reimbursements due to our general partner may be substantial and will reduce our cash available for distribution to you.</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Prior to making any distribution on the common units, we will reimburse our general partner and its affiliates, including officers and directors of the general partner, for all expenses incurred on our behalf.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You may not be able to remove our general partner even if you wish to do so.</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Our general partner manages and operates Plains All American Pipeline. Unlike the holders of common stock in a corporation, you will have only limited voting rights on matters affecting our business. You will have no right to elect the general partner or the directors of the general partner on an annual or other continuing basis.</w:t>
      </w:r>
    </w:p>
    <w:p>
      <w:pPr>
        <w:spacing w:after="0" w:line="19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addition, the following provisions of our partnership agreement may discourage a person or group from attempting to remove our general partner or otherwise change our management:</w:t>
      </w:r>
    </w:p>
    <w:p>
      <w:pPr>
        <w:spacing w:after="0" w:line="199" w:lineRule="exact"/>
        <w:rPr>
          <w:sz w:val="20"/>
          <w:szCs w:val="20"/>
          <w:color w:val="auto"/>
        </w:rPr>
      </w:pPr>
    </w:p>
    <w:p>
      <w:pPr>
        <w:ind w:left="1080" w:right="3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86"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As a result of these provisions, the price at which the common units will trade may be lower because of the absence or reduction of a takeover premium in the trading price.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ind w:left="360"/>
        <w:spacing w:after="0"/>
        <w:rPr>
          <w:sz w:val="20"/>
          <w:szCs w:val="20"/>
          <w:color w:val="auto"/>
        </w:rPr>
      </w:pPr>
      <w:r>
        <w:rPr>
          <w:rFonts w:ascii="Arial" w:cs="Arial" w:eastAsia="Arial" w:hAnsi="Arial"/>
          <w:sz w:val="18"/>
          <w:szCs w:val="18"/>
          <w:b w:val="1"/>
          <w:bCs w:val="1"/>
          <w:i w:val="1"/>
          <w:iCs w:val="1"/>
          <w:color w:val="auto"/>
        </w:rPr>
        <w:t>We may issue additional common units without your approval, which would dilute your existing ownership interests.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may cause us to issue an unlimited number of common units, without your approval. We may also issue at any time an unlimited number of equity securities ranking junior or senior to the common units without your approval. The issuance of additional common units or other equity securities of equal or senior rank will have the following effects:</w:t>
      </w:r>
    </w:p>
    <w:p>
      <w:pPr>
        <w:spacing w:after="0" w:line="20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your proportionate ownership interest in Plains All American Pipeline will decrease;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units at an undesirable time or price.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you may be required to sell your common units at a time when you may not desire to sell them or at a price that is less than the price you would like to receive. You may also incur a tax liability upon a sale of your common units.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actions constitute control of our business.</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Under Delaware law, you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39"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Our general partner generally has unlimited liability for our obligations, such as our debts and environmental liabilities, except for those contractual obligations that are expressly made without recourse to our general partner.</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Section 17-607 of the Delaware Revised Uniform Limited Partnership Act provides that under some circumstances, a unitholder may be liable to us for the amount of a distribution for a period of three years from the date of the distribution.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Conflicts of interest could arise among our general partner and us or the unitholders.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conflicts may include the following:</w:t>
      </w:r>
    </w:p>
    <w:p>
      <w:pPr>
        <w:spacing w:after="0" w:line="252" w:lineRule="exact"/>
        <w:rPr>
          <w:sz w:val="20"/>
          <w:szCs w:val="20"/>
          <w:color w:val="auto"/>
        </w:rPr>
      </w:pPr>
    </w:p>
    <w:p>
      <w:pPr>
        <w:ind w:left="1080" w:right="2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have any employees and we rely solely on employees of the general partner or, in the case of Plains Marketing Canada, employees of PMC (Nova Scotia)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our partnership agreement, we reimburse the general partner for the costs of managing and for operating the partnership;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of cash expenditures, borrowings and reserves in any quarter may affect available cash to pay quarterly distributions to unitholders;</w:t>
      </w:r>
    </w:p>
    <w:p>
      <w:pPr>
        <w:spacing w:after="0" w:line="275"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5" w:name="page36"/>
    <w:bookmarkEnd w:id="35"/>
    <w:p>
      <w:pPr>
        <w:ind w:left="1080"/>
        <w:spacing w:after="0"/>
        <w:rPr>
          <w:sz w:val="20"/>
          <w:szCs w:val="20"/>
          <w:color w:val="auto"/>
        </w:rPr>
      </w:pPr>
      <w:r>
        <w:rPr>
          <w:rFonts w:ascii="Arial" w:cs="Arial" w:eastAsia="Arial" w:hAnsi="Arial"/>
          <w:sz w:val="18"/>
          <w:szCs w:val="18"/>
          <w:color w:val="auto"/>
        </w:rPr>
        <w:t>liability for partnership obligations even if we can obtain more favorable terms without limiting the general partner's liability;</w:t>
      </w:r>
    </w:p>
    <w:p>
      <w:pPr>
        <w:spacing w:after="0" w:line="239" w:lineRule="exact"/>
        <w:rPr>
          <w:sz w:val="20"/>
          <w:szCs w:val="20"/>
          <w:color w:val="auto"/>
        </w:rPr>
      </w:pPr>
    </w:p>
    <w:p>
      <w:pPr>
        <w:ind w:left="1080" w:right="44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the result of arms length negotiations; and</w:t>
      </w:r>
    </w:p>
    <w:p>
      <w:pPr>
        <w:spacing w:after="0" w:line="187"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Debt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225" w:lineRule="exact"/>
        <w:rPr>
          <w:sz w:val="20"/>
          <w:szCs w:val="20"/>
          <w:color w:val="auto"/>
        </w:rPr>
      </w:pPr>
    </w:p>
    <w:p>
      <w:pPr>
        <w:ind w:right="60" w:firstLine="348"/>
        <w:spacing w:after="0" w:line="312" w:lineRule="auto"/>
        <w:rPr>
          <w:sz w:val="20"/>
          <w:szCs w:val="20"/>
          <w:color w:val="auto"/>
        </w:rPr>
      </w:pPr>
      <w:r>
        <w:rPr>
          <w:rFonts w:ascii="Arial" w:cs="Arial" w:eastAsia="Arial" w:hAnsi="Arial"/>
          <w:sz w:val="15"/>
          <w:szCs w:val="15"/>
          <w:color w:val="auto"/>
        </w:rPr>
        <w:t>We have a holding company structure, and our subsidiaries conduct all of our operations and own all of our operating assets. We have no significant assets other than the ownership interests in our subsidiaries. As a result, our ability to make required payments on the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the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w:t>
      </w:r>
    </w:p>
    <w:p>
      <w:pPr>
        <w:spacing w:after="0" w:line="15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debt securities or to repay them at maturity.</w:t>
      </w:r>
    </w:p>
    <w:p>
      <w:pPr>
        <w:spacing w:after="0" w:line="186"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80" w:lineRule="exact"/>
        <w:rPr>
          <w:sz w:val="20"/>
          <w:szCs w:val="20"/>
          <w:color w:val="auto"/>
        </w:rPr>
      </w:pPr>
    </w:p>
    <w:p>
      <w:pPr>
        <w:ind w:left="1080" w:right="8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provide funds for distributions to our unitholders and the general partner for any one or more of the next four calendar quarters,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225"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231" w:lineRule="exact"/>
        <w:rPr>
          <w:sz w:val="20"/>
          <w:szCs w:val="20"/>
          <w:color w:val="auto"/>
        </w:rPr>
      </w:pPr>
    </w:p>
    <w:p>
      <w:pPr>
        <w:ind w:right="240" w:firstLine="345"/>
        <w:spacing w:after="0" w:line="268" w:lineRule="auto"/>
        <w:rPr>
          <w:sz w:val="20"/>
          <w:szCs w:val="20"/>
          <w:color w:val="auto"/>
        </w:rPr>
      </w:pPr>
      <w:r>
        <w:rPr>
          <w:rFonts w:ascii="Arial" w:cs="Arial" w:eastAsia="Arial" w:hAnsi="Arial"/>
          <w:sz w:val="18"/>
          <w:szCs w:val="18"/>
          <w:color w:val="auto"/>
        </w:rPr>
        <w:t>You should read "Tax Considerations" for a more complete discussion of the following expected material federal income tax consequences of owning and disposing of common units.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The IRS could treat us as a corporation for tax purposes, which would substantially reduce the cash available for distribution to you.</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anticipated after-tax benefit of an investment in the common units depends largely on our being treated as a partnership for federal income tax purposes.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have not requested, and do not plan to request, a ruling from the IRS on this or any other matter affecting us.</w:t>
      </w:r>
    </w:p>
    <w:p>
      <w:pPr>
        <w:spacing w:after="0" w:line="21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we were classified as a corporation for federal income tax purposes, we would pay federal income tax on our income at the corporate tax rate, which is currently a maximum of 35%. Distributions to you would generally be taxed again to you as corporate distributions, and no income, gains, losses, deductions or credits would flow through to you. Because a tax would be imposed upon us as a corporation, the cash available for distribution to you would be substantially reduced. Treatment of us as a corporation would result in a material reduction in the after-tax return to the unitholders, likely causing a substantial reduction in the value of the common units.</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Current law may change so as to cause us to be taxed as a corporation for federal income tax purposes or otherwise subject us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us as an entity, the cash available for distribution to you would be reduced. Our partnership agreement provides that, if a law is enacted or existing law is modified or interpreted in a manner that subjects us to taxation as a corporation or otherwise subjects us to entity-level taxation for federal, state or local income tax purposes, then the minimum quarterly distribution and the target distribution levels will be decreased to reflect that impact on us.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 successful IRS contest of the federal income tax positions we take may adversely impact the market for common units.</w:t>
      </w:r>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have not requested a ruling from the IRS with respect to any matter affecting us. The IRS may adopt positions that differ from the conclusions of our counsel expressed in this registration statement or from the positions we take. It may be necessary to resort to administrative or court proceedings to sustain our counsel's conclusions or the positions we take. A court may not concur with our counsel's conclusions or the positions we take. Any contest with the IRS may materially and adversely impact the market for common units and the price at which they trade. In addition, the costs of any contest with the IRS, principally legal, accounting and related fees, will be borne by us and directly or indirectly by the unitholders and the general partner.</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You may be required to pay taxes even if you do not receive any cash distributions.</w:t>
      </w:r>
    </w:p>
    <w:p>
      <w:pPr>
        <w:spacing w:after="0" w:line="225" w:lineRule="exact"/>
        <w:rPr>
          <w:sz w:val="20"/>
          <w:szCs w:val="20"/>
          <w:color w:val="auto"/>
        </w:rPr>
      </w:pPr>
    </w:p>
    <w:p>
      <w:pPr>
        <w:ind w:right="200" w:firstLine="345"/>
        <w:spacing w:after="0" w:line="259" w:lineRule="auto"/>
        <w:rPr>
          <w:sz w:val="20"/>
          <w:szCs w:val="20"/>
          <w:color w:val="auto"/>
        </w:rPr>
      </w:pPr>
      <w:r>
        <w:rPr>
          <w:rFonts w:ascii="Arial" w:cs="Arial" w:eastAsia="Arial" w:hAnsi="Arial"/>
          <w:sz w:val="18"/>
          <w:szCs w:val="18"/>
          <w:color w:val="auto"/>
        </w:rPr>
        <w:t>You will be required to pay federal income taxes and, in some cases, state and local income taxes on your share of our taxable income even if you do not receive any cash distributions from us. You may not receive cash distributions from us equal to your share of our taxable income or even equal to the actual tax liability that results from your share of our taxable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Tax gain or loss on disposition of common units could be different than expected.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you sell your common units, you will recognize gain or loss equal to the difference between the amount realized and your tax basis in those common units. Prior distributions in excess of the total net taxable income you were allocated for a common unit, which decreased your tax basis in that common unit, will, in effect, become taxable income to you if the common unit is sold at a price greater than your tax basis in that common unit, even if the price you receive is less than your original cost.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 w:name="page38"/>
    <w:bookmarkEnd w:id="37"/>
    <w:p>
      <w:pPr>
        <w:jc w:val="both"/>
        <w:ind w:right="140"/>
        <w:spacing w:after="0" w:line="306" w:lineRule="auto"/>
        <w:rPr>
          <w:sz w:val="20"/>
          <w:szCs w:val="20"/>
          <w:color w:val="auto"/>
        </w:rPr>
      </w:pPr>
      <w:r>
        <w:rPr>
          <w:rFonts w:ascii="Arial" w:cs="Arial" w:eastAsia="Arial" w:hAnsi="Arial"/>
          <w:sz w:val="16"/>
          <w:szCs w:val="16"/>
          <w:color w:val="auto"/>
        </w:rPr>
        <w:t>substantial portion of the amount realized, whether or not representing gain, may be ordinary income to you. Should the IRS successfully contest some positions we take, you could recognize more gain on the sale of units than would be the case under those positions, without the benefit of decreased income in prior years. Also, if you sell your units, you may incur a tax liability in excess of the amount of cash you receive from the sale.</w:t>
      </w:r>
    </w:p>
    <w:p>
      <w:pPr>
        <w:spacing w:after="0" w:line="161" w:lineRule="exact"/>
        <w:rPr>
          <w:sz w:val="20"/>
          <w:szCs w:val="20"/>
          <w:color w:val="auto"/>
        </w:rPr>
      </w:pPr>
    </w:p>
    <w:p>
      <w:pPr>
        <w:ind w:right="1000" w:firstLine="351"/>
        <w:spacing w:after="0" w:line="268" w:lineRule="auto"/>
        <w:rPr>
          <w:sz w:val="20"/>
          <w:szCs w:val="20"/>
          <w:color w:val="auto"/>
        </w:rPr>
      </w:pPr>
      <w:r>
        <w:rPr>
          <w:rFonts w:ascii="Arial" w:cs="Arial" w:eastAsia="Arial" w:hAnsi="Arial"/>
          <w:sz w:val="18"/>
          <w:szCs w:val="18"/>
          <w:b w:val="1"/>
          <w:bCs w:val="1"/>
          <w:i w:val="1"/>
          <w:iCs w:val="1"/>
          <w:color w:val="auto"/>
        </w:rPr>
        <w:t>If you are a tax-exempt entity, a regulated investment company or an individual not residing in the United States, you may have adverse tax consequences from owning common units.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Investment in common units by tax-exempt entities, regulated investment companies or mutual funds and foreign persons raises issues unique to them. For example, virtually all of our income allocated to organizations exempt from federal income tax, including individual retirement accounts and other retirement plans, will be unrelated business taxable income and will be taxable to them. Recent legislation treats net income derived from the ownership of certain publicly traded partnerships (including us) as qualifying income to a regulated investment company. However, this legislation is only effective for taxable years beginning after October 22, 2004, the date of enactment. For taxable years beginning on or before the date of enactment, very little of our income will be qualifying income to a regulated investment company. Distributions to foreign persons will be reduced by withholding taxes at the highest effective U.S. federal income tax rate for individuals, and foreign persons will be required to file federal income tax returns and pay tax on their share of our taxable income.</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We treat a purchaser of units as having the same tax benefits without regard to the units purchased. The IRS may challenge this treatment, which could adversely affect the value of the units.</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Because we cannot match transferors and transferees of common units, we have adopted depreciation and amortization positions that do not conform with all aspects of the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the common units or result in audit adjustments to your tax returns. Please read "Tax Considerations—Uniformity of Units" in this prospectus for further discussion of the effect of the depreciation and amortization positions we have adopted.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You will likely be subject to foreign, state and local taxes in jurisdictions where you do not live as a result of an investment in units.</w:t>
      </w:r>
    </w:p>
    <w:p>
      <w:pPr>
        <w:spacing w:after="0" w:line="24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addition to federal income taxes, you will likely be subject to other taxes, including foreign taxes, state and local taxes, unincorporated business taxes and estate, inheritance or intangible taxes that are imposed by the various jurisdictions in which we do business or own property and in which you do not reside. We own property and conduct business in Canada and in most states in the United States. You may be required to file Canadian federal income tax returns and to pay Canadian federal and provincial income taxes and to file state and local income tax returns and pay state and local income taxes in many or all of the jurisdictions in which we do business or own property. Further, you may be subject to penalties for failure to comply with those requirements. It is your responsibility to file all federal, state, local and foreign tax returns. Our counsel has not rendered an opinion on the foreign, state or local tax consequences of an investment in the common units.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40" w:type="dxa"/>
            <w:vAlign w:val="bottom"/>
          </w:tcPr>
          <w:p>
            <w:pPr>
              <w:jc w:val="center"/>
              <w:ind w:left="254"/>
              <w:spacing w:after="0"/>
              <w:rPr>
                <w:sz w:val="20"/>
                <w:szCs w:val="20"/>
                <w:color w:val="auto"/>
              </w:rPr>
            </w:pPr>
            <w:r>
              <w:rPr>
                <w:rFonts w:ascii="Arial" w:cs="Arial" w:eastAsia="Arial" w:hAnsi="Arial"/>
                <w:sz w:val="14"/>
                <w:szCs w:val="14"/>
                <w:b w:val="1"/>
                <w:bCs w:val="1"/>
                <w:color w:val="auto"/>
                <w:w w:val="89"/>
              </w:rPr>
              <w:t>Three Months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140" w:type="dxa"/>
            <w:vAlign w:val="bottom"/>
          </w:tcPr>
          <w:p>
            <w:pPr>
              <w:jc w:val="center"/>
              <w:ind w:left="254"/>
              <w:spacing w:after="0" w:line="132"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140" w:type="dxa"/>
            <w:vAlign w:val="bottom"/>
          </w:tcPr>
          <w:p>
            <w:pPr>
              <w:jc w:val="center"/>
              <w:ind w:left="254"/>
              <w:spacing w:after="0" w:line="120" w:lineRule="exact"/>
              <w:rPr>
                <w:sz w:val="20"/>
                <w:szCs w:val="20"/>
                <w:color w:val="auto"/>
              </w:rPr>
            </w:pPr>
            <w:r>
              <w:rPr>
                <w:rFonts w:ascii="Arial" w:cs="Arial" w:eastAsia="Arial" w:hAnsi="Arial"/>
                <w:sz w:val="12"/>
                <w:szCs w:val="12"/>
                <w:b w:val="1"/>
                <w:bCs w:val="1"/>
                <w:color w:val="auto"/>
              </w:rPr>
              <w:t>March 31,</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6180" w:type="dxa"/>
            <w:vAlign w:val="bottom"/>
            <w:gridSpan w:val="3"/>
          </w:tcPr>
          <w:p>
            <w:pPr>
              <w:ind w:left="5640"/>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40" w:type="dxa"/>
            <w:vAlign w:val="bottom"/>
            <w:gridSpan w:val="2"/>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40" w:type="dxa"/>
            <w:vAlign w:val="bottom"/>
            <w:tcBorders>
              <w:right w:val="single" w:sz="8" w:color="808080"/>
            </w:tcBorders>
            <w:gridSpan w:val="2"/>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180" w:type="dxa"/>
            <w:vAlign w:val="bottom"/>
            <w:gridSpan w:val="3"/>
          </w:tcPr>
          <w:p>
            <w:pPr>
              <w:ind w:left="56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-820420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-820420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-1086485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-1086485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-820420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-820420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-820420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-820420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-820420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-820420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-820420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-820420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-820420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-820420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us and Wachovia Bank, N.A., as Trustee.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guarantors of the debt securities,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 w:name="page41"/>
    <w:bookmarkEnd w:id="40"/>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subsidiaries other than "minor" subsidiaries as such term is interpreted in securities regulation governing financial reporting for guarantors. The prospectus supplement will describe any limitation on the maximum amount of any particular guarantee and the conditions under which guarantees may be released.</w:t>
      </w:r>
    </w:p>
    <w:p>
      <w:pPr>
        <w:spacing w:after="0" w:line="174"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1" w:name="page42"/>
    <w:bookmarkEnd w:id="41"/>
    <w:p>
      <w:pPr>
        <w:ind w:right="22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1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275"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ind w:left="360" w:right="700" w:firstLine="188"/>
        <w:spacing w:after="0" w:line="601" w:lineRule="auto"/>
        <w:tabs>
          <w:tab w:leader="none" w:pos="1092" w:val="left"/>
        </w:tabs>
        <w:numPr>
          <w:ilvl w:val="0"/>
          <w:numId w:val="25"/>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27" w:lineRule="exact"/>
        <w:rPr>
          <w:rFonts w:ascii="Arial" w:cs="Arial" w:eastAsia="Arial" w:hAnsi="Arial"/>
          <w:sz w:val="15"/>
          <w:szCs w:val="15"/>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for the assumption of an issuer's or guarantor's obligations to holders of debt securities in the case of a merger or consolidation or disposition of all or substantially all of such issuer's or guarantor's assets;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add or release guarantors pursuant to the terms of the indenture;</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secure the debt securities and/or the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5"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premium, if any, or interest) if it considers such withholding of notice to be in the best interests of the holders.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indenture will not limit the amount of debt securities that we may issue, unless we indicate otherwise in a prospectus supplement. The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the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ind w:right="2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w:t>
      </w:r>
    </w:p>
    <w:p>
      <w:pPr>
        <w:spacing w:after="0" w:line="239" w:lineRule="exact"/>
        <w:rPr>
          <w:sz w:val="20"/>
          <w:szCs w:val="20"/>
          <w:color w:val="auto"/>
        </w:rPr>
      </w:pPr>
    </w:p>
    <w:p>
      <w:pPr>
        <w:ind w:left="1080" w:right="20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Subordinated Debt Securities Subordinated to Senior Indebtedness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Payment Blockages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221"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ind w:left="540"/>
        <w:spacing w:after="0"/>
        <w:rPr>
          <w:sz w:val="20"/>
          <w:szCs w:val="20"/>
          <w:color w:val="auto"/>
        </w:rPr>
      </w:pPr>
      <w:r>
        <w:rPr>
          <w:rFonts w:ascii="Arial" w:cs="Arial" w:eastAsia="Arial" w:hAnsi="Arial"/>
          <w:sz w:val="18"/>
          <w:szCs w:val="18"/>
          <w:i w:val="1"/>
          <w:iCs w:val="1"/>
          <w:color w:val="auto"/>
        </w:rPr>
        <w:t>No Limitation on Amount of Senior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National Association of Securities Dealers, Inc.</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right="24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2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1220" w:hanging="321"/>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180" w:firstLine="360"/>
        <w:spacing w:after="0" w:line="259" w:lineRule="auto"/>
        <w:tabs>
          <w:tab w:leader="none" w:pos="17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4" w:lineRule="exact"/>
        <w:rPr>
          <w:rFonts w:ascii="Arial" w:cs="Arial" w:eastAsia="Arial" w:hAnsi="Arial"/>
          <w:sz w:val="18"/>
          <w:szCs w:val="18"/>
          <w:color w:val="auto"/>
        </w:rPr>
      </w:pPr>
    </w:p>
    <w:p>
      <w:pPr>
        <w:ind w:left="1080" w:firstLine="360"/>
        <w:spacing w:after="0" w:line="290" w:lineRule="auto"/>
        <w:tabs>
          <w:tab w:leader="none" w:pos="1768"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left="540" w:right="640" w:firstLine="359"/>
        <w:spacing w:after="0" w:line="268" w:lineRule="auto"/>
        <w:tabs>
          <w:tab w:leader="none" w:pos="12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Wachovia Bank N.A. will be the initial Trustee under each indenture. We maintain a banking relation in the ordinary course of business with Wachovia Bank N.A. and some of its affiliates.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Limitations on Trustee if it is a Creditor</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guarantor, to obtain payment of claims in certain cases, or to realize on certain property received in respect of any such claim as security or otherwise.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Certificates and Opinions to be Furnished to Trustee</w:t>
      </w:r>
    </w:p>
    <w:p>
      <w:pPr>
        <w:spacing w:after="0" w:line="225"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97"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8" w:name="page49"/>
    <w:bookmarkEnd w:id="48"/>
    <w:p>
      <w:pPr>
        <w:ind w:right="340"/>
        <w:spacing w:after="0" w:line="268" w:lineRule="auto"/>
        <w:rPr>
          <w:sz w:val="20"/>
          <w:szCs w:val="20"/>
          <w:color w:val="auto"/>
        </w:rPr>
      </w:pPr>
      <w:r>
        <w:rPr>
          <w:rFonts w:ascii="Arial" w:cs="Arial" w:eastAsia="Arial" w:hAnsi="Arial"/>
          <w:sz w:val="18"/>
          <w:szCs w:val="18"/>
          <w:color w:val="auto"/>
        </w:rPr>
        <w:t>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6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8"/>
          <w:szCs w:val="18"/>
          <w:color w:val="auto"/>
        </w:rPr>
        <w:t>We will distribute to our unitholders, on a quarterly basis, all of our available cash in the manner described below.</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4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0" w:name="page51"/>
    <w:bookmarkEnd w:id="50"/>
    <w:p>
      <w:pPr>
        <w:ind w:right="440"/>
        <w:spacing w:after="0" w:line="268" w:lineRule="auto"/>
        <w:rPr>
          <w:sz w:val="20"/>
          <w:szCs w:val="20"/>
          <w:color w:val="auto"/>
        </w:rPr>
      </w:pPr>
      <w:r>
        <w:rPr>
          <w:rFonts w:ascii="Arial" w:cs="Arial" w:eastAsia="Arial" w:hAnsi="Arial"/>
          <w:sz w:val="18"/>
          <w:szCs w:val="18"/>
          <w:color w:val="auto"/>
        </w:rPr>
        <w:t>amounts of available cash from operating surplus distributed above the payments made under the minimum quarterly distribution, if any, and the related 2% distribution to the general partner.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239" w:lineRule="exact"/>
        <w:rPr>
          <w:sz w:val="20"/>
          <w:szCs w:val="20"/>
          <w:color w:val="auto"/>
        </w:rPr>
      </w:pPr>
    </w:p>
    <w:p>
      <w:pPr>
        <w:ind w:left="1080" w:right="2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Thereafter, in the manner described in "—Incentive Distributions"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208" w:lineRule="exact"/>
        <w:rPr>
          <w:sz w:val="20"/>
          <w:szCs w:val="20"/>
          <w:color w:val="auto"/>
        </w:rPr>
      </w:pPr>
    </w:p>
    <w:p>
      <w:pPr>
        <w:ind w:left="1080" w:right="4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How Distributions from Capital Surplus Will Be Made.</w:t>
      </w:r>
      <w:r>
        <w:rPr>
          <w:sz w:val="20"/>
          <w:szCs w:val="20"/>
          <w:color w:val="auto"/>
        </w:rPr>
        <w:tab/>
      </w:r>
      <w:r>
        <w:rPr>
          <w:rFonts w:ascii="Arial" w:cs="Arial" w:eastAsia="Arial" w:hAnsi="Arial"/>
          <w:sz w:val="16"/>
          <w:szCs w:val="16"/>
          <w:color w:val="auto"/>
        </w:rPr>
        <w:t>We will make distributions of available cash from capital surplus in the following manner:</w:t>
      </w:r>
    </w:p>
    <w:p>
      <w:pPr>
        <w:spacing w:after="0" w:line="239" w:lineRule="exact"/>
        <w:rPr>
          <w:sz w:val="20"/>
          <w:szCs w:val="20"/>
          <w:color w:val="auto"/>
        </w:rPr>
      </w:pPr>
    </w:p>
    <w:p>
      <w:pPr>
        <w:ind w:left="1080" w:right="260" w:hanging="532"/>
        <w:spacing w:after="0" w:line="33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Effect of a Distribution from Capital Surplus. </w:t>
      </w:r>
      <w:r>
        <w:rPr>
          <w:rFonts w:ascii="Arial" w:cs="Arial" w:eastAsia="Arial" w:hAnsi="Arial"/>
          <w:sz w:val="18"/>
          <w:szCs w:val="18"/>
          <w:color w:val="auto"/>
        </w:rPr>
        <w:t>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97" w:lineRule="exact"/>
        <w:rPr>
          <w:sz w:val="20"/>
          <w:szCs w:val="20"/>
          <w:color w:val="auto"/>
        </w:rPr>
      </w:pPr>
    </w:p>
    <w:p>
      <w:pPr>
        <w:ind w:left="360"/>
        <w:spacing w:after="0"/>
        <w:tabs>
          <w:tab w:leader="none" w:pos="2160" w:val="left"/>
        </w:tabs>
        <w:rPr>
          <w:sz w:val="20"/>
          <w:szCs w:val="20"/>
          <w:color w:val="auto"/>
        </w:rPr>
      </w:pPr>
      <w:r>
        <w:rPr>
          <w:rFonts w:ascii="Arial" w:cs="Arial" w:eastAsia="Arial" w:hAnsi="Arial"/>
          <w:sz w:val="18"/>
          <w:szCs w:val="18"/>
          <w:i w:val="1"/>
          <w:iCs w:val="1"/>
          <w:color w:val="auto"/>
        </w:rPr>
        <w:t>When Payback Occurs.</w:t>
      </w:r>
      <w:r>
        <w:rPr>
          <w:sz w:val="20"/>
          <w:szCs w:val="20"/>
          <w:color w:val="auto"/>
        </w:rPr>
        <w:tab/>
      </w:r>
      <w:r>
        <w:rPr>
          <w:rFonts w:ascii="Arial" w:cs="Arial" w:eastAsia="Arial" w:hAnsi="Arial"/>
          <w:sz w:val="15"/>
          <w:szCs w:val="15"/>
          <w:color w:val="auto"/>
        </w:rPr>
        <w:t>When "payback" of the reduced initial unit price has occurred, i.e., when the unrecovered capital of the common units is zero, then</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How We Adjust the Minimum Quarterly Distribution and Target Distribution Levels. </w:t>
      </w:r>
      <w:r>
        <w:rPr>
          <w:rFonts w:ascii="Arial" w:cs="Arial" w:eastAsia="Arial" w:hAnsi="Arial"/>
          <w:sz w:val="18"/>
          <w:szCs w:val="18"/>
          <w:color w:val="auto"/>
        </w:rPr>
        <w:t>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20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If We Became Subject to Taxation. </w:t>
      </w:r>
      <w:r>
        <w:rPr>
          <w:rFonts w:ascii="Arial" w:cs="Arial" w:eastAsia="Arial" w:hAnsi="Arial"/>
          <w:sz w:val="16"/>
          <w:szCs w:val="16"/>
          <w:color w:val="auto"/>
        </w:rPr>
        <w:t>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the minimum quarterly distribution and each of the target distribution levels, respectively, to equal the product obtained by multiplying the amount thereof by:</w:t>
      </w:r>
    </w:p>
    <w:p>
      <w:pPr>
        <w:spacing w:after="0" w:line="262" w:lineRule="exact"/>
        <w:rPr>
          <w:sz w:val="20"/>
          <w:szCs w:val="20"/>
          <w:color w:val="auto"/>
        </w:rPr>
      </w:pPr>
    </w:p>
    <w:p>
      <w:pPr>
        <w:jc w:val="both"/>
        <w:ind w:left="1080" w:right="22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If we dissolve and liquidate, we will sell our assets or otherwise dispose of our assets and we will adjust the partners' capital account balances to</w:t>
      </w:r>
      <w:r>
        <w:rPr>
          <w:rFonts w:ascii="Arial" w:cs="Arial" w:eastAsia="Arial" w:hAnsi="Arial"/>
          <w:sz w:val="16"/>
          <w:szCs w:val="16"/>
          <w:i w:val="1"/>
          <w:iCs w:val="1"/>
          <w:color w:val="auto"/>
        </w:rPr>
        <w:t xml:space="preserve"> </w:t>
      </w:r>
      <w:r>
        <w:rPr>
          <w:rFonts w:ascii="Arial" w:cs="Arial" w:eastAsia="Arial" w:hAnsi="Arial"/>
          <w:sz w:val="16"/>
          <w:szCs w:val="16"/>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161" w:lineRule="exact"/>
        <w:rPr>
          <w:sz w:val="20"/>
          <w:szCs w:val="20"/>
          <w:color w:val="auto"/>
        </w:rPr>
      </w:pPr>
    </w:p>
    <w:p>
      <w:pPr>
        <w:ind w:left="360"/>
        <w:spacing w:after="0"/>
        <w:tabs>
          <w:tab w:leader="none" w:pos="2120" w:val="left"/>
        </w:tabs>
        <w:rPr>
          <w:sz w:val="20"/>
          <w:szCs w:val="20"/>
          <w:color w:val="auto"/>
        </w:rPr>
      </w:pPr>
      <w:r>
        <w:rPr>
          <w:rFonts w:ascii="Arial" w:cs="Arial" w:eastAsia="Arial" w:hAnsi="Arial"/>
          <w:sz w:val="18"/>
          <w:szCs w:val="18"/>
          <w:i w:val="1"/>
          <w:iCs w:val="1"/>
          <w:color w:val="auto"/>
        </w:rPr>
        <w:t>Manner of Adjustment.</w:t>
      </w:r>
      <w:r>
        <w:rPr>
          <w:sz w:val="20"/>
          <w:szCs w:val="20"/>
          <w:color w:val="auto"/>
        </w:rPr>
        <w:tab/>
      </w:r>
      <w:r>
        <w:rPr>
          <w:rFonts w:ascii="Arial" w:cs="Arial" w:eastAsia="Arial" w:hAnsi="Arial"/>
          <w:sz w:val="16"/>
          <w:szCs w:val="16"/>
          <w:color w:val="auto"/>
        </w:rPr>
        <w:t>If we liquidate, we would allocate any loss to the general partner and each unitholder as follows:</w:t>
      </w:r>
    </w:p>
    <w:p>
      <w:pPr>
        <w:spacing w:after="0" w:line="252" w:lineRule="exact"/>
        <w:rPr>
          <w:sz w:val="20"/>
          <w:szCs w:val="20"/>
          <w:color w:val="auto"/>
        </w:rPr>
      </w:pPr>
    </w:p>
    <w:p>
      <w:pPr>
        <w:ind w:left="1080" w:right="1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Interim Adjustments to Capital Accounts. </w:t>
      </w:r>
      <w:r>
        <w:rPr>
          <w:rFonts w:ascii="Arial" w:cs="Arial" w:eastAsia="Arial" w:hAnsi="Arial"/>
          <w:sz w:val="16"/>
          <w:szCs w:val="16"/>
          <w:color w:val="auto"/>
        </w:rPr>
        <w:t>If we issued additional security interests or made distributions of property, interim adjustments to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"Tax Considerations";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4" w:name="page55"/>
    <w:bookmarkEnd w:id="54"/>
    <w:p>
      <w:pPr>
        <w:ind w:right="40"/>
        <w:spacing w:after="0" w:line="268" w:lineRule="auto"/>
        <w:rPr>
          <w:sz w:val="20"/>
          <w:szCs w:val="20"/>
          <w:color w:val="auto"/>
        </w:rPr>
      </w:pPr>
      <w:r>
        <w:rPr>
          <w:rFonts w:ascii="Arial" w:cs="Arial" w:eastAsia="Arial" w:hAnsi="Arial"/>
          <w:sz w:val="18"/>
          <w:szCs w:val="18"/>
          <w:color w:val="auto"/>
        </w:rPr>
        <w:t>necessary to maintain their percentage interests in us that existed immediately prior to the issuance. The holders of common units will not have preemptive rights to acquire additional common units or other partnership interests in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7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partner that the liquidator deems necessary or desirable in its good faith judgment, liquidate our assets. The proceeds of the liquidation will be applied as follows:</w:t>
      </w:r>
    </w:p>
    <w:p>
      <w:pPr>
        <w:spacing w:after="0" w:line="262"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9" w:lineRule="exact"/>
        <w:rPr>
          <w:sz w:val="20"/>
          <w:szCs w:val="20"/>
          <w:color w:val="auto"/>
        </w:rPr>
      </w:pPr>
    </w:p>
    <w:p>
      <w:pPr>
        <w:ind w:left="1080" w:right="3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right="40" w:firstLine="8"/>
        <w:spacing w:after="0" w:line="261"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6" w:name="page57"/>
    <w:bookmarkEnd w:id="56"/>
    <w:p>
      <w:pPr>
        <w:jc w:val="center"/>
        <w:ind w:right="40"/>
        <w:spacing w:after="0"/>
        <w:rPr>
          <w:sz w:val="20"/>
          <w:szCs w:val="20"/>
          <w:color w:val="auto"/>
        </w:rPr>
      </w:pPr>
      <w:r>
        <w:rPr>
          <w:rFonts w:ascii="Arial" w:cs="Arial" w:eastAsia="Arial" w:hAnsi="Arial"/>
          <w:sz w:val="18"/>
          <w:szCs w:val="18"/>
          <w:b w:val="1"/>
          <w:bCs w:val="1"/>
          <w:color w:val="auto"/>
        </w:rPr>
        <w:t>TAX CONSIDERATIONS</w:t>
      </w:r>
    </w:p>
    <w:p>
      <w:pPr>
        <w:spacing w:after="0" w:line="231"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This section is a summary of the material tax considerations that may be relevant to prospective unitholders who are individual citizens or residents of the United States and, unless otherwise noted in the following discussion, expresses the opinion of Vinson &amp; Elkins L.L.P., counsel to the general partner and us, insofar as it relates to matters of United States federal income tax law and legal conclusions with respect to those matters.</w:t>
      </w:r>
    </w:p>
    <w:p>
      <w:pPr>
        <w:spacing w:after="0" w:line="16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No attempt has been made in the following discussion to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recommend that each prospective unitholder consult, and depend on, his own tax advisor in analyzing the federal, state, local and foreign tax consequences particular to him of the ownership or disposition of common units.</w:t>
      </w:r>
    </w:p>
    <w:p>
      <w:pPr>
        <w:spacing w:after="0" w:line="170"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All statements as to matters of law and legal conclusions, but not as to factual matters, contained in this section, unless otherwise noted, are the opinion of counsel and are based on the accuracy of the factual representations made by us.</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unitholders. An opinion of counsel represents only that counsel's best legal judgment and does not bind the IRS or the courts. Accordingly, the opinions and statements made here may not be sustained by a court if contested by the IRS. Any contest of this sort with the IRS may materially and adversely impact the market for the common units and the prices at which common units trade. In addition, the costs of any contest with the IRS will be borne directly or indirectly by the unitholders and the general partner. Furthermore, the treatment of us, or an investment in us, may be significantly modified by future legislative or administrative changes or court decisions. Any modifications may or may not be retroactively applied.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reasons described below, counsel has not rendered an opinion with respect to the following specific federal income tax issues:</w:t>
      </w:r>
    </w:p>
    <w:p>
      <w:pPr>
        <w:spacing w:after="0" w:line="225" w:lineRule="exact"/>
        <w:rPr>
          <w:sz w:val="20"/>
          <w:szCs w:val="20"/>
          <w:color w:val="auto"/>
        </w:rPr>
      </w:pPr>
    </w:p>
    <w:p>
      <w:pPr>
        <w:ind w:left="540" w:right="640" w:firstLine="359"/>
        <w:spacing w:after="0" w:line="268" w:lineRule="auto"/>
        <w:tabs>
          <w:tab w:leader="none" w:pos="1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treatment of a unitholder whose common units are loaned to a short seller to cover a short sale of common units (please read "—Tax Consequences of Unit Ownership—Treatment of Short Sales");</w:t>
      </w:r>
    </w:p>
    <w:p>
      <w:pPr>
        <w:spacing w:after="0" w:line="185" w:lineRule="exact"/>
        <w:rPr>
          <w:rFonts w:ascii="Arial" w:cs="Arial" w:eastAsia="Arial" w:hAnsi="Arial"/>
          <w:sz w:val="18"/>
          <w:szCs w:val="18"/>
          <w:color w:val="auto"/>
        </w:rPr>
      </w:pPr>
    </w:p>
    <w:p>
      <w:pPr>
        <w:ind w:left="540" w:right="620" w:firstLine="359"/>
        <w:spacing w:after="0" w:line="268" w:lineRule="auto"/>
        <w:tabs>
          <w:tab w:leader="none" w:pos="1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 Disposition of Common Units—Allocations Between Transferors and Transferees"); and</w:t>
      </w:r>
    </w:p>
    <w:p>
      <w:pPr>
        <w:spacing w:after="0" w:line="18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our method for depreciating Section 743 adjustments is sustainable (please read "—Tax Consequences of Unit Ownership—Section 754 Election").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Status</w:t>
      </w:r>
    </w:p>
    <w:p>
      <w:pPr>
        <w:spacing w:after="0" w:line="231" w:lineRule="exact"/>
        <w:rPr>
          <w:sz w:val="20"/>
          <w:szCs w:val="20"/>
          <w:color w:val="auto"/>
        </w:rPr>
      </w:pPr>
    </w:p>
    <w:p>
      <w:pPr>
        <w:jc w:val="both"/>
        <w:ind w:right="80" w:firstLine="341"/>
        <w:spacing w:after="0" w:line="259" w:lineRule="auto"/>
        <w:rPr>
          <w:sz w:val="20"/>
          <w:szCs w:val="20"/>
          <w:color w:val="auto"/>
        </w:rPr>
      </w:pPr>
      <w:r>
        <w:rPr>
          <w:rFonts w:ascii="Arial" w:cs="Arial" w:eastAsia="Arial" w:hAnsi="Arial"/>
          <w:sz w:val="18"/>
          <w:szCs w:val="18"/>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generally not taxable unless the amount of cash distributed is in excess of the partner's adjusted basis in his partnership interest.</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No ruling has been or will be sought from the IRS and the IRS has made no determination as to our status or the status of the operating partnerships as partnerships for federal income tax purposes or whether our operations generate "qualifying income" under Section 7704 of the Code. Instead, we will rely on the opinion of counsel that, based upon the Internal Revenue Code, its regulations, published revenue rulings and court decisions and the representations described below, we and the operating partnerships will be classified as a partnership for federal income tax purposes.</w:t>
      </w:r>
    </w:p>
    <w:p>
      <w:pPr>
        <w:spacing w:after="0" w:line="16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rendering its opinion, counsel has relied on factual representations made by us and the general partner. The representations made by us and our general partner upon which counsel has relied are:</w:t>
      </w:r>
    </w:p>
    <w:p>
      <w:pPr>
        <w:spacing w:after="0" w:line="186" w:lineRule="exact"/>
        <w:rPr>
          <w:sz w:val="20"/>
          <w:szCs w:val="20"/>
          <w:color w:val="auto"/>
        </w:rPr>
      </w:pPr>
    </w:p>
    <w:p>
      <w:pPr>
        <w:ind w:left="1220" w:hanging="321"/>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we nor the operating partnerships will elect to be treated as a corporation;</w:t>
      </w:r>
    </w:p>
    <w:p>
      <w:pPr>
        <w:spacing w:after="0" w:line="225" w:lineRule="exact"/>
        <w:rPr>
          <w:rFonts w:ascii="Arial" w:cs="Arial" w:eastAsia="Arial" w:hAnsi="Arial"/>
          <w:sz w:val="18"/>
          <w:szCs w:val="18"/>
          <w:color w:val="auto"/>
        </w:rPr>
      </w:pPr>
    </w:p>
    <w:p>
      <w:pPr>
        <w:ind w:left="540" w:right="180" w:firstLine="359"/>
        <w:spacing w:after="0" w:line="268" w:lineRule="auto"/>
        <w:tabs>
          <w:tab w:leader="none" w:pos="12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each taxable year, more than 90% of our gross income will be income from sources that our counsel has opined or will opine is "qualifying income" within the meaning of Section 7704(d) of the Internal Revenue Code.</w:t>
      </w:r>
    </w:p>
    <w:p>
      <w:pPr>
        <w:spacing w:after="0" w:line="186"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assets held for the production of income that otherwise constitutes qualifying income. We estimate that less than 3% of our current income is not qualifying income; however, this estimate could change from time to time. Based upon and subject to this estimate, the factual representations made by us and the general partner and a review of the applicable legal authorities, counsel is of the opinion that at least 90% of our current gross income constitutes qualifying income.</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we fail to meet the Qualifying Income Exception, other than a failure which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we were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has been reduced to zero. Accordingly, taxation as a corporation would result in a material reduction in a unitholder's cash flow and after-tax return and thus would likely result in a substantial reduction of the value of the units.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discussion below is based on the conclusion that we will be classified as a partnership for federal income tax purposes.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Limited Partner Status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Unitholders who have become limited partners of Plains All American Pipeline will be treated as partners of Plains All American Pipeline for federal income tax purposes. Also:</w:t>
      </w:r>
    </w:p>
    <w:p>
      <w:pPr>
        <w:spacing w:after="0" w:line="19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8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will be treated as partners of Plains All American Pipeline for federal income tax purposes. As there is no direct authority addressing assignees of common units who are entitled to execute and deliver transfer applications and become entitled to direct the exercise of attendant rights, but who fail to execute and deliver transfer applications, counsel's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54"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 beneficial owner of common units whose units have been transferred to a short seller to complete a short sale would appear to lose his status as a partner with respect to those units for federal income tax purposes. Please read "—Tax Consequences of Unit Ownership—Treatment of Short Sales."</w:t>
      </w:r>
    </w:p>
    <w:p>
      <w:pPr>
        <w:spacing w:after="0" w:line="139"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should consult their own tax advisors with respect to their status as partners in Plains All American Pipeline for federal income tax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Flow-through of Taxable Income. </w:t>
      </w:r>
      <w:r>
        <w:rPr>
          <w:rFonts w:ascii="Arial" w:cs="Arial" w:eastAsia="Arial" w:hAnsi="Arial"/>
          <w:sz w:val="18"/>
          <w:szCs w:val="18"/>
          <w:color w:val="auto"/>
        </w:rPr>
        <w:t>We will not pay any federal income tax. Instead, each unitholder will be required to report on his income tax return his</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our income, gains, losses and deductions without regard to whether corresponding cash distributions are received by that unitholder. Consequently, we may allocate income to a unitholder even if he has not received a cash distribution. Each unitholder will be required to include in income his share of our income, gains, losses and deductions for our taxable year ending with or within his taxable year.</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Treatment of Distributions. </w:t>
      </w:r>
      <w:r>
        <w:rPr>
          <w:rFonts w:ascii="Arial" w:cs="Arial" w:eastAsia="Arial" w:hAnsi="Arial"/>
          <w:sz w:val="16"/>
          <w:szCs w:val="16"/>
          <w:color w:val="auto"/>
        </w:rPr>
        <w:t>Distributions by us to a unitholder generally will not be taxable to the unitholder for federal income tax purposes to the extent</w:t>
      </w:r>
      <w:r>
        <w:rPr>
          <w:rFonts w:ascii="Arial" w:cs="Arial" w:eastAsia="Arial" w:hAnsi="Arial"/>
          <w:sz w:val="16"/>
          <w:szCs w:val="16"/>
          <w:i w:val="1"/>
          <w:iCs w:val="1"/>
          <w:color w:val="auto"/>
        </w:rPr>
        <w:t xml:space="preserve"> </w:t>
      </w:r>
      <w:r>
        <w:rPr>
          <w:rFonts w:ascii="Arial" w:cs="Arial" w:eastAsia="Arial" w:hAnsi="Arial"/>
          <w:sz w:val="16"/>
          <w:szCs w:val="16"/>
          <w:color w:val="auto"/>
        </w:rPr>
        <w:t>of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"—Limitations on Deductibility of Losses."</w:t>
      </w:r>
    </w:p>
    <w:p>
      <w:pPr>
        <w:spacing w:after="0" w:line="174" w:lineRule="exact"/>
        <w:rPr>
          <w:sz w:val="20"/>
          <w:szCs w:val="20"/>
          <w:color w:val="auto"/>
        </w:rPr>
      </w:pPr>
    </w:p>
    <w:p>
      <w:pPr>
        <w:ind w:right="700" w:firstLine="341"/>
        <w:spacing w:after="0" w:line="332" w:lineRule="auto"/>
        <w:rPr>
          <w:sz w:val="20"/>
          <w:szCs w:val="20"/>
          <w:color w:val="auto"/>
        </w:rPr>
      </w:pPr>
      <w:r>
        <w:rPr>
          <w:rFonts w:ascii="Arial" w:cs="Arial" w:eastAsia="Arial" w:hAnsi="Arial"/>
          <w:sz w:val="16"/>
          <w:szCs w:val="16"/>
          <w:color w:val="auto"/>
        </w:rPr>
        <w:t>A decrease in a unitholder's percentage interest in us because of our issuance of additional common units will decrease his share of our nonrecourse liabilities, and thus will result in a corresponding deemed distribution of cash. A non-pro rata distribution of money or property may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ind w:right="200"/>
        <w:spacing w:after="0" w:line="291" w:lineRule="auto"/>
        <w:rPr>
          <w:sz w:val="20"/>
          <w:szCs w:val="20"/>
          <w:color w:val="auto"/>
        </w:rPr>
      </w:pPr>
      <w:r>
        <w:rPr>
          <w:rFonts w:ascii="Arial" w:cs="Arial" w:eastAsia="Arial" w:hAnsi="Arial"/>
          <w:sz w:val="16"/>
          <w:szCs w:val="16"/>
          <w:color w:val="auto"/>
        </w:rPr>
        <w:t>result in ordinary income to a unitholder, regardless of his tax basis in his common units, if the distribution reduces the unitholder's share of 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w:t>
      </w:r>
    </w:p>
    <w:p>
      <w:pPr>
        <w:spacing w:after="0" w:line="174"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 xml:space="preserve">Basis of Common Units. </w:t>
      </w:r>
      <w:r>
        <w:rPr>
          <w:rFonts w:ascii="Arial" w:cs="Arial" w:eastAsia="Arial" w:hAnsi="Arial"/>
          <w:sz w:val="16"/>
          <w:szCs w:val="16"/>
          <w:color w:val="auto"/>
        </w:rPr>
        <w:t>A unitholder's initial tax basis for his common units will be the amount he paid for the common units plus his share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limited partner will have no share of our debt which is recourse to the general partner, but will have a share, generally based on his share of profits, of our nonrecourse liabilities. Please read "— Disposition of Common Units—Recognition of Gain or Loss."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Limitations on Deductibility of Losses. </w:t>
      </w:r>
      <w:r>
        <w:rPr>
          <w:rFonts w:ascii="Arial" w:cs="Arial" w:eastAsia="Arial" w:hAnsi="Arial"/>
          <w:sz w:val="16"/>
          <w:szCs w:val="16"/>
          <w:color w:val="auto"/>
        </w:rPr>
        <w:t>The deduction by a unitholder of his share of our losses will be limited to the tax basis in his units and, in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of an individual unitholder or a corporate unitholder, if more than 50% of the value of its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will no longer utilizable.</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w:t>
      </w:r>
    </w:p>
    <w:p>
      <w:pPr>
        <w:spacing w:after="0" w:line="16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0" w:name="page61"/>
    <w:bookmarkEnd w:id="60"/>
    <w:p>
      <w:pPr>
        <w:ind w:right="120" w:firstLine="341"/>
        <w:spacing w:after="0" w:line="268" w:lineRule="auto"/>
        <w:rPr>
          <w:sz w:val="20"/>
          <w:szCs w:val="20"/>
          <w:color w:val="auto"/>
        </w:rPr>
      </w:pPr>
      <w:r>
        <w:rPr>
          <w:rFonts w:ascii="Arial" w:cs="Arial" w:eastAsia="Arial" w:hAnsi="Arial"/>
          <w:sz w:val="18"/>
          <w:szCs w:val="18"/>
          <w:color w:val="auto"/>
        </w:rPr>
        <w:t>A unitholder's share of our net income may be offset by any suspended passive losses, but it may not be offset by any other current or carryover losses from other passive activities, including those attributable to other publicly-traded partnerships.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 limited to the amount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taxpayer's "net investment income." Investment interest expense includes:</w:t>
      </w:r>
    </w:p>
    <w:p>
      <w:pPr>
        <w:spacing w:after="0" w:line="19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interest on indebtedness properly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interest expense attributed to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attributable to portfolio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from a publicly-traded partnership will be treated as investment income for purposes of the limitations on the deductibility of investment interest. In addition, the unitholder's share of our portfolio income will be treated as investment income.</w:t>
      </w:r>
    </w:p>
    <w:p>
      <w:pPr>
        <w:spacing w:after="0" w:line="19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Entity-Level Collections. </w:t>
      </w:r>
      <w:r>
        <w:rPr>
          <w:rFonts w:ascii="Arial" w:cs="Arial" w:eastAsia="Arial" w:hAnsi="Arial"/>
          <w:sz w:val="16"/>
          <w:szCs w:val="16"/>
          <w:color w:val="auto"/>
        </w:rPr>
        <w:t>If we are required or elect under applicable law to pay any federal, state or local income tax on behalf of any unitholder or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i w:val="1"/>
          <w:iCs w:val="1"/>
          <w:color w:val="auto"/>
        </w:rPr>
        <w:t xml:space="preserve">Allocation of Income, Gain, Loss and Deduction. </w:t>
      </w:r>
      <w:r>
        <w:rPr>
          <w:rFonts w:ascii="Arial" w:cs="Arial" w:eastAsia="Arial" w:hAnsi="Arial"/>
          <w:sz w:val="18"/>
          <w:szCs w:val="18"/>
          <w:color w:val="auto"/>
        </w:rPr>
        <w:t>In general, if we have a net profit, our items of income, gain, loss and deduction will be allocated among</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partner and the unitholders in accordance with their percentage 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the general partner.</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Specified items of our income, gain, loss and deduction will be allocated to account for the difference between the tax basis and fair market value of property contributed to us by the general partner, referred to in this discussion as "Contributed Property," and to account for the difference between the fair market value of our assets and their carrying value on our books at the time of an offering. The effect of these allocations to a unitholder purchasing common units in an offering will be essentially the same as if the tax basis of our assets were equal to their fair market value at the time of the offering.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1" w:name="page62"/>
    <w:bookmarkEnd w:id="61"/>
    <w:p>
      <w:pPr>
        <w:ind w:right="20"/>
        <w:spacing w:after="0" w:line="268" w:lineRule="auto"/>
        <w:rPr>
          <w:sz w:val="20"/>
          <w:szCs w:val="20"/>
          <w:color w:val="auto"/>
        </w:rPr>
      </w:pPr>
      <w:r>
        <w:rPr>
          <w:rFonts w:ascii="Arial" w:cs="Arial" w:eastAsia="Arial" w:hAnsi="Arial"/>
          <w:sz w:val="18"/>
          <w:szCs w:val="18"/>
          <w:color w:val="auto"/>
        </w:rPr>
        <w:t>not expect that our operations will result in the creation of negative capital accounts, if negative capital accounts nevertheless result, items of our income and gain will be allocated in an amount and manner to eliminate the negative balance as quickly as possible.</w:t>
      </w:r>
    </w:p>
    <w:p>
      <w:pPr>
        <w:spacing w:after="0" w:line="186" w:lineRule="exact"/>
        <w:rPr>
          <w:sz w:val="20"/>
          <w:szCs w:val="20"/>
          <w:color w:val="auto"/>
        </w:rPr>
      </w:pPr>
    </w:p>
    <w:p>
      <w:pPr>
        <w:ind w:right="200" w:firstLine="341"/>
        <w:spacing w:after="0" w:line="290"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w:t>
      </w:r>
    </w:p>
    <w:p>
      <w:pPr>
        <w:spacing w:after="0" w:line="172"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Counsel is of the opinion that, with the exception of the issues described in "—Tax Consequences of Unit Ownership—Section 754 Election" and "— Disposition of Common Units—Allocations Between Transferors and Transferees," respectively, allocations under our partnership agreement will be given effect for federal income tax purposes in determining a partner's share of an item of income, gain, loss or deduction.</w:t>
      </w:r>
    </w:p>
    <w:p>
      <w:pPr>
        <w:spacing w:after="0" w:line="16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Treatment of Short Sales. </w:t>
      </w:r>
      <w:r>
        <w:rPr>
          <w:rFonts w:ascii="Arial" w:cs="Arial" w:eastAsia="Arial" w:hAnsi="Arial"/>
          <w:sz w:val="18"/>
          <w:szCs w:val="18"/>
          <w:color w:val="auto"/>
        </w:rPr>
        <w:t>A unitholder whose units are loaned to a "short seller" to cover a short sale of units may be considered as having disposed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those units. If so, he would no longer be a partner with respect to those units during the period of the loan and may recognize gain or loss from the disposition. As a result, during this period:</w:t>
      </w:r>
    </w:p>
    <w:p>
      <w:pPr>
        <w:spacing w:after="0" w:line="208"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of our income, gain, loss or deduction with respect to those units would not be reportable by the unitholder;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cash distributions received by the unitholder for those units would be fully taxable;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these distributions would appear to be ordinary income.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Counsel has not rendered an opinion regarding the treatment of a unitholder where common units are loaned to a short seller to cover a short sale of common units; therefore, unitholders desiring to ensure their status as partners and avoid the risk of gain recognition from a loan to a short seller should modify any applicable brokerage account agreements to prohibit their brokers from borrowing their units. The IRS has announced that it is actively studying issues relating to the tax treatment of short sales of partnership interests. Please read "—Disposition of Common Units—Recognition of Gain or Loss."</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i w:val="1"/>
          <w:iCs w:val="1"/>
          <w:color w:val="auto"/>
        </w:rPr>
        <w:t xml:space="preserve">Alternative Minimum Tax. </w:t>
      </w:r>
      <w:r>
        <w:rPr>
          <w:rFonts w:ascii="Arial" w:cs="Arial" w:eastAsia="Arial" w:hAnsi="Arial"/>
          <w:sz w:val="18"/>
          <w:szCs w:val="18"/>
          <w:color w:val="auto"/>
        </w:rPr>
        <w:t>Although it is not expected that we will generate significant tax preference items or adjustments, each unitholder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should consult with their tax advisors as to the impact of an investment in units on their liability for the alternative minimum tax.</w:t>
      </w:r>
    </w:p>
    <w:p>
      <w:pPr>
        <w:spacing w:after="0" w:line="197"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Tax Rates. </w:t>
      </w:r>
      <w:r>
        <w:rPr>
          <w:rFonts w:ascii="Arial" w:cs="Arial" w:eastAsia="Arial" w:hAnsi="Arial"/>
          <w:sz w:val="16"/>
          <w:szCs w:val="16"/>
          <w:color w:val="auto"/>
        </w:rPr>
        <w:t>In general the highest effective United States federal income tax rate for individuals currently is 35% and the maximum United States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rate for net capital gains of an individual currently is 15% if the asset disposed of was held for more than 12 months at the time of disposition.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2" w:name="page63"/>
    <w:bookmarkEnd w:id="62"/>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Section 754 Election. </w:t>
      </w:r>
      <w:r>
        <w:rPr>
          <w:rFonts w:ascii="Arial" w:cs="Arial" w:eastAsia="Arial" w:hAnsi="Arial"/>
          <w:sz w:val="16"/>
          <w:szCs w:val="16"/>
          <w:color w:val="auto"/>
        </w:rPr>
        <w:t>We have made the election permitted by Section 754 of the Internal Revenue Code. That election is irrevocable without the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partners. For purposes of this discussion, a partner's inside basis in our assets will be considered to have two components: (1) his share of our tax basis in our assets ("common basis") and (2) his Section 743(b) adjustment to that basis.</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Treasury regulations under Section 743 of the Internal Revenue Code require, if the remedial allocation method is adopted (which we have adopted), a portion of the Section 743(b) adjustment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the general partner is authorized to take a position to preserve the uniformity of units even if that position is not consistent with these Treasury Regulations. Please read "—Tax Treatment of Operations" and "—Uniformity of Units."</w:t>
      </w:r>
    </w:p>
    <w:p>
      <w:pPr>
        <w:spacing w:after="0" w:line="174"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Although counsel is unable to opine as to the validity of this approach because there is no clear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regulations under Section 743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w:t>
      </w:r>
    </w:p>
    <w:p>
      <w:pPr>
        <w:spacing w:after="0" w:line="181"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a smaller share of any gain or loss on a sale of our assets.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w:t>
      </w:r>
    </w:p>
    <w:p>
      <w:pPr>
        <w:spacing w:after="0" w:line="170"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3" w:name="page64"/>
    <w:bookmarkEnd w:id="63"/>
    <w:p>
      <w:pPr>
        <w:ind w:right="120"/>
        <w:spacing w:after="0" w:line="259" w:lineRule="auto"/>
        <w:rPr>
          <w:sz w:val="20"/>
          <w:szCs w:val="20"/>
          <w:color w:val="auto"/>
        </w:rPr>
      </w:pPr>
      <w:r>
        <w:rPr>
          <w:rFonts w:ascii="Arial" w:cs="Arial" w:eastAsia="Arial" w:hAnsi="Arial"/>
          <w:sz w:val="18"/>
          <w:szCs w:val="18"/>
          <w:color w:val="auto"/>
        </w:rPr>
        <w:t>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i w:val="1"/>
          <w:iCs w:val="1"/>
          <w:color w:val="auto"/>
        </w:rPr>
        <w:t xml:space="preserve">Accounting Method and Taxable Year. </w:t>
      </w:r>
      <w:r>
        <w:rPr>
          <w:rFonts w:ascii="Arial" w:cs="Arial" w:eastAsia="Arial" w:hAnsi="Arial"/>
          <w:sz w:val="16"/>
          <w:szCs w:val="16"/>
          <w:color w:val="auto"/>
        </w:rPr>
        <w:t>We use the year ending December 31 as our taxable year and the accrual method of accounting for federal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 Disposition of Common Units—Allocations Between Transferors and Transferees."</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Initial Tax Basis, Depreciation and Amortization. </w:t>
      </w:r>
      <w:r>
        <w:rPr>
          <w:rFonts w:ascii="Arial" w:cs="Arial" w:eastAsia="Arial" w:hAnsi="Arial"/>
          <w:sz w:val="18"/>
          <w:szCs w:val="18"/>
          <w:color w:val="auto"/>
        </w:rPr>
        <w:t>The tax basis of our assets will be used for purposes of computing depreciation and cost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and, ultimately, gain or loss on the disposition of these assets. The federal income tax burden associated with the difference between the fair market value of our assets and their tax basis immediately prior to this offering will be borne by partners holding interests in us prior to this offering. Please read "—Tax Consequences of Unit Ownership—Allocation of Income, Gain, Loss and Deduction."</w:t>
      </w:r>
    </w:p>
    <w:p>
      <w:pPr>
        <w:spacing w:after="0" w:line="197"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w:t>
      </w:r>
    </w:p>
    <w:p>
      <w:pPr>
        <w:spacing w:after="0" w:line="197"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6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i w:val="1"/>
          <w:iCs w:val="1"/>
          <w:color w:val="auto"/>
        </w:rPr>
        <w:t xml:space="preserve">Valuation and Tax Basis of Our Properties. </w:t>
      </w:r>
      <w:r>
        <w:rPr>
          <w:rFonts w:ascii="Arial" w:cs="Arial" w:eastAsia="Arial" w:hAnsi="Arial"/>
          <w:sz w:val="18"/>
          <w:szCs w:val="18"/>
          <w:color w:val="auto"/>
        </w:rPr>
        <w:t>The federal income tax consequences of the ownership and disposition of units will depend in part on our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of the relative fair market values, and the initial tax bases, of our assets. Although we may from time to time consult with professional appraisers regarding valuation matters, we will make many of the relative fair market value estimates ourselves. These estimates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Disposition of Common Units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Recognition of Gain or Loss. </w:t>
      </w:r>
      <w:r>
        <w:rPr>
          <w:rFonts w:ascii="Arial" w:cs="Arial" w:eastAsia="Arial" w:hAnsi="Arial"/>
          <w:sz w:val="18"/>
          <w:szCs w:val="18"/>
          <w:color w:val="auto"/>
        </w:rPr>
        <w:t>Gain or loss will be recognized on a sale of units equal to the difference between the amount realized and the unitholder's tax</w:t>
      </w:r>
      <w:r>
        <w:rPr>
          <w:rFonts w:ascii="Arial" w:cs="Arial" w:eastAsia="Arial" w:hAnsi="Arial"/>
          <w:sz w:val="18"/>
          <w:szCs w:val="18"/>
          <w:i w:val="1"/>
          <w:iCs w:val="1"/>
          <w:color w:val="auto"/>
        </w:rPr>
        <w:t xml:space="preserve"> </w:t>
      </w:r>
      <w:r>
        <w:rPr>
          <w:rFonts w:ascii="Arial" w:cs="Arial" w:eastAsia="Arial" w:hAnsi="Arial"/>
          <w:sz w:val="18"/>
          <w:szCs w:val="18"/>
          <w:color w:val="auto"/>
        </w:rPr>
        <w:t>basis for the units sold. A unitholder's amount realized will be measured by the sum of the cash or the fair market value of other property received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is less than his original cost.</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12 months will generally be taxed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Capital losses may offset capital gains and no more than $3,000 of ordinary income in the case of individuals, and may only be used to offset capital gains in the case of corporations.</w:t>
      </w:r>
    </w:p>
    <w:p>
      <w:pPr>
        <w:spacing w:after="0" w:line="174"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should consult his tax advisor as to the possible consequences of this ruling and application of the regulations.</w:t>
      </w:r>
    </w:p>
    <w:p>
      <w:pPr>
        <w:spacing w:after="0" w:line="17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208"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Moreover, if a taxpayer has previously entered into a short sale, an offsetting notional principal contract or a futures or forward contract with respect to the partnership interest, the taxpayer will be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5" w:name="page66"/>
    <w:bookmarkEnd w:id="65"/>
    <w:p>
      <w:pPr>
        <w:ind w:right="220"/>
        <w:spacing w:after="0" w:line="259" w:lineRule="auto"/>
        <w:rPr>
          <w:sz w:val="20"/>
          <w:szCs w:val="20"/>
          <w:color w:val="auto"/>
        </w:rPr>
      </w:pPr>
      <w:r>
        <w:rPr>
          <w:rFonts w:ascii="Arial" w:cs="Arial" w:eastAsia="Arial" w:hAnsi="Arial"/>
          <w:sz w:val="18"/>
          <w:szCs w:val="18"/>
          <w:color w:val="auto"/>
        </w:rPr>
        <w:t>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w:t>
      </w:r>
    </w:p>
    <w:p>
      <w:pPr>
        <w:spacing w:after="0" w:line="19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i w:val="1"/>
          <w:iCs w:val="1"/>
          <w:color w:val="auto"/>
        </w:rPr>
        <w:t xml:space="preserve">Allocations Between Transferors and Transferees. </w:t>
      </w:r>
      <w:r>
        <w:rPr>
          <w:rFonts w:ascii="Arial" w:cs="Arial" w:eastAsia="Arial" w:hAnsi="Arial"/>
          <w:sz w:val="16"/>
          <w:szCs w:val="16"/>
          <w:color w:val="auto"/>
        </w:rPr>
        <w:t>In general, our taxable income and losses will be determined annually, will be prorated on a monthly</w:t>
      </w:r>
      <w:r>
        <w:rPr>
          <w:rFonts w:ascii="Arial" w:cs="Arial" w:eastAsia="Arial" w:hAnsi="Arial"/>
          <w:sz w:val="16"/>
          <w:szCs w:val="16"/>
          <w:i w:val="1"/>
          <w:iCs w:val="1"/>
          <w:color w:val="auto"/>
        </w:rPr>
        <w:t xml:space="preserve"> </w:t>
      </w:r>
      <w:r>
        <w:rPr>
          <w:rFonts w:ascii="Arial" w:cs="Arial" w:eastAsia="Arial" w:hAnsi="Arial"/>
          <w:sz w:val="16"/>
          <w:szCs w:val="16"/>
          <w:color w:val="auto"/>
        </w:rPr>
        <w:t>basis and will be subsequently apportioned among the unitholders in proportion to 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170"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use of this method may not be permitted under existing Treasury regulations. Accordingly, counsel is unable to opine on the validity of this method of allocating income and deductions between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unitholders to conform to a method permitted under future Treasury Regulations.</w:t>
      </w:r>
    </w:p>
    <w:p>
      <w:pPr>
        <w:spacing w:after="0" w:line="197"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139"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Notification Requirements. </w:t>
      </w:r>
      <w:r>
        <w:rPr>
          <w:rFonts w:ascii="Arial" w:cs="Arial" w:eastAsia="Arial" w:hAnsi="Arial"/>
          <w:sz w:val="18"/>
          <w:szCs w:val="18"/>
          <w:color w:val="auto"/>
        </w:rPr>
        <w:t>A unitholder who sells or exchanges units, other than through a broker, generally is required to notify us in writing of that sale</w:t>
      </w:r>
      <w:r>
        <w:rPr>
          <w:rFonts w:ascii="Arial" w:cs="Arial" w:eastAsia="Arial" w:hAnsi="Arial"/>
          <w:sz w:val="18"/>
          <w:szCs w:val="18"/>
          <w:i w:val="1"/>
          <w:iCs w:val="1"/>
          <w:color w:val="auto"/>
        </w:rPr>
        <w:t xml:space="preserve"> </w:t>
      </w:r>
      <w:r>
        <w:rPr>
          <w:rFonts w:ascii="Arial" w:cs="Arial" w:eastAsia="Arial" w:hAnsi="Arial"/>
          <w:sz w:val="18"/>
          <w:szCs w:val="18"/>
          <w:color w:val="auto"/>
        </w:rPr>
        <w:t>or exchange within 30 days after the sale or exchange (or, if earlier, January 15 of the year following the sale). A unitholder who acquires units generally is required to notify us in writing of that acquisition within 30 days of that purchase, unless a broker or nominee will satisfy such requirement. We are required to notify the IRS of any such transfers and to furnish specified information to the transferor and transferee. Failure to satisfy these reporting obligations may, in some cases, lead to the imposition of penalties.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Constructive Termination. </w:t>
      </w:r>
      <w:r>
        <w:rPr>
          <w:rFonts w:ascii="Arial" w:cs="Arial" w:eastAsia="Arial" w:hAnsi="Arial"/>
          <w:sz w:val="16"/>
          <w:szCs w:val="16"/>
          <w:color w:val="auto"/>
        </w:rPr>
        <w:t>We will be considered to have been terminated for tax purposes if there is a sale or exchange of 50% or more of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our capital and profits within a 12-month period. A constructive termination results in the closing of our taxable year for all unitholders. In the case of a unitholder reporting on a taxable year other than a fiscal year ending December 31, the closing of our taxable year may result in more than 12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Uniformity of Units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read "—Tax Consequences of Unit Ownership—Section 754 Election."</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66" w:name="page67"/>
    <w:bookmarkEnd w:id="66"/>
    <w:p>
      <w:pPr>
        <w:ind w:right="20" w:firstLine="348"/>
        <w:spacing w:after="0" w:line="285" w:lineRule="auto"/>
        <w:rPr>
          <w:sz w:val="20"/>
          <w:szCs w:val="20"/>
          <w:color w:val="auto"/>
        </w:rPr>
      </w:pPr>
      <w:r>
        <w:rPr>
          <w:rFonts w:ascii="Arial" w:cs="Arial" w:eastAsia="Arial" w:hAnsi="Arial"/>
          <w:sz w:val="16"/>
          <w:szCs w:val="16"/>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portion may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 plans and most other organizations exempt from federal income tax, including individual retirement accounts and other retirement plans, are subject to federal income tax on unrelated business taxable income. Virtually all of our income allocated to a unitholder which is a tax-exempt organization will be unrelated business taxable income and will be taxable to the unitholder.</w:t>
      </w:r>
    </w:p>
    <w:p>
      <w:pPr>
        <w:spacing w:after="0" w:line="170"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For tax years beginning on or prior to October 22, 2004, a regulated investment company or "mutual fund" is required to derive 90% or more of its gross income from interest, dividends and gains from the sale of stocks or securities or foreign currency or specified related sources. It is not anticipated that any significant amount of our gross income will include that type of income. Recent legislation adds net income derived from the ownership of an interest in a "qualified publicly traded partnership" to the categories of qualified income for a regulated investment company. We expect that we will meet the definition of a qualified publicly traded partnership. However, this legislation is only effective for taxable years beginning after October 22, 2004.</w:t>
      </w:r>
    </w:p>
    <w:p>
      <w:pPr>
        <w:spacing w:after="0" w:line="170"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income or gain. And, under rules applicable to publicly traded partnerships, we will withhold tax at the highest effective applicable rate from cash distributions made quarterly to foreign unitholders. Each foreign unitholder must obtain a taxpayer identification number from the IRS and submit that number to our transfer agent on a Form W-8 BEN or applicable substitute form in order to obtain credit for these withholding taxes.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7" w:name="page68"/>
    <w:bookmarkEnd w:id="67"/>
    <w:p>
      <w:pPr>
        <w:ind w:right="80" w:firstLine="351"/>
        <w:spacing w:after="0" w:line="294"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a ruling of the IRS, a foreign unitholder who sells or otherwise disposes of a unit will be subject to federal income tax on gain realized on the disposition of that unit to the extent that this gain is effectively connected with a United States trade or business of the foreign unitholder. Apart from the ruling, a foreign unitholder will not be taxed or subject to withholding upon the disposition of a unit if he has owned less than 5% in value of the units during the five-year period ending on the date of the disposition and if the units are regularly traded on an established securities market at the time of the disposition.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Information Returns and Audit Procedures. </w:t>
      </w:r>
      <w:r>
        <w:rPr>
          <w:rFonts w:ascii="Arial" w:cs="Arial" w:eastAsia="Arial" w:hAnsi="Arial"/>
          <w:sz w:val="16"/>
          <w:szCs w:val="16"/>
          <w:color w:val="auto"/>
        </w:rPr>
        <w:t>We intend to furnish to each unitholder, within 90 days after the close of each calendar year, specific tax</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the unitholder's share of income, gain, loss and deduction. We cannot assure you that those positions will yield a result that conforms to the requirements of the Internal Revenue Code, regulations or administrative interpretations of the IRS. Neither we nor counsel can assure prospective unitholders that the IRS will not successfully contend in court that those positions are impermissible. Any challenge by the IRS could negatively affect the value of the units.</w:t>
      </w:r>
    </w:p>
    <w:p>
      <w:pPr>
        <w:spacing w:after="0" w:line="17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IRS may audit our federal income tax information returns. Adjustments resulting from an IRS audit may require each unitholder to adjust a prior year's tax liability, and possibly may result in an audit of that unitholder's own return. Any audit of a unitholder's return could result in adjustments not related to our returns as well as those related to our returns.</w:t>
      </w:r>
    </w:p>
    <w:p>
      <w:pPr>
        <w:spacing w:after="0" w:line="19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The partnership agreement appoints the general partner as our Tax Matters Partner.</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However, if we elect to be treated as a large partnership, a unitholder will not have the right to participate in settlement conferences with the IRS or to seek a refund.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68" w:name="page69"/>
    <w:bookmarkEnd w:id="68"/>
    <w:p>
      <w:pPr>
        <w:jc w:val="both"/>
        <w:ind w:firstLine="341"/>
        <w:spacing w:after="0" w:line="306" w:lineRule="auto"/>
        <w:rPr>
          <w:sz w:val="20"/>
          <w:szCs w:val="20"/>
          <w:color w:val="auto"/>
        </w:rPr>
      </w:pPr>
      <w:r>
        <w:rPr>
          <w:rFonts w:ascii="Arial" w:cs="Arial" w:eastAsia="Arial" w:hAnsi="Arial"/>
          <w:sz w:val="16"/>
          <w:szCs w:val="16"/>
          <w:color w:val="auto"/>
        </w:rPr>
        <w:t>A unitholder must file a statement with the IRS identifying the treatment of any item on his federal income tax return that is not consistent with the treatment of the item on our return. Intentional or negligent disregard of the consistency requirement may subject a unitholder to substantial penalties. However, if we elect to be treated as a large partnership, the unitholders would be required to treat all partnership items in a manner consistent with our return.</w:t>
      </w:r>
    </w:p>
    <w:p>
      <w:pPr>
        <w:spacing w:after="0" w:line="161" w:lineRule="exact"/>
        <w:rPr>
          <w:sz w:val="20"/>
          <w:szCs w:val="20"/>
          <w:color w:val="auto"/>
        </w:rPr>
      </w:pPr>
    </w:p>
    <w:p>
      <w:pPr>
        <w:ind w:left="360"/>
        <w:spacing w:after="0"/>
        <w:tabs>
          <w:tab w:leader="none" w:pos="1920" w:val="left"/>
        </w:tabs>
        <w:rPr>
          <w:sz w:val="20"/>
          <w:szCs w:val="20"/>
          <w:color w:val="auto"/>
        </w:rPr>
      </w:pPr>
      <w:r>
        <w:rPr>
          <w:rFonts w:ascii="Arial" w:cs="Arial" w:eastAsia="Arial" w:hAnsi="Arial"/>
          <w:sz w:val="18"/>
          <w:szCs w:val="18"/>
          <w:i w:val="1"/>
          <w:iCs w:val="1"/>
          <w:color w:val="auto"/>
        </w:rPr>
        <w:t>Nominee Reporting.</w:t>
      </w:r>
      <w:r>
        <w:rPr>
          <w:sz w:val="20"/>
          <w:szCs w:val="20"/>
          <w:color w:val="auto"/>
        </w:rPr>
        <w:tab/>
      </w:r>
      <w:r>
        <w:rPr>
          <w:rFonts w:ascii="Arial" w:cs="Arial" w:eastAsia="Arial" w:hAnsi="Arial"/>
          <w:sz w:val="15"/>
          <w:szCs w:val="15"/>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the beneficial owner is a person that is not a United States person,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foreign government, an international organization or any wholly owned agency or instrumentality of either of the foregoing,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i w:val="1"/>
          <w:iCs w:val="1"/>
          <w:color w:val="auto"/>
        </w:rPr>
        <w:t xml:space="preserve">Accuracy-related Penalties. </w:t>
      </w:r>
      <w:r>
        <w:rPr>
          <w:rFonts w:ascii="Arial" w:cs="Arial" w:eastAsia="Arial" w:hAnsi="Arial"/>
          <w:sz w:val="18"/>
          <w:szCs w:val="18"/>
          <w:color w:val="auto"/>
        </w:rPr>
        <w:t>An additional tax equal to 20% of the amount of any portion of an underpayment of tax that is attributable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197"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 substantial understatement of income tax in any taxable year exists if the amount of the understatement exceeds the greater of 10% of the tax required to be shown on the return for the taxable year or $5,000. The amount of any understatement subject to penalty generally is reduced if any portion is attributable to a position adopted on the return:</w:t>
      </w:r>
    </w:p>
    <w:p>
      <w:pPr>
        <w:spacing w:after="0" w:line="208"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which there is, or was, "substantial authority,"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to avoid liability for this penalty. More stringent rules apply to "tax shelters," which we do not believe includes us.</w:t>
      </w:r>
    </w:p>
    <w:p>
      <w:pPr>
        <w:spacing w:after="0" w:line="197"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If the valuation claimed on a return is 400% or more than the correct valuation, the penalty imposed increases to 40%.</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9" w:name="page70"/>
    <w:bookmarkEnd w:id="69"/>
    <w:p>
      <w:pPr>
        <w:ind w:firstLine="351"/>
        <w:spacing w:after="0" w:line="255" w:lineRule="auto"/>
        <w:rPr>
          <w:sz w:val="20"/>
          <w:szCs w:val="20"/>
          <w:color w:val="auto"/>
        </w:rPr>
      </w:pPr>
      <w:r>
        <w:rPr>
          <w:rFonts w:ascii="Arial" w:cs="Arial" w:eastAsia="Arial" w:hAnsi="Arial"/>
          <w:sz w:val="18"/>
          <w:szCs w:val="18"/>
          <w:i w:val="1"/>
          <w:iCs w:val="1"/>
          <w:color w:val="auto"/>
        </w:rPr>
        <w:t xml:space="preserve">Reportable Transactions. </w:t>
      </w:r>
      <w:r>
        <w:rPr>
          <w:rFonts w:ascii="Arial" w:cs="Arial" w:eastAsia="Arial" w:hAnsi="Arial"/>
          <w:sz w:val="18"/>
          <w:szCs w:val="18"/>
          <w:color w:val="auto"/>
        </w:rPr>
        <w:t>If we were to engage in a "reportable transaction," we (and possibly you and others) would be required to make a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"—Information Returns and Audit Procedures" above.</w:t>
      </w:r>
    </w:p>
    <w:p>
      <w:pPr>
        <w:spacing w:after="0" w:line="197"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199" w:lineRule="exact"/>
        <w:rPr>
          <w:sz w:val="20"/>
          <w:szCs w:val="20"/>
          <w:color w:val="auto"/>
        </w:rPr>
      </w:pPr>
    </w:p>
    <w:p>
      <w:pPr>
        <w:ind w:left="1080" w:right="2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those persons otherwise entitled to deduct interest on federal tax deficiencies, nondeductibility of interest on any resulting tax liability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 listed transaction, an extended statute of limitations.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expect to engage in any "reportable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and Other Tax Considerations</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In addition to federal income taxes, you may be subject to other taxes, such as state and local and Canadian federal and provincial taxes, unincorporated business taxes, and estate, inheritance or intangible taxes that may be imposed by the various jurisdictions in which we do business or own property. Although an analysis of those various taxes is not presented herein, each prospective unitholder should consider their potential impact on his investment in us. We will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of the states may require us to withhold a percentage of income from amounts to be distributed to a unitholder who is not a resident of the state. Withholding, the amount of which may be greater or less than a particular unitholder's income tax liability to the state, generally does not relieve the non-resident unitholder from the obligation to file an income tax return. Amounts withheld may be treated as if distributed to unitholders for purposes of determining the amount distributed by us. Please read "—Tax Consequences of Unit Ownership." We may also own additional property or do business in other states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231"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 description of the material federal income tax consequences of the acquisition, ownership and disposition of debt securities will be set forth in the prospectus supplement relating to the offering of debt securities.</w:t>
      </w:r>
    </w:p>
    <w:p>
      <w:pPr>
        <w:spacing w:after="0" w:line="180" w:lineRule="exact"/>
        <w:rPr>
          <w:sz w:val="20"/>
          <w:szCs w:val="20"/>
          <w:color w:val="auto"/>
        </w:rPr>
      </w:pPr>
    </w:p>
    <w:p>
      <w:pPr>
        <w:ind w:right="160" w:firstLine="351"/>
        <w:spacing w:after="0" w:line="296"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Counsel has not rendered an opinion on the Canadian federal, Canadian provincial, state or local tax consequences of an investment in us.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0" w:name="page71"/>
    <w:bookmarkEnd w:id="70"/>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one or more broker-dealers;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underwriters;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fix a price or prices of our securities at:</w:t>
      </w:r>
    </w:p>
    <w:p>
      <w:pPr>
        <w:spacing w:after="0" w:line="23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market prices prevailing at the time of any sale under this registration statement;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prices related to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19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the New York Stock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private transactions.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1" w:name="page72"/>
    <w:bookmarkEnd w:id="71"/>
    <w:p>
      <w:pPr>
        <w:jc w:val="both"/>
        <w:spacing w:after="0" w:line="306" w:lineRule="auto"/>
        <w:rPr>
          <w:sz w:val="20"/>
          <w:szCs w:val="20"/>
          <w:color w:val="auto"/>
        </w:rPr>
      </w:pPr>
      <w:r>
        <w:rPr>
          <w:rFonts w:ascii="Arial" w:cs="Arial" w:eastAsia="Arial" w:hAnsi="Arial"/>
          <w:sz w:val="16"/>
          <w:szCs w:val="16"/>
          <w:color w:val="auto"/>
        </w:rPr>
        <w:t>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Vinson &amp; Elkins L.L.P., Houston, Texas, will pass upon the validity of the securities offered in this registration statement.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balance sheet as of December 31, 2004 of Plains AAP, L.P. incorporated in this Prospectus by reference to Plains All American Pipeline, L.P.'s Current Report on Form 8-K filed April 8, 2005 has been so incorporated in reliance on the report of PricewaterhouseCoopers LLP, an independent registered public accounting firm, given on the authority of said firm as experts in auditing and accounting.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2559050</wp:posOffset>
            </wp:positionH>
            <wp:positionV relativeFrom="page">
              <wp:posOffset>88900</wp:posOffset>
            </wp:positionV>
            <wp:extent cx="2444115" cy="7543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2444115" cy="7543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4,500,000 Common Units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172720</wp:posOffset>
            </wp:positionV>
            <wp:extent cx="69024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0245" cy="215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142240</wp:posOffset>
            </wp:positionV>
            <wp:extent cx="69024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0245" cy="215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Wachovia Securities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UBS Investment Bank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Citigroup</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A.G. Edwards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Lehman Brothers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RBC Capital Markets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Sanders Morris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158115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lvl w:ilvl="1">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lowerLetter"/>
      <w:start w:val="1"/>
    </w:lvl>
    <w:lvl w:ilvl="1">
      <w:lvlJc w:val="left"/>
      <w:lvlText w:val="(%2)"/>
      <w:numFmt w:val="decimal"/>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decimal"/>
      <w:start w:val="2"/>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2020-02-20T11:13:16Z</dcterms:created>
  <dcterms:modified xsi:type="dcterms:W3CDTF">2020-02-20T11:13:16Z</dcterms:modified>
</cp:coreProperties>
</file>