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15878ds3.htm"/>
        <w:bookmarkStart w:id="1" w:name="ksd415878ds3"/>
        <w:bookmarkEnd w:id="0"/>
        <w:bookmarkEnd w:id="1"/>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As filed with the Securities and Exchange Commission on September 27, 2012 </w:t>
      </w:r>
    </w:p>
    <w:p>
      <w:pPr>
        <w:pStyle w:val="TextBody"/>
        <w:spacing w:before="0" w:after="0"/>
        <w:jc w:val="right"/>
        <w:rPr>
          <w:rFonts w:ascii="Times New Roman" w:hAnsi="Times New Roman"/>
          <w:b/>
          <w:sz w:val="20"/>
        </w:rPr>
      </w:pPr>
      <w:r>
        <w:rPr>
          <w:rFonts w:ascii="Times New Roman" w:hAnsi="Times New Roman"/>
          <w:b/>
          <w:sz w:val="20"/>
        </w:rPr>
        <w:t>Registration No. 333-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S-3 </w:t>
      </w:r>
    </w:p>
    <w:p>
      <w:pPr>
        <w:pStyle w:val="TextBody"/>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spacing w:before="0" w:after="0"/>
        <w:jc w:val="center"/>
        <w:rPr>
          <w:rFonts w:ascii="Times New Roman" w:hAnsi="Times New Roman"/>
          <w:b/>
          <w:i/>
          <w:sz w:val="24"/>
        </w:rPr>
      </w:pPr>
      <w:r>
        <w:rPr>
          <w:rFonts w:ascii="Times New Roman" w:hAnsi="Times New Roman"/>
          <w:b/>
          <w:i/>
          <w:sz w:val="24"/>
        </w:rPr>
        <w:t xml:space="preserve">UNDER </w:t>
      </w:r>
    </w:p>
    <w:p>
      <w:pPr>
        <w:pStyle w:val="TextBody"/>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48"/>
        </w:rPr>
      </w:pPr>
      <w:r>
        <w:rPr>
          <w:rFonts w:ascii="Times New Roman" w:hAnsi="Times New Roman"/>
          <w:b/>
          <w:sz w:val="48"/>
        </w:rPr>
        <w:t xml:space="preserve">PAA FINANCE CORP.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7"/>
        <w:gridCol w:w="4894"/>
      </w:tblGrid>
      <w:tr>
        <w:trPr/>
        <w:tc>
          <w:tcPr>
            <w:tcW w:w="510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4894"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Delaware</w:t>
            </w:r>
          </w:p>
          <w:p>
            <w:pPr>
              <w:pStyle w:val="TableContents"/>
              <w:spacing w:before="0" w:after="15"/>
              <w:jc w:val="center"/>
              <w:rPr>
                <w:rFonts w:ascii="Times New Roman" w:hAnsi="Times New Roman"/>
                <w:b/>
                <w:sz w:val="20"/>
              </w:rPr>
            </w:pPr>
            <w:r>
              <w:rPr>
                <w:rFonts w:ascii="Times New Roman" w:hAnsi="Times New Roman"/>
                <w:b/>
                <w:sz w:val="20"/>
              </w:rPr>
              <w:t>Delaware</w:t>
            </w:r>
          </w:p>
        </w:tc>
        <w:tc>
          <w:tcPr>
            <w:tcW w:w="207" w:type="dxa"/>
            <w:tcBorders/>
            <w:shd w:fill="auto" w:val="clear"/>
            <w:vAlign w:val="bottom"/>
          </w:tcPr>
          <w:p>
            <w:pPr>
              <w:pStyle w:val="TableContents"/>
              <w:spacing w:before="0" w:after="283"/>
              <w:rPr/>
            </w:pPr>
            <w:r>
              <w:rPr/>
              <w:t> </w:t>
            </w:r>
          </w:p>
        </w:tc>
        <w:tc>
          <w:tcPr>
            <w:tcW w:w="489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76-0582150</w:t>
            </w:r>
          </w:p>
          <w:p>
            <w:pPr>
              <w:pStyle w:val="TableContents"/>
              <w:spacing w:before="0" w:after="15"/>
              <w:jc w:val="center"/>
              <w:rPr>
                <w:rFonts w:ascii="Times New Roman" w:hAnsi="Times New Roman"/>
                <w:b/>
                <w:sz w:val="20"/>
              </w:rPr>
            </w:pPr>
            <w:r>
              <w:rPr>
                <w:rFonts w:ascii="Times New Roman" w:hAnsi="Times New Roman"/>
                <w:b/>
                <w:sz w:val="20"/>
              </w:rPr>
              <w:t>56-2464313</w:t>
            </w:r>
          </w:p>
        </w:tc>
      </w:tr>
      <w:tr>
        <w:trPr/>
        <w:tc>
          <w:tcPr>
            <w:tcW w:w="510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 of</w:t>
            </w:r>
          </w:p>
          <w:p>
            <w:pPr>
              <w:pStyle w:val="TableContents"/>
              <w:spacing w:before="0" w:after="15"/>
              <w:jc w:val="center"/>
              <w:rPr>
                <w:rFonts w:ascii="Times New Roman" w:hAnsi="Times New Roman"/>
                <w:b/>
                <w:sz w:val="14"/>
              </w:rPr>
            </w:pPr>
            <w:r>
              <w:rPr>
                <w:rFonts w:ascii="Times New Roman" w:hAnsi="Times New Roman"/>
                <w:b/>
                <w:sz w:val="14"/>
              </w:rPr>
              <w:t>Incorporation or Organization)</w:t>
            </w:r>
          </w:p>
        </w:tc>
        <w:tc>
          <w:tcPr>
            <w:tcW w:w="207" w:type="dxa"/>
            <w:tcBorders/>
            <w:shd w:fill="auto" w:val="clear"/>
            <w:vAlign w:val="bottom"/>
          </w:tcPr>
          <w:p>
            <w:pPr>
              <w:pStyle w:val="TableContents"/>
              <w:spacing w:before="0" w:after="283"/>
              <w:rPr/>
            </w:pPr>
            <w:r>
              <w:rPr/>
              <w:t> </w:t>
            </w:r>
          </w:p>
        </w:tc>
        <w:tc>
          <w:tcPr>
            <w:tcW w:w="489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Number)</w:t>
            </w:r>
          </w:p>
        </w:tc>
      </w:tr>
    </w:tbl>
    <w:p>
      <w:pPr>
        <w:pStyle w:val="TextBody"/>
        <w:spacing w:before="90" w:after="0"/>
        <w:jc w:val="center"/>
        <w:rPr>
          <w:rFonts w:ascii="Times New Roman" w:hAnsi="Times New Roman"/>
          <w:b/>
          <w:sz w:val="20"/>
        </w:rPr>
      </w:pPr>
      <w:r>
        <w:rPr>
          <w:rFonts w:ascii="Times New Roman" w:hAnsi="Times New Roman"/>
          <w:b/>
          <w:sz w:val="20"/>
        </w:rPr>
        <w:t xml:space="preserve">333 Clay Street, Suite 1600 </w:t>
      </w:r>
    </w:p>
    <w:p>
      <w:pPr>
        <w:pStyle w:val="TextBody"/>
        <w:spacing w:before="0" w:after="0"/>
        <w:jc w:val="center"/>
        <w:rPr>
          <w:rFonts w:ascii="Times New Roman" w:hAnsi="Times New Roman"/>
          <w:b/>
          <w:sz w:val="20"/>
        </w:rPr>
      </w:pPr>
      <w:r>
        <w:rPr>
          <w:rFonts w:ascii="Times New Roman" w:hAnsi="Times New Roman"/>
          <w:b/>
          <w:sz w:val="20"/>
        </w:rPr>
        <w:t xml:space="preserve">Houston, Texas 77002 </w:t>
      </w:r>
    </w:p>
    <w:p>
      <w:pPr>
        <w:pStyle w:val="TextBody"/>
        <w:spacing w:before="0" w:after="0"/>
        <w:jc w:val="center"/>
        <w:rPr>
          <w:rFonts w:ascii="Times New Roman" w:hAnsi="Times New Roman"/>
          <w:b/>
          <w:sz w:val="20"/>
        </w:rPr>
      </w:pPr>
      <w:r>
        <w:rPr>
          <w:rFonts w:ascii="Times New Roman" w:hAnsi="Times New Roman"/>
          <w:b/>
          <w:sz w:val="20"/>
        </w:rPr>
        <w:t xml:space="preserve">(713) 646-4100 </w:t>
      </w:r>
    </w:p>
    <w:p>
      <w:pPr>
        <w:pStyle w:val="TextBody"/>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Richard McGee </w:t>
      </w:r>
    </w:p>
    <w:p>
      <w:pPr>
        <w:pStyle w:val="TextBody"/>
        <w:spacing w:before="0" w:after="0"/>
        <w:jc w:val="center"/>
        <w:rPr>
          <w:rFonts w:ascii="Times New Roman" w:hAnsi="Times New Roman"/>
          <w:b/>
          <w:sz w:val="20"/>
        </w:rPr>
      </w:pPr>
      <w:r>
        <w:rPr>
          <w:rFonts w:ascii="Times New Roman" w:hAnsi="Times New Roman"/>
          <w:b/>
          <w:sz w:val="20"/>
        </w:rPr>
        <w:t xml:space="preserve">Vice President and General </w:t>
      </w:r>
    </w:p>
    <w:p>
      <w:pPr>
        <w:pStyle w:val="TextBody"/>
        <w:spacing w:before="0" w:after="0"/>
        <w:jc w:val="center"/>
        <w:rPr>
          <w:rFonts w:ascii="Times New Roman" w:hAnsi="Times New Roman"/>
          <w:b/>
          <w:sz w:val="20"/>
        </w:rPr>
      </w:pPr>
      <w:r>
        <w:rPr>
          <w:rFonts w:ascii="Times New Roman" w:hAnsi="Times New Roman"/>
          <w:b/>
          <w:sz w:val="20"/>
        </w:rPr>
        <w:t xml:space="preserve">Counsel </w:t>
      </w:r>
    </w:p>
    <w:p>
      <w:pPr>
        <w:pStyle w:val="TextBody"/>
        <w:spacing w:before="0" w:after="0"/>
        <w:jc w:val="center"/>
        <w:rPr>
          <w:rFonts w:ascii="Times New Roman" w:hAnsi="Times New Roman"/>
          <w:b/>
          <w:sz w:val="20"/>
        </w:rPr>
      </w:pPr>
      <w:r>
        <w:rPr>
          <w:rFonts w:ascii="Times New Roman" w:hAnsi="Times New Roman"/>
          <w:b/>
          <w:sz w:val="20"/>
        </w:rPr>
        <w:t xml:space="preserve">333 Clay Street, Suite 1600 </w:t>
      </w:r>
    </w:p>
    <w:p>
      <w:pPr>
        <w:pStyle w:val="TextBody"/>
        <w:spacing w:before="0" w:after="0"/>
        <w:jc w:val="center"/>
        <w:rPr>
          <w:rFonts w:ascii="Times New Roman" w:hAnsi="Times New Roman"/>
          <w:b/>
          <w:sz w:val="20"/>
        </w:rPr>
      </w:pPr>
      <w:r>
        <w:rPr>
          <w:rFonts w:ascii="Times New Roman" w:hAnsi="Times New Roman"/>
          <w:b/>
          <w:sz w:val="20"/>
        </w:rPr>
        <w:t xml:space="preserve">Houston, Texas 77002 </w:t>
      </w:r>
    </w:p>
    <w:p>
      <w:pPr>
        <w:pStyle w:val="TextBody"/>
        <w:spacing w:before="0" w:after="0"/>
        <w:jc w:val="center"/>
        <w:rPr>
          <w:rFonts w:ascii="Times New Roman" w:hAnsi="Times New Roman"/>
          <w:b/>
          <w:sz w:val="20"/>
        </w:rPr>
      </w:pPr>
      <w:r>
        <w:rPr>
          <w:rFonts w:ascii="Times New Roman" w:hAnsi="Times New Roman"/>
          <w:b/>
          <w:sz w:val="20"/>
        </w:rPr>
        <w:t xml:space="preserve">(713) 646-4100 </w:t>
      </w:r>
    </w:p>
    <w:p>
      <w:pPr>
        <w:pStyle w:val="TextBody"/>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i/>
          <w:sz w:val="20"/>
        </w:rPr>
      </w:pPr>
      <w:r>
        <w:rPr>
          <w:rFonts w:ascii="Times New Roman" w:hAnsi="Times New Roman"/>
          <w:b/>
          <w:i/>
          <w:sz w:val="20"/>
        </w:rPr>
        <w:t xml:space="preserve">Copies to: </w:t>
      </w:r>
    </w:p>
    <w:p>
      <w:pPr>
        <w:pStyle w:val="TextBody"/>
        <w:spacing w:before="90" w:after="0"/>
        <w:jc w:val="center"/>
        <w:rPr>
          <w:rFonts w:ascii="Times New Roman" w:hAnsi="Times New Roman"/>
          <w:b/>
          <w:sz w:val="20"/>
        </w:rPr>
      </w:pPr>
      <w:r>
        <w:rPr>
          <w:rFonts w:ascii="Times New Roman" w:hAnsi="Times New Roman"/>
          <w:b/>
          <w:sz w:val="20"/>
        </w:rPr>
        <w:t xml:space="preserve">David P. Oelman </w:t>
      </w:r>
    </w:p>
    <w:p>
      <w:pPr>
        <w:pStyle w:val="TextBody"/>
        <w:spacing w:before="0" w:after="0"/>
        <w:jc w:val="center"/>
        <w:rPr>
          <w:rFonts w:ascii="Times New Roman" w:hAnsi="Times New Roman"/>
          <w:b/>
          <w:sz w:val="20"/>
        </w:rPr>
      </w:pPr>
      <w:r>
        <w:rPr>
          <w:rFonts w:ascii="Times New Roman" w:hAnsi="Times New Roman"/>
          <w:b/>
          <w:sz w:val="20"/>
        </w:rPr>
        <w:t xml:space="preserve">Alan Beck </w:t>
      </w:r>
    </w:p>
    <w:p>
      <w:pPr>
        <w:pStyle w:val="TextBody"/>
        <w:spacing w:before="0" w:after="0"/>
        <w:jc w:val="center"/>
        <w:rPr>
          <w:rFonts w:ascii="Times New Roman" w:hAnsi="Times New Roman"/>
          <w:b/>
          <w:sz w:val="20"/>
        </w:rPr>
      </w:pPr>
      <w:r>
        <w:rPr>
          <w:rFonts w:ascii="Times New Roman" w:hAnsi="Times New Roman"/>
          <w:b/>
          <w:sz w:val="20"/>
        </w:rPr>
        <w:t xml:space="preserve">Vinson &amp; Elkins L.L.P. </w:t>
      </w:r>
    </w:p>
    <w:p>
      <w:pPr>
        <w:pStyle w:val="TextBody"/>
        <w:spacing w:before="0" w:after="0"/>
        <w:jc w:val="center"/>
        <w:rPr>
          <w:rFonts w:ascii="Times New Roman" w:hAnsi="Times New Roman"/>
          <w:b/>
          <w:sz w:val="20"/>
        </w:rPr>
      </w:pPr>
      <w:r>
        <w:rPr>
          <w:rFonts w:ascii="Times New Roman" w:hAnsi="Times New Roman"/>
          <w:b/>
          <w:sz w:val="20"/>
        </w:rPr>
        <w:t xml:space="preserve">1001 Fannin Street, Suite 2500 </w:t>
      </w:r>
    </w:p>
    <w:p>
      <w:pPr>
        <w:pStyle w:val="TextBody"/>
        <w:spacing w:before="0" w:after="0"/>
        <w:jc w:val="center"/>
        <w:rPr>
          <w:rFonts w:ascii="Times New Roman" w:hAnsi="Times New Roman"/>
          <w:b/>
          <w:sz w:val="20"/>
        </w:rPr>
      </w:pPr>
      <w:r>
        <w:rPr>
          <w:rFonts w:ascii="Times New Roman" w:hAnsi="Times New Roman"/>
          <w:b/>
          <w:sz w:val="20"/>
        </w:rPr>
        <w:t xml:space="preserve">Houston, Texas 77002 </w:t>
      </w:r>
    </w:p>
    <w:p>
      <w:pPr>
        <w:pStyle w:val="TextBody"/>
        <w:spacing w:before="0" w:after="0"/>
        <w:jc w:val="center"/>
        <w:rPr>
          <w:rFonts w:ascii="Times New Roman" w:hAnsi="Times New Roman"/>
          <w:b/>
          <w:sz w:val="20"/>
        </w:rPr>
      </w:pPr>
      <w:r>
        <w:rPr>
          <w:rFonts w:ascii="Times New Roman" w:hAnsi="Times New Roman"/>
          <w:b/>
          <w:sz w:val="20"/>
        </w:rPr>
        <w:t xml:space="preserve">(713) 758-2222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b/>
          <w:sz w:val="20"/>
        </w:rPr>
        <w:t>Approximate date of commencement of proposed sale to the public</w:t>
      </w:r>
      <w:r>
        <w:rPr>
          <w:rFonts w:ascii="Times New Roman" w:hAnsi="Times New Roman"/>
          <w:sz w:val="20"/>
        </w:rPr>
        <w:t xml:space="preserve">: From time to time after the effective date of this Registration Statement. </w:t>
      </w:r>
    </w:p>
    <w:p>
      <w:pPr>
        <w:pStyle w:val="TextBody"/>
        <w:spacing w:before="90" w:after="0"/>
        <w:rPr>
          <w:rFonts w:ascii="Times New Roman" w:hAnsi="Times New Roman"/>
          <w:sz w:val="20"/>
        </w:rPr>
      </w:pPr>
      <w:r>
        <w:rPr>
          <w:rFonts w:ascii="Times New Roman" w:hAnsi="Times New Roman"/>
          <w:sz w:val="20"/>
        </w:rPr>
        <w:t xml:space="preserve">If the only securities being registered on this Form are being offered pursuant to dividend or interest reinvestment plans, please check the following box.    ☐ </w:t>
      </w:r>
    </w:p>
    <w:p>
      <w:pPr>
        <w:pStyle w:val="TextBody"/>
        <w:spacing w:before="90" w:after="0"/>
        <w:rPr>
          <w:rFonts w:ascii="Times New Roman" w:hAnsi="Times New Roman"/>
          <w:sz w:val="20"/>
        </w:rPr>
      </w:pPr>
      <w:r>
        <w:rPr>
          <w:rFonts w:ascii="Times New Roman" w:hAnsi="Times New Roman"/>
          <w:sz w:val="20"/>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spacing w:before="90" w:after="0"/>
        <w:rPr>
          <w:rFonts w:ascii="Times New Roman" w:hAnsi="Times New Roman"/>
          <w:sz w:val="20"/>
        </w:rPr>
      </w:pPr>
      <w:r>
        <w:rPr>
          <w:rFonts w:ascii="Times New Roman" w:hAnsi="Times New Roman"/>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spacing w:before="90" w:after="0"/>
        <w:rPr>
          <w:rFonts w:ascii="Times New Roman" w:hAnsi="Times New Roman"/>
          <w:sz w:val="20"/>
        </w:rPr>
      </w:pPr>
      <w:r>
        <w:rPr>
          <w:rFonts w:ascii="Times New Roman" w:hAnsi="Times New Roman"/>
          <w:sz w:val="20"/>
        </w:rPr>
        <w:t xml:space="preserve">If this Form is a registration statement pursuant to General Instruction I.D. or a post-effective amendment thereto that shall become effective upon filing with the SEC pursuant to Rule 462(e) under the Securities Act, check the following box.    ☐ </w:t>
      </w:r>
    </w:p>
    <w:p>
      <w:pPr>
        <w:pStyle w:val="TextBody"/>
        <w:spacing w:before="90" w:after="0"/>
        <w:rPr>
          <w:rFonts w:ascii="Times New Roman" w:hAnsi="Times New Roman"/>
          <w:sz w:val="20"/>
        </w:rPr>
      </w:pPr>
      <w:r>
        <w:rPr>
          <w:rFonts w:ascii="Times New Roman" w:hAnsi="Times New Roman"/>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spacing w:before="90" w:after="0"/>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115"/>
        <w:gridCol w:w="77"/>
        <w:gridCol w:w="262"/>
        <w:gridCol w:w="77"/>
        <w:gridCol w:w="1585"/>
        <w:gridCol w:w="1226"/>
        <w:gridCol w:w="1676"/>
        <w:gridCol w:w="60"/>
        <w:gridCol w:w="2587"/>
        <w:gridCol w:w="77"/>
        <w:gridCol w:w="60"/>
        <w:gridCol w:w="262"/>
        <w:gridCol w:w="141"/>
      </w:tblGrid>
      <w:tr>
        <w:trPr/>
        <w:tc>
          <w:tcPr>
            <w:tcW w:w="2115"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bottom"/>
          </w:tcPr>
          <w:p>
            <w:pPr>
              <w:pStyle w:val="TableContents"/>
              <w:spacing w:before="0" w:after="283"/>
              <w:rPr>
                <w:sz w:val="4"/>
                <w:szCs w:val="4"/>
              </w:rPr>
            </w:pPr>
            <w:r>
              <w:rPr>
                <w:sz w:val="4"/>
                <w:szCs w:val="4"/>
              </w:rPr>
            </w:r>
          </w:p>
        </w:tc>
        <w:tc>
          <w:tcPr>
            <w:tcW w:w="1585"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bottom"/>
          </w:tcPr>
          <w:p>
            <w:pPr>
              <w:pStyle w:val="TableContents"/>
              <w:spacing w:before="0" w:after="283"/>
              <w:rPr>
                <w:sz w:val="4"/>
                <w:szCs w:val="4"/>
              </w:rPr>
            </w:pPr>
            <w:r>
              <w:rPr>
                <w:sz w:val="4"/>
                <w:szCs w:val="4"/>
              </w:rPr>
            </w:r>
          </w:p>
        </w:tc>
        <w:tc>
          <w:tcPr>
            <w:tcW w:w="16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87"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r>
      <w:tr>
        <w:trPr/>
        <w:tc>
          <w:tcPr>
            <w:tcW w:w="21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Large accelerated filer</w:t>
            </w:r>
          </w:p>
        </w:tc>
        <w:tc>
          <w:tcPr>
            <w:tcW w:w="77"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w:t>
            </w:r>
          </w:p>
        </w:tc>
        <w:tc>
          <w:tcPr>
            <w:tcW w:w="77" w:type="dxa"/>
            <w:tcBorders/>
            <w:shd w:fill="auto" w:val="clear"/>
            <w:vAlign w:val="bottom"/>
          </w:tcPr>
          <w:p>
            <w:pPr>
              <w:pStyle w:val="TableContents"/>
              <w:spacing w:before="0" w:after="283"/>
              <w:rPr/>
            </w:pPr>
            <w:r>
              <w:rPr/>
              <w:t> </w:t>
            </w:r>
          </w:p>
        </w:tc>
        <w:tc>
          <w:tcPr>
            <w:tcW w:w="4487" w:type="dxa"/>
            <w:gridSpan w:val="3"/>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Accelerated filer</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w:t>
            </w:r>
          </w:p>
        </w:tc>
        <w:tc>
          <w:tcPr>
            <w:tcW w:w="141" w:type="dxa"/>
            <w:tcBorders/>
            <w:shd w:fill="auto" w:val="clear"/>
            <w:vAlign w:val="bottom"/>
          </w:tcPr>
          <w:p>
            <w:pPr>
              <w:pStyle w:val="TableContents"/>
              <w:spacing w:before="0" w:after="283"/>
              <w:rPr/>
            </w:pPr>
            <w:r>
              <w:rPr/>
              <w:t>  </w:t>
            </w:r>
          </w:p>
        </w:tc>
      </w:tr>
      <w:tr>
        <w:trPr/>
        <w:tc>
          <w:tcPr>
            <w:tcW w:w="21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Non-accelerated filer</w:t>
            </w:r>
          </w:p>
        </w:tc>
        <w:tc>
          <w:tcPr>
            <w:tcW w:w="77"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w:t>
            </w:r>
          </w:p>
        </w:tc>
        <w:tc>
          <w:tcPr>
            <w:tcW w:w="77" w:type="dxa"/>
            <w:tcBorders/>
            <w:shd w:fill="auto" w:val="clear"/>
            <w:vAlign w:val="bottom"/>
          </w:tcPr>
          <w:p>
            <w:pPr>
              <w:pStyle w:val="TableContents"/>
              <w:spacing w:before="0" w:after="283"/>
              <w:rPr/>
            </w:pPr>
            <w:r>
              <w:rPr/>
              <w:t> </w:t>
            </w:r>
          </w:p>
        </w:tc>
        <w:tc>
          <w:tcPr>
            <w:tcW w:w="448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(Do not check if a smaller reporting company)</w:t>
            </w:r>
          </w:p>
        </w:tc>
        <w:tc>
          <w:tcPr>
            <w:tcW w:w="60" w:type="dxa"/>
            <w:tcBorders/>
            <w:shd w:fill="auto" w:val="clear"/>
            <w:vAlign w:val="bottom"/>
          </w:tcPr>
          <w:p>
            <w:pPr>
              <w:pStyle w:val="TableContents"/>
              <w:spacing w:before="0" w:after="283"/>
              <w:rPr/>
            </w:pPr>
            <w:r>
              <w:rPr/>
              <w:t> </w:t>
            </w:r>
          </w:p>
        </w:tc>
        <w:tc>
          <w:tcPr>
            <w:tcW w:w="25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Smaller reporting company</w:t>
            </w:r>
          </w:p>
        </w:tc>
        <w:tc>
          <w:tcPr>
            <w:tcW w:w="7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w:t>
            </w:r>
          </w:p>
        </w:tc>
        <w:tc>
          <w:tcPr>
            <w:tcW w:w="141"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CALCULATION OF REGISTRATION FEE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327"/>
        <w:gridCol w:w="102"/>
        <w:gridCol w:w="2143"/>
        <w:gridCol w:w="102"/>
        <w:gridCol w:w="1531"/>
      </w:tblGrid>
      <w:tr>
        <w:trPr/>
        <w:tc>
          <w:tcPr>
            <w:tcW w:w="632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214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shd w:fill="auto" w:val="clear"/>
            <w:vAlign w:val="bottom"/>
          </w:tcPr>
          <w:p>
            <w:pPr>
              <w:pStyle w:val="TableContents"/>
              <w:pBdr>
                <w:top w:val="single" w:sz="2" w:space="1" w:color="000000"/>
              </w:pBdr>
              <w:spacing w:before="0" w:after="283"/>
              <w:rPr/>
            </w:pPr>
            <w:r>
              <w:rPr/>
              <w:t> </w:t>
            </w:r>
          </w:p>
        </w:tc>
      </w:tr>
      <w:tr>
        <w:trPr/>
        <w:tc>
          <w:tcPr>
            <w:tcW w:w="6327"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Title of Each Class of</w:t>
            </w:r>
          </w:p>
          <w:p>
            <w:pPr>
              <w:pStyle w:val="TableContents"/>
              <w:spacing w:before="0" w:after="15"/>
              <w:jc w:val="center"/>
              <w:rPr>
                <w:rFonts w:ascii="Times New Roman" w:hAnsi="Times New Roman"/>
                <w:b/>
                <w:sz w:val="14"/>
              </w:rPr>
            </w:pPr>
            <w:r>
              <w:rPr>
                <w:rFonts w:ascii="Times New Roman" w:hAnsi="Times New Roman"/>
                <w:b/>
                <w:sz w:val="14"/>
              </w:rPr>
              <w:t>Securities to be Registered</w:t>
            </w:r>
          </w:p>
        </w:tc>
        <w:tc>
          <w:tcPr>
            <w:tcW w:w="10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2143"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Proposed Maximum</w:t>
              <w:br/>
              <w:t>Aggregate Offering Price</w:t>
            </w:r>
          </w:p>
        </w:tc>
        <w:tc>
          <w:tcPr>
            <w:tcW w:w="10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31"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 of</w:t>
              <w:br/>
              <w:t>Registration Fee</w:t>
            </w:r>
          </w:p>
        </w:tc>
      </w:tr>
      <w:tr>
        <w:trPr/>
        <w:tc>
          <w:tcPr>
            <w:tcW w:w="6327" w:type="dxa"/>
            <w:tcBorders>
              <w:top w:val="single" w:sz="2" w:space="0" w:color="000000"/>
            </w:tcBorders>
            <w:shd w:fill="auto" w:val="clear"/>
            <w:tcMar>
              <w:top w:w="28" w:type="dxa"/>
            </w:tcMar>
          </w:tcPr>
          <w:p>
            <w:pPr>
              <w:pStyle w:val="TableContents"/>
              <w:spacing w:before="0" w:after="283"/>
              <w:rPr>
                <w:rFonts w:ascii="Times New Roman" w:hAnsi="Times New Roman"/>
                <w:sz w:val="20"/>
              </w:rPr>
            </w:pPr>
            <w:r>
              <w:rPr>
                <w:rFonts w:ascii="Times New Roman" w:hAnsi="Times New Roman"/>
                <w:sz w:val="20"/>
              </w:rPr>
              <w:t>Common units representing limited partner interests</w:t>
            </w:r>
          </w:p>
        </w:tc>
        <w:tc>
          <w:tcPr>
            <w:tcW w:w="10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2143" w:type="dxa"/>
            <w:tcBorders>
              <w:top w:val="single" w:sz="2" w:space="0" w:color="000000"/>
            </w:tcBorders>
            <w:shd w:fill="auto" w:val="clear"/>
            <w:tcMar>
              <w:top w:w="28" w:type="dxa"/>
            </w:tcMar>
            <w:vAlign w:val="bottom"/>
          </w:tcPr>
          <w:p>
            <w:pPr>
              <w:pStyle w:val="TableContents"/>
              <w:spacing w:before="0" w:after="283"/>
              <w:rPr/>
            </w:pPr>
            <w:r>
              <w:rPr/>
              <w:t> </w:t>
            </w:r>
          </w:p>
        </w:tc>
        <w:tc>
          <w:tcPr>
            <w:tcW w:w="10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31"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6327" w:type="dxa"/>
            <w:tcBorders>
              <w:top w:val="single" w:sz="2" w:space="0" w:color="000000"/>
            </w:tcBorders>
            <w:shd w:fill="auto" w:val="clear"/>
            <w:tcMar>
              <w:top w:w="28" w:type="dxa"/>
            </w:tcMar>
          </w:tcPr>
          <w:p>
            <w:pPr>
              <w:pStyle w:val="TableContents"/>
              <w:spacing w:before="0" w:after="283"/>
              <w:rPr>
                <w:rFonts w:ascii="Times New Roman" w:hAnsi="Times New Roman"/>
                <w:sz w:val="20"/>
              </w:rPr>
            </w:pPr>
            <w:r>
              <w:rPr>
                <w:rFonts w:ascii="Times New Roman" w:hAnsi="Times New Roman"/>
                <w:sz w:val="20"/>
              </w:rPr>
              <w:t>Debt securities(1)</w:t>
            </w:r>
          </w:p>
        </w:tc>
        <w:tc>
          <w:tcPr>
            <w:tcW w:w="10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2143" w:type="dxa"/>
            <w:tcBorders>
              <w:top w:val="single" w:sz="2" w:space="0" w:color="000000"/>
            </w:tcBorders>
            <w:shd w:fill="auto" w:val="clear"/>
            <w:tcMar>
              <w:top w:w="28" w:type="dxa"/>
            </w:tcMar>
            <w:vAlign w:val="bottom"/>
          </w:tcPr>
          <w:p>
            <w:pPr>
              <w:pStyle w:val="TableContents"/>
              <w:spacing w:before="0" w:after="283"/>
              <w:rPr/>
            </w:pPr>
            <w:r>
              <w:rPr/>
              <w:t> </w:t>
            </w:r>
          </w:p>
        </w:tc>
        <w:tc>
          <w:tcPr>
            <w:tcW w:w="10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31"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6327" w:type="dxa"/>
            <w:tcBorders>
              <w:top w:val="single" w:sz="2" w:space="0" w:color="000000"/>
            </w:tcBorders>
            <w:shd w:fill="auto" w:val="clear"/>
            <w:tcMar>
              <w:top w:w="28" w:type="dxa"/>
            </w:tcMar>
          </w:tcPr>
          <w:p>
            <w:pPr>
              <w:pStyle w:val="TableContents"/>
              <w:spacing w:before="0" w:after="283"/>
              <w:rPr>
                <w:rFonts w:ascii="Times New Roman" w:hAnsi="Times New Roman"/>
                <w:sz w:val="20"/>
              </w:rPr>
            </w:pPr>
            <w:r>
              <w:rPr>
                <w:rFonts w:ascii="Times New Roman" w:hAnsi="Times New Roman"/>
                <w:sz w:val="20"/>
              </w:rPr>
              <w:t>Total</w:t>
            </w:r>
          </w:p>
        </w:tc>
        <w:tc>
          <w:tcPr>
            <w:tcW w:w="10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2143"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$2,000,000,000(2)(3)(4)</w:t>
            </w:r>
          </w:p>
        </w:tc>
        <w:tc>
          <w:tcPr>
            <w:tcW w:w="10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31"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$91,680(5)(6)</w:t>
            </w:r>
          </w:p>
        </w:tc>
      </w:tr>
      <w:tr>
        <w:trPr/>
        <w:tc>
          <w:tcPr>
            <w:tcW w:w="10205" w:type="dxa"/>
            <w:gridSpan w:val="5"/>
            <w:tcBorders/>
            <w:shd w:fill="auto" w:val="clear"/>
            <w:vAlign w:val="bottom"/>
          </w:tcPr>
          <w:p>
            <w:pPr>
              <w:pStyle w:val="TableContents"/>
              <w:pBdr>
                <w:top w:val="single" w:sz="2" w:space="1" w:color="000000"/>
              </w:pBdr>
              <w:spacing w:before="0" w:after="283"/>
              <w:rPr/>
            </w:pPr>
            <w:r>
              <w:rPr/>
              <w:t> </w:t>
            </w:r>
          </w:p>
        </w:tc>
      </w:tr>
      <w:tr>
        <w:trPr/>
        <w:tc>
          <w:tcPr>
            <w:tcW w:w="10205" w:type="dxa"/>
            <w:gridSpan w:val="5"/>
            <w:tcBorders/>
            <w:shd w:fill="auto" w:val="clear"/>
            <w:vAlign w:val="bottom"/>
          </w:tcPr>
          <w:p>
            <w:pPr>
              <w:pStyle w:val="TableContents"/>
              <w:pBdr>
                <w:top w:val="single" w:sz="2" w:space="1" w:color="000000"/>
              </w:pBdr>
              <w:spacing w:before="0" w:after="283"/>
              <w:rPr/>
            </w:pPr>
            <w:r>
              <w:rPr/>
              <w:t>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any debt securities are issued at an original issue discount, then the offering price of those debt securities shall be in an amount that will result in an aggregate initial offering price not to exceed $2,000,000,000, less the dollar amount of any registered securities previously issued.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Estimated solely for the purpose of calculating the registration fee pursuant to Rule 457(o). In no event will the aggregate initial offering price of all securities offered from time to time pursuant to the prospectus included as a part of this Registration Statement exceed $2,000,000,000. To the extent applicable, the aggregate amount of common units registered is further limited to that which is permissible under Rule 415(a)(4) of the Securities Act. Any securities registered hereunder may be sold separately or as units with other securities registered hereunder.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 are being registered hereunder a presently indeterminate number of common units and an indeterminate principal amount of debt securities.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proposed maximum aggregate offering price for each class of securities to be registered is not specified pursuant to General Instruction, II.D. of Form S-3.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Calculated in accordance with Rule 457(o).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Registration Statement includes common units and debt securities with an aggregate offering price of $1,200,000,000 the issuance of which was previously registered pursuant to Registration Statement No. 333-162476 and which remain unsold. Pursuant to Rule 415(a)(6) of the Securities Act, the filing fee previously paid in connection with such unsold common units and debt securities will continue to be applied to such unsold common units and debt securities. Additionally, pursuant to Rule 457(p) of the Securities Act, the $6,707 filing fee previously paid for the 900,000 common units representing the over-allotment option granted in connection with the offering of common units pursuant to the prospectus supplement dated November 9, 2011 under Registration Statement No. 333-162475, which remain unsold, is offset against the currently due filing fee. As a result, a filing fee of $84,973 is being paid herewith in connection with the $800,000,000 of new common units and debt securities. </w:t>
            </w:r>
          </w:p>
        </w:tc>
      </w:tr>
    </w:tbl>
    <w:p>
      <w:pPr>
        <w:pStyle w:val="TextBody"/>
        <w:spacing w:before="90" w:after="0"/>
        <w:rPr>
          <w:rFonts w:ascii="Times New Roman" w:hAnsi="Times New Roman"/>
          <w:sz w:val="20"/>
        </w:rPr>
      </w:pPr>
      <w:r>
        <w:rPr>
          <w:rFonts w:ascii="Times New Roman" w:hAnsi="Times New Roman"/>
          <w:sz w:val="20"/>
        </w:rPr>
        <w:t xml:space="preserve">Pursuant to Rule 415(a)(6), the offering of the common units and debt securities covered by this Registration Statement that were previously covered by Registration Statement No. 333-162476 will be deemed terminated as of the date of effectiveness of this Registration Statement.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b/>
          <w:sz w:val="20"/>
        </w:rPr>
      </w:pPr>
      <w:r>
        <w:rPr>
          <w:rFonts w:ascii="Times New Roman" w:hAnsi="Times New Roman"/>
          <w:b/>
          <w:sz w:val="20"/>
        </w:rPr>
        <w:t xml:space="preserve">The Registrants hereby amend this Registration Statement on such date or dates as may be necessary to delay its effective date until the Registrants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Arial Narrow" w:hAnsi="Arial Narrow"/>
          <w:b/>
          <w:color w:val="DE1A1E"/>
          <w:sz w:val="20"/>
        </w:rPr>
      </w:pPr>
      <w:r>
        <w:rPr>
          <w:rFonts w:ascii="Arial Narrow" w:hAnsi="Arial Narrow"/>
          <w:b/>
          <w:color w:val="DE1A1E"/>
          <w:sz w:val="20"/>
        </w:rPr>
        <w:t xml:space="preserve">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spacing w:before="0" w:after="0"/>
        <w:rPr/>
      </w:pPr>
      <w:r>
        <w:rPr/>
        <w:t> </w:t>
      </w:r>
    </w:p>
    <w:p>
      <w:pPr>
        <w:pStyle w:val="TextBody"/>
        <w:spacing w:before="0" w:after="0"/>
        <w:jc w:val="center"/>
        <w:rPr>
          <w:rFonts w:ascii="Times New Roman" w:hAnsi="Times New Roman"/>
          <w:b/>
          <w:color w:val="DE1A1E"/>
          <w:sz w:val="20"/>
        </w:rPr>
      </w:pPr>
      <w:r>
        <w:rPr>
          <w:rFonts w:ascii="Times New Roman" w:hAnsi="Times New Roman"/>
          <w:b/>
          <w:color w:val="DE1A1E"/>
          <w:sz w:val="20"/>
        </w:rPr>
        <w:t xml:space="preserve">SUBJECT TO COMPLETION, DATED SEPTEMBER 27, 2012 </w:t>
      </w:r>
    </w:p>
    <w:p>
      <w:pPr>
        <w:pStyle w:val="TextBody"/>
        <w:spacing w:before="90" w:after="0"/>
        <w:rPr>
          <w:rFonts w:ascii="Times New Roman" w:hAnsi="Times New Roman"/>
          <w:b/>
          <w:sz w:val="20"/>
        </w:rPr>
      </w:pPr>
      <w:r>
        <w:rPr>
          <w:rFonts w:ascii="Times New Roman" w:hAnsi="Times New Roman"/>
          <w:b/>
          <w:sz w:val="20"/>
        </w:rPr>
        <w:t xml:space="preserve">PROSPECTUS </w:t>
      </w:r>
    </w:p>
    <w:p>
      <w:pPr>
        <w:pStyle w:val="TextBody"/>
        <w:spacing w:before="18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48"/>
        </w:rPr>
      </w:pPr>
      <w:r>
        <w:rPr>
          <w:rFonts w:ascii="Times New Roman" w:hAnsi="Times New Roman"/>
          <w:b/>
          <w:sz w:val="48"/>
        </w:rPr>
        <w:t xml:space="preserve">PAA FINANCE CORP. </w:t>
      </w:r>
    </w:p>
    <w:p>
      <w:pPr>
        <w:pStyle w:val="TextBody"/>
        <w:spacing w:before="180" w:after="0"/>
        <w:jc w:val="center"/>
        <w:rPr>
          <w:rFonts w:ascii="Times New Roman" w:hAnsi="Times New Roman"/>
          <w:b/>
          <w:sz w:val="36"/>
        </w:rPr>
      </w:pPr>
      <w:r>
        <w:rPr>
          <w:rFonts w:ascii="Times New Roman" w:hAnsi="Times New Roman"/>
          <w:b/>
          <w:sz w:val="36"/>
        </w:rPr>
        <w:t xml:space="preserve">Common Units </w:t>
      </w:r>
    </w:p>
    <w:p>
      <w:pPr>
        <w:pStyle w:val="TextBody"/>
        <w:spacing w:before="0" w:after="0"/>
        <w:jc w:val="center"/>
        <w:rPr>
          <w:rFonts w:ascii="Times New Roman" w:hAnsi="Times New Roman"/>
          <w:b/>
          <w:sz w:val="36"/>
        </w:rPr>
      </w:pPr>
      <w:r>
        <w:rPr>
          <w:rFonts w:ascii="Times New Roman" w:hAnsi="Times New Roman"/>
          <w:b/>
          <w:sz w:val="36"/>
        </w:rPr>
        <w:t xml:space="preserve">Debt Securities </w:t>
      </w:r>
    </w:p>
    <w:p>
      <w:pPr>
        <w:pStyle w:val="TextBody"/>
        <w:spacing w:before="180" w:after="0"/>
        <w:rPr>
          <w:rFonts w:ascii="Times New Roman" w:hAnsi="Times New Roman"/>
          <w:sz w:val="20"/>
        </w:rPr>
      </w:pPr>
      <w:r>
        <w:rPr>
          <w:rFonts w:ascii="Times New Roman" w:hAnsi="Times New Roman"/>
          <w:sz w:val="20"/>
        </w:rPr>
        <w:t xml:space="preserve">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 </w:t>
      </w:r>
    </w:p>
    <w:p>
      <w:pPr>
        <w:pStyle w:val="TextBody"/>
        <w:spacing w:before="180" w:after="0"/>
        <w:rPr>
          <w:rFonts w:ascii="Times New Roman" w:hAnsi="Times New Roman"/>
          <w:sz w:val="20"/>
        </w:rPr>
      </w:pPr>
      <w:r>
        <w:rPr>
          <w:rFonts w:ascii="Times New Roman" w:hAnsi="Times New Roman"/>
          <w:sz w:val="20"/>
        </w:rPr>
        <w:t xml:space="preserve">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 </w:t>
      </w:r>
    </w:p>
    <w:p>
      <w:pPr>
        <w:pStyle w:val="TextBody"/>
        <w:spacing w:before="180" w:after="0"/>
        <w:rPr/>
      </w:pPr>
      <w:r>
        <w:rPr>
          <w:rFonts w:ascii="Times New Roman" w:hAnsi="Times New Roman"/>
          <w:b/>
          <w:sz w:val="24"/>
        </w:rPr>
        <w:t>Investing in our common units and the debt securities involves risks. Limited partnerships are inherently different from corporations. You should carefully consider the risk factors described under </w:t>
      </w:r>
      <w:hyperlink w:anchor="toc415878_5">
        <w:r>
          <w:rPr>
            <w:rStyle w:val="InternetLink"/>
            <w:rFonts w:ascii="Times New Roman" w:hAnsi="Times New Roman"/>
            <w:b/>
            <w:sz w:val="24"/>
          </w:rPr>
          <w:t>Risk Factors</w:t>
        </w:r>
      </w:hyperlink>
      <w:r>
        <w:rPr>
          <w:rFonts w:ascii="Times New Roman" w:hAnsi="Times New Roman"/>
          <w:b/>
          <w:sz w:val="24"/>
        </w:rPr>
        <w:t xml:space="preserve"> beginning on page 2 of this prospectus before you make an investment in our securities. </w:t>
      </w:r>
    </w:p>
    <w:p>
      <w:pPr>
        <w:pStyle w:val="TextBody"/>
        <w:spacing w:before="180" w:after="0"/>
        <w:rPr>
          <w:rFonts w:ascii="Times New Roman" w:hAnsi="Times New Roman"/>
          <w:sz w:val="20"/>
        </w:rPr>
      </w:pPr>
      <w:r>
        <w:rPr>
          <w:rFonts w:ascii="Times New Roman" w:hAnsi="Times New Roman"/>
          <w:sz w:val="20"/>
        </w:rPr>
        <w:t xml:space="preserve">Our common units are traded on the New York Stock Exchange under the symbol PAA. We will provide information in the prospectus supplement for the trading market, if any, for any debt securities we may offer. </w:t>
      </w:r>
    </w:p>
    <w:p>
      <w:pPr>
        <w:pStyle w:val="TextBody"/>
        <w:spacing w:before="180" w:after="0"/>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these securities or determined if this prospectus is truthful or complete. Any representation to the contrary is a criminal offense. </w:t>
      </w:r>
    </w:p>
    <w:p>
      <w:pPr>
        <w:pStyle w:val="TextBody"/>
        <w:spacing w:before="180" w:after="0"/>
        <w:jc w:val="center"/>
        <w:rPr>
          <w:rFonts w:ascii="Times New Roman" w:hAnsi="Times New Roman"/>
          <w:b/>
          <w:sz w:val="20"/>
        </w:rPr>
      </w:pPr>
      <w:r>
        <w:rPr>
          <w:rFonts w:ascii="Times New Roman" w:hAnsi="Times New Roman"/>
          <w:b/>
          <w:sz w:val="20"/>
        </w:rPr>
        <w:t xml:space="preserve">The date of this prospectus is     , 2012.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32"/>
        <w:gridCol w:w="255"/>
        <w:gridCol w:w="60"/>
        <w:gridCol w:w="235"/>
        <w:gridCol w:w="123"/>
      </w:tblGrid>
      <w:tr>
        <w:trPr/>
        <w:tc>
          <w:tcPr>
            <w:tcW w:w="953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532" w:type="dxa"/>
            <w:tcBorders/>
            <w:shd w:fill="auto" w:val="clear"/>
          </w:tcPr>
          <w:p>
            <w:pPr>
              <w:pStyle w:val="TableContents"/>
              <w:spacing w:before="0" w:after="283"/>
              <w:rPr/>
            </w:pPr>
            <w:hyperlink w:anchor="toc415878_1">
              <w:r>
                <w:rPr>
                  <w:rStyle w:val="InternetLink"/>
                  <w:rFonts w:ascii="Times New Roman" w:hAnsi="Times New Roman"/>
                  <w:sz w:val="20"/>
                </w:rPr>
                <w:t>About This Prospectus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415878_2">
              <w:r>
                <w:rPr>
                  <w:rStyle w:val="InternetLink"/>
                  <w:rFonts w:ascii="Times New Roman" w:hAnsi="Times New Roman"/>
                  <w:sz w:val="20"/>
                </w:rPr>
                <w:t>Where You Can Find More Information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415878_3">
              <w:r>
                <w:rPr>
                  <w:rStyle w:val="InternetLink"/>
                  <w:rFonts w:ascii="Times New Roman" w:hAnsi="Times New Roman"/>
                  <w:sz w:val="20"/>
                </w:rPr>
                <w:t>Forward-Looking Statements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iv</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415878_4">
              <w:r>
                <w:rPr>
                  <w:rStyle w:val="InternetLink"/>
                  <w:rFonts w:ascii="Times New Roman" w:hAnsi="Times New Roman"/>
                  <w:sz w:val="20"/>
                </w:rPr>
                <w:t>Who We Are</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415878_5">
              <w:r>
                <w:rPr>
                  <w:rStyle w:val="InternetLink"/>
                  <w:rFonts w:ascii="Times New Roman" w:hAnsi="Times New Roman"/>
                  <w:sz w:val="20"/>
                </w:rPr>
                <w:t>Risk Factors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415878_6">
              <w:r>
                <w:rPr>
                  <w:rStyle w:val="InternetLink"/>
                  <w:rFonts w:ascii="Times New Roman" w:hAnsi="Times New Roman"/>
                  <w:sz w:val="20"/>
                </w:rPr>
                <w:t>Use of Proceeds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415878_7">
              <w:r>
                <w:rPr>
                  <w:rStyle w:val="InternetLink"/>
                  <w:rFonts w:ascii="Times New Roman" w:hAnsi="Times New Roman"/>
                  <w:sz w:val="20"/>
                </w:rPr>
                <w:t>Ratio of Earnings to Fixed Charges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415878_8">
              <w:r>
                <w:rPr>
                  <w:rStyle w:val="InternetLink"/>
                  <w:rFonts w:ascii="Times New Roman" w:hAnsi="Times New Roman"/>
                  <w:sz w:val="20"/>
                </w:rPr>
                <w:t>Description of Our Debt Securities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415878_9">
              <w:r>
                <w:rPr>
                  <w:rStyle w:val="InternetLink"/>
                  <w:rFonts w:ascii="Times New Roman" w:hAnsi="Times New Roman"/>
                  <w:sz w:val="20"/>
                </w:rPr>
                <w:t>Description of Our Common Units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415878_10">
              <w:r>
                <w:rPr>
                  <w:rStyle w:val="InternetLink"/>
                  <w:rFonts w:ascii="Times New Roman" w:hAnsi="Times New Roman"/>
                  <w:sz w:val="20"/>
                </w:rPr>
                <w:t>Cash Distribution Policy</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415878_11">
              <w:r>
                <w:rPr>
                  <w:rStyle w:val="InternetLink"/>
                  <w:rFonts w:ascii="Times New Roman" w:hAnsi="Times New Roman"/>
                  <w:sz w:val="20"/>
                </w:rPr>
                <w:t>Description of Our Partnership Agreement</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415878_12">
              <w:r>
                <w:rPr>
                  <w:rStyle w:val="InternetLink"/>
                  <w:rFonts w:ascii="Times New Roman" w:hAnsi="Times New Roman"/>
                  <w:sz w:val="20"/>
                </w:rPr>
                <w:t>Material U.S. Federal Income Tax Consequences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415878_13">
              <w:r>
                <w:rPr>
                  <w:rStyle w:val="InternetLink"/>
                  <w:rFonts w:ascii="Times New Roman" w:hAnsi="Times New Roman"/>
                  <w:sz w:val="20"/>
                </w:rPr>
                <w:t>Plan of Distribution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415878_14">
              <w:r>
                <w:rPr>
                  <w:rStyle w:val="InternetLink"/>
                  <w:rFonts w:ascii="Times New Roman" w:hAnsi="Times New Roman"/>
                  <w:sz w:val="20"/>
                </w:rPr>
                <w:t>Legal Matters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toc415878_15">
              <w:r>
                <w:rPr>
                  <w:rStyle w:val="InternetLink"/>
                  <w:rFonts w:ascii="Times New Roman" w:hAnsi="Times New Roman"/>
                  <w:sz w:val="20"/>
                </w:rPr>
                <w:t>Experts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b/>
          <w:sz w:val="20"/>
        </w:rPr>
      </w:pPr>
      <w:r>
        <w:rPr>
          <w:rFonts w:ascii="Times New Roman" w:hAnsi="Times New Roman"/>
          <w:b/>
          <w:sz w:val="20"/>
        </w:rPr>
        <w:t xml:space="preserve">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 </w:t>
      </w:r>
    </w:p>
    <w:p>
      <w:pPr>
        <w:pStyle w:val="TextBody"/>
        <w:spacing w:before="180" w:after="0"/>
        <w:rPr>
          <w:rFonts w:ascii="Times New Roman" w:hAnsi="Times New Roman"/>
          <w:b/>
          <w:sz w:val="20"/>
        </w:rPr>
      </w:pPr>
      <w:r>
        <w:rPr>
          <w:rFonts w:ascii="Times New Roman" w:hAnsi="Times New Roman"/>
          <w:b/>
          <w:sz w:val="20"/>
        </w:rPr>
        <w:t xml:space="preserve">This prospectus and any prospectus supplement are not an offer to sell, nor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 Our business, financial condition, results of operations and prospects may have changed since those dates. </w:t>
      </w:r>
    </w:p>
    <w:p>
      <w:pPr>
        <w:pStyle w:val="TextBody"/>
        <w:spacing w:before="360" w:after="0"/>
        <w:jc w:val="center"/>
        <w:rPr>
          <w:rFonts w:ascii="Times New Roman" w:hAnsi="Times New Roman"/>
          <w:b/>
          <w:sz w:val="20"/>
        </w:rPr>
      </w:pPr>
      <w:bookmarkStart w:id="3" w:name="toc415878_1"/>
      <w:bookmarkEnd w:id="3"/>
      <w:r>
        <w:rPr>
          <w:rFonts w:ascii="Times New Roman" w:hAnsi="Times New Roman"/>
          <w:b/>
          <w:sz w:val="20"/>
        </w:rPr>
        <w:t xml:space="preserve">About This Prospectus </w:t>
      </w:r>
    </w:p>
    <w:p>
      <w:pPr>
        <w:pStyle w:val="TextBody"/>
        <w:spacing w:before="180" w:after="0"/>
        <w:rPr>
          <w:rFonts w:ascii="Times New Roman" w:hAnsi="Times New Roman"/>
          <w:sz w:val="20"/>
        </w:rPr>
      </w:pPr>
      <w:r>
        <w:rPr>
          <w:rFonts w:ascii="Times New Roman" w:hAnsi="Times New Roman"/>
          <w:sz w:val="20"/>
        </w:rPr>
        <w:t xml:space="preserve">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 </w:t>
      </w:r>
    </w:p>
    <w:p>
      <w:pPr>
        <w:pStyle w:val="TextBody"/>
        <w:spacing w:before="360" w:after="0"/>
        <w:jc w:val="center"/>
        <w:rPr>
          <w:rFonts w:ascii="Times New Roman" w:hAnsi="Times New Roman"/>
          <w:b/>
          <w:sz w:val="20"/>
        </w:rPr>
      </w:pPr>
      <w:bookmarkStart w:id="4" w:name="toc415878_2"/>
      <w:bookmarkEnd w:id="4"/>
      <w:r>
        <w:rPr>
          <w:rFonts w:ascii="Times New Roman" w:hAnsi="Times New Roman"/>
          <w:b/>
          <w:sz w:val="20"/>
        </w:rPr>
        <w:t xml:space="preserve">Where You Can Find More Information </w:t>
      </w:r>
    </w:p>
    <w:p>
      <w:pPr>
        <w:pStyle w:val="TextBody"/>
        <w:spacing w:before="180" w:after="0"/>
        <w:rPr>
          <w:rFonts w:ascii="Times New Roman" w:hAnsi="Times New Roman"/>
          <w:sz w:val="20"/>
        </w:rPr>
      </w:pPr>
      <w:r>
        <w:rPr>
          <w:rFonts w:ascii="Times New Roman" w:hAnsi="Times New Roman"/>
          <w:sz w:val="20"/>
        </w:rPr>
        <w:t xml:space="preserve">We have filed a registration statement with the SEC under the Securities Act of 1933, as amended (the Securities Act), that registers the securities offered by this prospectus. The registration statement, including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attached exhibits, contains additional relevant information about us. The rules and regulations of the SEC allow us to omit some information included in the registration statement from this prospectus. </w:t>
      </w:r>
    </w:p>
    <w:p>
      <w:pPr>
        <w:pStyle w:val="TextBody"/>
        <w:spacing w:before="180" w:after="0"/>
        <w:rPr>
          <w:rFonts w:ascii="Times New Roman" w:hAnsi="Times New Roman"/>
          <w:sz w:val="20"/>
        </w:rPr>
      </w:pPr>
      <w:r>
        <w:rPr>
          <w:rFonts w:ascii="Times New Roman" w:hAnsi="Times New Roman"/>
          <w:sz w:val="20"/>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w:t>
      </w:r>
      <w:r>
        <w:rPr>
          <w:rFonts w:ascii="Times New Roman" w:hAnsi="Times New Roman"/>
          <w:i/>
          <w:sz w:val="20"/>
        </w:rPr>
        <w:t>www.sec.gov</w:t>
      </w:r>
      <w:r>
        <w:rPr>
          <w:rFonts w:ascii="Times New Roman" w:hAnsi="Times New Roman"/>
          <w:sz w:val="20"/>
        </w:rPr>
        <w:t xml:space="preserve">. We also make available free of charge on our website, at </w:t>
      </w:r>
      <w:r>
        <w:rPr>
          <w:rFonts w:ascii="Times New Roman" w:hAnsi="Times New Roman"/>
          <w:i/>
          <w:sz w:val="20"/>
        </w:rPr>
        <w:t>www.paalp.com</w:t>
      </w:r>
      <w:r>
        <w:rPr>
          <w:rFonts w:ascii="Times New Roman" w:hAnsi="Times New Roman"/>
          <w:sz w:val="20"/>
        </w:rPr>
        <w:t xml:space="preserve">,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w:t>
      </w:r>
    </w:p>
    <w:p>
      <w:pPr>
        <w:pStyle w:val="TextBody"/>
        <w:spacing w:before="180" w:after="0"/>
        <w:rPr>
          <w:rFonts w:ascii="Times New Roman" w:hAnsi="Times New Roman"/>
          <w:sz w:val="20"/>
        </w:rPr>
      </w:pPr>
      <w:r>
        <w:rPr>
          <w:rFonts w:ascii="Times New Roman" w:hAnsi="Times New Roman"/>
          <w:sz w:val="20"/>
        </w:rPr>
        <w:t xml:space="preserve">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as amended (the Exchange Act),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fiscal year ended December 31, 2011;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Reports on Form 10-Q for the quarterly periods ended March 31, 2012 and June 30,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8, 2012 (documentation related to equity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19, 2012 (document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26, 2012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5, 2012 (completion of acquisition of BP Canada Energy Company; amendment of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17, 2012 (announcement to withdraw offer to acquire SemGroup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9, 2012 (documentation related to equity distribution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23, 2012 (amendment and restatement of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8-K/A filed with the SEC on May 29, 2012 (financial statements and unaudited pro forma financial information related to the acquisition of BP Canada Energy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0"/>
        <w:gridCol w:w="9392"/>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July 3, 2012 (amendments to the senior secured hedged inventory facility and senior unsecured revolving credit facility);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13, 2012 (documentation related to equity distribution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27, 2012 (unaudited pro forma financial information related to the acquisition of BP Canada Energy Company);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description of our common units contained in our Form 8-A/A dated November 3, 1998 and any subsequent amendment thereto filed for the purpose of updating such description. </w:t>
            </w:r>
          </w:p>
        </w:tc>
      </w:tr>
    </w:tbl>
    <w:p>
      <w:pPr>
        <w:pStyle w:val="TextBody"/>
        <w:spacing w:before="180" w:after="0"/>
        <w:rPr>
          <w:rFonts w:ascii="Times New Roman" w:hAnsi="Times New Roman"/>
          <w:sz w:val="20"/>
        </w:rPr>
      </w:pPr>
      <w:r>
        <w:rPr>
          <w:rFonts w:ascii="Times New Roman" w:hAnsi="Times New Roman"/>
          <w:sz w:val="20"/>
        </w:rPr>
        <w:t xml:space="preserve">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 </w:t>
      </w:r>
    </w:p>
    <w:p>
      <w:pPr>
        <w:pStyle w:val="TextBody"/>
        <w:spacing w:before="18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333 Clay Street, Suite 1600 </w:t>
      </w:r>
    </w:p>
    <w:p>
      <w:pPr>
        <w:pStyle w:val="TextBody"/>
        <w:spacing w:before="0" w:after="0"/>
        <w:jc w:val="center"/>
        <w:rPr>
          <w:rFonts w:ascii="Times New Roman" w:hAnsi="Times New Roman"/>
          <w:sz w:val="20"/>
        </w:rPr>
      </w:pPr>
      <w:r>
        <w:rPr>
          <w:rFonts w:ascii="Times New Roman" w:hAnsi="Times New Roman"/>
          <w:sz w:val="20"/>
        </w:rPr>
        <w:t xml:space="preserve">Houston, Texas 77002 </w:t>
      </w:r>
    </w:p>
    <w:p>
      <w:pPr>
        <w:pStyle w:val="TextBody"/>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spacing w:before="0" w:after="0"/>
        <w:jc w:val="center"/>
        <w:rPr>
          <w:rFonts w:ascii="Times New Roman" w:hAnsi="Times New Roman"/>
          <w:sz w:val="20"/>
        </w:rPr>
      </w:pPr>
      <w:r>
        <w:rPr>
          <w:rFonts w:ascii="Times New Roman" w:hAnsi="Times New Roman"/>
          <w:sz w:val="20"/>
        </w:rPr>
        <w:t xml:space="preserve">Telephone: (713) 646-4100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toc415878_3"/>
      <w:bookmarkEnd w:id="5"/>
      <w:r>
        <w:rPr>
          <w:rFonts w:ascii="Times New Roman" w:hAnsi="Times New Roman"/>
          <w:b/>
          <w:sz w:val="20"/>
        </w:rPr>
        <w:t xml:space="preserve">Forward-Looking Statements </w:t>
      </w:r>
    </w:p>
    <w:p>
      <w:pPr>
        <w:pStyle w:val="TextBody"/>
        <w:spacing w:before="180" w:after="0"/>
        <w:rPr>
          <w:rFonts w:ascii="Times New Roman" w:hAnsi="Times New Roman"/>
          <w:sz w:val="20"/>
        </w:rPr>
      </w:pPr>
      <w:r>
        <w:rPr>
          <w:rFonts w:ascii="Times New Roman" w:hAnsi="Times New Roman"/>
          <w:sz w:val="20"/>
        </w:rPr>
        <w:t xml:space="preserve">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or delays in implementing or capitalizing, on planned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grade differentials and volatility (or lack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effectiveness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abrupt or severe declines or interruptions in outer continental shelf production located offshore California and transported on our pipeline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on third-party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natural gas storage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factors affecting demand for natural gas and natural gas storage services and rates;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volatile financial markets, capital constraints and pervasive liquidity concerns;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tc>
      </w:tr>
    </w:tbl>
    <w:p>
      <w:pPr>
        <w:pStyle w:val="TextBody"/>
        <w:spacing w:before="180" w:after="0"/>
        <w:rPr>
          <w:rFonts w:ascii="Times New Roman" w:hAnsi="Times New Roman"/>
          <w:sz w:val="20"/>
        </w:rPr>
      </w:pPr>
      <w:r>
        <w:rPr>
          <w:rFonts w:ascii="Times New Roman" w:hAnsi="Times New Roman"/>
          <w:sz w:val="20"/>
        </w:rPr>
        <w:t xml:space="preserve">Other factors described herein or incorporated by reference, as well as factors that are unknown or unpredictable, could also have a material adverse effect on future results. Please read Risk Factors beginning on page 2 of this prospectus and in Item 1A. Risk Factors in our Annual Report on Form 10-K for the fiscal year ended December 31, 2011 (File No. 001-14569). Except as required by applicable securities laws, we do not intend to update these forward-looking statements and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toc415878_4"/>
      <w:bookmarkEnd w:id="6"/>
      <w:r>
        <w:rPr>
          <w:rFonts w:ascii="Times New Roman" w:hAnsi="Times New Roman"/>
          <w:b/>
          <w:sz w:val="20"/>
        </w:rPr>
        <w:t xml:space="preserve">Who We Are </w:t>
      </w:r>
    </w:p>
    <w:p>
      <w:pPr>
        <w:pStyle w:val="TextBody"/>
        <w:spacing w:before="180" w:after="0"/>
        <w:rPr>
          <w:rFonts w:ascii="Times New Roman" w:hAnsi="Times New Roman"/>
          <w:sz w:val="20"/>
        </w:rPr>
      </w:pPr>
      <w:r>
        <w:rPr>
          <w:rFonts w:ascii="Times New Roman" w:hAnsi="Times New Roman"/>
          <w:sz w:val="20"/>
        </w:rPr>
        <w:t xml:space="preserve">We are a Delaware limited partnership formed in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Through our general partner interest and majority equity ownership position in PAA Natural Gas Storage, L.P., we also own and operate natural gas storage facilities. </w:t>
      </w:r>
    </w:p>
    <w:p>
      <w:pPr>
        <w:pStyle w:val="TextBody"/>
        <w:spacing w:before="180" w:after="0"/>
        <w:rPr>
          <w:rFonts w:ascii="Times New Roman" w:hAnsi="Times New Roman"/>
          <w:sz w:val="20"/>
        </w:rPr>
      </w:pPr>
      <w:r>
        <w:rPr>
          <w:rFonts w:ascii="Times New Roman" w:hAnsi="Times New Roman"/>
          <w:sz w:val="20"/>
        </w:rPr>
        <w:t xml:space="preserve">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 </w:t>
      </w:r>
    </w:p>
    <w:p>
      <w:pPr>
        <w:pStyle w:val="TextBody"/>
        <w:spacing w:before="180" w:after="0"/>
        <w:rPr>
          <w:rFonts w:ascii="Times New Roman" w:hAnsi="Times New Roman"/>
          <w:sz w:val="20"/>
        </w:rPr>
      </w:pPr>
      <w:r>
        <w:rPr>
          <w:rFonts w:ascii="Times New Roman" w:hAnsi="Times New Roman"/>
          <w:sz w:val="20"/>
        </w:rPr>
        <w:t xml:space="preserve">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 </w:t>
      </w:r>
    </w:p>
    <w:p>
      <w:pPr>
        <w:pStyle w:val="TextBody"/>
        <w:spacing w:before="270" w:after="0"/>
        <w:rPr>
          <w:rFonts w:ascii="Times New Roman" w:hAnsi="Times New Roman"/>
          <w:b/>
          <w:sz w:val="20"/>
        </w:rPr>
      </w:pPr>
      <w:r>
        <w:rPr>
          <w:rFonts w:ascii="Times New Roman" w:hAnsi="Times New Roman"/>
          <w:b/>
          <w:sz w:val="20"/>
        </w:rPr>
        <w:t xml:space="preserve">Recent Developments </w:t>
      </w:r>
    </w:p>
    <w:p>
      <w:pPr>
        <w:pStyle w:val="TextBody"/>
        <w:spacing w:before="90" w:after="0"/>
        <w:rPr>
          <w:rFonts w:ascii="Times New Roman" w:hAnsi="Times New Roman"/>
          <w:b/>
          <w:i/>
          <w:sz w:val="20"/>
        </w:rPr>
      </w:pPr>
      <w:r>
        <w:rPr>
          <w:rFonts w:ascii="Times New Roman" w:hAnsi="Times New Roman"/>
          <w:b/>
          <w:i/>
          <w:sz w:val="20"/>
        </w:rPr>
        <w:t xml:space="preserve">Two-for-One Unit Split </w:t>
      </w:r>
    </w:p>
    <w:p>
      <w:pPr>
        <w:pStyle w:val="TextBody"/>
        <w:spacing w:before="90" w:after="0"/>
        <w:rPr>
          <w:rFonts w:ascii="Times New Roman" w:hAnsi="Times New Roman"/>
          <w:sz w:val="20"/>
        </w:rPr>
      </w:pPr>
      <w:r>
        <w:rPr>
          <w:rFonts w:ascii="Times New Roman" w:hAnsi="Times New Roman"/>
          <w:sz w:val="20"/>
        </w:rPr>
        <w:t xml:space="preserve">On August 16, 2012, we announced a two-for-one split of our common units. The two-for-one split will be effected on October 1, 2012, by a distribution of one additional common unit for each common unit outstanding and held by unitholders of record at the close of business on September 17, 2012. The effect of the two-for-one split was to double the number of all outstanding units and to reduce by half the minimum quarterly per unit distribution and the targeted distribution levels. The effect of this unit split has been retroactively applied to our relevant per unit information as shown in the tables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005"/>
        <w:gridCol w:w="198"/>
        <w:gridCol w:w="125"/>
        <w:gridCol w:w="590"/>
        <w:gridCol w:w="120"/>
        <w:gridCol w:w="198"/>
        <w:gridCol w:w="125"/>
        <w:gridCol w:w="590"/>
        <w:gridCol w:w="119"/>
        <w:gridCol w:w="198"/>
        <w:gridCol w:w="125"/>
        <w:gridCol w:w="590"/>
        <w:gridCol w:w="120"/>
        <w:gridCol w:w="198"/>
        <w:gridCol w:w="125"/>
        <w:gridCol w:w="590"/>
        <w:gridCol w:w="120"/>
        <w:gridCol w:w="198"/>
        <w:gridCol w:w="124"/>
        <w:gridCol w:w="590"/>
        <w:gridCol w:w="120"/>
        <w:gridCol w:w="198"/>
        <w:gridCol w:w="125"/>
        <w:gridCol w:w="590"/>
        <w:gridCol w:w="124"/>
      </w:tblGrid>
      <w:tr>
        <w:trPr/>
        <w:tc>
          <w:tcPr>
            <w:tcW w:w="4005"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400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74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br/>
              <w:t>March 31,</w:t>
            </w:r>
          </w:p>
        </w:tc>
        <w:tc>
          <w:tcPr>
            <w:tcW w:w="1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74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br/>
              <w:t>June 30,</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74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w:t>
              <w:br/>
              <w:t>June 30,</w:t>
            </w:r>
          </w:p>
        </w:tc>
        <w:tc>
          <w:tcPr>
            <w:tcW w:w="124" w:type="dxa"/>
            <w:tcBorders/>
            <w:shd w:fill="auto" w:val="clear"/>
            <w:vAlign w:val="bottom"/>
          </w:tcPr>
          <w:p>
            <w:pPr>
              <w:pStyle w:val="TableContents"/>
              <w:spacing w:before="0" w:after="283"/>
              <w:rPr/>
            </w:pPr>
            <w:r>
              <w:rPr/>
              <w:t> </w:t>
            </w:r>
          </w:p>
        </w:tc>
      </w:tr>
      <w:tr>
        <w:trPr/>
        <w:tc>
          <w:tcPr>
            <w:tcW w:w="4005"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1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4" w:type="dxa"/>
            <w:tcBorders/>
            <w:shd w:fill="auto" w:val="clear"/>
            <w:vAlign w:val="bottom"/>
          </w:tcPr>
          <w:p>
            <w:pPr>
              <w:pStyle w:val="TableContents"/>
              <w:spacing w:before="0" w:after="283"/>
              <w:rPr/>
            </w:pPr>
            <w:r>
              <w:rPr/>
              <w:t> </w:t>
            </w:r>
          </w:p>
        </w:tc>
      </w:tr>
      <w:tr>
        <w:trPr/>
        <w:tc>
          <w:tcPr>
            <w:tcW w:w="4005" w:type="dxa"/>
            <w:tcBorders/>
            <w:shd w:fill="CCEEFF" w:val="clear"/>
          </w:tcPr>
          <w:p>
            <w:pPr>
              <w:pStyle w:val="TableContents"/>
              <w:spacing w:before="0" w:after="283"/>
              <w:rPr>
                <w:rFonts w:ascii="Times New Roman" w:hAnsi="Times New Roman"/>
                <w:b/>
                <w:sz w:val="20"/>
              </w:rPr>
            </w:pPr>
            <w:r>
              <w:rPr>
                <w:rFonts w:ascii="Times New Roman" w:hAnsi="Times New Roman"/>
                <w:b/>
                <w:sz w:val="20"/>
              </w:rPr>
              <w:t>Per unit data (giving effect to unit split):</w:t>
            </w:r>
          </w:p>
        </w:tc>
        <w:tc>
          <w:tcPr>
            <w:tcW w:w="1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1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r>
      <w:tr>
        <w:trPr/>
        <w:tc>
          <w:tcPr>
            <w:tcW w:w="4005" w:type="dxa"/>
            <w:tcBorders/>
            <w:shd w:fill="auto" w:val="clear"/>
          </w:tcPr>
          <w:p>
            <w:pPr>
              <w:pStyle w:val="TableContents"/>
              <w:spacing w:before="0" w:after="283"/>
              <w:rPr>
                <w:rFonts w:ascii="Times New Roman" w:hAnsi="Times New Roman"/>
                <w:sz w:val="20"/>
              </w:rPr>
            </w:pPr>
            <w:r>
              <w:rPr>
                <w:rFonts w:ascii="Times New Roman" w:hAnsi="Times New Roman"/>
                <w:sz w:val="20"/>
              </w:rPr>
              <w:t>Basic net income per limited partner unit</w:t>
            </w:r>
          </w:p>
        </w:tc>
        <w:tc>
          <w:tcPr>
            <w:tcW w:w="1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0.52</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0.45</w:t>
            </w:r>
          </w:p>
        </w:tc>
        <w:tc>
          <w:tcPr>
            <w:tcW w:w="1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0.93</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0.57</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w:t>
            </w:r>
          </w:p>
        </w:tc>
        <w:tc>
          <w:tcPr>
            <w:tcW w:w="124" w:type="dxa"/>
            <w:tcBorders/>
            <w:shd w:fill="auto" w:val="clear"/>
            <w:vAlign w:val="bottom"/>
          </w:tcPr>
          <w:p>
            <w:pPr>
              <w:pStyle w:val="TableContents"/>
              <w:spacing w:before="0" w:after="283"/>
              <w:rPr/>
            </w:pPr>
            <w:r>
              <w:rPr/>
              <w:t>  </w:t>
            </w:r>
          </w:p>
        </w:tc>
      </w:tr>
      <w:tr>
        <w:trPr/>
        <w:tc>
          <w:tcPr>
            <w:tcW w:w="4005"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net income per limited partner unit</w:t>
            </w:r>
          </w:p>
        </w:tc>
        <w:tc>
          <w:tcPr>
            <w:tcW w:w="1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0.51</w:t>
            </w:r>
          </w:p>
        </w:tc>
        <w:tc>
          <w:tcPr>
            <w:tcW w:w="12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0.45</w:t>
            </w:r>
          </w:p>
        </w:tc>
        <w:tc>
          <w:tcPr>
            <w:tcW w:w="119"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0.93</w:t>
            </w:r>
          </w:p>
        </w:tc>
        <w:tc>
          <w:tcPr>
            <w:tcW w:w="12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0.57</w:t>
            </w:r>
          </w:p>
        </w:tc>
        <w:tc>
          <w:tcPr>
            <w:tcW w:w="12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w:t>
            </w:r>
          </w:p>
        </w:tc>
        <w:tc>
          <w:tcPr>
            <w:tcW w:w="120"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w:t>
            </w:r>
          </w:p>
        </w:tc>
        <w:tc>
          <w:tcPr>
            <w:tcW w:w="124" w:type="dxa"/>
            <w:tcBorders/>
            <w:shd w:fill="CCEEFF" w:val="clear"/>
            <w:vAlign w:val="bottom"/>
          </w:tcPr>
          <w:p>
            <w:pPr>
              <w:pStyle w:val="TableContents"/>
              <w:spacing w:before="0" w:after="283"/>
              <w:rPr/>
            </w:pPr>
            <w:r>
              <w:rPr/>
              <w:t>  </w:t>
            </w:r>
          </w:p>
        </w:tc>
      </w:tr>
      <w:tr>
        <w:trPr/>
        <w:tc>
          <w:tcPr>
            <w:tcW w:w="4005" w:type="dxa"/>
            <w:tcBorders/>
            <w:shd w:fill="auto" w:val="clear"/>
          </w:tcPr>
          <w:p>
            <w:pPr>
              <w:pStyle w:val="TableContents"/>
              <w:spacing w:before="0" w:after="283"/>
              <w:rPr>
                <w:rFonts w:ascii="Times New Roman" w:hAnsi="Times New Roman"/>
                <w:sz w:val="20"/>
              </w:rPr>
            </w:pPr>
            <w:r>
              <w:rPr>
                <w:rFonts w:ascii="Times New Roman" w:hAnsi="Times New Roman"/>
                <w:sz w:val="20"/>
              </w:rPr>
              <w:t>Declared distributions per limited partner unit(1)</w:t>
            </w:r>
          </w:p>
        </w:tc>
        <w:tc>
          <w:tcPr>
            <w:tcW w:w="1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0.5125</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0.4788</w:t>
            </w:r>
          </w:p>
        </w:tc>
        <w:tc>
          <w:tcPr>
            <w:tcW w:w="11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0.5225</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0.4850</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1.0350</w:t>
            </w:r>
          </w:p>
        </w:tc>
        <w:tc>
          <w:tcPr>
            <w:tcW w:w="120"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0.9638</w:t>
            </w:r>
          </w:p>
        </w:tc>
        <w:tc>
          <w:tcPr>
            <w:tcW w:w="124"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624"/>
        <w:gridCol w:w="276"/>
        <w:gridCol w:w="125"/>
        <w:gridCol w:w="594"/>
        <w:gridCol w:w="120"/>
        <w:gridCol w:w="276"/>
        <w:gridCol w:w="125"/>
        <w:gridCol w:w="594"/>
        <w:gridCol w:w="120"/>
        <w:gridCol w:w="276"/>
        <w:gridCol w:w="125"/>
        <w:gridCol w:w="593"/>
        <w:gridCol w:w="120"/>
        <w:gridCol w:w="276"/>
        <w:gridCol w:w="125"/>
        <w:gridCol w:w="594"/>
        <w:gridCol w:w="120"/>
        <w:gridCol w:w="276"/>
        <w:gridCol w:w="125"/>
        <w:gridCol w:w="594"/>
        <w:gridCol w:w="127"/>
      </w:tblGrid>
      <w:tr>
        <w:trPr/>
        <w:tc>
          <w:tcPr>
            <w:tcW w:w="462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462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5178"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 December 31,</w:t>
            </w:r>
          </w:p>
        </w:tc>
        <w:tc>
          <w:tcPr>
            <w:tcW w:w="127" w:type="dxa"/>
            <w:tcBorders/>
            <w:shd w:fill="auto" w:val="clear"/>
            <w:vAlign w:val="bottom"/>
          </w:tcPr>
          <w:p>
            <w:pPr>
              <w:pStyle w:val="TableContents"/>
              <w:spacing w:before="0" w:after="283"/>
              <w:rPr/>
            </w:pPr>
            <w:r>
              <w:rPr/>
              <w:t> </w:t>
            </w:r>
          </w:p>
        </w:tc>
      </w:tr>
      <w:tr>
        <w:trPr/>
        <w:tc>
          <w:tcPr>
            <w:tcW w:w="4624"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127" w:type="dxa"/>
            <w:tcBorders/>
            <w:shd w:fill="auto" w:val="clear"/>
            <w:vAlign w:val="bottom"/>
          </w:tcPr>
          <w:p>
            <w:pPr>
              <w:pStyle w:val="TableContents"/>
              <w:spacing w:before="0" w:after="283"/>
              <w:rPr/>
            </w:pPr>
            <w:r>
              <w:rPr/>
              <w:t> </w:t>
            </w:r>
          </w:p>
        </w:tc>
      </w:tr>
      <w:tr>
        <w:trPr/>
        <w:tc>
          <w:tcPr>
            <w:tcW w:w="4624" w:type="dxa"/>
            <w:tcBorders/>
            <w:shd w:fill="CCEEFF" w:val="clear"/>
          </w:tcPr>
          <w:p>
            <w:pPr>
              <w:pStyle w:val="TableContents"/>
              <w:spacing w:before="0" w:after="283"/>
              <w:rPr>
                <w:rFonts w:ascii="Times New Roman" w:hAnsi="Times New Roman"/>
                <w:b/>
                <w:sz w:val="20"/>
              </w:rPr>
            </w:pPr>
            <w:r>
              <w:rPr>
                <w:rFonts w:ascii="Times New Roman" w:hAnsi="Times New Roman"/>
                <w:b/>
                <w:sz w:val="20"/>
              </w:rPr>
              <w:t>Per unit data (giving effect to unit split):</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4"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r>
      <w:tr>
        <w:trPr/>
        <w:tc>
          <w:tcPr>
            <w:tcW w:w="4624" w:type="dxa"/>
            <w:tcBorders/>
            <w:shd w:fill="auto" w:val="clear"/>
          </w:tcPr>
          <w:p>
            <w:pPr>
              <w:pStyle w:val="TableContents"/>
              <w:spacing w:before="0" w:after="283"/>
              <w:rPr>
                <w:rFonts w:ascii="Times New Roman" w:hAnsi="Times New Roman"/>
                <w:sz w:val="20"/>
              </w:rPr>
            </w:pPr>
            <w:r>
              <w:rPr>
                <w:rFonts w:ascii="Times New Roman" w:hAnsi="Times New Roman"/>
                <w:sz w:val="20"/>
              </w:rPr>
              <w:t>Basic net income per limited partner unit</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2.46</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127" w:type="dxa"/>
            <w:tcBorders/>
            <w:shd w:fill="auto" w:val="clear"/>
            <w:vAlign w:val="bottom"/>
          </w:tcPr>
          <w:p>
            <w:pPr>
              <w:pStyle w:val="TableContents"/>
              <w:spacing w:before="0" w:after="283"/>
              <w:rPr/>
            </w:pPr>
            <w:r>
              <w:rPr/>
              <w:t>  </w:t>
            </w:r>
          </w:p>
        </w:tc>
      </w:tr>
      <w:tr>
        <w:trPr/>
        <w:tc>
          <w:tcPr>
            <w:tcW w:w="4624"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net income per limited partner unit</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w:t>
            </w:r>
          </w:p>
        </w:tc>
        <w:tc>
          <w:tcPr>
            <w:tcW w:w="12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2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w:t>
            </w:r>
          </w:p>
        </w:tc>
        <w:tc>
          <w:tcPr>
            <w:tcW w:w="12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12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127" w:type="dxa"/>
            <w:tcBorders/>
            <w:shd w:fill="CCEEFF" w:val="clear"/>
            <w:vAlign w:val="bottom"/>
          </w:tcPr>
          <w:p>
            <w:pPr>
              <w:pStyle w:val="TableContents"/>
              <w:spacing w:before="0" w:after="283"/>
              <w:rPr/>
            </w:pPr>
            <w:r>
              <w:rPr/>
              <w:t>  </w:t>
            </w:r>
          </w:p>
        </w:tc>
      </w:tr>
      <w:tr>
        <w:trPr/>
        <w:tc>
          <w:tcPr>
            <w:tcW w:w="4624" w:type="dxa"/>
            <w:tcBorders/>
            <w:shd w:fill="auto" w:val="clear"/>
          </w:tcPr>
          <w:p>
            <w:pPr>
              <w:pStyle w:val="TableContents"/>
              <w:spacing w:before="0" w:after="283"/>
              <w:rPr>
                <w:rFonts w:ascii="Times New Roman" w:hAnsi="Times New Roman"/>
                <w:sz w:val="20"/>
              </w:rPr>
            </w:pPr>
            <w:r>
              <w:rPr>
                <w:rFonts w:ascii="Times New Roman" w:hAnsi="Times New Roman"/>
                <w:sz w:val="20"/>
              </w:rPr>
              <w:t>Declared distributions per limited partner unit(1)</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1.9525</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1.8775</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1.8113</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1.7475</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1.6413</w:t>
            </w:r>
          </w:p>
        </w:tc>
        <w:tc>
          <w:tcPr>
            <w:tcW w:w="127" w:type="dxa"/>
            <w:tcBorders/>
            <w:shd w:fill="auto" w:val="clear"/>
            <w:vAlign w:val="bottom"/>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general partner is entitled, directly or indirectly, to receive 2% proportional distributions, and also incentive distributions if the amount we distribute with respect to any quarter exceeds levels specified in our partnership agreement. </w:t>
            </w:r>
          </w:p>
        </w:tc>
      </w:tr>
    </w:tbl>
    <w:p>
      <w:pPr>
        <w:pStyle w:val="TextBody"/>
        <w:spacing w:before="270" w:after="0"/>
        <w:rPr>
          <w:rFonts w:ascii="Times New Roman" w:hAnsi="Times New Roman"/>
          <w:b/>
          <w:sz w:val="20"/>
        </w:rPr>
      </w:pPr>
      <w:r>
        <w:rPr>
          <w:rFonts w:ascii="Times New Roman" w:hAnsi="Times New Roman"/>
          <w:b/>
          <w:sz w:val="20"/>
        </w:rPr>
        <w:t xml:space="preserve">Executive Offices </w:t>
      </w:r>
    </w:p>
    <w:p>
      <w:pPr>
        <w:pStyle w:val="TextBody"/>
        <w:spacing w:before="90" w:after="0"/>
        <w:rPr>
          <w:rFonts w:ascii="Times New Roman" w:hAnsi="Times New Roman"/>
          <w:sz w:val="20"/>
        </w:rPr>
      </w:pPr>
      <w:r>
        <w:rPr>
          <w:rFonts w:ascii="Times New Roman" w:hAnsi="Times New Roman"/>
          <w:sz w:val="20"/>
        </w:rPr>
        <w:t xml:space="preserve">Our executive offices are located at 333 Clay Street, Suite 1600, Houston, Texas 77002 and our telephone number is (713) 646-4100. </w:t>
      </w:r>
    </w:p>
    <w:p>
      <w:pPr>
        <w:pStyle w:val="TextBody"/>
        <w:spacing w:before="270" w:after="0"/>
        <w:rPr>
          <w:rFonts w:ascii="Times New Roman" w:hAnsi="Times New Roman"/>
          <w:b/>
          <w:sz w:val="20"/>
        </w:rPr>
      </w:pPr>
      <w:r>
        <w:rPr>
          <w:rFonts w:ascii="Times New Roman" w:hAnsi="Times New Roman"/>
          <w:b/>
          <w:sz w:val="20"/>
        </w:rPr>
        <w:t xml:space="preserve">Additional Information </w:t>
      </w:r>
    </w:p>
    <w:p>
      <w:pPr>
        <w:pStyle w:val="TextBody"/>
        <w:spacing w:before="90" w:after="0"/>
        <w:rPr>
          <w:rFonts w:ascii="Times New Roman" w:hAnsi="Times New Roman"/>
          <w:sz w:val="20"/>
        </w:rPr>
      </w:pPr>
      <w:r>
        <w:rPr>
          <w:rFonts w:ascii="Times New Roman" w:hAnsi="Times New Roman"/>
          <w:sz w:val="20"/>
        </w:rPr>
        <w:t xml:space="preserve">For additional information as to our business, properties and financial condition please refer to the documents cited in Where You Can Find More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toc415878_5"/>
      <w:bookmarkEnd w:id="7"/>
      <w:r>
        <w:rPr>
          <w:rFonts w:ascii="Times New Roman" w:hAnsi="Times New Roman"/>
          <w:b/>
          <w:sz w:val="20"/>
        </w:rPr>
        <w:t xml:space="preserve">Risk Factors </w:t>
      </w:r>
    </w:p>
    <w:p>
      <w:pPr>
        <w:pStyle w:val="TextBody"/>
        <w:spacing w:before="180" w:after="0"/>
        <w:rPr>
          <w:rFonts w:ascii="Times New Roman" w:hAnsi="Times New Roman"/>
          <w:sz w:val="20"/>
        </w:rPr>
      </w:pPr>
      <w:r>
        <w:rPr>
          <w:rFonts w:ascii="Times New Roman" w:hAnsi="Times New Roman"/>
          <w:sz w:val="20"/>
        </w:rPr>
        <w:t xml:space="preserve">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fiscal year ended December 31, 2011,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toc415878_6"/>
      <w:bookmarkEnd w:id="8"/>
      <w:r>
        <w:rPr>
          <w:rFonts w:ascii="Times New Roman" w:hAnsi="Times New Roman"/>
          <w:b/>
          <w:sz w:val="20"/>
        </w:rPr>
        <w:t xml:space="preserve">Use of Proceeds </w:t>
      </w:r>
    </w:p>
    <w:p>
      <w:pPr>
        <w:pStyle w:val="TextBody"/>
        <w:spacing w:before="180" w:after="0"/>
        <w:rPr>
          <w:rFonts w:ascii="Times New Roman" w:hAnsi="Times New Roman"/>
          <w:sz w:val="20"/>
        </w:rPr>
      </w:pPr>
      <w:r>
        <w:rPr>
          <w:rFonts w:ascii="Times New Roman" w:hAnsi="Times New Roman"/>
          <w:sz w:val="20"/>
        </w:rPr>
        <w:t xml:space="preserve">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 </w:t>
      </w:r>
    </w:p>
    <w:p>
      <w:pPr>
        <w:pStyle w:val="TextBody"/>
        <w:spacing w:before="180" w:after="0"/>
        <w:rPr>
          <w:rFonts w:ascii="Times New Roman" w:hAnsi="Times New Roman"/>
          <w:sz w:val="20"/>
        </w:rPr>
      </w:pPr>
      <w:r>
        <w:rPr>
          <w:rFonts w:ascii="Times New Roman" w:hAnsi="Times New Roman"/>
          <w:sz w:val="20"/>
        </w:rPr>
        <w:t xml:space="preserve">Any specific allocation of the net proceeds of an offering of securities to a specific purpose will be determined at the time of the offering and will be described in a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toc415878_7"/>
      <w:bookmarkEnd w:id="9"/>
      <w:r>
        <w:rPr>
          <w:rFonts w:ascii="Times New Roman" w:hAnsi="Times New Roman"/>
          <w:b/>
          <w:sz w:val="20"/>
        </w:rPr>
        <w:t xml:space="preserve">Ratio of Earnings to Fixed Charges </w:t>
      </w:r>
    </w:p>
    <w:p>
      <w:pPr>
        <w:pStyle w:val="TextBody"/>
        <w:spacing w:before="180" w:after="0"/>
        <w:rPr>
          <w:rFonts w:ascii="Times New Roman" w:hAnsi="Times New Roman"/>
          <w:sz w:val="20"/>
        </w:rPr>
      </w:pPr>
      <w:r>
        <w:rPr>
          <w:rFonts w:ascii="Times New Roman" w:hAnsi="Times New Roman"/>
          <w:sz w:val="20"/>
        </w:rPr>
        <w:t xml:space="preserve">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63"/>
        <w:gridCol w:w="222"/>
        <w:gridCol w:w="60"/>
        <w:gridCol w:w="487"/>
        <w:gridCol w:w="120"/>
        <w:gridCol w:w="222"/>
        <w:gridCol w:w="60"/>
        <w:gridCol w:w="487"/>
        <w:gridCol w:w="120"/>
        <w:gridCol w:w="222"/>
        <w:gridCol w:w="60"/>
        <w:gridCol w:w="487"/>
        <w:gridCol w:w="119"/>
        <w:gridCol w:w="222"/>
        <w:gridCol w:w="60"/>
        <w:gridCol w:w="487"/>
        <w:gridCol w:w="120"/>
        <w:gridCol w:w="222"/>
        <w:gridCol w:w="60"/>
        <w:gridCol w:w="487"/>
        <w:gridCol w:w="120"/>
        <w:gridCol w:w="222"/>
        <w:gridCol w:w="60"/>
        <w:gridCol w:w="487"/>
        <w:gridCol w:w="129"/>
      </w:tblGrid>
      <w:tr>
        <w:trPr/>
        <w:tc>
          <w:tcPr>
            <w:tcW w:w="486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486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Six</w:t>
              <w:br/>
              <w:t>Months</w:t>
              <w:br/>
              <w:t>Ended</w:t>
              <w:br/>
              <w:t>June 30,</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4102"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 December 31,</w:t>
            </w:r>
          </w:p>
        </w:tc>
        <w:tc>
          <w:tcPr>
            <w:tcW w:w="129" w:type="dxa"/>
            <w:tcBorders/>
            <w:shd w:fill="auto" w:val="clear"/>
            <w:vAlign w:val="bottom"/>
          </w:tcPr>
          <w:p>
            <w:pPr>
              <w:pStyle w:val="TableContents"/>
              <w:spacing w:before="0" w:after="283"/>
              <w:rPr/>
            </w:pPr>
            <w:r>
              <w:rPr/>
              <w:t> </w:t>
            </w:r>
          </w:p>
        </w:tc>
      </w:tr>
      <w:tr>
        <w:trPr/>
        <w:tc>
          <w:tcPr>
            <w:tcW w:w="486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19"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129" w:type="dxa"/>
            <w:tcBorders/>
            <w:shd w:fill="auto" w:val="clear"/>
            <w:vAlign w:val="bottom"/>
          </w:tcPr>
          <w:p>
            <w:pPr>
              <w:pStyle w:val="TableContents"/>
              <w:spacing w:before="0" w:after="283"/>
              <w:rPr/>
            </w:pPr>
            <w:r>
              <w:rPr/>
              <w:t> </w:t>
            </w:r>
          </w:p>
        </w:tc>
      </w:tr>
      <w:tr>
        <w:trPr/>
        <w:tc>
          <w:tcPr>
            <w:tcW w:w="4863" w:type="dxa"/>
            <w:tcBorders/>
            <w:shd w:fill="CCEEFF" w:val="clear"/>
          </w:tcPr>
          <w:p>
            <w:pPr>
              <w:pStyle w:val="TableContents"/>
              <w:spacing w:before="0" w:after="283"/>
              <w:rPr>
                <w:rFonts w:ascii="Times New Roman" w:hAnsi="Times New Roman"/>
                <w:sz w:val="20"/>
              </w:rPr>
            </w:pPr>
            <w:r>
              <w:rPr>
                <w:rFonts w:ascii="Times New Roman" w:hAnsi="Times New Roman"/>
                <w:sz w:val="20"/>
              </w:rPr>
              <w:t>Ratio of Earnings to Fixed Charges (1)</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4.47x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4.13x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2.57x</w:t>
            </w:r>
          </w:p>
        </w:tc>
        <w:tc>
          <w:tcPr>
            <w:tcW w:w="119"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2.45x</w:t>
            </w:r>
          </w:p>
        </w:tc>
        <w:tc>
          <w:tcPr>
            <w:tcW w:w="129" w:type="dxa"/>
            <w:tcBorders/>
            <w:shd w:fill="CCEEFF" w:val="clear"/>
            <w:vAlign w:val="bottom"/>
          </w:tcPr>
          <w:p>
            <w:pPr>
              <w:pStyle w:val="TableContents"/>
              <w:spacing w:before="0" w:after="283"/>
              <w:rPr/>
            </w:pPr>
            <w:r>
              <w:rPr/>
              <w:t>  </w:t>
            </w:r>
          </w:p>
        </w:tc>
      </w:tr>
      <w:tr>
        <w:trPr/>
        <w:tc>
          <w:tcPr>
            <w:tcW w:w="4863"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interest costs attributable to borrowings for hedged inventory purchases of $6 million for the six months ended June 30, 2012 and $20 million, $17 million, $11 million, $21 million and $44 million for the years ended December 31, 2011, 2010, 2009, 2008 and 2007, respectively.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toc415878_8"/>
      <w:bookmarkEnd w:id="10"/>
      <w:r>
        <w:rPr>
          <w:rFonts w:ascii="Times New Roman" w:hAnsi="Times New Roman"/>
          <w:b/>
          <w:sz w:val="20"/>
        </w:rPr>
        <w:t xml:space="preserve">Description of Our Debt Securities </w:t>
      </w:r>
    </w:p>
    <w:p>
      <w:pPr>
        <w:pStyle w:val="TextBody"/>
        <w:spacing w:before="270" w:after="0"/>
        <w:rPr>
          <w:rFonts w:ascii="Times New Roman" w:hAnsi="Times New Roman"/>
          <w:b/>
          <w:sz w:val="20"/>
        </w:rPr>
      </w:pPr>
      <w:r>
        <w:rPr>
          <w:rFonts w:ascii="Times New Roman" w:hAnsi="Times New Roman"/>
          <w:b/>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The debt securities will be: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direct general obligations;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either senior debt securities or subordinated debt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issued under separate indentures (which may be existing indentures) among Plains All American Pipeline, PAA Finance and U.S. Bank National Association, as successor Trustee. </w:t>
            </w:r>
          </w:p>
        </w:tc>
      </w:tr>
    </w:tbl>
    <w:p>
      <w:pPr>
        <w:pStyle w:val="TextBody"/>
        <w:spacing w:before="180" w:after="0"/>
        <w:rPr>
          <w:rFonts w:ascii="Times New Roman" w:hAnsi="Times New Roman"/>
          <w:sz w:val="20"/>
        </w:rPr>
      </w:pPr>
      <w:r>
        <w:rPr>
          <w:rFonts w:ascii="Times New Roman" w:hAnsi="Times New Roman"/>
          <w:sz w:val="20"/>
        </w:rPr>
        <w:t xml:space="preserve">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spacing w:before="180" w:after="0"/>
        <w:rPr>
          <w:rFonts w:ascii="Times New Roman" w:hAnsi="Times New Roman"/>
          <w:sz w:val="20"/>
        </w:rPr>
      </w:pPr>
      <w:r>
        <w:rPr>
          <w:rFonts w:ascii="Times New Roman" w:hAnsi="Times New Roman"/>
          <w:sz w:val="20"/>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 </w:t>
      </w:r>
    </w:p>
    <w:p>
      <w:pPr>
        <w:pStyle w:val="TextBody"/>
        <w:spacing w:before="270" w:after="0"/>
        <w:rPr>
          <w:rFonts w:ascii="Times New Roman" w:hAnsi="Times New Roman"/>
          <w:b/>
          <w:sz w:val="20"/>
        </w:rPr>
      </w:pPr>
      <w:r>
        <w:rPr>
          <w:rFonts w:ascii="Times New Roman" w:hAnsi="Times New Roman"/>
          <w:b/>
          <w:sz w:val="20"/>
        </w:rPr>
        <w:t xml:space="preserve">Specific Terms of Each Series of Debt Securities in the Prospectus Supplement </w:t>
      </w:r>
    </w:p>
    <w:p>
      <w:pPr>
        <w:pStyle w:val="TextBody"/>
        <w:spacing w:before="90" w:after="0"/>
        <w:rPr>
          <w:rFonts w:ascii="Times New Roman" w:hAnsi="Times New Roman"/>
          <w:sz w:val="20"/>
        </w:rPr>
      </w:pPr>
      <w:r>
        <w:rPr>
          <w:rFonts w:ascii="Times New Roman" w:hAnsi="Times New Roman"/>
          <w:sz w:val="20"/>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PAA Finance will be a co-issuer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debt securities are senior or subordinated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title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total principal amount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assets, if any, that are pledged as security for the payment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we will issue the debt securities in individual certificates to each holder in registered form, or in the form of temporary or permanent global securities held by a depository on behalf of 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prices at which we will issue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the principal amount that will be payable if the maturity of the debt securities is accelerated;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or currency unit in which the debt securities will be payable, if not U.S. dollars;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dates on which the principal of the debt securities will be payable;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 rate that the debt securities will bear and the interest payment dates for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conversion or exchange provisions;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optional redemption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sinking fund or other provisions that would obligate us to repurchase or otherwise redeem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changes to or additional events of default or covenants;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terms of the debt securities. </w:t>
            </w:r>
          </w:p>
        </w:tc>
      </w:tr>
    </w:tbl>
    <w:p>
      <w:pPr>
        <w:pStyle w:val="TextBody"/>
        <w:spacing w:before="180" w:after="0"/>
        <w:rPr>
          <w:rFonts w:ascii="Times New Roman" w:hAnsi="Times New Roman"/>
          <w:sz w:val="20"/>
        </w:rPr>
      </w:pPr>
      <w:r>
        <w:rPr>
          <w:rFonts w:ascii="Times New Roman" w:hAnsi="Times New Roman"/>
          <w:sz w:val="20"/>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spacing w:before="270" w:after="0"/>
        <w:rPr>
          <w:rFonts w:ascii="Times New Roman" w:hAnsi="Times New Roman"/>
          <w:b/>
          <w:sz w:val="20"/>
        </w:rPr>
      </w:pPr>
      <w:r>
        <w:rPr>
          <w:rFonts w:ascii="Times New Roman" w:hAnsi="Times New Roman"/>
          <w:b/>
          <w:sz w:val="20"/>
        </w:rPr>
        <w:t xml:space="preserve">Possible Future Guarantees </w:t>
      </w:r>
    </w:p>
    <w:p>
      <w:pPr>
        <w:pStyle w:val="TextBody"/>
        <w:spacing w:before="90" w:after="0"/>
        <w:rPr>
          <w:rFonts w:ascii="Times New Roman" w:hAnsi="Times New Roman"/>
          <w:sz w:val="20"/>
        </w:rPr>
      </w:pPr>
      <w:r>
        <w:rPr>
          <w:rFonts w:ascii="Times New Roman" w:hAnsi="Times New Roman"/>
          <w:sz w:val="20"/>
        </w:rPr>
        <w:t xml:space="preserve">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 </w:t>
      </w:r>
    </w:p>
    <w:p>
      <w:pPr>
        <w:pStyle w:val="TextBody"/>
        <w:spacing w:before="180" w:after="0"/>
        <w:rPr>
          <w:rFonts w:ascii="Times New Roman" w:hAnsi="Times New Roman"/>
          <w:sz w:val="20"/>
        </w:rPr>
      </w:pPr>
      <w:r>
        <w:rPr>
          <w:rFonts w:ascii="Times New Roman" w:hAnsi="Times New Roman"/>
          <w:sz w:val="20"/>
        </w:rPr>
        <w:t xml:space="preserve">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 </w:t>
      </w:r>
    </w:p>
    <w:p>
      <w:pPr>
        <w:pStyle w:val="TextBody"/>
        <w:spacing w:before="180" w:after="0"/>
        <w:rPr>
          <w:rFonts w:ascii="Times New Roman" w:hAnsi="Times New Roman"/>
          <w:sz w:val="20"/>
        </w:rPr>
      </w:pPr>
      <w:r>
        <w:rPr>
          <w:rFonts w:ascii="Times New Roman" w:hAnsi="Times New Roman"/>
          <w:sz w:val="20"/>
        </w:rPr>
        <w:t xml:space="preserve">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 </w:t>
      </w:r>
    </w:p>
    <w:p>
      <w:pPr>
        <w:pStyle w:val="TextBody"/>
        <w:spacing w:before="270" w:after="0"/>
        <w:rPr>
          <w:rFonts w:ascii="Times New Roman" w:hAnsi="Times New Roman"/>
          <w:b/>
          <w:sz w:val="20"/>
        </w:rPr>
      </w:pPr>
      <w:r>
        <w:rPr>
          <w:rFonts w:ascii="Times New Roman" w:hAnsi="Times New Roman"/>
          <w:b/>
          <w:sz w:val="20"/>
        </w:rPr>
        <w:t xml:space="preserve">Consolidation, Merger or Asset Sale </w:t>
      </w:r>
    </w:p>
    <w:p>
      <w:pPr>
        <w:pStyle w:val="TextBody"/>
        <w:spacing w:before="90" w:after="0"/>
        <w:rPr>
          <w:rFonts w:ascii="Times New Roman" w:hAnsi="Times New Roman"/>
          <w:sz w:val="20"/>
        </w:rPr>
      </w:pPr>
      <w:r>
        <w:rPr>
          <w:rFonts w:ascii="Times New Roman" w:hAnsi="Times New Roman"/>
          <w:sz w:val="20"/>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spacing w:before="180" w:after="0"/>
        <w:rPr>
          <w:rFonts w:ascii="Times New Roman" w:hAnsi="Times New Roman"/>
          <w:sz w:val="20"/>
        </w:rPr>
      </w:pPr>
      <w:r>
        <w:rPr>
          <w:rFonts w:ascii="Times New Roman" w:hAnsi="Times New Roman"/>
          <w:sz w:val="20"/>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assume the issuers obligations under the indenture;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after giving effect to the transaction, no Default or Event of Default (as defined under  Events of Default and Remedies below) may exist.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spacing w:before="270" w:after="0"/>
        <w:rPr>
          <w:rFonts w:ascii="Times New Roman" w:hAnsi="Times New Roman"/>
          <w:b/>
          <w:sz w:val="20"/>
        </w:rPr>
      </w:pPr>
      <w:r>
        <w:rPr>
          <w:rFonts w:ascii="Times New Roman" w:hAnsi="Times New Roman"/>
          <w:b/>
          <w:sz w:val="20"/>
        </w:rPr>
        <w:t xml:space="preserve">No Protection in the Event of a Change of Control </w:t>
      </w:r>
    </w:p>
    <w:p>
      <w:pPr>
        <w:pStyle w:val="TextBody"/>
        <w:spacing w:before="90" w:after="0"/>
        <w:rPr>
          <w:rFonts w:ascii="Times New Roman" w:hAnsi="Times New Roman"/>
          <w:sz w:val="20"/>
        </w:rPr>
      </w:pPr>
      <w:r>
        <w:rPr>
          <w:rFonts w:ascii="Times New Roman" w:hAnsi="Times New Roman"/>
          <w:sz w:val="20"/>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spacing w:before="270" w:after="0"/>
        <w:rPr>
          <w:rFonts w:ascii="Times New Roman" w:hAnsi="Times New Roman"/>
          <w:b/>
          <w:sz w:val="20"/>
        </w:rPr>
      </w:pPr>
      <w:r>
        <w:rPr>
          <w:rFonts w:ascii="Times New Roman" w:hAnsi="Times New Roman"/>
          <w:b/>
          <w:sz w:val="20"/>
        </w:rPr>
        <w:t xml:space="preserve">Modification of Indentures </w:t>
      </w:r>
    </w:p>
    <w:p>
      <w:pPr>
        <w:pStyle w:val="TextBody"/>
        <w:spacing w:before="90" w:after="0"/>
        <w:rPr>
          <w:rFonts w:ascii="Times New Roman" w:hAnsi="Times New Roman"/>
          <w:sz w:val="20"/>
        </w:rPr>
      </w:pPr>
      <w:r>
        <w:rPr>
          <w:rFonts w:ascii="Times New Roman" w:hAnsi="Times New Roman"/>
          <w:sz w:val="20"/>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amount of debt securities whose holders must consent to an amendment, supplement or waiver;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of or change the fixed maturity of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or waive the premium payable upon redemption or alter or waive the provisions with respect to the redemption of the debt securities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rate of or change the time for payment of interest on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under the indenture, release any security that may have been granted with respect to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debt security payable in currency other than that stated in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make any change in the subordination provisions that adversely affects the rights of any holder under those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provisions of the indenture relating to waivers of past Defaults or the rights of holders of debt securities to receive payments of principal of or premium, if any, or interest on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redemption payment with respect to any debt security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in the indenture, release any guarantor from its obligations under its guarantee or the indenture or change any guarantee in any manner that would adversely affect the rights of holders;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preceding amendment, supplement and waiver provisions (except to increase any percentage set forth therein).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may supplement or amend an indenture without the consent of any holders of the debt securities in certain circumstances,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establish the form of terms of any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uncertificated notes in addition to or in place of certified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assumption of an issuers or any guarantors obligations to holders of debt securities in the case of a merger or consolidation or disposition of all or substantially all of such issuers or guarantors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to make any change in the subordination provisions that limits or terminates the benefits applicable to any holder of Senior Indebtedness of Plains All American Pipeline;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or release any guarantors pursuant to the terms of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make any changes that would provide any additional rights or benefits to the holders of debt securities or that do not, taken as a whole, adversely affect the rights under the indenture of any holder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evidence or provide for the acceptance of appointment under the indenture of a successor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any additional Events of Default;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secure the debt securities and/or any guarantees. </w:t>
            </w:r>
          </w:p>
        </w:tc>
      </w:tr>
    </w:tbl>
    <w:p>
      <w:pPr>
        <w:pStyle w:val="TextBody"/>
        <w:spacing w:before="270" w:after="0"/>
        <w:rPr>
          <w:rFonts w:ascii="Times New Roman" w:hAnsi="Times New Roman"/>
          <w:b/>
          <w:sz w:val="20"/>
        </w:rPr>
      </w:pPr>
      <w:r>
        <w:rPr>
          <w:rFonts w:ascii="Times New Roman" w:hAnsi="Times New Roman"/>
          <w:b/>
          <w:sz w:val="20"/>
        </w:rPr>
        <w:t xml:space="preserve">Events of Default and Remedies </w:t>
      </w:r>
    </w:p>
    <w:p>
      <w:pPr>
        <w:pStyle w:val="TextBody"/>
        <w:spacing w:before="90" w:after="0"/>
        <w:rPr>
          <w:rFonts w:ascii="Times New Roman" w:hAnsi="Times New Roman"/>
          <w:sz w:val="20"/>
        </w:rPr>
      </w:pPr>
      <w:r>
        <w:rPr>
          <w:rFonts w:ascii="Times New Roman" w:hAnsi="Times New Roman"/>
          <w:sz w:val="20"/>
        </w:rPr>
        <w:t xml:space="preserve">Event of Default, when used in an indenture, will mean any of the following with respect to the debt securities of any series: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the principal of or any premium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within 60 days of the due date, interest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any sinking fund payment with respect to any debt securities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on the part of the issuers to comply with the covenant described under  Consolidation, Merger or Asset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perform any other covenant in the indenture that continues for 30 days after written notice is given to the issuers;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certain events of bankruptcy, insolvency or reorganization of an issuer;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Event of Default provided under the terms of the debt securities of that series. </w:t>
            </w:r>
          </w:p>
        </w:tc>
      </w:tr>
    </w:tbl>
    <w:p>
      <w:pPr>
        <w:pStyle w:val="TextBody"/>
        <w:spacing w:before="180" w:after="0"/>
        <w:rPr>
          <w:rFonts w:ascii="Times New Roman" w:hAnsi="Times New Roman"/>
          <w:sz w:val="20"/>
        </w:rPr>
      </w:pPr>
      <w:r>
        <w:rPr>
          <w:rFonts w:ascii="Times New Roman" w:hAnsi="Times New Roman"/>
          <w:sz w:val="20"/>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 </w:t>
      </w:r>
    </w:p>
    <w:p>
      <w:pPr>
        <w:pStyle w:val="TextBody"/>
        <w:spacing w:before="180" w:after="0"/>
        <w:rPr>
          <w:rFonts w:ascii="Times New Roman" w:hAnsi="Times New Roman"/>
          <w:sz w:val="20"/>
        </w:rPr>
      </w:pPr>
      <w:r>
        <w:rPr>
          <w:rFonts w:ascii="Times New Roman" w:hAnsi="Times New Roman"/>
          <w:sz w:val="20"/>
        </w:rPr>
        <w:t xml:space="preserve">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subject to certain conditions, the holders of a majority in the aggregate principal amount of the debt securities of that series can rescind the declaration. </w:t>
      </w:r>
    </w:p>
    <w:p>
      <w:pPr>
        <w:pStyle w:val="TextBody"/>
        <w:spacing w:before="180" w:after="0"/>
        <w:rPr>
          <w:rFonts w:ascii="Times New Roman" w:hAnsi="Times New Roman"/>
          <w:sz w:val="20"/>
        </w:rPr>
      </w:pPr>
      <w:r>
        <w:rPr>
          <w:rFonts w:ascii="Times New Roman" w:hAnsi="Times New Roman"/>
          <w:sz w:val="20"/>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spacing w:before="270" w:after="0"/>
        <w:rPr>
          <w:rFonts w:ascii="Times New Roman" w:hAnsi="Times New Roman"/>
          <w:b/>
          <w:sz w:val="20"/>
        </w:rPr>
      </w:pPr>
      <w:r>
        <w:rPr>
          <w:rFonts w:ascii="Times New Roman" w:hAnsi="Times New Roman"/>
          <w:b/>
          <w:sz w:val="20"/>
        </w:rPr>
        <w:t xml:space="preserve">No Limit on Amount of Debt Securities </w:t>
      </w:r>
    </w:p>
    <w:p>
      <w:pPr>
        <w:pStyle w:val="TextBody"/>
        <w:spacing w:before="90" w:after="0"/>
        <w:rPr>
          <w:rFonts w:ascii="Times New Roman" w:hAnsi="Times New Roman"/>
          <w:sz w:val="20"/>
        </w:rPr>
      </w:pPr>
      <w:r>
        <w:rPr>
          <w:rFonts w:ascii="Times New Roman" w:hAnsi="Times New Roman"/>
          <w:sz w:val="20"/>
        </w:rPr>
        <w:t xml:space="preserve">Neither indenture will limit the amount of debt securities that we may issue, unless we indicate otherwise in a prospectus supplement. Each indenture will allow us to issue debt securities of any series up to the aggregate principal amount that we authorize. </w:t>
      </w:r>
    </w:p>
    <w:p>
      <w:pPr>
        <w:pStyle w:val="TextBody"/>
        <w:spacing w:before="270" w:after="0"/>
        <w:rPr>
          <w:rFonts w:ascii="Times New Roman" w:hAnsi="Times New Roman"/>
          <w:b/>
          <w:sz w:val="20"/>
        </w:rPr>
      </w:pPr>
      <w:r>
        <w:rPr>
          <w:rFonts w:ascii="Times New Roman" w:hAnsi="Times New Roman"/>
          <w:b/>
          <w:sz w:val="20"/>
        </w:rPr>
        <w:t xml:space="preserve">Registration of Notes </w:t>
      </w:r>
    </w:p>
    <w:p>
      <w:pPr>
        <w:pStyle w:val="TextBody"/>
        <w:spacing w:before="90" w:after="0"/>
        <w:rPr>
          <w:rFonts w:ascii="Times New Roman" w:hAnsi="Times New Roman"/>
          <w:sz w:val="20"/>
        </w:rPr>
      </w:pPr>
      <w:r>
        <w:rPr>
          <w:rFonts w:ascii="Times New Roman" w:hAnsi="Times New Roman"/>
          <w:sz w:val="20"/>
        </w:rPr>
        <w:t xml:space="preserve">We will issue debt securities of a series only in registered form, without coupons, unless otherwise indicated in the prospectus supplement. </w:t>
      </w:r>
    </w:p>
    <w:p>
      <w:pPr>
        <w:pStyle w:val="TextBody"/>
        <w:spacing w:before="270" w:after="0"/>
        <w:rPr>
          <w:rFonts w:ascii="Times New Roman" w:hAnsi="Times New Roman"/>
          <w:b/>
          <w:sz w:val="20"/>
        </w:rPr>
      </w:pPr>
      <w:r>
        <w:rPr>
          <w:rFonts w:ascii="Times New Roman" w:hAnsi="Times New Roman"/>
          <w:b/>
          <w:sz w:val="20"/>
        </w:rPr>
        <w:t xml:space="preserve">Minimum Denominations </w:t>
      </w:r>
    </w:p>
    <w:p>
      <w:pPr>
        <w:pStyle w:val="TextBody"/>
        <w:spacing w:before="90" w:after="0"/>
        <w:rPr>
          <w:rFonts w:ascii="Times New Roman" w:hAnsi="Times New Roman"/>
          <w:sz w:val="20"/>
        </w:rPr>
      </w:pPr>
      <w:r>
        <w:rPr>
          <w:rFonts w:ascii="Times New Roman" w:hAnsi="Times New Roman"/>
          <w:sz w:val="20"/>
        </w:rPr>
        <w:t xml:space="preserve">Unless the prospectus supplement states otherwise, the debt securities will be issued only in principal amounts of $1,000 each or integral multiples of $1,000. </w:t>
      </w:r>
    </w:p>
    <w:p>
      <w:pPr>
        <w:pStyle w:val="TextBody"/>
        <w:spacing w:before="270" w:after="0"/>
        <w:rPr>
          <w:rFonts w:ascii="Times New Roman" w:hAnsi="Times New Roman"/>
          <w:b/>
          <w:sz w:val="20"/>
        </w:rPr>
      </w:pPr>
      <w:r>
        <w:rPr>
          <w:rFonts w:ascii="Times New Roman" w:hAnsi="Times New Roman"/>
          <w:b/>
          <w:sz w:val="20"/>
        </w:rPr>
        <w:t xml:space="preserve">No Personal Liability </w:t>
      </w:r>
    </w:p>
    <w:p>
      <w:pPr>
        <w:pStyle w:val="TextBody"/>
        <w:spacing w:before="90" w:after="0"/>
        <w:rPr>
          <w:rFonts w:ascii="Times New Roman" w:hAnsi="Times New Roman"/>
          <w:sz w:val="20"/>
        </w:rPr>
      </w:pPr>
      <w:r>
        <w:rPr>
          <w:rFonts w:ascii="Times New Roman" w:hAnsi="Times New Roman"/>
          <w:sz w:val="20"/>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spacing w:before="270" w:after="0"/>
        <w:rPr>
          <w:rFonts w:ascii="Times New Roman" w:hAnsi="Times New Roman"/>
          <w:b/>
          <w:sz w:val="20"/>
        </w:rPr>
      </w:pPr>
      <w:r>
        <w:rPr>
          <w:rFonts w:ascii="Times New Roman" w:hAnsi="Times New Roman"/>
          <w:b/>
          <w:sz w:val="20"/>
        </w:rPr>
        <w:t xml:space="preserve">Payment and Transfer </w:t>
      </w:r>
    </w:p>
    <w:p>
      <w:pPr>
        <w:pStyle w:val="TextBody"/>
        <w:spacing w:before="90" w:after="0"/>
        <w:rPr>
          <w:rFonts w:ascii="Times New Roman" w:hAnsi="Times New Roman"/>
          <w:sz w:val="20"/>
        </w:rPr>
      </w:pPr>
      <w:r>
        <w:rPr>
          <w:rFonts w:ascii="Times New Roman" w:hAnsi="Times New Roman"/>
          <w:sz w:val="20"/>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spacing w:before="180" w:after="0"/>
        <w:rPr>
          <w:rFonts w:ascii="Times New Roman" w:hAnsi="Times New Roman"/>
          <w:sz w:val="20"/>
        </w:rPr>
      </w:pPr>
      <w:r>
        <w:rPr>
          <w:rFonts w:ascii="Times New Roman" w:hAnsi="Times New Roman"/>
          <w:sz w:val="20"/>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spacing w:before="180" w:after="0"/>
        <w:rPr>
          <w:rFonts w:ascii="Times New Roman" w:hAnsi="Times New Roman"/>
          <w:sz w:val="20"/>
        </w:rPr>
      </w:pPr>
      <w:r>
        <w:rPr>
          <w:rFonts w:ascii="Times New Roman" w:hAnsi="Times New Roman"/>
          <w:sz w:val="20"/>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Exchange, Registration and Transfer </w:t>
      </w:r>
    </w:p>
    <w:p>
      <w:pPr>
        <w:pStyle w:val="TextBody"/>
        <w:spacing w:before="90" w:after="0"/>
        <w:rPr>
          <w:rFonts w:ascii="Times New Roman" w:hAnsi="Times New Roman"/>
          <w:sz w:val="20"/>
        </w:rPr>
      </w:pPr>
      <w:r>
        <w:rPr>
          <w:rFonts w:ascii="Times New Roman" w:hAnsi="Times New Roman"/>
          <w:sz w:val="20"/>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spacing w:before="270" w:after="0"/>
        <w:rPr>
          <w:rFonts w:ascii="Times New Roman" w:hAnsi="Times New Roman"/>
          <w:sz w:val="20"/>
        </w:rPr>
      </w:pPr>
      <w:r>
        <w:rPr>
          <w:rFonts w:ascii="Times New Roman" w:hAnsi="Times New Roman"/>
          <w:sz w:val="20"/>
        </w:rPr>
        <w:t xml:space="preserve">We will not be required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register the transfer of or exchange any debt security called for redemption or repurchase, except the unredeemed portion of any debt security we are redeeming or repurchasing in part. </w:t>
            </w:r>
          </w:p>
        </w:tc>
      </w:tr>
    </w:tbl>
    <w:p>
      <w:pPr>
        <w:pStyle w:val="TextBody"/>
        <w:spacing w:before="270" w:after="0"/>
        <w:rPr>
          <w:rFonts w:ascii="Times New Roman" w:hAnsi="Times New Roman"/>
          <w:b/>
          <w:sz w:val="20"/>
        </w:rPr>
      </w:pPr>
      <w:r>
        <w:rPr>
          <w:rFonts w:ascii="Times New Roman" w:hAnsi="Times New Roman"/>
          <w:b/>
          <w:sz w:val="20"/>
        </w:rPr>
        <w:t xml:space="preserve">Provisions Relating only to the Senior Debt Securities </w:t>
      </w:r>
    </w:p>
    <w:p>
      <w:pPr>
        <w:pStyle w:val="TextBody"/>
        <w:spacing w:before="90" w:after="0"/>
        <w:rPr>
          <w:rFonts w:ascii="Times New Roman" w:hAnsi="Times New Roman"/>
          <w:sz w:val="20"/>
        </w:rPr>
      </w:pPr>
      <w:r>
        <w:rPr>
          <w:rFonts w:ascii="Times New Roman" w:hAnsi="Times New Roman"/>
          <w:sz w:val="20"/>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spacing w:before="270" w:after="0"/>
        <w:rPr>
          <w:rFonts w:ascii="Times New Roman" w:hAnsi="Times New Roman"/>
          <w:b/>
          <w:sz w:val="20"/>
        </w:rPr>
      </w:pPr>
      <w:r>
        <w:rPr>
          <w:rFonts w:ascii="Times New Roman" w:hAnsi="Times New Roman"/>
          <w:b/>
          <w:sz w:val="20"/>
        </w:rPr>
        <w:t xml:space="preserve">Provisions Relating only to the Subordinated Debt Securities </w:t>
      </w:r>
    </w:p>
    <w:p>
      <w:pPr>
        <w:pStyle w:val="TextBody"/>
        <w:spacing w:before="90" w:after="0"/>
        <w:rPr>
          <w:rFonts w:ascii="Times New Roman" w:hAnsi="Times New Roman"/>
          <w:b/>
          <w:i/>
          <w:sz w:val="20"/>
        </w:rPr>
      </w:pPr>
      <w:r>
        <w:rPr>
          <w:rFonts w:ascii="Times New Roman" w:hAnsi="Times New Roman"/>
          <w:b/>
          <w:i/>
          <w:sz w:val="20"/>
        </w:rPr>
        <w:t xml:space="preserve">Subordinated Debt Securities Subordinated to Senior Indebtedness </w:t>
      </w:r>
    </w:p>
    <w:p>
      <w:pPr>
        <w:pStyle w:val="TextBody"/>
        <w:spacing w:before="90" w:after="0"/>
        <w:rPr>
          <w:rFonts w:ascii="Times New Roman" w:hAnsi="Times New Roman"/>
          <w:sz w:val="20"/>
        </w:rPr>
      </w:pPr>
      <w:r>
        <w:rPr>
          <w:rFonts w:ascii="Times New Roman" w:hAnsi="Times New Roman"/>
          <w:sz w:val="20"/>
        </w:rPr>
        <w:t xml:space="preserve">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 </w:t>
      </w:r>
    </w:p>
    <w:p>
      <w:pPr>
        <w:pStyle w:val="TextBody"/>
        <w:spacing w:before="270" w:after="0"/>
        <w:rPr>
          <w:rFonts w:ascii="Times New Roman" w:hAnsi="Times New Roman"/>
          <w:b/>
          <w:i/>
          <w:sz w:val="20"/>
        </w:rPr>
      </w:pPr>
      <w:r>
        <w:rPr>
          <w:rFonts w:ascii="Times New Roman" w:hAnsi="Times New Roman"/>
          <w:b/>
          <w:i/>
          <w:sz w:val="20"/>
        </w:rPr>
        <w:t xml:space="preserve">Payment Blockages </w:t>
      </w:r>
    </w:p>
    <w:p>
      <w:pPr>
        <w:pStyle w:val="TextBody"/>
        <w:spacing w:before="90" w:after="0"/>
        <w:rPr>
          <w:rFonts w:ascii="Times New Roman" w:hAnsi="Times New Roman"/>
          <w:sz w:val="20"/>
        </w:rPr>
      </w:pPr>
      <w:r>
        <w:rPr>
          <w:rFonts w:ascii="Times New Roman" w:hAnsi="Times New Roman"/>
          <w:sz w:val="20"/>
        </w:rPr>
        <w:t xml:space="preserve">The subordinated indenture will provide that no payment of principal, interest and any premium on the subordinated debt securities may be made in the event: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or our property is involved in any voluntary or involuntary liquidation or bankruptcy;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p>
        </w:tc>
      </w:tr>
    </w:tbl>
    <w:p>
      <w:pPr>
        <w:pStyle w:val="TextBody"/>
        <w:spacing w:before="270" w:after="0"/>
        <w:rPr>
          <w:rFonts w:ascii="Times New Roman" w:hAnsi="Times New Roman"/>
          <w:b/>
          <w:i/>
          <w:sz w:val="20"/>
        </w:rPr>
      </w:pPr>
      <w:r>
        <w:rPr>
          <w:rFonts w:ascii="Times New Roman" w:hAnsi="Times New Roman"/>
          <w:b/>
          <w:i/>
          <w:sz w:val="20"/>
        </w:rPr>
        <w:t xml:space="preserve">No Limitation on Amount of Senior Debt </w:t>
      </w:r>
    </w:p>
    <w:p>
      <w:pPr>
        <w:pStyle w:val="TextBody"/>
        <w:spacing w:before="90" w:after="0"/>
        <w:rPr>
          <w:rFonts w:ascii="Times New Roman" w:hAnsi="Times New Roman"/>
          <w:sz w:val="20"/>
        </w:rPr>
      </w:pPr>
      <w:r>
        <w:rPr>
          <w:rFonts w:ascii="Times New Roman" w:hAnsi="Times New Roman"/>
          <w:sz w:val="20"/>
        </w:rPr>
        <w:t xml:space="preserve">The subordinated indenture will not limit the amount of Senior Indebtedness that Plains All American Pipeline may incur, unless otherwise indicated in the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Book Entry, Delivery and Form </w:t>
      </w:r>
    </w:p>
    <w:p>
      <w:pPr>
        <w:pStyle w:val="TextBody"/>
        <w:spacing w:before="90" w:after="0"/>
        <w:rPr>
          <w:rFonts w:ascii="Times New Roman" w:hAnsi="Times New Roman"/>
          <w:sz w:val="20"/>
        </w:rPr>
      </w:pPr>
      <w:r>
        <w:rPr>
          <w:rFonts w:ascii="Times New Roman" w:hAnsi="Times New Roman"/>
          <w:sz w:val="20"/>
        </w:rPr>
        <w:t xml:space="preserve">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spacing w:before="180" w:after="0"/>
        <w:rPr>
          <w:rFonts w:ascii="Times New Roman" w:hAnsi="Times New Roman"/>
          <w:sz w:val="20"/>
        </w:rPr>
      </w:pPr>
      <w:r>
        <w:rPr>
          <w:rFonts w:ascii="Times New Roman" w:hAnsi="Times New Roman"/>
          <w:sz w:val="20"/>
        </w:rPr>
        <w:t xml:space="preserve">Beneficial interests in global debt securities will be shown on, and transfers of global debt securities will be made only through, records maintained by DTC and its participants. </w:t>
      </w:r>
    </w:p>
    <w:p>
      <w:pPr>
        <w:pStyle w:val="TextBody"/>
        <w:spacing w:before="180" w:after="0"/>
        <w:rPr>
          <w:rFonts w:ascii="Times New Roman" w:hAnsi="Times New Roman"/>
          <w:sz w:val="20"/>
        </w:rPr>
      </w:pPr>
      <w:r>
        <w:rPr>
          <w:rFonts w:ascii="Times New Roman" w:hAnsi="Times New Roman"/>
          <w:sz w:val="20"/>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spacing w:before="180" w:after="0"/>
        <w:rPr>
          <w:rFonts w:ascii="Times New Roman" w:hAnsi="Times New Roman"/>
          <w:sz w:val="20"/>
        </w:rPr>
      </w:pPr>
      <w:r>
        <w:rPr>
          <w:rFonts w:ascii="Times New Roman" w:hAnsi="Times New Roman"/>
          <w:sz w:val="20"/>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spacing w:before="180" w:after="0"/>
        <w:rPr>
          <w:rFonts w:ascii="Times New Roman" w:hAnsi="Times New Roman"/>
          <w:sz w:val="20"/>
        </w:rPr>
      </w:pPr>
      <w:r>
        <w:rPr>
          <w:rFonts w:ascii="Times New Roman" w:hAnsi="Times New Roman"/>
          <w:sz w:val="20"/>
        </w:rPr>
        <w:t xml:space="preserve">DTC is owned by a number of its Direct Participants and by the New York Stock Exchange, Inc., The American Stock Exchange, Inc. and the Financial Industry Regulatory Authority (FINRA). </w:t>
      </w:r>
    </w:p>
    <w:p>
      <w:pPr>
        <w:pStyle w:val="TextBody"/>
        <w:spacing w:before="180" w:after="0"/>
        <w:rPr>
          <w:rFonts w:ascii="Times New Roman" w:hAnsi="Times New Roman"/>
          <w:sz w:val="20"/>
        </w:rPr>
      </w:pPr>
      <w:r>
        <w:rPr>
          <w:rFonts w:ascii="Times New Roman" w:hAnsi="Times New Roman"/>
          <w:sz w:val="20"/>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spacing w:before="180" w:after="0"/>
        <w:rPr>
          <w:rFonts w:ascii="Times New Roman" w:hAnsi="Times New Roman"/>
          <w:sz w:val="20"/>
        </w:rPr>
      </w:pPr>
      <w:r>
        <w:rPr>
          <w:rFonts w:ascii="Times New Roman" w:hAnsi="Times New Roman"/>
          <w:sz w:val="20"/>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spacing w:before="180" w:after="0"/>
        <w:rPr>
          <w:rFonts w:ascii="Times New Roman" w:hAnsi="Times New Roman"/>
          <w:sz w:val="20"/>
        </w:rPr>
      </w:pPr>
      <w:r>
        <w:rPr>
          <w:rFonts w:ascii="Times New Roman" w:hAnsi="Times New Roman"/>
          <w:sz w:val="20"/>
        </w:rPr>
        <w:t xml:space="preserve">Debt securities represented by a global debt security will be exchangeable for certificated debt securities with the same terms in authorized denominations only if: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2"/>
        <w:gridCol w:w="9390"/>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DTC notifies us that it is unwilling or unable to continue as depositary or if DTC ceases to be a clearing agency registered under applicable law and in either event a successor depositary is not appointed by us within 90 days;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determine not to require all of the debt securities of a series to be represented by a global debt security.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Satisfaction and Discharge; Defeasance </w:t>
      </w:r>
    </w:p>
    <w:p>
      <w:pPr>
        <w:pStyle w:val="TextBody"/>
        <w:spacing w:before="90" w:after="0"/>
        <w:rPr>
          <w:rFonts w:ascii="Times New Roman" w:hAnsi="Times New Roman"/>
          <w:sz w:val="20"/>
        </w:rPr>
      </w:pPr>
      <w:r>
        <w:rPr>
          <w:rFonts w:ascii="Times New Roman" w:hAnsi="Times New Roman"/>
          <w:sz w:val="20"/>
        </w:rPr>
        <w:t xml:space="preserve">Each indenture will be discharged and will cease to be of further effect as to all outstanding debt securities of any series issued thereunder, when: </w:t>
      </w:r>
    </w:p>
    <w:p>
      <w:pPr>
        <w:pStyle w:val="TextBody"/>
        <w:spacing w:before="180" w:after="0"/>
        <w:rPr>
          <w:rFonts w:ascii="Times New Roman" w:hAnsi="Times New Roman"/>
          <w:sz w:val="20"/>
        </w:rPr>
      </w:pPr>
      <w:r>
        <w:rPr>
          <w:rFonts w:ascii="Times New Roman" w:hAnsi="Times New Roman"/>
          <w:sz w:val="20"/>
        </w:rPr>
        <w:t xml:space="preserve">(a) either: </w:t>
      </w:r>
    </w:p>
    <w:p>
      <w:pPr>
        <w:pStyle w:val="TextBody"/>
        <w:spacing w:before="90" w:after="0"/>
        <w:rPr>
          <w:rFonts w:ascii="Times New Roman" w:hAnsi="Times New Roman"/>
          <w:sz w:val="20"/>
        </w:rPr>
      </w:pPr>
      <w:r>
        <w:rPr>
          <w:rFonts w:ascii="Times New Roman" w:hAnsi="Times New Roman"/>
          <w:sz w:val="20"/>
        </w:rPr>
        <w:t xml:space="preserve">(1) 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p>
    <w:p>
      <w:pPr>
        <w:pStyle w:val="TextBody"/>
        <w:spacing w:before="90" w:after="0"/>
        <w:rPr>
          <w:rFonts w:ascii="Times New Roman" w:hAnsi="Times New Roman"/>
          <w:sz w:val="20"/>
        </w:rPr>
      </w:pPr>
      <w:r>
        <w:rPr>
          <w:rFonts w:ascii="Times New Roman" w:hAnsi="Times New Roman"/>
          <w:sz w:val="20"/>
        </w:rPr>
        <w:t xml:space="preserve">(2) 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p>
    <w:p>
      <w:pPr>
        <w:pStyle w:val="TextBody"/>
        <w:spacing w:before="90" w:after="0"/>
        <w:rPr>
          <w:rFonts w:ascii="Times New Roman" w:hAnsi="Times New Roman"/>
          <w:sz w:val="20"/>
        </w:rPr>
      </w:pPr>
      <w:r>
        <w:rPr>
          <w:rFonts w:ascii="Times New Roman" w:hAnsi="Times New Roman"/>
          <w:sz w:val="20"/>
        </w:rPr>
        <w:t xml:space="preserve">(b) we have paid or caused to be paid all other sums payable by us under the indenture; and </w:t>
      </w:r>
    </w:p>
    <w:p>
      <w:pPr>
        <w:pStyle w:val="TextBody"/>
        <w:spacing w:before="180" w:after="0"/>
        <w:rPr>
          <w:rFonts w:ascii="Times New Roman" w:hAnsi="Times New Roman"/>
          <w:sz w:val="20"/>
        </w:rPr>
      </w:pPr>
      <w:r>
        <w:rPr>
          <w:rFonts w:ascii="Times New Roman" w:hAnsi="Times New Roman"/>
          <w:sz w:val="20"/>
        </w:rPr>
        <w:t xml:space="preserve">(c) we have delivered an officers certificate and an opinion of counsel to the Trustee stating that all conditions precedent to satisfaction and discharge have been satisfied. </w:t>
      </w:r>
    </w:p>
    <w:p>
      <w:pPr>
        <w:pStyle w:val="TextBody"/>
        <w:spacing w:before="180" w:after="0"/>
        <w:rPr>
          <w:rFonts w:ascii="Times New Roman" w:hAnsi="Times New Roman"/>
          <w:sz w:val="20"/>
        </w:rPr>
      </w:pPr>
      <w:r>
        <w:rPr>
          <w:rFonts w:ascii="Times New Roman" w:hAnsi="Times New Roman"/>
          <w:sz w:val="20"/>
        </w:rPr>
        <w:t xml:space="preserve">The debt securities of a particular series will be subject to legal or covenant defeasance to the extent, and upon the terms and conditions, set forth in the prospectus supplement. </w:t>
      </w:r>
    </w:p>
    <w:p>
      <w:pPr>
        <w:pStyle w:val="TextBody"/>
        <w:spacing w:before="270" w:after="0"/>
        <w:rPr>
          <w:rFonts w:ascii="Times New Roman" w:hAnsi="Times New Roman"/>
          <w:b/>
          <w:sz w:val="20"/>
        </w:rPr>
      </w:pPr>
      <w:r>
        <w:rPr>
          <w:rFonts w:ascii="Times New Roman" w:hAnsi="Times New Roman"/>
          <w:b/>
          <w:sz w:val="20"/>
        </w:rPr>
        <w:t xml:space="preserve">The Trustee </w:t>
      </w:r>
    </w:p>
    <w:p>
      <w:pPr>
        <w:pStyle w:val="TextBody"/>
        <w:spacing w:before="90" w:after="0"/>
        <w:rPr>
          <w:rFonts w:ascii="Times New Roman" w:hAnsi="Times New Roman"/>
          <w:sz w:val="20"/>
        </w:rPr>
      </w:pPr>
      <w:r>
        <w:rPr>
          <w:rFonts w:ascii="Times New Roman" w:hAnsi="Times New Roman"/>
          <w:sz w:val="20"/>
        </w:rPr>
        <w:t xml:space="preserve">U.S. Bank National Association is the Trustee under the senior indenture and will be the initial Trustee under the subordinated indenture. We maintain a banking relationship in the ordinary course of business with U.S. Bank National Association and some of its affiliates. </w:t>
      </w:r>
    </w:p>
    <w:p>
      <w:pPr>
        <w:pStyle w:val="TextBody"/>
        <w:spacing w:before="270" w:after="0"/>
        <w:rPr>
          <w:rFonts w:ascii="Times New Roman" w:hAnsi="Times New Roman"/>
          <w:b/>
          <w:i/>
          <w:sz w:val="20"/>
        </w:rPr>
      </w:pPr>
      <w:r>
        <w:rPr>
          <w:rFonts w:ascii="Times New Roman" w:hAnsi="Times New Roman"/>
          <w:b/>
          <w:i/>
          <w:sz w:val="20"/>
        </w:rPr>
        <w:t xml:space="preserve">Resignation or Removal of Trustee </w:t>
      </w:r>
    </w:p>
    <w:p>
      <w:pPr>
        <w:pStyle w:val="TextBody"/>
        <w:spacing w:before="90" w:after="0"/>
        <w:rPr>
          <w:rFonts w:ascii="Times New Roman" w:hAnsi="Times New Roman"/>
          <w:sz w:val="20"/>
        </w:rPr>
      </w:pPr>
      <w:r>
        <w:rPr>
          <w:rFonts w:ascii="Times New Roman" w:hAnsi="Times New Roman"/>
          <w:sz w:val="20"/>
        </w:rPr>
        <w:t xml:space="preserve">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 </w:t>
      </w:r>
    </w:p>
    <w:p>
      <w:pPr>
        <w:pStyle w:val="TextBody"/>
        <w:spacing w:before="180" w:after="0"/>
        <w:rPr>
          <w:rFonts w:ascii="Times New Roman" w:hAnsi="Times New Roman"/>
          <w:sz w:val="20"/>
        </w:rPr>
      </w:pPr>
      <w:r>
        <w:rPr>
          <w:rFonts w:ascii="Times New Roman" w:hAnsi="Times New Roman"/>
          <w:sz w:val="20"/>
        </w:rPr>
        <w:t xml:space="preserve">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 </w:t>
      </w:r>
    </w:p>
    <w:p>
      <w:pPr>
        <w:pStyle w:val="TextBody"/>
        <w:spacing w:before="270" w:after="0"/>
        <w:rPr>
          <w:rFonts w:ascii="Times New Roman" w:hAnsi="Times New Roman"/>
          <w:b/>
          <w:i/>
          <w:sz w:val="20"/>
        </w:rPr>
      </w:pPr>
      <w:r>
        <w:rPr>
          <w:rFonts w:ascii="Times New Roman" w:hAnsi="Times New Roman"/>
          <w:b/>
          <w:i/>
          <w:sz w:val="20"/>
        </w:rPr>
        <w:t xml:space="preserve">Limitations on Trustee if it is a Creditor </w:t>
      </w:r>
    </w:p>
    <w:p>
      <w:pPr>
        <w:pStyle w:val="TextBody"/>
        <w:spacing w:before="90" w:after="0"/>
        <w:rPr>
          <w:rFonts w:ascii="Times New Roman" w:hAnsi="Times New Roman"/>
          <w:sz w:val="20"/>
        </w:rPr>
      </w:pPr>
      <w:r>
        <w:rPr>
          <w:rFonts w:ascii="Times New Roman" w:hAnsi="Times New Roman"/>
          <w:sz w:val="20"/>
        </w:rPr>
        <w:t xml:space="preserve">Each indenture will limit the right of the Trustee thereunder, in the event that it becomes a creditor of an issuer or any guarantor, to obtain payment of claims in certain cases, or to realize on certain property received in respect of any such claim as security or otherwise.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Certificates and Opinions to be Furnished to Trustee </w:t>
      </w:r>
    </w:p>
    <w:p>
      <w:pPr>
        <w:pStyle w:val="TextBody"/>
        <w:spacing w:before="90" w:after="0"/>
        <w:rPr>
          <w:rFonts w:ascii="Times New Roman" w:hAnsi="Times New Roman"/>
          <w:sz w:val="20"/>
        </w:rPr>
      </w:pPr>
      <w:r>
        <w:rPr>
          <w:rFonts w:ascii="Times New Roman" w:hAnsi="Times New Roman"/>
          <w:sz w:val="20"/>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spacing w:before="270" w:after="0"/>
        <w:rPr>
          <w:rFonts w:ascii="Times New Roman" w:hAnsi="Times New Roman"/>
          <w:b/>
          <w:sz w:val="20"/>
        </w:rPr>
      </w:pPr>
      <w:r>
        <w:rPr>
          <w:rFonts w:ascii="Times New Roman" w:hAnsi="Times New Roman"/>
          <w:b/>
          <w:sz w:val="20"/>
        </w:rPr>
        <w:t xml:space="preserve">Governing Law </w:t>
      </w:r>
    </w:p>
    <w:p>
      <w:pPr>
        <w:pStyle w:val="TextBody"/>
        <w:spacing w:before="90" w:after="0"/>
        <w:rPr>
          <w:rFonts w:ascii="Times New Roman" w:hAnsi="Times New Roman"/>
          <w:sz w:val="20"/>
        </w:rPr>
      </w:pPr>
      <w:r>
        <w:rPr>
          <w:rFonts w:ascii="Times New Roman" w:hAnsi="Times New Roman"/>
          <w:sz w:val="20"/>
        </w:rPr>
        <w:t xml:space="preserve">Each indenture and all of the debt securities will be governed by the laws of the State of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toc415878_9"/>
      <w:bookmarkEnd w:id="11"/>
      <w:r>
        <w:rPr>
          <w:rFonts w:ascii="Times New Roman" w:hAnsi="Times New Roman"/>
          <w:b/>
          <w:sz w:val="20"/>
        </w:rPr>
        <w:t xml:space="preserve">Description of Our Common Units </w:t>
      </w:r>
    </w:p>
    <w:p>
      <w:pPr>
        <w:pStyle w:val="TextBody"/>
        <w:spacing w:before="180" w:after="0"/>
        <w:rPr>
          <w:rFonts w:ascii="Times New Roman" w:hAnsi="Times New Roman"/>
          <w:sz w:val="20"/>
        </w:rPr>
      </w:pPr>
      <w:r>
        <w:rPr>
          <w:rFonts w:ascii="Times New Roman" w:hAnsi="Times New Roman"/>
          <w:sz w:val="20"/>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 </w:t>
      </w:r>
    </w:p>
    <w:p>
      <w:pPr>
        <w:pStyle w:val="TextBody"/>
        <w:spacing w:before="180" w:after="0"/>
        <w:rPr>
          <w:rFonts w:ascii="Times New Roman" w:hAnsi="Times New Roman"/>
          <w:sz w:val="20"/>
        </w:rPr>
      </w:pPr>
      <w:r>
        <w:rPr>
          <w:rFonts w:ascii="Times New Roman" w:hAnsi="Times New Roman"/>
          <w:sz w:val="20"/>
        </w:rPr>
        <w:t xml:space="preserve">Our outstanding common units are listed on the NYSE under the symbol PAA. Any additional common units we issue will also be listed on the NYSE. </w:t>
      </w:r>
    </w:p>
    <w:p>
      <w:pPr>
        <w:pStyle w:val="TextBody"/>
        <w:spacing w:before="180" w:after="0"/>
        <w:rPr>
          <w:rFonts w:ascii="Times New Roman" w:hAnsi="Times New Roman"/>
          <w:sz w:val="20"/>
        </w:rPr>
      </w:pPr>
      <w:r>
        <w:rPr>
          <w:rFonts w:ascii="Times New Roman" w:hAnsi="Times New Roman"/>
          <w:sz w:val="20"/>
        </w:rPr>
        <w:t xml:space="preserve">The transfer agent and registrar for our common units is American Stock Transfer &amp; Trust Company. </w:t>
      </w:r>
    </w:p>
    <w:p>
      <w:pPr>
        <w:pStyle w:val="TextBody"/>
        <w:spacing w:before="270" w:after="0"/>
        <w:rPr>
          <w:rFonts w:ascii="Times New Roman" w:hAnsi="Times New Roman"/>
          <w:b/>
          <w:sz w:val="20"/>
        </w:rPr>
      </w:pPr>
      <w:r>
        <w:rPr>
          <w:rFonts w:ascii="Times New Roman" w:hAnsi="Times New Roman"/>
          <w:b/>
          <w:sz w:val="20"/>
        </w:rPr>
        <w:t xml:space="preserve">Meetings/Voting </w:t>
      </w:r>
    </w:p>
    <w:p>
      <w:pPr>
        <w:pStyle w:val="TextBody"/>
        <w:spacing w:before="90" w:after="0"/>
        <w:rPr>
          <w:rFonts w:ascii="Times New Roman" w:hAnsi="Times New Roman"/>
          <w:sz w:val="20"/>
        </w:rPr>
      </w:pPr>
      <w:r>
        <w:rPr>
          <w:rFonts w:ascii="Times New Roman" w:hAnsi="Times New Roman"/>
          <w:sz w:val="20"/>
        </w:rPr>
        <w:t xml:space="preserve">Each holder of common units is entitled to one vote for each common unit on all matters submitted to a vote of the unitholders. </w:t>
      </w:r>
    </w:p>
    <w:p>
      <w:pPr>
        <w:pStyle w:val="TextBody"/>
        <w:spacing w:before="270" w:after="0"/>
        <w:rPr>
          <w:rFonts w:ascii="Times New Roman" w:hAnsi="Times New Roman"/>
          <w:b/>
          <w:sz w:val="20"/>
        </w:rPr>
      </w:pPr>
      <w:r>
        <w:rPr>
          <w:rFonts w:ascii="Times New Roman" w:hAnsi="Times New Roman"/>
          <w:b/>
          <w:sz w:val="20"/>
        </w:rPr>
        <w:t xml:space="preserve">Status as Limited Partner or Assignee </w:t>
      </w:r>
    </w:p>
    <w:p>
      <w:pPr>
        <w:pStyle w:val="TextBody"/>
        <w:spacing w:before="90" w:after="0"/>
        <w:rPr>
          <w:rFonts w:ascii="Times New Roman" w:hAnsi="Times New Roman"/>
          <w:sz w:val="20"/>
        </w:rPr>
      </w:pPr>
      <w:r>
        <w:rPr>
          <w:rFonts w:ascii="Times New Roman" w:hAnsi="Times New Roman"/>
          <w:sz w:val="20"/>
        </w:rPr>
        <w:t xml:space="preserve">Except as described below under  Limited Liability, the common units will be fully paid, and unitholders will not be required to make additional capital contributions to us. </w:t>
      </w:r>
    </w:p>
    <w:p>
      <w:pPr>
        <w:pStyle w:val="TextBody"/>
        <w:spacing w:before="180" w:after="0"/>
        <w:rPr>
          <w:rFonts w:ascii="Times New Roman" w:hAnsi="Times New Roman"/>
          <w:sz w:val="20"/>
        </w:rPr>
      </w:pPr>
      <w:r>
        <w:rPr>
          <w:rFonts w:ascii="Times New Roman" w:hAnsi="Times New Roman"/>
          <w:sz w:val="20"/>
        </w:rPr>
        <w:t xml:space="preserve">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spacing w:before="180" w:after="0"/>
        <w:rPr>
          <w:rFonts w:ascii="Times New Roman" w:hAnsi="Times New Roman"/>
          <w:sz w:val="20"/>
        </w:rPr>
      </w:pPr>
      <w:r>
        <w:rPr>
          <w:rFonts w:ascii="Times New Roman" w:hAnsi="Times New Roman"/>
          <w:sz w:val="20"/>
        </w:rPr>
        <w:t xml:space="preserve">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spacing w:before="270" w:after="0"/>
        <w:rPr>
          <w:rFonts w:ascii="Times New Roman" w:hAnsi="Times New Roman"/>
          <w:b/>
          <w:sz w:val="20"/>
        </w:rPr>
      </w:pPr>
      <w:r>
        <w:rPr>
          <w:rFonts w:ascii="Times New Roman" w:hAnsi="Times New Roman"/>
          <w:b/>
          <w:sz w:val="20"/>
        </w:rPr>
        <w:t xml:space="preserve">Limited Liability </w:t>
      </w:r>
    </w:p>
    <w:p>
      <w:pPr>
        <w:pStyle w:val="TextBody"/>
        <w:spacing w:before="90" w:after="0"/>
        <w:rPr>
          <w:rFonts w:ascii="Times New Roman" w:hAnsi="Times New Roman"/>
          <w:sz w:val="20"/>
        </w:rPr>
      </w:pPr>
      <w:r>
        <w:rPr>
          <w:rFonts w:ascii="Times New Roman" w:hAnsi="Times New Roman"/>
          <w:sz w:val="20"/>
        </w:rPr>
        <w:t xml:space="preserve">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 </w:t>
      </w:r>
    </w:p>
    <w:p>
      <w:pPr>
        <w:pStyle w:val="TextBody"/>
        <w:spacing w:before="180" w:after="0"/>
        <w:rPr>
          <w:rFonts w:ascii="Times New Roman" w:hAnsi="Times New Roman"/>
          <w:sz w:val="20"/>
        </w:rPr>
      </w:pPr>
      <w:r>
        <w:rPr>
          <w:rFonts w:ascii="Times New Roman" w:hAnsi="Times New Roman"/>
          <w:sz w:val="20"/>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Reports and Records </w:t>
      </w:r>
    </w:p>
    <w:p>
      <w:pPr>
        <w:pStyle w:val="TextBody"/>
        <w:spacing w:before="90" w:after="0"/>
        <w:rPr>
          <w:rFonts w:ascii="Times New Roman" w:hAnsi="Times New Roman"/>
          <w:sz w:val="20"/>
        </w:rPr>
      </w:pPr>
      <w:r>
        <w:rPr>
          <w:rFonts w:ascii="Times New Roman" w:hAnsi="Times New Roman"/>
          <w:sz w:val="20"/>
        </w:rPr>
        <w:t xml:space="preserve">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 </w:t>
      </w:r>
    </w:p>
    <w:p>
      <w:pPr>
        <w:pStyle w:val="TextBody"/>
        <w:spacing w:before="180" w:after="0"/>
        <w:rPr>
          <w:rFonts w:ascii="Times New Roman" w:hAnsi="Times New Roman"/>
          <w:sz w:val="20"/>
        </w:rPr>
      </w:pPr>
      <w:r>
        <w:rPr>
          <w:rFonts w:ascii="Times New Roman" w:hAnsi="Times New Roman"/>
          <w:sz w:val="20"/>
        </w:rPr>
        <w:t xml:space="preserve">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 </w:t>
      </w:r>
    </w:p>
    <w:p>
      <w:pPr>
        <w:pStyle w:val="TextBody"/>
        <w:spacing w:before="180" w:after="0"/>
        <w:rPr>
          <w:rFonts w:ascii="Times New Roman" w:hAnsi="Times New Roman"/>
          <w:sz w:val="20"/>
        </w:rPr>
      </w:pPr>
      <w:r>
        <w:rPr>
          <w:rFonts w:ascii="Times New Roman" w:hAnsi="Times New Roman"/>
          <w:sz w:val="20"/>
        </w:rPr>
        <w:t xml:space="preserve">A limited partner can, for a purpose reasonably related to the limited partners interest as a limited partner, upon reasonable demand and at his own expense, have furnished to him: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current list of the name and last known address of each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our tax returns;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as to the amount of cash and a description and statement of the agreed value of any other property or services, contributed or to be contributed by each partner and the date on which each became a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copies of our partnership agreement, our certificate of limited partnership, amendments to either of them and powers of attorney which have been executed under our partnership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regarding the status of our business and financial condition;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information regarding our affairs as is just and reasonable. </w:t>
            </w:r>
          </w:p>
        </w:tc>
      </w:tr>
    </w:tbl>
    <w:p>
      <w:pPr>
        <w:pStyle w:val="TextBody"/>
        <w:spacing w:before="180" w:after="0"/>
        <w:rPr>
          <w:rFonts w:ascii="Times New Roman" w:hAnsi="Times New Roman"/>
          <w:sz w:val="20"/>
        </w:rPr>
      </w:pPr>
      <w:r>
        <w:rPr>
          <w:rFonts w:ascii="Times New Roman" w:hAnsi="Times New Roman"/>
          <w:sz w:val="20"/>
        </w:rPr>
        <w:t xml:space="preserve">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toc415878_10"/>
      <w:bookmarkEnd w:id="12"/>
      <w:r>
        <w:rPr>
          <w:rFonts w:ascii="Times New Roman" w:hAnsi="Times New Roman"/>
          <w:b/>
          <w:sz w:val="20"/>
        </w:rPr>
        <w:t xml:space="preserve">Cash Distribution Policy </w:t>
      </w:r>
    </w:p>
    <w:p>
      <w:pPr>
        <w:pStyle w:val="TextBody"/>
        <w:spacing w:before="270" w:after="0"/>
        <w:rPr>
          <w:rFonts w:ascii="Times New Roman" w:hAnsi="Times New Roman"/>
          <w:b/>
          <w:sz w:val="20"/>
        </w:rPr>
      </w:pPr>
      <w:r>
        <w:rPr>
          <w:rFonts w:ascii="Times New Roman" w:hAnsi="Times New Roman"/>
          <w:b/>
          <w:sz w:val="20"/>
        </w:rPr>
        <w:t xml:space="preserve">Distributions of Available Cash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We will distribute to our unitholders, on a quarterly basis, all of our available cash in the manner described below. </w:t>
      </w:r>
    </w:p>
    <w:p>
      <w:pPr>
        <w:pStyle w:val="TextBody"/>
        <w:spacing w:before="180" w:after="0"/>
        <w:rPr>
          <w:rFonts w:ascii="Times New Roman" w:hAnsi="Times New Roman"/>
          <w:sz w:val="20"/>
        </w:rPr>
      </w:pPr>
      <w:r>
        <w:rPr>
          <w:rFonts w:ascii="Times New Roman" w:hAnsi="Times New Roman"/>
          <w:i/>
          <w:sz w:val="20"/>
        </w:rPr>
        <w:t>Definition of Available Cash</w:t>
      </w:r>
      <w:r>
        <w:rPr>
          <w:rFonts w:ascii="Times New Roman" w:hAnsi="Times New Roman"/>
          <w:sz w:val="20"/>
        </w:rPr>
        <w:t xml:space="preserve">.  Available cash generally means, for any quarter ending prior to liquidation, all cash on hand at the end of that quarter less the amount of cash reserves that are necessary or appropriate in the reasonable discretion of the general partner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for the proper conduct of our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comply with applicable law or any partnership debt instrument or other agreement;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funds for distributions to unitholders and the general partner in respect of any one or more of the next four quarters. </w:t>
            </w:r>
          </w:p>
        </w:tc>
      </w:tr>
    </w:tbl>
    <w:p>
      <w:pPr>
        <w:pStyle w:val="TextBody"/>
        <w:spacing w:before="270" w:after="0"/>
        <w:rPr>
          <w:rFonts w:ascii="Times New Roman" w:hAnsi="Times New Roman"/>
          <w:b/>
          <w:sz w:val="20"/>
        </w:rPr>
      </w:pPr>
      <w:r>
        <w:rPr>
          <w:rFonts w:ascii="Times New Roman" w:hAnsi="Times New Roman"/>
          <w:b/>
          <w:sz w:val="20"/>
        </w:rPr>
        <w:t xml:space="preserve">Operating Surplus and Capital Surplus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Cash distributions to our unitholders will be characterized as either operating surplus or capital surplus. We distribute available cash from operating surplus differently than available cash from capital surplus. See  Quarterly Distributions of Available Cash. </w:t>
      </w:r>
    </w:p>
    <w:p>
      <w:pPr>
        <w:pStyle w:val="TextBody"/>
        <w:spacing w:before="180" w:after="0"/>
        <w:rPr>
          <w:rFonts w:ascii="Times New Roman" w:hAnsi="Times New Roman"/>
          <w:sz w:val="20"/>
        </w:rPr>
      </w:pPr>
      <w:r>
        <w:rPr>
          <w:rFonts w:ascii="Times New Roman" w:hAnsi="Times New Roman"/>
          <w:i/>
          <w:sz w:val="20"/>
        </w:rPr>
        <w:t>Definition of Operating Surplus</w:t>
      </w:r>
      <w:r>
        <w:rPr>
          <w:rFonts w:ascii="Times New Roman" w:hAnsi="Times New Roman"/>
          <w:sz w:val="20"/>
        </w:rPr>
        <w:t xml:space="preserve">.  Operating surplus refers generally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cash balances on the closing date of our initial public offering;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$25 million;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cash receipts from operations, excluding cash that is capital surplus; less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p>
        </w:tc>
      </w:tr>
    </w:tbl>
    <w:p>
      <w:pPr>
        <w:pStyle w:val="TextBody"/>
        <w:spacing w:before="180" w:after="0"/>
        <w:rPr>
          <w:rFonts w:ascii="Times New Roman" w:hAnsi="Times New Roman"/>
          <w:sz w:val="20"/>
        </w:rPr>
      </w:pPr>
      <w:r>
        <w:rPr>
          <w:rFonts w:ascii="Times New Roman" w:hAnsi="Times New Roman"/>
          <w:i/>
          <w:sz w:val="20"/>
        </w:rPr>
        <w:t>Definition of Capital Surplus</w:t>
      </w:r>
      <w:r>
        <w:rPr>
          <w:rFonts w:ascii="Times New Roman" w:hAnsi="Times New Roman"/>
          <w:sz w:val="20"/>
        </w:rPr>
        <w:t xml:space="preserve">.  Capital surplus will generally be generated only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borrowings other than working capital borrowings;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of debt and equity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or other dispositions of assets for cash, other than inventory, accounts receivable and other assets in the ordinary course of business. </w:t>
            </w:r>
          </w:p>
        </w:tc>
      </w:tr>
    </w:tbl>
    <w:p>
      <w:pPr>
        <w:pStyle w:val="TextBody"/>
        <w:spacing w:before="180" w:after="0"/>
        <w:rPr>
          <w:rFonts w:ascii="Times New Roman" w:hAnsi="Times New Roman"/>
          <w:sz w:val="20"/>
        </w:rPr>
      </w:pPr>
      <w:r>
        <w:rPr>
          <w:rFonts w:ascii="Times New Roman" w:hAnsi="Times New Roman"/>
          <w:sz w:val="20"/>
        </w:rPr>
        <w:t xml:space="preserve">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 </w:t>
      </w:r>
    </w:p>
    <w:p>
      <w:pPr>
        <w:pStyle w:val="TextBody"/>
        <w:spacing w:before="180" w:after="0"/>
        <w:rPr>
          <w:rFonts w:ascii="Times New Roman" w:hAnsi="Times New Roman"/>
          <w:sz w:val="20"/>
        </w:rPr>
      </w:pPr>
      <w:r>
        <w:rPr>
          <w:rFonts w:ascii="Times New Roman" w:hAnsi="Times New Roman"/>
          <w:sz w:val="20"/>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The incentive distribution rights represent the right to receive an increasing percentage of quarterly distributions of available cash from operating surplus after the minimum quarterly distribution and the target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distribution levels have been achieved. The target distribution levels are based on the amounts of available cash from operating surplus distributed above the payments made under the minimum quarterly distribution, if any, and the related 2% distribution to the general partner. </w:t>
      </w:r>
    </w:p>
    <w:p>
      <w:pPr>
        <w:pStyle w:val="TextBody"/>
        <w:spacing w:before="270" w:after="0"/>
        <w:rPr>
          <w:rFonts w:ascii="Times New Roman" w:hAnsi="Times New Roman"/>
          <w:b/>
          <w:sz w:val="20"/>
        </w:rPr>
      </w:pPr>
      <w:r>
        <w:rPr>
          <w:rFonts w:ascii="Times New Roman" w:hAnsi="Times New Roman"/>
          <w:b/>
          <w:sz w:val="20"/>
        </w:rPr>
        <w:t xml:space="preserve">Effect of Issuance of Additional Units </w:t>
      </w:r>
    </w:p>
    <w:p>
      <w:pPr>
        <w:pStyle w:val="TextBody"/>
        <w:spacing w:before="90" w:after="0"/>
        <w:rPr>
          <w:rFonts w:ascii="Times New Roman" w:hAnsi="Times New Roman"/>
          <w:sz w:val="20"/>
        </w:rPr>
      </w:pPr>
      <w:r>
        <w:rPr>
          <w:rFonts w:ascii="Times New Roman" w:hAnsi="Times New Roman"/>
          <w:sz w:val="20"/>
        </w:rPr>
        <w:t xml:space="preserve">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 </w:t>
      </w:r>
    </w:p>
    <w:p>
      <w:pPr>
        <w:pStyle w:val="TextBody"/>
        <w:spacing w:before="180" w:after="0"/>
        <w:rPr>
          <w:rFonts w:ascii="Times New Roman" w:hAnsi="Times New Roman"/>
          <w:sz w:val="20"/>
        </w:rPr>
      </w:pPr>
      <w:r>
        <w:rPr>
          <w:rFonts w:ascii="Times New Roman" w:hAnsi="Times New Roman"/>
          <w:sz w:val="20"/>
        </w:rPr>
        <w:t xml:space="preserve">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w:t>
      </w:r>
    </w:p>
    <w:p>
      <w:pPr>
        <w:pStyle w:val="TextBody"/>
        <w:spacing w:before="270" w:after="0"/>
        <w:rPr>
          <w:rFonts w:ascii="Times New Roman" w:hAnsi="Times New Roman"/>
          <w:b/>
          <w:sz w:val="20"/>
        </w:rPr>
      </w:pPr>
      <w:r>
        <w:rPr>
          <w:rFonts w:ascii="Times New Roman" w:hAnsi="Times New Roman"/>
          <w:b/>
          <w:sz w:val="20"/>
        </w:rPr>
        <w:t xml:space="preserve">Quarterly Distributions of Available Cash </w:t>
      </w:r>
    </w:p>
    <w:p>
      <w:pPr>
        <w:pStyle w:val="TextBody"/>
        <w:spacing w:before="90" w:after="0"/>
        <w:rPr>
          <w:rFonts w:ascii="Times New Roman" w:hAnsi="Times New Roman"/>
          <w:sz w:val="20"/>
        </w:rPr>
      </w:pPr>
      <w:r>
        <w:rPr>
          <w:rFonts w:ascii="Times New Roman" w:hAnsi="Times New Roman"/>
          <w:sz w:val="20"/>
        </w:rPr>
        <w:t xml:space="preserve">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 </w:t>
      </w:r>
    </w:p>
    <w:p>
      <w:pPr>
        <w:pStyle w:val="TextBody"/>
        <w:spacing w:before="270" w:after="0"/>
        <w:rPr>
          <w:rFonts w:ascii="Times New Roman" w:hAnsi="Times New Roman"/>
          <w:b/>
          <w:sz w:val="20"/>
        </w:rPr>
      </w:pPr>
      <w:r>
        <w:rPr>
          <w:rFonts w:ascii="Times New Roman" w:hAnsi="Times New Roman"/>
          <w:b/>
          <w:sz w:val="20"/>
        </w:rPr>
        <w:t xml:space="preserve">Distributions From Operating Surplus </w:t>
      </w:r>
    </w:p>
    <w:p>
      <w:pPr>
        <w:pStyle w:val="TextBody"/>
        <w:spacing w:before="90" w:after="0"/>
        <w:rPr>
          <w:rFonts w:ascii="Times New Roman" w:hAnsi="Times New Roman"/>
          <w:sz w:val="20"/>
        </w:rPr>
      </w:pPr>
      <w:r>
        <w:rPr>
          <w:rFonts w:ascii="Times New Roman" w:hAnsi="Times New Roman"/>
          <w:sz w:val="20"/>
        </w:rPr>
        <w:t xml:space="preserve">We will make distributions of available cash from operating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98% to all unitholders, pro rata, and 2% to the general partner, until we distribute for each unit an amount equal to the minimum quarterly distribution for that quarter;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Thereafter</w:t>
            </w:r>
            <w:r>
              <w:rPr>
                <w:rFonts w:ascii="Times New Roman" w:hAnsi="Times New Roman"/>
                <w:sz w:val="20"/>
              </w:rPr>
              <w:t xml:space="preserve">, in the manner described in  Incentive Distribution Rights below. </w:t>
            </w:r>
          </w:p>
        </w:tc>
      </w:tr>
    </w:tbl>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85% to all unitholders, pro rata, and 15% to the general partner, until each unitholder receives a total of $0.495 for that quarter for each outstanding unit (the first target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75% to all unitholders, pro rata, and 25% to the general partner, until each unitholder receives a total of $0.675 for that quarter for each outstanding unit (the second target distribution);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Thereafter</w:t>
            </w:r>
            <w:r>
              <w:rPr>
                <w:rFonts w:ascii="Times New Roman" w:hAnsi="Times New Roman"/>
                <w:sz w:val="20"/>
              </w:rPr>
              <w:t xml:space="preserve">, 50% to all unitholders, pro rata, and 50% to the general partner. </w:t>
            </w:r>
          </w:p>
        </w:tc>
      </w:tr>
    </w:tbl>
    <w:p>
      <w:pPr>
        <w:pStyle w:val="TextBody"/>
        <w:spacing w:before="180" w:after="0"/>
        <w:rPr>
          <w:rFonts w:ascii="Times New Roman" w:hAnsi="Times New Roman"/>
          <w:sz w:val="20"/>
        </w:rPr>
      </w:pPr>
      <w:r>
        <w:rPr>
          <w:rFonts w:ascii="Times New Roman" w:hAnsi="Times New Roman"/>
          <w:sz w:val="20"/>
        </w:rPr>
        <w:t xml:space="preserve">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Adjustments to Incentive Distribution Rights </w:t>
      </w:r>
    </w:p>
    <w:p>
      <w:pPr>
        <w:pStyle w:val="TextBody"/>
        <w:spacing w:before="90" w:after="0"/>
        <w:rPr>
          <w:rFonts w:ascii="Times New Roman" w:hAnsi="Times New Roman"/>
          <w:sz w:val="20"/>
        </w:rPr>
      </w:pPr>
      <w:r>
        <w:rPr>
          <w:rFonts w:ascii="Times New Roman" w:hAnsi="Times New Roman"/>
          <w:sz w:val="20"/>
        </w:rPr>
        <w:t xml:space="preserve">In connection with acquisitions or similar transactions, we have and may in the future modify the incentive distribution rights to, among other reasons, accelerate the accretion or other benefits of the transaction to limited partners. </w:t>
      </w:r>
    </w:p>
    <w:p>
      <w:pPr>
        <w:pStyle w:val="TextBody"/>
        <w:spacing w:before="180" w:after="0"/>
        <w:rPr>
          <w:rFonts w:ascii="Times New Roman" w:hAnsi="Times New Roman"/>
          <w:sz w:val="20"/>
        </w:rPr>
      </w:pPr>
      <w:r>
        <w:rPr>
          <w:rFonts w:ascii="Times New Roman" w:hAnsi="Times New Roman"/>
          <w:sz w:val="20"/>
        </w:rPr>
        <w:t xml:space="preserve">In connection with our acquisition of BP Canada Energy Company in April 2012 (the BP NGL Acquisition), our general partner agreed to reduce the amounts due it as incentive distributions by $3,750,000 per quarter for eight quarters beginning with the first distribution paid after closing, and $2,500,000 per quarter thereafter. </w:t>
      </w:r>
    </w:p>
    <w:p>
      <w:pPr>
        <w:pStyle w:val="TextBody"/>
        <w:spacing w:before="270" w:after="0"/>
        <w:rPr>
          <w:rFonts w:ascii="Times New Roman" w:hAnsi="Times New Roman"/>
          <w:b/>
          <w:sz w:val="20"/>
        </w:rPr>
      </w:pPr>
      <w:r>
        <w:rPr>
          <w:rFonts w:ascii="Times New Roman" w:hAnsi="Times New Roman"/>
          <w:b/>
          <w:sz w:val="20"/>
        </w:rPr>
        <w:t xml:space="preserve">Distributions from Capital Surplus </w:t>
      </w:r>
    </w:p>
    <w:p>
      <w:pPr>
        <w:pStyle w:val="TextBody"/>
        <w:spacing w:before="90" w:after="0"/>
        <w:rPr>
          <w:rFonts w:ascii="Times New Roman" w:hAnsi="Times New Roman"/>
          <w:sz w:val="20"/>
        </w:rPr>
      </w:pPr>
      <w:r>
        <w:rPr>
          <w:rFonts w:ascii="Times New Roman" w:hAnsi="Times New Roman"/>
          <w:i/>
          <w:sz w:val="20"/>
        </w:rPr>
        <w:t>How Distributions from Capital Surplus Will Be Made</w:t>
      </w:r>
      <w:r>
        <w:rPr>
          <w:rFonts w:ascii="Times New Roman" w:hAnsi="Times New Roman"/>
          <w:sz w:val="20"/>
        </w:rPr>
        <w:t xml:space="preserve">.  We will make distributions of available cash from capital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98% to all unitholders, pro rata, and 2% to the general partner, until we distribute, for each common unit issued in this offering, available cash from capital surplus in an aggregate amount per common unit equal to the initial public offering price;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Thereafter</w:t>
            </w:r>
            <w:r>
              <w:rPr>
                <w:rFonts w:ascii="Times New Roman" w:hAnsi="Times New Roman"/>
                <w:sz w:val="20"/>
              </w:rPr>
              <w:t xml:space="preserve">, we will make all distributions of available cash from capital surplus as if they were from operating surplus. </w:t>
            </w:r>
          </w:p>
        </w:tc>
      </w:tr>
    </w:tbl>
    <w:p>
      <w:pPr>
        <w:pStyle w:val="TextBody"/>
        <w:spacing w:before="180" w:after="0"/>
        <w:rPr>
          <w:rFonts w:ascii="Times New Roman" w:hAnsi="Times New Roman"/>
          <w:sz w:val="20"/>
        </w:rPr>
      </w:pPr>
      <w:r>
        <w:rPr>
          <w:rFonts w:ascii="Times New Roman" w:hAnsi="Times New Roman"/>
          <w:i/>
          <w:sz w:val="20"/>
        </w:rPr>
        <w:t>Effect of a Distribution from Capital Surplus</w:t>
      </w:r>
      <w:r>
        <w:rPr>
          <w:rFonts w:ascii="Times New Roman" w:hAnsi="Times New Roman"/>
          <w:sz w:val="20"/>
        </w:rPr>
        <w:t xml:space="preserve">.  Our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 </w:t>
      </w:r>
    </w:p>
    <w:p>
      <w:pPr>
        <w:pStyle w:val="TextBody"/>
        <w:spacing w:before="180" w:after="0"/>
        <w:rPr>
          <w:rFonts w:ascii="Times New Roman" w:hAnsi="Times New Roman"/>
          <w:sz w:val="20"/>
        </w:rPr>
      </w:pPr>
      <w:r>
        <w:rPr>
          <w:rFonts w:ascii="Times New Roman" w:hAnsi="Times New Roman"/>
          <w:i/>
          <w:sz w:val="20"/>
        </w:rPr>
        <w:t>When Payback Occurs</w:t>
      </w:r>
      <w:r>
        <w:rPr>
          <w:rFonts w:ascii="Times New Roman" w:hAnsi="Times New Roman"/>
          <w:sz w:val="20"/>
        </w:rPr>
        <w:t xml:space="preserve">.  When payback of the reduced initial unit price has occurred, i.e., when the unrecovered capital of the common units is zero, then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and the target distribution levels will be reduced to zero for subsequent quarters;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distributions of available cash will be treated as operating surplus;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general partner will be entitled to receive 50% of distributions of available cash in its capacities as general partner and as holder of the incentive distribution rights. </w:t>
            </w:r>
          </w:p>
        </w:tc>
      </w:tr>
    </w:tbl>
    <w:p>
      <w:pPr>
        <w:pStyle w:val="TextBody"/>
        <w:spacing w:before="180" w:after="0"/>
        <w:rPr>
          <w:rFonts w:ascii="Times New Roman" w:hAnsi="Times New Roman"/>
          <w:sz w:val="20"/>
        </w:rPr>
      </w:pPr>
      <w:r>
        <w:rPr>
          <w:rFonts w:ascii="Times New Roman" w:hAnsi="Times New Roman"/>
          <w:sz w:val="20"/>
        </w:rPr>
        <w:t xml:space="preserve">Distributions of available cash from capital surplus will not reduce the minimum quarterly distribution or target distribution levels for the quarter in which they are distributed. </w:t>
      </w:r>
    </w:p>
    <w:p>
      <w:pPr>
        <w:pStyle w:val="TextBody"/>
        <w:spacing w:before="270" w:after="0"/>
        <w:rPr>
          <w:rFonts w:ascii="Times New Roman" w:hAnsi="Times New Roman"/>
          <w:b/>
          <w:sz w:val="20"/>
        </w:rPr>
      </w:pPr>
      <w:r>
        <w:rPr>
          <w:rFonts w:ascii="Times New Roman" w:hAnsi="Times New Roman"/>
          <w:b/>
          <w:sz w:val="20"/>
        </w:rPr>
        <w:t xml:space="preserve">Adjustment to the Minimum Quarterly Distribution and Target Distribution Levels </w:t>
      </w:r>
    </w:p>
    <w:p>
      <w:pPr>
        <w:pStyle w:val="TextBody"/>
        <w:spacing w:before="90" w:after="0"/>
        <w:rPr>
          <w:rFonts w:ascii="Times New Roman" w:hAnsi="Times New Roman"/>
          <w:sz w:val="20"/>
        </w:rPr>
      </w:pPr>
      <w:r>
        <w:rPr>
          <w:rFonts w:ascii="Times New Roman" w:hAnsi="Times New Roman"/>
          <w:i/>
          <w:sz w:val="20"/>
        </w:rPr>
        <w:t>How We Adjust the Minimum Quarterly Distribution and Target Distribution Levels</w:t>
      </w:r>
      <w:r>
        <w:rPr>
          <w:rFonts w:ascii="Times New Roman" w:hAnsi="Times New Roman"/>
          <w:sz w:val="20"/>
        </w:rPr>
        <w:t xml:space="preserve">.  In addition to adjusting the minimum 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target distribution levels;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unrecovered capital;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amounts calculated on a per unit basis.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spacing w:before="180" w:after="0"/>
        <w:rPr>
          <w:rFonts w:ascii="Times New Roman" w:hAnsi="Times New Roman"/>
          <w:sz w:val="20"/>
        </w:rPr>
      </w:pPr>
      <w:r>
        <w:rPr>
          <w:rFonts w:ascii="Times New Roman" w:hAnsi="Times New Roman"/>
          <w:i/>
          <w:sz w:val="20"/>
        </w:rPr>
        <w:t>If We Became Subject to Taxation</w:t>
      </w:r>
      <w:r>
        <w:rPr>
          <w:rFonts w:ascii="Times New Roman" w:hAnsi="Times New Roman"/>
          <w:sz w:val="20"/>
        </w:rPr>
        <w:t xml:space="preserve">.  If legislation is enacted or if existing law is modified or interpreted by the relevant governmental authority so that we 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 </w:t>
            </w:r>
          </w:p>
        </w:tc>
      </w:tr>
    </w:tbl>
    <w:p>
      <w:pPr>
        <w:pStyle w:val="TextBody"/>
        <w:spacing w:before="180" w:after="0"/>
        <w:rPr>
          <w:rFonts w:ascii="Times New Roman" w:hAnsi="Times New Roman"/>
          <w:sz w:val="20"/>
        </w:rPr>
      </w:pPr>
      <w:r>
        <w:rPr>
          <w:rFonts w:ascii="Times New Roman" w:hAnsi="Times New Roman"/>
          <w:sz w:val="20"/>
        </w:rPr>
        <w:t xml:space="preserve">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spacing w:before="270" w:after="0"/>
        <w:rPr>
          <w:rFonts w:ascii="Times New Roman" w:hAnsi="Times New Roman"/>
          <w:b/>
          <w:sz w:val="20"/>
        </w:rPr>
      </w:pPr>
      <w:r>
        <w:rPr>
          <w:rFonts w:ascii="Times New Roman" w:hAnsi="Times New Roman"/>
          <w:b/>
          <w:sz w:val="20"/>
        </w:rPr>
        <w:t xml:space="preserve">Distribution of Cash Upon Liquidation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If we dissolve and liquidate, we will sell our assets or otherwise dispose of our assets and we will adjust the partners capital account balances to 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 </w:t>
      </w:r>
    </w:p>
    <w:p>
      <w:pPr>
        <w:pStyle w:val="TextBody"/>
        <w:spacing w:before="180" w:after="0"/>
        <w:rPr>
          <w:rFonts w:ascii="Times New Roman" w:hAnsi="Times New Roman"/>
          <w:sz w:val="20"/>
        </w:rPr>
      </w:pPr>
      <w:r>
        <w:rPr>
          <w:rFonts w:ascii="Times New Roman" w:hAnsi="Times New Roman"/>
          <w:i/>
          <w:sz w:val="20"/>
        </w:rPr>
        <w:t>Manner of Adjustment</w:t>
      </w:r>
      <w:r>
        <w:rPr>
          <w:rFonts w:ascii="Times New Roman" w:hAnsi="Times New Roman"/>
          <w:sz w:val="20"/>
        </w:rPr>
        <w:t xml:space="preserve">.  If we liquidate, we would allocate any loss to the general partner and each unitholder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98% to the holders of common units who have positive balances in their capital accounts in proportion to those positive balances and 2% to the general partner, until the capital accounts of the common unitholders have been reduced to zero;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Thereafter</w:t>
            </w:r>
            <w:r>
              <w:rPr>
                <w:rFonts w:ascii="Times New Roman" w:hAnsi="Times New Roman"/>
                <w:sz w:val="20"/>
              </w:rPr>
              <w:t xml:space="preserve">, 100% to the general partner. </w:t>
            </w:r>
          </w:p>
        </w:tc>
      </w:tr>
    </w:tbl>
    <w:p>
      <w:pPr>
        <w:pStyle w:val="TextBody"/>
        <w:spacing w:before="180" w:after="0"/>
        <w:rPr>
          <w:rFonts w:ascii="Times New Roman" w:hAnsi="Times New Roman"/>
          <w:sz w:val="20"/>
        </w:rPr>
      </w:pPr>
      <w:r>
        <w:rPr>
          <w:rFonts w:ascii="Times New Roman" w:hAnsi="Times New Roman"/>
          <w:i/>
          <w:sz w:val="20"/>
        </w:rPr>
        <w:t>Interim Adjustments to Capital Accounts</w:t>
      </w:r>
      <w:r>
        <w:rPr>
          <w:rFonts w:ascii="Times New Roman" w:hAnsi="Times New Roman"/>
          <w:sz w:val="20"/>
        </w:rPr>
        <w:t xml:space="preserve">.  If we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toc415878_11"/>
      <w:bookmarkEnd w:id="13"/>
      <w:r>
        <w:rPr>
          <w:rFonts w:ascii="Times New Roman" w:hAnsi="Times New Roman"/>
          <w:b/>
          <w:sz w:val="20"/>
        </w:rPr>
        <w:t xml:space="preserve">Description of Our Partnership Agreement </w:t>
      </w:r>
    </w:p>
    <w:p>
      <w:pPr>
        <w:pStyle w:val="TextBody"/>
        <w:spacing w:before="180" w:after="0"/>
        <w:rPr>
          <w:rFonts w:ascii="Times New Roman" w:hAnsi="Times New Roman"/>
          <w:sz w:val="20"/>
        </w:rPr>
      </w:pPr>
      <w:r>
        <w:rPr>
          <w:rFonts w:ascii="Times New Roman" w:hAnsi="Times New Roman"/>
          <w:sz w:val="20"/>
        </w:rPr>
        <w:t xml:space="preserve">The following is a summary of the material provisions of our partnership agreement. The following provisions of our partnership agreement are summarized elsewhere in this prospectus: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distributions of our available cash are described under Cash Distribution Policy;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allocations of taxable income and other tax matters are described under Material Income Tax Considerations;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rights of holders of common units are described under Description of Our Common Units. </w:t>
            </w:r>
          </w:p>
        </w:tc>
      </w:tr>
    </w:tbl>
    <w:p>
      <w:pPr>
        <w:pStyle w:val="TextBody"/>
        <w:spacing w:before="270" w:after="0"/>
        <w:rPr>
          <w:rFonts w:ascii="Times New Roman" w:hAnsi="Times New Roman"/>
          <w:b/>
          <w:sz w:val="20"/>
        </w:rPr>
      </w:pPr>
      <w:r>
        <w:rPr>
          <w:rFonts w:ascii="Times New Roman" w:hAnsi="Times New Roman"/>
          <w:b/>
          <w:sz w:val="20"/>
        </w:rPr>
        <w:t xml:space="preserve">Purpose </w:t>
      </w:r>
    </w:p>
    <w:p>
      <w:pPr>
        <w:pStyle w:val="TextBody"/>
        <w:spacing w:before="90" w:after="0"/>
        <w:rPr>
          <w:rFonts w:ascii="Times New Roman" w:hAnsi="Times New Roman"/>
          <w:sz w:val="20"/>
        </w:rPr>
      </w:pPr>
      <w:r>
        <w:rPr>
          <w:rFonts w:ascii="Times New Roman" w:hAnsi="Times New Roman"/>
          <w:sz w:val="20"/>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spacing w:before="270" w:after="0"/>
        <w:rPr>
          <w:rFonts w:ascii="Times New Roman" w:hAnsi="Times New Roman"/>
          <w:b/>
          <w:sz w:val="20"/>
        </w:rPr>
      </w:pPr>
      <w:r>
        <w:rPr>
          <w:rFonts w:ascii="Times New Roman" w:hAnsi="Times New Roman"/>
          <w:b/>
          <w:sz w:val="20"/>
        </w:rPr>
        <w:t xml:space="preserve">Power of Attorney </w:t>
      </w:r>
    </w:p>
    <w:p>
      <w:pPr>
        <w:pStyle w:val="TextBody"/>
        <w:spacing w:before="90" w:after="0"/>
        <w:rPr>
          <w:rFonts w:ascii="Times New Roman" w:hAnsi="Times New Roman"/>
          <w:sz w:val="20"/>
        </w:rPr>
      </w:pPr>
      <w:r>
        <w:rPr>
          <w:rFonts w:ascii="Times New Roman" w:hAnsi="Times New Roman"/>
          <w:sz w:val="20"/>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Reimbursements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 </w:t>
      </w:r>
    </w:p>
    <w:p>
      <w:pPr>
        <w:pStyle w:val="TextBody"/>
        <w:spacing w:before="270" w:after="0"/>
        <w:rPr>
          <w:rFonts w:ascii="Times New Roman" w:hAnsi="Times New Roman"/>
          <w:b/>
          <w:sz w:val="20"/>
        </w:rPr>
      </w:pPr>
      <w:r>
        <w:rPr>
          <w:rFonts w:ascii="Times New Roman" w:hAnsi="Times New Roman"/>
          <w:b/>
          <w:sz w:val="20"/>
        </w:rPr>
        <w:t xml:space="preserve">Issuance of Additional Securities </w:t>
      </w:r>
    </w:p>
    <w:p>
      <w:pPr>
        <w:pStyle w:val="TextBody"/>
        <w:spacing w:before="90" w:after="0"/>
        <w:rPr>
          <w:rFonts w:ascii="Times New Roman" w:hAnsi="Times New Roman"/>
          <w:sz w:val="20"/>
        </w:rPr>
      </w:pPr>
      <w:r>
        <w:rPr>
          <w:rFonts w:ascii="Times New Roman" w:hAnsi="Times New Roman"/>
          <w:sz w:val="20"/>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spacing w:before="180" w:after="0"/>
        <w:rPr>
          <w:rFonts w:ascii="Times New Roman" w:hAnsi="Times New Roman"/>
          <w:sz w:val="20"/>
        </w:rPr>
      </w:pPr>
      <w:r>
        <w:rPr>
          <w:rFonts w:ascii="Times New Roman" w:hAnsi="Times New Roman"/>
          <w:sz w:val="20"/>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spacing w:before="180" w:after="0"/>
        <w:rPr>
          <w:rFonts w:ascii="Times New Roman" w:hAnsi="Times New Roman"/>
          <w:sz w:val="20"/>
        </w:rPr>
      </w:pPr>
      <w:r>
        <w:rPr>
          <w:rFonts w:ascii="Times New Roman" w:hAnsi="Times New Roman"/>
          <w:sz w:val="20"/>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spacing w:before="180" w:after="0"/>
        <w:rPr>
          <w:rFonts w:ascii="Times New Roman" w:hAnsi="Times New Roman"/>
          <w:sz w:val="20"/>
        </w:rPr>
      </w:pPr>
      <w:r>
        <w:rPr>
          <w:rFonts w:ascii="Times New Roman" w:hAnsi="Times New Roman"/>
          <w:sz w:val="20"/>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their percentage interests in us that existed immediately prior to the issuance. The holders of common units will not have preemptive rights to acquire additional common units or other partnership interests in us. </w:t>
      </w:r>
    </w:p>
    <w:p>
      <w:pPr>
        <w:pStyle w:val="TextBody"/>
        <w:spacing w:before="270" w:after="0"/>
        <w:rPr>
          <w:rFonts w:ascii="Times New Roman" w:hAnsi="Times New Roman"/>
          <w:b/>
          <w:sz w:val="20"/>
        </w:rPr>
      </w:pPr>
      <w:r>
        <w:rPr>
          <w:rFonts w:ascii="Times New Roman" w:hAnsi="Times New Roman"/>
          <w:b/>
          <w:sz w:val="20"/>
        </w:rPr>
        <w:t xml:space="preserve">Amendments to Our Partnership Agreement </w:t>
      </w:r>
    </w:p>
    <w:p>
      <w:pPr>
        <w:pStyle w:val="TextBody"/>
        <w:spacing w:before="90" w:after="0"/>
        <w:rPr>
          <w:rFonts w:ascii="Times New Roman" w:hAnsi="Times New Roman"/>
          <w:sz w:val="20"/>
        </w:rPr>
      </w:pPr>
      <w:r>
        <w:rPr>
          <w:rFonts w:ascii="Times New Roman" w:hAnsi="Times New Roman"/>
          <w:sz w:val="20"/>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spacing w:before="270" w:after="0"/>
        <w:rPr>
          <w:rFonts w:ascii="Times New Roman" w:hAnsi="Times New Roman"/>
          <w:b/>
          <w:sz w:val="20"/>
        </w:rPr>
      </w:pPr>
      <w:r>
        <w:rPr>
          <w:rFonts w:ascii="Times New Roman" w:hAnsi="Times New Roman"/>
          <w:b/>
          <w:sz w:val="20"/>
        </w:rPr>
        <w:t xml:space="preserve">Withdrawal or Removal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 </w:t>
      </w:r>
    </w:p>
    <w:p>
      <w:pPr>
        <w:pStyle w:val="TextBody"/>
        <w:spacing w:before="180" w:after="0"/>
        <w:rPr>
          <w:rFonts w:ascii="Times New Roman" w:hAnsi="Times New Roman"/>
          <w:sz w:val="20"/>
        </w:rPr>
      </w:pPr>
      <w:r>
        <w:rPr>
          <w:rFonts w:ascii="Times New Roman" w:hAnsi="Times New Roman"/>
          <w:sz w:val="20"/>
        </w:rPr>
        <w:t xml:space="preserve">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 </w:t>
      </w:r>
    </w:p>
    <w:p>
      <w:pPr>
        <w:pStyle w:val="TextBody"/>
        <w:spacing w:before="180" w:after="0"/>
        <w:rPr>
          <w:rFonts w:ascii="Times New Roman" w:hAnsi="Times New Roman"/>
          <w:sz w:val="20"/>
        </w:rPr>
      </w:pPr>
      <w:r>
        <w:rPr>
          <w:rFonts w:ascii="Times New Roman" w:hAnsi="Times New Roman"/>
          <w:sz w:val="20"/>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 </w:t>
      </w:r>
    </w:p>
    <w:p>
      <w:pPr>
        <w:pStyle w:val="TextBody"/>
        <w:spacing w:before="180" w:after="0"/>
        <w:rPr>
          <w:rFonts w:ascii="Times New Roman" w:hAnsi="Times New Roman"/>
          <w:sz w:val="20"/>
        </w:rPr>
      </w:pPr>
      <w:r>
        <w:rPr>
          <w:rFonts w:ascii="Times New Roman" w:hAnsi="Times New Roman"/>
          <w:sz w:val="20"/>
        </w:rPr>
        <w:t xml:space="preserve">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 </w:t>
      </w:r>
    </w:p>
    <w:p>
      <w:pPr>
        <w:pStyle w:val="TextBody"/>
        <w:spacing w:before="180" w:after="0"/>
        <w:rPr>
          <w:rFonts w:ascii="Times New Roman" w:hAnsi="Times New Roman"/>
          <w:sz w:val="20"/>
        </w:rPr>
      </w:pPr>
      <w:r>
        <w:rPr>
          <w:rFonts w:ascii="Times New Roman" w:hAnsi="Times New Roman"/>
          <w:sz w:val="20"/>
        </w:rPr>
        <w:t xml:space="preserve">In addition, our partnership agreement expressly permits the sale, in whole or in part, of the ownership of our general partner. Our general partner may also transfer, in whole or in part, the common units it owns. </w:t>
      </w:r>
    </w:p>
    <w:p>
      <w:pPr>
        <w:pStyle w:val="TextBody"/>
        <w:spacing w:before="270" w:after="0"/>
        <w:rPr>
          <w:rFonts w:ascii="Times New Roman" w:hAnsi="Times New Roman"/>
          <w:b/>
          <w:sz w:val="20"/>
        </w:rPr>
      </w:pPr>
      <w:r>
        <w:rPr>
          <w:rFonts w:ascii="Times New Roman" w:hAnsi="Times New Roman"/>
          <w:b/>
          <w:sz w:val="20"/>
        </w:rPr>
        <w:t xml:space="preserve">Liquidation and Distribution of Proceeds </w:t>
      </w:r>
    </w:p>
    <w:p>
      <w:pPr>
        <w:pStyle w:val="TextBody"/>
        <w:spacing w:before="90" w:after="0"/>
        <w:rPr>
          <w:rFonts w:ascii="Times New Roman" w:hAnsi="Times New Roman"/>
          <w:sz w:val="20"/>
        </w:rPr>
      </w:pPr>
      <w:r>
        <w:rPr>
          <w:rFonts w:ascii="Times New Roman" w:hAnsi="Times New Roman"/>
          <w:sz w:val="20"/>
        </w:rPr>
        <w:t xml:space="preserve">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towards the payment of all of our creditors and the creation of a reserve for contingent liabilities;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then, to all partners in accordance with the positive balance in the respective capital accounts.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spacing w:before="270" w:after="0"/>
        <w:rPr>
          <w:rFonts w:ascii="Times New Roman" w:hAnsi="Times New Roman"/>
          <w:b/>
          <w:sz w:val="20"/>
        </w:rPr>
      </w:pPr>
      <w:r>
        <w:rPr>
          <w:rFonts w:ascii="Times New Roman" w:hAnsi="Times New Roman"/>
          <w:b/>
          <w:sz w:val="20"/>
        </w:rPr>
        <w:t xml:space="preserve">Change of Management Provisions </w:t>
      </w:r>
    </w:p>
    <w:p>
      <w:pPr>
        <w:pStyle w:val="TextBody"/>
        <w:spacing w:before="90" w:after="0"/>
        <w:rPr>
          <w:rFonts w:ascii="Times New Roman" w:hAnsi="Times New Roman"/>
          <w:sz w:val="20"/>
        </w:rPr>
      </w:pPr>
      <w:r>
        <w:rPr>
          <w:rFonts w:ascii="Times New Roman" w:hAnsi="Times New Roman"/>
          <w:sz w:val="20"/>
        </w:rPr>
        <w:t xml:space="preserve">Our partnership agreement contains the following specific provisions that are intended to discourage a person or group from attempting to remove our general partner or otherwise change management: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generally, if a person acquires 20% or more of any class of units then outstanding other than from our general partner or its affiliates, the units owned by such person cannot be voted on any matter;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0"/>
        <w:gridCol w:w="9392"/>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provisions limiting the ability of unitholders to call meetings or to acquire information about our operations, as well as other provisions limiting the unitholders ability to influence the manner or direction of management. </w:t>
            </w:r>
          </w:p>
        </w:tc>
      </w:tr>
    </w:tbl>
    <w:p>
      <w:pPr>
        <w:pStyle w:val="TextBody"/>
        <w:spacing w:before="270" w:after="0"/>
        <w:rPr>
          <w:rFonts w:ascii="Times New Roman" w:hAnsi="Times New Roman"/>
          <w:b/>
          <w:sz w:val="20"/>
        </w:rPr>
      </w:pPr>
      <w:r>
        <w:rPr>
          <w:rFonts w:ascii="Times New Roman" w:hAnsi="Times New Roman"/>
          <w:b/>
          <w:sz w:val="20"/>
        </w:rPr>
        <w:t xml:space="preserve">Limited Call Right </w:t>
      </w:r>
    </w:p>
    <w:p>
      <w:pPr>
        <w:pStyle w:val="TextBody"/>
        <w:spacing w:before="90" w:after="0"/>
        <w:rPr>
          <w:rFonts w:ascii="Times New Roman" w:hAnsi="Times New Roman"/>
          <w:sz w:val="20"/>
        </w:rPr>
      </w:pPr>
      <w:r>
        <w:rPr>
          <w:rFonts w:ascii="Times New Roman" w:hAnsi="Times New Roman"/>
          <w:sz w:val="20"/>
        </w:rPr>
        <w:t xml:space="preserve">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spacing w:before="270" w:after="0"/>
        <w:rPr>
          <w:rFonts w:ascii="Times New Roman" w:hAnsi="Times New Roman"/>
          <w:b/>
          <w:sz w:val="20"/>
        </w:rPr>
      </w:pPr>
      <w:r>
        <w:rPr>
          <w:rFonts w:ascii="Times New Roman" w:hAnsi="Times New Roman"/>
          <w:b/>
          <w:sz w:val="20"/>
        </w:rPr>
        <w:t xml:space="preserve">Indemnification </w:t>
      </w:r>
    </w:p>
    <w:p>
      <w:pPr>
        <w:pStyle w:val="TextBody"/>
        <w:spacing w:before="90" w:after="0"/>
        <w:rPr>
          <w:rFonts w:ascii="Times New Roman" w:hAnsi="Times New Roman"/>
          <w:sz w:val="20"/>
        </w:rPr>
      </w:pPr>
      <w:r>
        <w:rPr>
          <w:rFonts w:ascii="Times New Roman" w:hAnsi="Times New Roman"/>
          <w:sz w:val="20"/>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t>
      </w:r>
    </w:p>
    <w:p>
      <w:pPr>
        <w:pStyle w:val="TextBody"/>
        <w:spacing w:before="180" w:after="0"/>
        <w:rPr>
          <w:rFonts w:ascii="Times New Roman" w:hAnsi="Times New Roman"/>
          <w:sz w:val="20"/>
        </w:rPr>
      </w:pPr>
      <w:r>
        <w:rPr>
          <w:rFonts w:ascii="Times New Roman" w:hAnsi="Times New Roman"/>
          <w:sz w:val="20"/>
        </w:rPr>
        <w:t xml:space="preserve">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Registration Rights </w:t>
      </w:r>
    </w:p>
    <w:p>
      <w:pPr>
        <w:pStyle w:val="TextBody"/>
        <w:spacing w:before="90" w:after="0"/>
        <w:rPr>
          <w:rFonts w:ascii="Times New Roman" w:hAnsi="Times New Roman"/>
          <w:sz w:val="20"/>
        </w:rPr>
      </w:pPr>
      <w:r>
        <w:rPr>
          <w:rFonts w:ascii="Times New Roman" w:hAnsi="Times New Roman"/>
          <w:sz w:val="20"/>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toc415878_12"/>
      <w:bookmarkEnd w:id="14"/>
      <w:r>
        <w:rPr>
          <w:rFonts w:ascii="Times New Roman" w:hAnsi="Times New Roman"/>
          <w:b/>
          <w:sz w:val="20"/>
        </w:rPr>
        <w:t xml:space="preserve">Material U.S. Federal Income Tax Consequences </w:t>
      </w:r>
    </w:p>
    <w:p>
      <w:pPr>
        <w:pStyle w:val="TextBody"/>
        <w:spacing w:before="180" w:after="0"/>
        <w:rPr>
          <w:rFonts w:ascii="Times New Roman" w:hAnsi="Times New Roman"/>
          <w:sz w:val="20"/>
        </w:rPr>
      </w:pPr>
      <w:r>
        <w:rPr>
          <w:rFonts w:ascii="Times New Roman" w:hAnsi="Times New Roman"/>
          <w:sz w:val="20"/>
        </w:rPr>
        <w:t xml:space="preserve">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 </w:t>
      </w:r>
    </w:p>
    <w:p>
      <w:pPr>
        <w:pStyle w:val="TextBody"/>
        <w:spacing w:before="180" w:after="0"/>
        <w:rPr>
          <w:rFonts w:ascii="Times New Roman" w:hAnsi="Times New Roman"/>
          <w:sz w:val="20"/>
        </w:rPr>
      </w:pPr>
      <w:r>
        <w:rPr>
          <w:rFonts w:ascii="Times New Roman" w:hAnsi="Times New Roman"/>
          <w:sz w:val="20"/>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Furthermore, this section focuses on unitholders who are individual citizens or residents of the United States (for federal income tax purposes), who have the U.S. dollar as their functional currency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Times New Roman" w:hAnsi="Times New Roman"/>
          <w:b/>
          <w:i/>
          <w:sz w:val="20"/>
        </w:rPr>
        <w:t>Accordingly, we encourage each unitholder to consult the unitholders own tax advisor in analyzing the federal, state, local and non-U.S. tax consequences particular to that unitholder resulting from ownership or disposition of units.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We are relying on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 </w:t>
      </w:r>
    </w:p>
    <w:p>
      <w:pPr>
        <w:pStyle w:val="TextBody"/>
        <w:spacing w:before="180" w:after="0"/>
        <w:rPr>
          <w:rFonts w:ascii="Times New Roman" w:hAnsi="Times New Roman"/>
          <w:sz w:val="20"/>
        </w:rPr>
      </w:pPr>
      <w:r>
        <w:rPr>
          <w:rFonts w:ascii="Times New Roman" w:hAnsi="Times New Roman"/>
          <w:sz w:val="20"/>
        </w:rPr>
        <w:t xml:space="preserve">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 Tax Consequences of Unit Ownership  Treatment of Securities Loans); (2) whether our monthly convention for allocating taxable income and losses is permitted by existing Treasury Regulations (please read  Disposition of Units  Allocations Between Transferors and Transferees); and (3) whether our method for taking into account Section 743 adjustments is sustainable in certain cases (please read  Tax Consequences of Unit Ownership  Section 754 Election and  Uniformity of Units). </w:t>
      </w:r>
    </w:p>
    <w:p>
      <w:pPr>
        <w:pStyle w:val="TextBody"/>
        <w:spacing w:before="270" w:after="0"/>
        <w:rPr>
          <w:rFonts w:ascii="Times New Roman" w:hAnsi="Times New Roman"/>
          <w:b/>
          <w:i/>
          <w:sz w:val="20"/>
        </w:rPr>
      </w:pPr>
      <w:r>
        <w:rPr>
          <w:rFonts w:ascii="Times New Roman" w:hAnsi="Times New Roman"/>
          <w:b/>
          <w:i/>
          <w:sz w:val="20"/>
        </w:rPr>
        <w:t xml:space="preserve">Taxation of the Partnership </w:t>
      </w:r>
    </w:p>
    <w:p>
      <w:pPr>
        <w:pStyle w:val="TextBody"/>
        <w:spacing w:before="90" w:after="0"/>
        <w:rPr>
          <w:rFonts w:ascii="Times New Roman" w:hAnsi="Times New Roman"/>
          <w:b/>
          <w:i/>
          <w:sz w:val="20"/>
        </w:rPr>
      </w:pPr>
      <w:r>
        <w:rPr>
          <w:rFonts w:ascii="Times New Roman" w:hAnsi="Times New Roman"/>
          <w:b/>
          <w:i/>
          <w:sz w:val="20"/>
        </w:rPr>
        <w:t xml:space="preserve">Partnership Status </w:t>
      </w:r>
    </w:p>
    <w:p>
      <w:pPr>
        <w:pStyle w:val="TextBody"/>
        <w:spacing w:before="90" w:after="0"/>
        <w:rPr>
          <w:rFonts w:ascii="Times New Roman" w:hAnsi="Times New Roman"/>
          <w:sz w:val="20"/>
        </w:rPr>
      </w:pPr>
      <w:r>
        <w:rPr>
          <w:rFonts w:ascii="Times New Roman" w:hAnsi="Times New Roman"/>
          <w:sz w:val="20"/>
        </w:rPr>
        <w:t xml:space="preserve">We expect to be treated as a partnership for U.S. federal income tax purposes and, therefore, generally will not be liable for such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Section 7704 of the Code generally provides that publicly-traded partnerships will be treated as corporations for federal income tax purposes. However, if 90% or more of a partnerships gross income for every taxable year it is publicly-traded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 </w:t>
      </w:r>
    </w:p>
    <w:p>
      <w:pPr>
        <w:pStyle w:val="TextBody"/>
        <w:spacing w:before="180" w:after="0"/>
        <w:rPr>
          <w:rFonts w:ascii="Times New Roman" w:hAnsi="Times New Roman"/>
          <w:sz w:val="20"/>
        </w:rPr>
      </w:pPr>
      <w:r>
        <w:rPr>
          <w:rFonts w:ascii="Times New Roman" w:hAnsi="Times New Roman"/>
          <w:sz w:val="20"/>
        </w:rPr>
        <w:t xml:space="preserve">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 </w:t>
      </w:r>
    </w:p>
    <w:p>
      <w:pPr>
        <w:pStyle w:val="TextBody"/>
        <w:spacing w:before="180" w:after="0"/>
        <w:rPr>
          <w:rFonts w:ascii="Times New Roman" w:hAnsi="Times New Roman"/>
          <w:sz w:val="20"/>
        </w:rPr>
      </w:pPr>
      <w:r>
        <w:rPr>
          <w:rFonts w:ascii="Times New Roman" w:hAnsi="Times New Roman"/>
          <w:sz w:val="20"/>
        </w:rPr>
        <w:t xml:space="preserve">(a) Neither we nor any of our partnership or limited liability company subsidiaries has elected to be treated as a corporation for federal income tax purposes; </w:t>
      </w:r>
    </w:p>
    <w:p>
      <w:pPr>
        <w:pStyle w:val="TextBody"/>
        <w:spacing w:before="180" w:after="0"/>
        <w:rPr>
          <w:rFonts w:ascii="Times New Roman" w:hAnsi="Times New Roman"/>
          <w:sz w:val="20"/>
        </w:rPr>
      </w:pPr>
      <w:r>
        <w:rPr>
          <w:rFonts w:ascii="Times New Roman" w:hAnsi="Times New Roman"/>
          <w:sz w:val="20"/>
        </w:rPr>
        <w:t xml:space="preserve">(b) For each taxable year since and including the year of our initial public offering, more than 90% of our gross income has been and will be income of a character that Vinson &amp; Elkins L.L.P. has opined is qualifying income within the meaning of Section 7704(d) of the Code; and </w:t>
      </w:r>
    </w:p>
    <w:p>
      <w:pPr>
        <w:pStyle w:val="TextBody"/>
        <w:spacing w:before="180" w:after="0"/>
        <w:rPr>
          <w:rFonts w:ascii="Times New Roman" w:hAnsi="Times New Roman"/>
          <w:sz w:val="20"/>
        </w:rPr>
      </w:pPr>
      <w:r>
        <w:rPr>
          <w:rFonts w:ascii="Times New Roman" w:hAnsi="Times New Roman"/>
          <w:sz w:val="20"/>
        </w:rPr>
        <w:t xml:space="preserve">(c) 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 </w:t>
      </w:r>
    </w:p>
    <w:p>
      <w:pPr>
        <w:pStyle w:val="TextBody"/>
        <w:spacing w:before="180" w:after="0"/>
        <w:rPr>
          <w:rFonts w:ascii="Times New Roman" w:hAnsi="Times New Roman"/>
          <w:sz w:val="20"/>
        </w:rPr>
      </w:pPr>
      <w:r>
        <w:rPr>
          <w:rFonts w:ascii="Times New Roman" w:hAnsi="Times New Roman"/>
          <w:sz w:val="20"/>
        </w:rPr>
        <w:t xml:space="preserve">We believe that these representations are true and will be true in the future. </w:t>
      </w:r>
    </w:p>
    <w:p>
      <w:pPr>
        <w:pStyle w:val="TextBody"/>
        <w:spacing w:before="180" w:after="0"/>
        <w:rPr>
          <w:rFonts w:ascii="Times New Roman" w:hAnsi="Times New Roman"/>
          <w:sz w:val="20"/>
        </w:rPr>
      </w:pPr>
      <w:r>
        <w:rPr>
          <w:rFonts w:ascii="Times New Roman" w:hAnsi="Times New Roman"/>
          <w:sz w:val="20"/>
        </w:rPr>
        <w:t xml:space="preserve">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 </w:t>
      </w:r>
    </w:p>
    <w:p>
      <w:pPr>
        <w:pStyle w:val="TextBody"/>
        <w:spacing w:before="180" w:after="0"/>
        <w:rPr>
          <w:rFonts w:ascii="Times New Roman" w:hAnsi="Times New Roman"/>
          <w:sz w:val="20"/>
        </w:rPr>
      </w:pPr>
      <w:r>
        <w:rPr>
          <w:rFonts w:ascii="Times New Roman" w:hAnsi="Times New Roman"/>
          <w:sz w:val="20"/>
        </w:rPr>
        <w:t xml:space="preserve">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stock that was exchanged for units, and thereafter (iii) taxable capital gain. </w:t>
      </w:r>
    </w:p>
    <w:p>
      <w:pPr>
        <w:pStyle w:val="TextBody"/>
        <w:spacing w:before="180" w:after="0"/>
        <w:rPr>
          <w:rFonts w:ascii="Times New Roman" w:hAnsi="Times New Roman"/>
          <w:sz w:val="20"/>
        </w:rPr>
      </w:pPr>
      <w:r>
        <w:rPr>
          <w:rFonts w:ascii="Times New Roman" w:hAnsi="Times New Roman"/>
          <w:sz w:val="20"/>
        </w:rPr>
        <w:t xml:space="preserve">The remainder of this discussion is based on Vinson &amp; Elkins L.L.P.s opinion that we will be treated as a partnership for federal income tax purposes.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Tax Consequences of Unit Ownership </w:t>
      </w:r>
    </w:p>
    <w:p>
      <w:pPr>
        <w:pStyle w:val="TextBody"/>
        <w:spacing w:before="90" w:after="0"/>
        <w:rPr>
          <w:rFonts w:ascii="Times New Roman" w:hAnsi="Times New Roman"/>
          <w:b/>
          <w:i/>
          <w:sz w:val="20"/>
        </w:rPr>
      </w:pPr>
      <w:r>
        <w:rPr>
          <w:rFonts w:ascii="Times New Roman" w:hAnsi="Times New Roman"/>
          <w:b/>
          <w:i/>
          <w:sz w:val="20"/>
        </w:rPr>
        <w:t xml:space="preserve">Limited Partner Status </w:t>
      </w:r>
    </w:p>
    <w:p>
      <w:pPr>
        <w:pStyle w:val="TextBody"/>
        <w:spacing w:before="90" w:after="0"/>
        <w:rPr>
          <w:rFonts w:ascii="Times New Roman" w:hAnsi="Times New Roman"/>
          <w:sz w:val="20"/>
        </w:rPr>
      </w:pPr>
      <w:r>
        <w:rPr>
          <w:rFonts w:ascii="Times New Roman" w:hAnsi="Times New Roman"/>
          <w:sz w:val="20"/>
        </w:rPr>
        <w:t xml:space="preserve">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assignees who have executed and delivered transfer applications, and are awaiting admission as limited partners,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unitholders whose common units are held in street name or by a nominee and who have the right to direct the nominee in the exercise of all substantive rights attendant to the ownership of their common units </w:t>
            </w:r>
          </w:p>
        </w:tc>
      </w:tr>
    </w:tbl>
    <w:p>
      <w:pPr>
        <w:pStyle w:val="TextBody"/>
        <w:spacing w:before="180" w:after="0"/>
        <w:rPr>
          <w:rFonts w:ascii="Times New Roman" w:hAnsi="Times New Roman"/>
          <w:sz w:val="20"/>
        </w:rPr>
      </w:pPr>
      <w:r>
        <w:rPr>
          <w:rFonts w:ascii="Times New Roman" w:hAnsi="Times New Roman"/>
          <w:sz w:val="20"/>
        </w:rPr>
        <w:t xml:space="preserve">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 </w:t>
      </w:r>
    </w:p>
    <w:p>
      <w:pPr>
        <w:pStyle w:val="TextBody"/>
        <w:spacing w:before="180" w:after="0"/>
        <w:rPr>
          <w:rFonts w:ascii="Times New Roman" w:hAnsi="Times New Roman"/>
          <w:sz w:val="20"/>
        </w:rPr>
      </w:pPr>
      <w:r>
        <w:rPr>
          <w:rFonts w:ascii="Times New Roman" w:hAnsi="Times New Roman"/>
          <w:sz w:val="20"/>
        </w:rPr>
        <w:t xml:space="preserve">For a discussion related to the risks of losing partner status as a result of securities loans, please read  Tax Consequences of Unit Ownership  Treatment of Securities Loans. Unitholders who are not treated as partners in us as described above are urged to consult their own tax advisors with respect to the tax consequences applicable to them under the circumstances. </w:t>
      </w:r>
    </w:p>
    <w:p>
      <w:pPr>
        <w:pStyle w:val="TextBody"/>
        <w:spacing w:before="270" w:after="0"/>
        <w:rPr>
          <w:rFonts w:ascii="Times New Roman" w:hAnsi="Times New Roman"/>
          <w:b/>
          <w:i/>
          <w:sz w:val="20"/>
        </w:rPr>
      </w:pPr>
      <w:r>
        <w:rPr>
          <w:rFonts w:ascii="Times New Roman" w:hAnsi="Times New Roman"/>
          <w:b/>
          <w:i/>
          <w:sz w:val="20"/>
        </w:rPr>
        <w:t xml:space="preserve">Flow-Through of Taxable Income </w:t>
      </w:r>
    </w:p>
    <w:p>
      <w:pPr>
        <w:pStyle w:val="TextBody"/>
        <w:spacing w:before="90" w:after="0"/>
        <w:rPr>
          <w:rFonts w:ascii="Times New Roman" w:hAnsi="Times New Roman"/>
          <w:sz w:val="20"/>
        </w:rPr>
      </w:pPr>
      <w:r>
        <w:rPr>
          <w:rFonts w:ascii="Times New Roman" w:hAnsi="Times New Roman"/>
          <w:sz w:val="20"/>
        </w:rPr>
        <w:t xml:space="preserve">Subject to the discussion below under 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 </w:t>
      </w:r>
    </w:p>
    <w:p>
      <w:pPr>
        <w:pStyle w:val="TextBody"/>
        <w:spacing w:before="270" w:after="0"/>
        <w:rPr>
          <w:rFonts w:ascii="Times New Roman" w:hAnsi="Times New Roman"/>
          <w:b/>
          <w:i/>
          <w:sz w:val="20"/>
        </w:rPr>
      </w:pPr>
      <w:r>
        <w:rPr>
          <w:rFonts w:ascii="Times New Roman" w:hAnsi="Times New Roman"/>
          <w:b/>
          <w:i/>
          <w:sz w:val="20"/>
        </w:rPr>
        <w:t xml:space="preserve">Basis of Units </w:t>
      </w:r>
    </w:p>
    <w:p>
      <w:pPr>
        <w:pStyle w:val="TextBody"/>
        <w:spacing w:before="90" w:after="0"/>
        <w:rPr>
          <w:rFonts w:ascii="Times New Roman" w:hAnsi="Times New Roman"/>
          <w:sz w:val="20"/>
        </w:rPr>
      </w:pPr>
      <w:r>
        <w:rPr>
          <w:rFonts w:ascii="Times New Roman" w:hAnsi="Times New Roman"/>
          <w:sz w:val="20"/>
        </w:rPr>
        <w:t xml:space="preserve">A unitholders tax basis in its units initially will be the amount paid for those units plus the unitholders share of our liabilities. That basis generally will be (i) increased by the unitholders share of our income and any increases in such unitholders share of our liabilities, and (ii) decreased, but not below zero, by the amount of all distributions, the unitholders share of our losses, and any decreases in its share of our liabilities. </w:t>
      </w:r>
    </w:p>
    <w:p>
      <w:pPr>
        <w:pStyle w:val="TextBody"/>
        <w:spacing w:before="270" w:after="0"/>
        <w:rPr>
          <w:rFonts w:ascii="Times New Roman" w:hAnsi="Times New Roman"/>
          <w:b/>
          <w:i/>
          <w:sz w:val="20"/>
        </w:rPr>
      </w:pPr>
      <w:r>
        <w:rPr>
          <w:rFonts w:ascii="Times New Roman" w:hAnsi="Times New Roman"/>
          <w:b/>
          <w:i/>
          <w:sz w:val="20"/>
        </w:rPr>
        <w:t xml:space="preserve">Treatment of Distributions </w:t>
      </w:r>
    </w:p>
    <w:p>
      <w:pPr>
        <w:pStyle w:val="TextBody"/>
        <w:spacing w:before="90" w:after="0"/>
        <w:rPr>
          <w:rFonts w:ascii="Times New Roman" w:hAnsi="Times New Roman"/>
          <w:sz w:val="20"/>
        </w:rPr>
      </w:pPr>
      <w:r>
        <w:rPr>
          <w:rFonts w:ascii="Times New Roman" w:hAnsi="Times New Roman"/>
          <w:sz w:val="20"/>
        </w:rPr>
        <w:t xml:space="preserve">Distributions made by us to a unitholder generally will not be taxable to the unitholder, unless such distributions exceed the unitholders tax basis in its units, in which case the unitholder generally will recognize gain taxable in the manner described below under  Disposition of Units.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Any reduction in a unitholders share of our liabilities will be treated as a distribution by us of cash to that unitholder. A decrease in a unitholders percentage interest in us because of our issuance of additional units may 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 </w:t>
      </w:r>
    </w:p>
    <w:p>
      <w:pPr>
        <w:pStyle w:val="TextBody"/>
        <w:spacing w:before="180" w:after="0"/>
        <w:rPr>
          <w:rFonts w:ascii="Times New Roman" w:hAnsi="Times New Roman"/>
          <w:sz w:val="20"/>
        </w:rPr>
      </w:pPr>
      <w:r>
        <w:rPr>
          <w:rFonts w:ascii="Times New Roman" w:hAnsi="Times New Roman"/>
          <w:sz w:val="20"/>
        </w:rPr>
        <w:t xml:space="preserve">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(1) the non-pro rata portion of that distribution over (2) the unitholders tax basis (generally zero) in the Section 751 Assets deemed to be relinquished in the exchange. </w:t>
      </w:r>
    </w:p>
    <w:p>
      <w:pPr>
        <w:pStyle w:val="TextBody"/>
        <w:spacing w:before="270" w:after="0"/>
        <w:rPr>
          <w:rFonts w:ascii="Times New Roman" w:hAnsi="Times New Roman"/>
          <w:b/>
          <w:i/>
          <w:sz w:val="20"/>
        </w:rPr>
      </w:pPr>
      <w:r>
        <w:rPr>
          <w:rFonts w:ascii="Times New Roman" w:hAnsi="Times New Roman"/>
          <w:b/>
          <w:i/>
          <w:sz w:val="20"/>
        </w:rPr>
        <w:t xml:space="preserve">Limitations on Deductibility of Losses </w:t>
      </w:r>
    </w:p>
    <w:p>
      <w:pPr>
        <w:pStyle w:val="TextBody"/>
        <w:spacing w:before="90" w:after="0"/>
        <w:rPr>
          <w:rFonts w:ascii="Times New Roman" w:hAnsi="Times New Roman"/>
          <w:sz w:val="20"/>
        </w:rPr>
      </w:pPr>
      <w:r>
        <w:rPr>
          <w:rFonts w:ascii="Times New Roman" w:hAnsi="Times New Roman"/>
          <w:sz w:val="20"/>
        </w:rPr>
        <w:t xml:space="preserve">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 </w:t>
      </w:r>
    </w:p>
    <w:p>
      <w:pPr>
        <w:pStyle w:val="TextBody"/>
        <w:spacing w:before="180" w:after="0"/>
        <w:rPr>
          <w:rFonts w:ascii="Times New Roman" w:hAnsi="Times New Roman"/>
          <w:sz w:val="20"/>
        </w:rPr>
      </w:pPr>
      <w:r>
        <w:rPr>
          <w:rFonts w:ascii="Times New Roman" w:hAnsi="Times New Roman"/>
          <w:sz w:val="20"/>
        </w:rPr>
        <w:t xml:space="preserve">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w:t>
      </w:r>
    </w:p>
    <w:p>
      <w:pPr>
        <w:pStyle w:val="TextBody"/>
        <w:spacing w:before="180" w:after="0"/>
        <w:rPr>
          <w:rFonts w:ascii="Times New Roman" w:hAnsi="Times New Roman"/>
          <w:sz w:val="20"/>
        </w:rPr>
      </w:pPr>
      <w:r>
        <w:rPr>
          <w:rFonts w:ascii="Times New Roman" w:hAnsi="Times New Roman"/>
          <w:sz w:val="20"/>
        </w:rPr>
        <w:t xml:space="preserve">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(including PAA Natural Gas Storage, L.P.) or your salary, active business or other income. The application of the passive loss limitations to tiered partnerships is uncertain. However, we will take the position that any passive losses we generate that are reasonably allocable to our investment in any publicly-traded partnership (such as PAA Natural Gas Storage, L.P.) in which we own an interest are separate passive activities and will only be available to offset its separate passive income generated in the future, and will not be available to offset our income from any other passive activities. Passive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 </w:t>
      </w:r>
    </w:p>
    <w:p>
      <w:pPr>
        <w:pStyle w:val="TextBody"/>
        <w:spacing w:before="270" w:after="0"/>
        <w:rPr>
          <w:rFonts w:ascii="Times New Roman" w:hAnsi="Times New Roman"/>
          <w:b/>
          <w:i/>
          <w:sz w:val="20"/>
        </w:rPr>
      </w:pPr>
      <w:r>
        <w:rPr>
          <w:rFonts w:ascii="Times New Roman" w:hAnsi="Times New Roman"/>
          <w:b/>
          <w:i/>
          <w:sz w:val="20"/>
        </w:rPr>
        <w:t xml:space="preserve">Limitations on Interest Deductions </w:t>
      </w:r>
    </w:p>
    <w:p>
      <w:pPr>
        <w:pStyle w:val="TextBody"/>
        <w:spacing w:before="90" w:after="0"/>
        <w:rPr>
          <w:rFonts w:ascii="Times New Roman" w:hAnsi="Times New Roman"/>
          <w:sz w:val="20"/>
        </w:rPr>
      </w:pPr>
      <w:r>
        <w:rPr>
          <w:rFonts w:ascii="Times New Roman" w:hAnsi="Times New Roman"/>
          <w:sz w:val="20"/>
        </w:rPr>
        <w:t xml:space="preserve">The deductibility of a non-corporate taxpayers investment interest expense generally is limited to the amount of that taxpayers net investment income. Investment interest expense includes: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on indebtedness allocable to property held for investment;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expense allocated against portfolio income;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interest expense incurred to purchase or carry an interest in a passive activity to the extent allocable against portfolio income. </w:t>
            </w:r>
          </w:p>
        </w:tc>
      </w:tr>
    </w:tbl>
    <w:p>
      <w:pPr>
        <w:pStyle w:val="TextBody"/>
        <w:spacing w:before="180" w:after="0"/>
        <w:rPr>
          <w:rFonts w:ascii="Times New Roman" w:hAnsi="Times New Roman"/>
          <w:sz w:val="20"/>
        </w:rPr>
      </w:pPr>
      <w:r>
        <w:rPr>
          <w:rFonts w:ascii="Times New Roman" w:hAnsi="Times New Roman"/>
          <w:sz w:val="20"/>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 </w:t>
      </w:r>
    </w:p>
    <w:p>
      <w:pPr>
        <w:pStyle w:val="TextBody"/>
        <w:spacing w:before="270" w:after="0"/>
        <w:rPr>
          <w:rFonts w:ascii="Times New Roman" w:hAnsi="Times New Roman"/>
          <w:b/>
          <w:i/>
          <w:sz w:val="20"/>
        </w:rPr>
      </w:pPr>
      <w:r>
        <w:rPr>
          <w:rFonts w:ascii="Times New Roman" w:hAnsi="Times New Roman"/>
          <w:b/>
          <w:i/>
          <w:sz w:val="20"/>
        </w:rPr>
        <w:t xml:space="preserve">Entity-Level Collections of Unitholder Taxes </w:t>
      </w:r>
    </w:p>
    <w:p>
      <w:pPr>
        <w:pStyle w:val="TextBody"/>
        <w:spacing w:before="90" w:after="0"/>
        <w:rPr>
          <w:rFonts w:ascii="Times New Roman" w:hAnsi="Times New Roman"/>
          <w:sz w:val="20"/>
        </w:rPr>
      </w:pPr>
      <w:r>
        <w:rPr>
          <w:rFonts w:ascii="Times New Roman" w:hAnsi="Times New Roman"/>
          <w:sz w:val="20"/>
        </w:rPr>
        <w:t xml:space="preserve">If we are required or elect under applicable law to pay any federal, state, local or non-U.S. tax on behalf of any current or former unitholder or our general partner, we are authorized to treat the payment as a distribution of cash to the relevant unitholder or general partner. Where the tax is payable on behalf of all the unitholders or we cannot determine the specific unitholder on whose behalf the tax is payable, we are authorized to treat the payment as a distribution to all current unitholders.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 </w:t>
      </w:r>
    </w:p>
    <w:p>
      <w:pPr>
        <w:pStyle w:val="TextBody"/>
        <w:spacing w:before="270" w:after="0"/>
        <w:rPr>
          <w:rFonts w:ascii="Times New Roman" w:hAnsi="Times New Roman"/>
          <w:b/>
          <w:i/>
          <w:sz w:val="20"/>
        </w:rPr>
      </w:pPr>
      <w:r>
        <w:rPr>
          <w:rFonts w:ascii="Times New Roman" w:hAnsi="Times New Roman"/>
          <w:b/>
          <w:i/>
          <w:sz w:val="20"/>
        </w:rPr>
        <w:t xml:space="preserve">Allocation of Income, Gain, Loss and Deduction </w:t>
      </w:r>
    </w:p>
    <w:p>
      <w:pPr>
        <w:pStyle w:val="TextBody"/>
        <w:spacing w:before="90" w:after="0"/>
        <w:rPr>
          <w:rFonts w:ascii="Times New Roman" w:hAnsi="Times New Roman"/>
          <w:sz w:val="20"/>
        </w:rPr>
      </w:pPr>
      <w:r>
        <w:rPr>
          <w:rFonts w:ascii="Times New Roman" w:hAnsi="Times New Roman"/>
          <w:sz w:val="20"/>
        </w:rPr>
        <w:t xml:space="preserve">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 </w:t>
      </w:r>
    </w:p>
    <w:p>
      <w:pPr>
        <w:pStyle w:val="TextBody"/>
        <w:spacing w:before="180" w:after="0"/>
        <w:rPr>
          <w:rFonts w:ascii="Times New Roman" w:hAnsi="Times New Roman"/>
          <w:sz w:val="20"/>
        </w:rPr>
      </w:pPr>
      <w:r>
        <w:rPr>
          <w:rFonts w:ascii="Times New Roman" w:hAnsi="Times New Roman"/>
          <w:sz w:val="20"/>
        </w:rPr>
        <w:t xml:space="preserve">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 </w:t>
      </w:r>
    </w:p>
    <w:p>
      <w:pPr>
        <w:pStyle w:val="TextBody"/>
        <w:spacing w:before="270" w:after="0"/>
        <w:rPr>
          <w:rFonts w:ascii="Times New Roman" w:hAnsi="Times New Roman"/>
          <w:b/>
          <w:i/>
          <w:sz w:val="20"/>
        </w:rPr>
      </w:pPr>
      <w:r>
        <w:rPr>
          <w:rFonts w:ascii="Times New Roman" w:hAnsi="Times New Roman"/>
          <w:b/>
          <w:i/>
          <w:sz w:val="20"/>
        </w:rPr>
        <w:t xml:space="preserve">Treatment of Securities Loans </w:t>
      </w:r>
    </w:p>
    <w:p>
      <w:pPr>
        <w:pStyle w:val="TextBody"/>
        <w:spacing w:before="90" w:after="0"/>
        <w:rPr>
          <w:rFonts w:ascii="Times New Roman" w:hAnsi="Times New Roman"/>
          <w:sz w:val="20"/>
        </w:rPr>
      </w:pPr>
      <w:r>
        <w:rPr>
          <w:rFonts w:ascii="Times New Roman" w:hAnsi="Times New Roman"/>
          <w:sz w:val="20"/>
        </w:rPr>
        <w:t xml:space="preserve">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disposition. As a result, during this period (i) any of our income, gain, loss or deduction allocated to those units would not be reportable by the lending unitholder, and (ii) any cash distributions received by the unitholder as to those units may be treated as ordinary income. </w:t>
      </w:r>
    </w:p>
    <w:p>
      <w:pPr>
        <w:pStyle w:val="TextBody"/>
        <w:spacing w:before="180" w:after="0"/>
        <w:rPr>
          <w:rFonts w:ascii="Times New Roman" w:hAnsi="Times New Roman"/>
          <w:sz w:val="20"/>
        </w:rPr>
      </w:pPr>
      <w:r>
        <w:rPr>
          <w:rFonts w:ascii="Times New Roman" w:hAnsi="Times New Roman"/>
          <w:sz w:val="20"/>
        </w:rPr>
        <w:t xml:space="preserve">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 Disposition of Units  Recognition of Gain or Loss. </w:t>
      </w:r>
    </w:p>
    <w:p>
      <w:pPr>
        <w:pStyle w:val="TextBody"/>
        <w:spacing w:before="270" w:after="0"/>
        <w:rPr>
          <w:rFonts w:ascii="Times New Roman" w:hAnsi="Times New Roman"/>
          <w:b/>
          <w:i/>
          <w:sz w:val="20"/>
        </w:rPr>
      </w:pPr>
      <w:r>
        <w:rPr>
          <w:rFonts w:ascii="Times New Roman" w:hAnsi="Times New Roman"/>
          <w:b/>
          <w:i/>
          <w:sz w:val="20"/>
        </w:rPr>
        <w:t xml:space="preserve">Tax Rates </w:t>
      </w:r>
    </w:p>
    <w:p>
      <w:pPr>
        <w:pStyle w:val="TextBody"/>
        <w:spacing w:before="90" w:after="0"/>
        <w:rPr>
          <w:rFonts w:ascii="Times New Roman" w:hAnsi="Times New Roman"/>
          <w:sz w:val="20"/>
        </w:rPr>
      </w:pPr>
      <w:r>
        <w:rPr>
          <w:rFonts w:ascii="Times New Roman" w:hAnsi="Times New Roman"/>
          <w:sz w:val="20"/>
        </w:rPr>
        <w:t xml:space="preserve">Under current law, the highest marginal federal income tax rates for individuals applicable to ordinary income and long-term capital gains (generally, gains from the sale or exchange of certain investment assets held for more than one year) are 35% and 15%, respectively. However, absent new legislation extending the current rates, beginning January 1, 2013, the highest marginal federal income tax rate applicable to ordinary income and long-term capital gains of individuals will increase to 39.6% and 20%, respectively. These rates are subject to change by new legislation at any time. </w:t>
      </w:r>
    </w:p>
    <w:p>
      <w:pPr>
        <w:pStyle w:val="TextBody"/>
        <w:spacing w:before="180" w:after="0"/>
        <w:rPr>
          <w:rFonts w:ascii="Times New Roman" w:hAnsi="Times New Roman"/>
          <w:sz w:val="20"/>
        </w:rPr>
      </w:pPr>
      <w:r>
        <w:rPr>
          <w:rFonts w:ascii="Times New Roman" w:hAnsi="Times New Roman"/>
          <w:sz w:val="20"/>
        </w:rPr>
        <w:t xml:space="preserve">A 3.8% Medicare tax on certain investment income earned by individuals, estates, and trusts will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In the case of an estate or trust, the tax will be imposed on the lesser of (i) undistributed net investment income, or (ii) the excess adjusted gross income over the dollar amount at which the highest income tax bracket applicable to an estate or trust begins. </w:t>
      </w:r>
    </w:p>
    <w:p>
      <w:pPr>
        <w:pStyle w:val="TextBody"/>
        <w:spacing w:before="270" w:after="0"/>
        <w:rPr>
          <w:rFonts w:ascii="Times New Roman" w:hAnsi="Times New Roman"/>
          <w:b/>
          <w:i/>
          <w:sz w:val="20"/>
        </w:rPr>
      </w:pPr>
      <w:r>
        <w:rPr>
          <w:rFonts w:ascii="Times New Roman" w:hAnsi="Times New Roman"/>
          <w:b/>
          <w:i/>
          <w:sz w:val="20"/>
        </w:rPr>
        <w:t xml:space="preserve">Section 754 Election </w:t>
      </w:r>
    </w:p>
    <w:p>
      <w:pPr>
        <w:pStyle w:val="TextBody"/>
        <w:spacing w:before="90" w:after="0"/>
        <w:rPr>
          <w:rFonts w:ascii="Times New Roman" w:hAnsi="Times New Roman"/>
          <w:sz w:val="20"/>
        </w:rPr>
      </w:pPr>
      <w:r>
        <w:rPr>
          <w:rFonts w:ascii="Times New Roman" w:hAnsi="Times New Roman"/>
          <w:sz w:val="20"/>
        </w:rPr>
        <w:t xml:space="preserve">We have made the election permitted by Section 754 of the Code that permits us to adjust the tax bases in our assets as to specific purchasers of our units under Section 743(b) of the Code.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 </w:t>
      </w:r>
    </w:p>
    <w:p>
      <w:pPr>
        <w:pStyle w:val="TextBody"/>
        <w:spacing w:before="180" w:after="0"/>
        <w:rPr>
          <w:rFonts w:ascii="Times New Roman" w:hAnsi="Times New Roman"/>
          <w:sz w:val="20"/>
        </w:rPr>
      </w:pPr>
      <w:r>
        <w:rPr>
          <w:rFonts w:ascii="Times New Roman" w:hAnsi="Times New Roman"/>
          <w:sz w:val="20"/>
        </w:rPr>
        <w:t xml:space="preserve">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 </w:t>
      </w:r>
    </w:p>
    <w:p>
      <w:pPr>
        <w:pStyle w:val="TextBody"/>
        <w:spacing w:before="180" w:after="0"/>
        <w:rPr>
          <w:rFonts w:ascii="Times New Roman" w:hAnsi="Times New Roman"/>
          <w:sz w:val="20"/>
        </w:rPr>
      </w:pPr>
      <w:r>
        <w:rPr>
          <w:rFonts w:ascii="Times New Roman" w:hAnsi="Times New Roman"/>
          <w:sz w:val="20"/>
        </w:rPr>
        <w:t xml:space="preserve">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 </w:t>
      </w:r>
    </w:p>
    <w:p>
      <w:pPr>
        <w:pStyle w:val="TextBody"/>
        <w:spacing w:before="270" w:after="0"/>
        <w:rPr>
          <w:rFonts w:ascii="Times New Roman" w:hAnsi="Times New Roman"/>
          <w:b/>
          <w:i/>
          <w:sz w:val="20"/>
        </w:rPr>
      </w:pPr>
      <w:r>
        <w:rPr>
          <w:rFonts w:ascii="Times New Roman" w:hAnsi="Times New Roman"/>
          <w:b/>
          <w:i/>
          <w:sz w:val="20"/>
        </w:rPr>
        <w:t xml:space="preserve">Tax Treatment of Operations </w:t>
      </w:r>
    </w:p>
    <w:p>
      <w:pPr>
        <w:pStyle w:val="TextBody"/>
        <w:spacing w:before="90" w:after="0"/>
        <w:rPr>
          <w:rFonts w:ascii="Times New Roman" w:hAnsi="Times New Roman"/>
          <w:b/>
          <w:i/>
          <w:sz w:val="20"/>
        </w:rPr>
      </w:pPr>
      <w:r>
        <w:rPr>
          <w:rFonts w:ascii="Times New Roman" w:hAnsi="Times New Roman"/>
          <w:b/>
          <w:i/>
          <w:sz w:val="20"/>
        </w:rPr>
        <w:t xml:space="preserve">Accounting Method and Taxable Year </w:t>
      </w:r>
    </w:p>
    <w:p>
      <w:pPr>
        <w:pStyle w:val="TextBody"/>
        <w:spacing w:before="90" w:after="0"/>
        <w:rPr>
          <w:rFonts w:ascii="Times New Roman" w:hAnsi="Times New Roman"/>
          <w:sz w:val="20"/>
        </w:rPr>
      </w:pPr>
      <w:r>
        <w:rPr>
          <w:rFonts w:ascii="Times New Roman" w:hAnsi="Times New Roman"/>
          <w:sz w:val="20"/>
        </w:rPr>
        <w:t xml:space="preserve">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 Disposition of Units  Allocations Between Transferors and Transferees. </w:t>
      </w:r>
    </w:p>
    <w:p>
      <w:pPr>
        <w:pStyle w:val="TextBody"/>
        <w:spacing w:before="270" w:after="0"/>
        <w:rPr>
          <w:rFonts w:ascii="Times New Roman" w:hAnsi="Times New Roman"/>
          <w:b/>
          <w:i/>
          <w:sz w:val="20"/>
        </w:rPr>
      </w:pPr>
      <w:r>
        <w:rPr>
          <w:rFonts w:ascii="Times New Roman" w:hAnsi="Times New Roman"/>
          <w:b/>
          <w:i/>
          <w:sz w:val="20"/>
        </w:rPr>
        <w:t xml:space="preserve">Tax Basis, Depreciation and Amortization </w:t>
      </w:r>
    </w:p>
    <w:p>
      <w:pPr>
        <w:pStyle w:val="TextBody"/>
        <w:spacing w:before="90" w:after="0"/>
        <w:rPr>
          <w:rFonts w:ascii="Times New Roman" w:hAnsi="Times New Roman"/>
          <w:sz w:val="20"/>
        </w:rPr>
      </w:pPr>
      <w:r>
        <w:rPr>
          <w:rFonts w:ascii="Times New Roman" w:hAnsi="Times New Roman"/>
          <w:sz w:val="20"/>
        </w:rPr>
        <w:t xml:space="preserve">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 Tax Consequences of Unit Ownership  Allocation of Income, Gain, Loss and Deduction. </w:t>
      </w:r>
    </w:p>
    <w:p>
      <w:pPr>
        <w:pStyle w:val="TextBody"/>
        <w:spacing w:before="180" w:after="0"/>
        <w:rPr>
          <w:rFonts w:ascii="Times New Roman" w:hAnsi="Times New Roman"/>
          <w:sz w:val="20"/>
        </w:rPr>
      </w:pPr>
      <w:r>
        <w:rPr>
          <w:rFonts w:ascii="Times New Roman" w:hAnsi="Times New Roman"/>
          <w:sz w:val="20"/>
        </w:rPr>
        <w:t xml:space="preserve">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 </w:t>
      </w:r>
    </w:p>
    <w:p>
      <w:pPr>
        <w:pStyle w:val="TextBody"/>
        <w:spacing w:before="180" w:after="0"/>
        <w:rPr>
          <w:rFonts w:ascii="Times New Roman" w:hAnsi="Times New Roman"/>
          <w:sz w:val="20"/>
        </w:rPr>
      </w:pPr>
      <w:r>
        <w:rPr>
          <w:rFonts w:ascii="Times New Roman" w:hAnsi="Times New Roman"/>
          <w:sz w:val="20"/>
        </w:rPr>
        <w:t xml:space="preserve">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spacing w:before="270" w:after="0"/>
        <w:rPr>
          <w:rFonts w:ascii="Times New Roman" w:hAnsi="Times New Roman"/>
          <w:b/>
          <w:i/>
          <w:sz w:val="20"/>
        </w:rPr>
      </w:pPr>
      <w:r>
        <w:rPr>
          <w:rFonts w:ascii="Times New Roman" w:hAnsi="Times New Roman"/>
          <w:b/>
          <w:i/>
          <w:sz w:val="20"/>
        </w:rPr>
        <w:t xml:space="preserve">Valuation and Tax Basis of Our Properties </w:t>
      </w:r>
    </w:p>
    <w:p>
      <w:pPr>
        <w:pStyle w:val="TextBody"/>
        <w:spacing w:before="90" w:after="0"/>
        <w:rPr>
          <w:rFonts w:ascii="Times New Roman" w:hAnsi="Times New Roman"/>
          <w:sz w:val="20"/>
        </w:rPr>
      </w:pPr>
      <w:r>
        <w:rPr>
          <w:rFonts w:ascii="Times New Roman" w:hAnsi="Times New Roman"/>
          <w:sz w:val="20"/>
        </w:rPr>
        <w:t xml:space="preserve">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Disposition of Units </w:t>
      </w:r>
    </w:p>
    <w:p>
      <w:pPr>
        <w:pStyle w:val="TextBody"/>
        <w:spacing w:before="90" w:after="0"/>
        <w:rPr>
          <w:rFonts w:ascii="Times New Roman" w:hAnsi="Times New Roman"/>
          <w:b/>
          <w:i/>
          <w:sz w:val="20"/>
        </w:rPr>
      </w:pPr>
      <w:r>
        <w:rPr>
          <w:rFonts w:ascii="Times New Roman" w:hAnsi="Times New Roman"/>
          <w:b/>
          <w:i/>
          <w:sz w:val="20"/>
        </w:rPr>
        <w:t xml:space="preserve">Recognition of Gain or Loss </w:t>
      </w:r>
    </w:p>
    <w:p>
      <w:pPr>
        <w:pStyle w:val="TextBody"/>
        <w:spacing w:before="90" w:after="0"/>
        <w:rPr>
          <w:rFonts w:ascii="Times New Roman" w:hAnsi="Times New Roman"/>
          <w:sz w:val="20"/>
        </w:rPr>
      </w:pPr>
      <w:r>
        <w:rPr>
          <w:rFonts w:ascii="Times New Roman" w:hAnsi="Times New Roman"/>
          <w:sz w:val="20"/>
        </w:rPr>
        <w:t xml:space="preserve">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 </w:t>
      </w:r>
    </w:p>
    <w:p>
      <w:pPr>
        <w:pStyle w:val="TextBody"/>
        <w:spacing w:before="180" w:after="0"/>
        <w:rPr>
          <w:rFonts w:ascii="Times New Roman" w:hAnsi="Times New Roman"/>
          <w:sz w:val="20"/>
        </w:rPr>
      </w:pPr>
      <w:r>
        <w:rPr>
          <w:rFonts w:ascii="Times New Roman" w:hAnsi="Times New Roman"/>
          <w:sz w:val="20"/>
        </w:rPr>
        <w:t xml:space="preserve">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 </w:t>
      </w:r>
    </w:p>
    <w:p>
      <w:pPr>
        <w:pStyle w:val="TextBody"/>
        <w:spacing w:before="180" w:after="0"/>
        <w:rPr>
          <w:rFonts w:ascii="Times New Roman" w:hAnsi="Times New Roman"/>
          <w:sz w:val="20"/>
        </w:rPr>
      </w:pPr>
      <w:r>
        <w:rPr>
          <w:rFonts w:ascii="Times New Roman" w:hAnsi="Times New Roman"/>
          <w:sz w:val="20"/>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 </w:t>
      </w:r>
    </w:p>
    <w:p>
      <w:pPr>
        <w:pStyle w:val="TextBody"/>
        <w:spacing w:before="180" w:after="0"/>
        <w:rPr>
          <w:rFonts w:ascii="Times New Roman" w:hAnsi="Times New Roman"/>
          <w:sz w:val="20"/>
        </w:rPr>
      </w:pPr>
      <w:r>
        <w:rPr>
          <w:rFonts w:ascii="Times New Roman" w:hAnsi="Times New Roman"/>
          <w:sz w:val="20"/>
        </w:rPr>
        <w:t xml:space="preserve">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 </w:t>
      </w:r>
    </w:p>
    <w:p>
      <w:pPr>
        <w:pStyle w:val="TextBody"/>
        <w:spacing w:before="180" w:after="0"/>
        <w:rPr>
          <w:rFonts w:ascii="Times New Roman" w:hAnsi="Times New Roman"/>
          <w:sz w:val="20"/>
        </w:rPr>
      </w:pPr>
      <w:r>
        <w:rPr>
          <w:rFonts w:ascii="Times New Roman" w:hAnsi="Times New Roman"/>
          <w:sz w:val="20"/>
        </w:rPr>
        <w:t xml:space="preserve">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short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offsetting notional principal contract;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futures or forward contract with respect to the partnership interest or substantially identical property. </w:t>
            </w:r>
          </w:p>
        </w:tc>
      </w:tr>
    </w:tbl>
    <w:p>
      <w:pPr>
        <w:pStyle w:val="TextBody"/>
        <w:spacing w:before="180" w:after="0"/>
        <w:rPr>
          <w:rFonts w:ascii="Times New Roman" w:hAnsi="Times New Roman"/>
          <w:sz w:val="20"/>
        </w:rPr>
      </w:pPr>
      <w:r>
        <w:rPr>
          <w:rFonts w:ascii="Times New Roman" w:hAnsi="Times New Roman"/>
          <w:sz w:val="20"/>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Allocations Between Transferors and Transferee </w:t>
      </w:r>
    </w:p>
    <w:p>
      <w:pPr>
        <w:pStyle w:val="TextBody"/>
        <w:spacing w:before="90" w:after="0"/>
        <w:rPr>
          <w:rFonts w:ascii="Times New Roman" w:hAnsi="Times New Roman"/>
          <w:sz w:val="20"/>
        </w:rPr>
      </w:pPr>
      <w:r>
        <w:rPr>
          <w:rFonts w:ascii="Times New Roman" w:hAnsi="Times New Roman"/>
          <w:sz w:val="20"/>
        </w:rPr>
        <w:t xml:space="preserve">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 </w:t>
      </w:r>
    </w:p>
    <w:p>
      <w:pPr>
        <w:pStyle w:val="TextBody"/>
        <w:spacing w:before="180" w:after="0"/>
        <w:rPr>
          <w:rFonts w:ascii="Times New Roman" w:hAnsi="Times New Roman"/>
          <w:sz w:val="20"/>
        </w:rPr>
      </w:pPr>
      <w:r>
        <w:rPr>
          <w:rFonts w:ascii="Times New Roman" w:hAnsi="Times New Roman"/>
          <w:sz w:val="20"/>
        </w:rPr>
        <w:t xml:space="preserve">Although simplifying conventions are contemplated by the Code and most publicly-traded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publicly-traded partnership may use a similar monthly simplifying convention to allocate tax items among transferor and transferee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could be reallocated among our unitholders. We are authorized to revise our method of allocation between transferee and transferor unitholders, as well as among unitholders whose interests vary during a taxable year, to conform to a method permitted under future Treasury Regulations. </w:t>
      </w:r>
    </w:p>
    <w:p>
      <w:pPr>
        <w:pStyle w:val="TextBody"/>
        <w:spacing w:before="180" w:after="0"/>
        <w:rPr>
          <w:rFonts w:ascii="Times New Roman" w:hAnsi="Times New Roman"/>
          <w:sz w:val="20"/>
        </w:rPr>
      </w:pPr>
      <w:r>
        <w:rPr>
          <w:rFonts w:ascii="Times New Roman" w:hAnsi="Times New Roman"/>
          <w:sz w:val="20"/>
        </w:rPr>
        <w:t xml:space="preserve">A unitholder who disposes of units prior to the record date set for a cash distribution for that quarter will be allocated items of our income, gain, loss and deduction attributable to the month of disposition but will not be entitled to receive a cash distribution for that period. </w:t>
      </w:r>
    </w:p>
    <w:p>
      <w:pPr>
        <w:pStyle w:val="TextBody"/>
        <w:spacing w:before="270" w:after="0"/>
        <w:rPr>
          <w:rFonts w:ascii="Times New Roman" w:hAnsi="Times New Roman"/>
          <w:b/>
          <w:i/>
          <w:sz w:val="20"/>
        </w:rPr>
      </w:pPr>
      <w:r>
        <w:rPr>
          <w:rFonts w:ascii="Times New Roman" w:hAnsi="Times New Roman"/>
          <w:b/>
          <w:i/>
          <w:sz w:val="20"/>
        </w:rPr>
        <w:t xml:space="preserve">Notification Requirements </w:t>
      </w:r>
    </w:p>
    <w:p>
      <w:pPr>
        <w:pStyle w:val="TextBody"/>
        <w:spacing w:before="90" w:after="0"/>
        <w:rPr>
          <w:rFonts w:ascii="Times New Roman" w:hAnsi="Times New Roman"/>
          <w:sz w:val="20"/>
        </w:rPr>
      </w:pPr>
      <w:r>
        <w:rPr>
          <w:rFonts w:ascii="Times New Roman" w:hAnsi="Times New Roman"/>
          <w:sz w:val="20"/>
        </w:rPr>
        <w:t xml:space="preserve">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 </w:t>
      </w:r>
    </w:p>
    <w:p>
      <w:pPr>
        <w:pStyle w:val="TextBody"/>
        <w:spacing w:before="270" w:after="0"/>
        <w:rPr>
          <w:rFonts w:ascii="Times New Roman" w:hAnsi="Times New Roman"/>
          <w:b/>
          <w:i/>
          <w:sz w:val="20"/>
        </w:rPr>
      </w:pPr>
      <w:r>
        <w:rPr>
          <w:rFonts w:ascii="Times New Roman" w:hAnsi="Times New Roman"/>
          <w:b/>
          <w:i/>
          <w:sz w:val="20"/>
        </w:rPr>
        <w:t xml:space="preserve">Constructive Termination </w:t>
      </w:r>
    </w:p>
    <w:p>
      <w:pPr>
        <w:pStyle w:val="TextBody"/>
        <w:spacing w:before="90" w:after="0"/>
        <w:rPr>
          <w:rFonts w:ascii="Times New Roman" w:hAnsi="Times New Roman"/>
          <w:sz w:val="20"/>
        </w:rPr>
      </w:pPr>
      <w:r>
        <w:rPr>
          <w:rFonts w:ascii="Times New Roman" w:hAnsi="Times New Roman"/>
          <w:sz w:val="20"/>
        </w:rPr>
        <w:t xml:space="preserve">We will be considered to have constructively terminated as a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 </w:t>
      </w:r>
    </w:p>
    <w:p>
      <w:pPr>
        <w:pStyle w:val="TextBody"/>
        <w:spacing w:before="180" w:after="0"/>
        <w:rPr>
          <w:rFonts w:ascii="Times New Roman" w:hAnsi="Times New Roman"/>
          <w:sz w:val="20"/>
        </w:rPr>
      </w:pPr>
      <w:r>
        <w:rPr>
          <w:rFonts w:ascii="Times New Roman" w:hAnsi="Times New Roman"/>
          <w:sz w:val="20"/>
        </w:rPr>
        <w:t xml:space="preserve">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Moreover, a termination may either accelerate the application of, or subject us to, any tax legislation enacted before the termination that would not otherwise have been applied to us as a continuing as opposed to a terminating partnership. </w:t>
      </w:r>
    </w:p>
    <w:p>
      <w:pPr>
        <w:pStyle w:val="TextBody"/>
        <w:spacing w:before="270" w:after="0"/>
        <w:rPr>
          <w:rFonts w:ascii="Times New Roman" w:hAnsi="Times New Roman"/>
          <w:b/>
          <w:i/>
          <w:sz w:val="20"/>
        </w:rPr>
      </w:pPr>
      <w:r>
        <w:rPr>
          <w:rFonts w:ascii="Times New Roman" w:hAnsi="Times New Roman"/>
          <w:b/>
          <w:i/>
          <w:sz w:val="20"/>
        </w:rPr>
        <w:t xml:space="preserve">Uniformity of Units </w:t>
      </w:r>
    </w:p>
    <w:p>
      <w:pPr>
        <w:pStyle w:val="TextBody"/>
        <w:spacing w:before="90" w:after="0"/>
        <w:rPr>
          <w:rFonts w:ascii="Times New Roman" w:hAnsi="Times New Roman"/>
          <w:sz w:val="20"/>
        </w:rPr>
      </w:pPr>
      <w:r>
        <w:rPr>
          <w:rFonts w:ascii="Times New Roman" w:hAnsi="Times New Roman"/>
          <w:sz w:val="20"/>
        </w:rPr>
        <w:t xml:space="preserve">Because we cannot match transferors and transferees of units and related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 Tax Consequences of Unit Ownership  Section 754 Election. </w:t>
      </w:r>
    </w:p>
    <w:p>
      <w:pPr>
        <w:pStyle w:val="TextBody"/>
        <w:spacing w:before="180" w:after="0"/>
        <w:rPr>
          <w:rFonts w:ascii="Times New Roman" w:hAnsi="Times New Roman"/>
          <w:sz w:val="20"/>
        </w:rPr>
      </w:pPr>
      <w:r>
        <w:rPr>
          <w:rFonts w:ascii="Times New Roman" w:hAnsi="Times New Roman"/>
          <w:sz w:val="20"/>
        </w:rPr>
        <w:t xml:space="preserve">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validity of such filing positions. </w:t>
      </w:r>
    </w:p>
    <w:p>
      <w:pPr>
        <w:pStyle w:val="TextBody"/>
        <w:spacing w:before="180" w:after="0"/>
        <w:rPr>
          <w:rFonts w:ascii="Times New Roman" w:hAnsi="Times New Roman"/>
          <w:sz w:val="20"/>
        </w:rPr>
      </w:pPr>
      <w:r>
        <w:rPr>
          <w:rFonts w:ascii="Times New Roman" w:hAnsi="Times New Roman"/>
          <w:sz w:val="20"/>
        </w:rPr>
        <w:t xml:space="preserve">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above and  Tax Consequences of Unit Ownership 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 </w:t>
      </w:r>
    </w:p>
    <w:p>
      <w:pPr>
        <w:pStyle w:val="TextBody"/>
        <w:spacing w:before="270" w:after="0"/>
        <w:rPr>
          <w:rFonts w:ascii="Times New Roman" w:hAnsi="Times New Roman"/>
          <w:b/>
          <w:i/>
          <w:sz w:val="20"/>
        </w:rPr>
      </w:pPr>
      <w:r>
        <w:rPr>
          <w:rFonts w:ascii="Times New Roman" w:hAnsi="Times New Roman"/>
          <w:b/>
          <w:i/>
          <w:sz w:val="20"/>
        </w:rPr>
        <w:t xml:space="preserve">Tax-Exempt Organizations and Other Investors </w:t>
      </w:r>
    </w:p>
    <w:p>
      <w:pPr>
        <w:pStyle w:val="TextBody"/>
        <w:spacing w:before="90" w:after="0"/>
        <w:rPr>
          <w:rFonts w:ascii="Times New Roman" w:hAnsi="Times New Roman"/>
          <w:sz w:val="20"/>
        </w:rPr>
      </w:pPr>
      <w:r>
        <w:rPr>
          <w:rFonts w:ascii="Times New Roman" w:hAnsi="Times New Roman"/>
          <w:sz w:val="20"/>
        </w:rPr>
        <w:t xml:space="preserve">Ownership of units by employee benefit plans, other tax-exempt organizations, non-resident aliens, non-U.S. corporations and other non-U.S. persons raises issues unique to those investors and, as described below, may have substantially adverse tax consequences to them. Prospective unitholders that are tax-exempt entities or non-U.S. persons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 </w:t>
      </w:r>
    </w:p>
    <w:p>
      <w:pPr>
        <w:pStyle w:val="TextBody"/>
        <w:spacing w:before="180" w:after="0"/>
        <w:rPr>
          <w:rFonts w:ascii="Times New Roman" w:hAnsi="Times New Roman"/>
          <w:sz w:val="20"/>
        </w:rPr>
      </w:pPr>
      <w:r>
        <w:rPr>
          <w:rFonts w:ascii="Times New Roman" w:hAnsi="Times New Roman"/>
          <w:sz w:val="20"/>
        </w:rPr>
        <w:t xml:space="preserve">Non-resident aliens and foreign corporations, trusts or estates that own units will be considered to be engaged in business in the United States because of their ownership of our units. Consequently, they will be required to file federal tax returns to report their share of our income, gain, loss or deduction and pay federal income tax at regular rates on their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 </w:t>
      </w:r>
    </w:p>
    <w:p>
      <w:pPr>
        <w:pStyle w:val="TextBody"/>
        <w:spacing w:before="180" w:after="0"/>
        <w:rPr>
          <w:rFonts w:ascii="Times New Roman" w:hAnsi="Times New Roman"/>
          <w:sz w:val="20"/>
        </w:rPr>
      </w:pPr>
      <w:r>
        <w:rPr>
          <w:rFonts w:ascii="Times New Roman" w:hAnsi="Times New Roman"/>
          <w:sz w:val="20"/>
        </w:rPr>
        <w:t xml:space="preserve">In addition, because a foreign corporation that owns units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part or all of a non-U.S. unitholders gain may be treated as effectively connected with that unitholders indirect U.S. trade or business constituted by its investment in us. Moreover, under the Foreign Investment in Real Property Tax Act, a non-U.S. unitholder generally will be subject to federal income tax upon the sale or disposition of a unit if (i) it owned (directly or constructively applying certain attribution rules) more than 5% of our units at any time during the five-year period ending on the date of such disposition and (ii) 50% or more of the fair market value of all of our assets consisted of U.S. real property interests at any time during the shorter of the period during which such unitholder held the units or the 5-year period ending on the date of disposition. More than 50% of our assets may consist of U.S. real property interests. Therefore, non-U.S. unitholders may be subject to federal income tax on gain from the sale or disposition of their units. </w:t>
      </w:r>
    </w:p>
    <w:p>
      <w:pPr>
        <w:pStyle w:val="TextBody"/>
        <w:spacing w:before="270" w:after="0"/>
        <w:rPr>
          <w:rFonts w:ascii="Times New Roman" w:hAnsi="Times New Roman"/>
          <w:b/>
          <w:i/>
          <w:sz w:val="20"/>
        </w:rPr>
      </w:pPr>
      <w:r>
        <w:rPr>
          <w:rFonts w:ascii="Times New Roman" w:hAnsi="Times New Roman"/>
          <w:b/>
          <w:i/>
          <w:sz w:val="20"/>
        </w:rPr>
        <w:t xml:space="preserve">Administrative Matters </w:t>
      </w:r>
    </w:p>
    <w:p>
      <w:pPr>
        <w:pStyle w:val="TextBody"/>
        <w:spacing w:before="90" w:after="0"/>
        <w:rPr>
          <w:rFonts w:ascii="Times New Roman" w:hAnsi="Times New Roman"/>
          <w:b/>
          <w:i/>
          <w:sz w:val="20"/>
        </w:rPr>
      </w:pPr>
      <w:r>
        <w:rPr>
          <w:rFonts w:ascii="Times New Roman" w:hAnsi="Times New Roman"/>
          <w:b/>
          <w:i/>
          <w:sz w:val="20"/>
        </w:rPr>
        <w:t xml:space="preserve">Information Returns and Audit Procedures </w:t>
      </w:r>
    </w:p>
    <w:p>
      <w:pPr>
        <w:pStyle w:val="TextBody"/>
        <w:spacing w:before="90" w:after="0"/>
        <w:rPr>
          <w:rFonts w:ascii="Times New Roman" w:hAnsi="Times New Roman"/>
          <w:sz w:val="20"/>
        </w:rPr>
      </w:pPr>
      <w:r>
        <w:rPr>
          <w:rFonts w:ascii="Times New Roman" w:hAnsi="Times New Roman"/>
          <w:sz w:val="20"/>
        </w:rPr>
        <w:t xml:space="preserve">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 </w:t>
      </w:r>
    </w:p>
    <w:p>
      <w:pPr>
        <w:pStyle w:val="TextBody"/>
        <w:spacing w:before="180" w:after="0"/>
        <w:rPr>
          <w:rFonts w:ascii="Times New Roman" w:hAnsi="Times New Roman"/>
          <w:sz w:val="20"/>
        </w:rPr>
      </w:pPr>
      <w:r>
        <w:rPr>
          <w:rFonts w:ascii="Times New Roman" w:hAnsi="Times New Roman"/>
          <w:sz w:val="20"/>
        </w:rPr>
        <w:t xml:space="preserve">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 </w:t>
      </w:r>
    </w:p>
    <w:p>
      <w:pPr>
        <w:pStyle w:val="TextBody"/>
        <w:spacing w:before="180" w:after="0"/>
        <w:rPr>
          <w:rFonts w:ascii="Times New Roman" w:hAnsi="Times New Roman"/>
          <w:sz w:val="20"/>
        </w:rPr>
      </w:pPr>
      <w:r>
        <w:rPr>
          <w:rFonts w:ascii="Times New Roman" w:hAnsi="Times New Roman"/>
          <w:sz w:val="20"/>
        </w:rPr>
        <w:t xml:space="preserve">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 </w:t>
      </w:r>
    </w:p>
    <w:p>
      <w:pPr>
        <w:pStyle w:val="TextBody"/>
        <w:spacing w:before="180" w:after="0"/>
        <w:rPr>
          <w:rFonts w:ascii="Times New Roman" w:hAnsi="Times New Roman"/>
          <w:sz w:val="20"/>
        </w:rPr>
      </w:pPr>
      <w:r>
        <w:rPr>
          <w:rFonts w:ascii="Times New Roman" w:hAnsi="Times New Roman"/>
          <w:sz w:val="20"/>
        </w:rPr>
        <w:t xml:space="preserve">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 </w:t>
      </w:r>
    </w:p>
    <w:p>
      <w:pPr>
        <w:pStyle w:val="TextBody"/>
        <w:spacing w:before="180" w:after="0"/>
        <w:rPr>
          <w:rFonts w:ascii="Times New Roman" w:hAnsi="Times New Roman"/>
          <w:sz w:val="20"/>
        </w:rPr>
      </w:pPr>
      <w:r>
        <w:rPr>
          <w:rFonts w:ascii="Times New Roman" w:hAnsi="Times New Roman"/>
          <w:sz w:val="20"/>
        </w:rPr>
        <w:t xml:space="preserve">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Nominee Reporting </w:t>
      </w:r>
    </w:p>
    <w:p>
      <w:pPr>
        <w:pStyle w:val="TextBody"/>
        <w:spacing w:before="90" w:after="0"/>
        <w:rPr>
          <w:rFonts w:ascii="Times New Roman" w:hAnsi="Times New Roman"/>
          <w:sz w:val="20"/>
        </w:rPr>
      </w:pPr>
      <w:r>
        <w:rPr>
          <w:rFonts w:ascii="Times New Roman" w:hAnsi="Times New Roman"/>
          <w:sz w:val="20"/>
        </w:rPr>
        <w:t xml:space="preserve">Persons who hold an interest in us as a nominee for another person are required to furnish to us: </w:t>
      </w:r>
    </w:p>
    <w:p>
      <w:pPr>
        <w:pStyle w:val="TextBody"/>
        <w:spacing w:before="90" w:after="0"/>
        <w:rPr>
          <w:rFonts w:ascii="Times New Roman" w:hAnsi="Times New Roman"/>
          <w:sz w:val="20"/>
        </w:rPr>
      </w:pPr>
      <w:r>
        <w:rPr>
          <w:rFonts w:ascii="Times New Roman" w:hAnsi="Times New Roman"/>
          <w:sz w:val="20"/>
        </w:rPr>
        <w:t xml:space="preserve">(1) the name, address and taxpayer identification number of the beneficial owner and the nominee; </w:t>
      </w:r>
    </w:p>
    <w:p>
      <w:pPr>
        <w:pStyle w:val="TextBody"/>
        <w:spacing w:before="90" w:after="0"/>
        <w:rPr>
          <w:rFonts w:ascii="Times New Roman" w:hAnsi="Times New Roman"/>
          <w:sz w:val="20"/>
        </w:rPr>
      </w:pPr>
      <w:r>
        <w:rPr>
          <w:rFonts w:ascii="Times New Roman" w:hAnsi="Times New Roman"/>
          <w:sz w:val="20"/>
        </w:rPr>
        <w:t xml:space="preserve">(2) a statement regarding whether the beneficial owner is: </w:t>
      </w:r>
    </w:p>
    <w:p>
      <w:pPr>
        <w:pStyle w:val="TextBody"/>
        <w:spacing w:before="90" w:after="0"/>
        <w:rPr>
          <w:rFonts w:ascii="Times New Roman" w:hAnsi="Times New Roman"/>
          <w:sz w:val="20"/>
        </w:rPr>
      </w:pPr>
      <w:r>
        <w:rPr>
          <w:rFonts w:ascii="Times New Roman" w:hAnsi="Times New Roman"/>
          <w:sz w:val="20"/>
        </w:rPr>
        <w:t xml:space="preserve">(a) a non-U.S. person; </w:t>
      </w:r>
    </w:p>
    <w:p>
      <w:pPr>
        <w:pStyle w:val="TextBody"/>
        <w:spacing w:before="90" w:after="0"/>
        <w:rPr>
          <w:rFonts w:ascii="Times New Roman" w:hAnsi="Times New Roman"/>
          <w:sz w:val="20"/>
        </w:rPr>
      </w:pPr>
      <w:r>
        <w:rPr>
          <w:rFonts w:ascii="Times New Roman" w:hAnsi="Times New Roman"/>
          <w:sz w:val="20"/>
        </w:rPr>
        <w:t xml:space="preserve">(b) a non-U.S. government, an international organization or any wholly owned agency or instrumentality of either of the foregoing; or </w:t>
      </w:r>
    </w:p>
    <w:p>
      <w:pPr>
        <w:pStyle w:val="TextBody"/>
        <w:spacing w:before="90" w:after="0"/>
        <w:rPr>
          <w:rFonts w:ascii="Times New Roman" w:hAnsi="Times New Roman"/>
          <w:sz w:val="20"/>
        </w:rPr>
      </w:pPr>
      <w:r>
        <w:rPr>
          <w:rFonts w:ascii="Times New Roman" w:hAnsi="Times New Roman"/>
          <w:sz w:val="20"/>
        </w:rPr>
        <w:t xml:space="preserve">(c) a tax-exempt entity; </w:t>
      </w:r>
    </w:p>
    <w:p>
      <w:pPr>
        <w:pStyle w:val="TextBody"/>
        <w:spacing w:before="90" w:after="0"/>
        <w:rPr>
          <w:rFonts w:ascii="Times New Roman" w:hAnsi="Times New Roman"/>
          <w:sz w:val="20"/>
        </w:rPr>
      </w:pPr>
      <w:r>
        <w:rPr>
          <w:rFonts w:ascii="Times New Roman" w:hAnsi="Times New Roman"/>
          <w:sz w:val="20"/>
        </w:rPr>
        <w:t xml:space="preserve">(3) the amount and description of units held, acquired or transferred for the beneficial owner; and </w:t>
      </w:r>
    </w:p>
    <w:p>
      <w:pPr>
        <w:pStyle w:val="TextBody"/>
        <w:spacing w:before="90" w:after="0"/>
        <w:rPr>
          <w:rFonts w:ascii="Times New Roman" w:hAnsi="Times New Roman"/>
          <w:sz w:val="20"/>
        </w:rPr>
      </w:pPr>
      <w:r>
        <w:rPr>
          <w:rFonts w:ascii="Times New Roman" w:hAnsi="Times New Roman"/>
          <w:sz w:val="20"/>
        </w:rPr>
        <w:t xml:space="preserve">(4) specific information including the dates of acquisitions and transfers, means of acquisitions and transfers, and acquisition cost for purchases, as well as the amount of net proceeds from sales. </w:t>
      </w:r>
    </w:p>
    <w:p>
      <w:pPr>
        <w:pStyle w:val="TextBody"/>
        <w:spacing w:before="180" w:after="0"/>
        <w:rPr>
          <w:rFonts w:ascii="Times New Roman" w:hAnsi="Times New Roman"/>
          <w:sz w:val="20"/>
        </w:rPr>
      </w:pPr>
      <w:r>
        <w:rPr>
          <w:rFonts w:ascii="Times New Roman" w:hAnsi="Times New Roman"/>
          <w:sz w:val="20"/>
        </w:rPr>
        <w:t xml:space="preserve">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 </w:t>
      </w:r>
    </w:p>
    <w:p>
      <w:pPr>
        <w:pStyle w:val="TextBody"/>
        <w:spacing w:before="270" w:after="0"/>
        <w:rPr>
          <w:rFonts w:ascii="Times New Roman" w:hAnsi="Times New Roman"/>
          <w:b/>
          <w:i/>
          <w:sz w:val="20"/>
        </w:rPr>
      </w:pPr>
      <w:r>
        <w:rPr>
          <w:rFonts w:ascii="Times New Roman" w:hAnsi="Times New Roman"/>
          <w:b/>
          <w:i/>
          <w:sz w:val="20"/>
        </w:rPr>
        <w:t xml:space="preserve">Accuracy-Related Penalties </w:t>
      </w:r>
    </w:p>
    <w:p>
      <w:pPr>
        <w:pStyle w:val="TextBody"/>
        <w:spacing w:before="90" w:after="0"/>
        <w:rPr>
          <w:rFonts w:ascii="Times New Roman" w:hAnsi="Times New Roman"/>
          <w:sz w:val="20"/>
        </w:rPr>
      </w:pPr>
      <w:r>
        <w:rPr>
          <w:rFonts w:ascii="Times New Roman" w:hAnsi="Times New Roman"/>
          <w:sz w:val="20"/>
        </w:rPr>
        <w:t xml:space="preserve">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 </w:t>
      </w:r>
    </w:p>
    <w:p>
      <w:pPr>
        <w:pStyle w:val="TextBody"/>
        <w:spacing w:before="270" w:after="0"/>
        <w:rPr>
          <w:rFonts w:ascii="Times New Roman" w:hAnsi="Times New Roman"/>
          <w:b/>
          <w:i/>
          <w:sz w:val="20"/>
        </w:rPr>
      </w:pPr>
      <w:r>
        <w:rPr>
          <w:rFonts w:ascii="Times New Roman" w:hAnsi="Times New Roman"/>
          <w:b/>
          <w:i/>
          <w:sz w:val="20"/>
        </w:rPr>
        <w:t xml:space="preserve">State, Local and Other Tax Considerations </w:t>
      </w:r>
    </w:p>
    <w:p>
      <w:pPr>
        <w:pStyle w:val="TextBody"/>
        <w:spacing w:before="90" w:after="0"/>
        <w:rPr>
          <w:rFonts w:ascii="Times New Roman" w:hAnsi="Times New Roman"/>
          <w:sz w:val="20"/>
        </w:rPr>
      </w:pPr>
      <w:r>
        <w:rPr>
          <w:rFonts w:ascii="Times New Roman" w:hAnsi="Times New Roman"/>
          <w:sz w:val="20"/>
        </w:rPr>
        <w:t xml:space="preserve">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 </w:t>
      </w:r>
    </w:p>
    <w:p>
      <w:pPr>
        <w:pStyle w:val="TextBody"/>
        <w:spacing w:before="270" w:after="0"/>
        <w:rPr>
          <w:rFonts w:ascii="Times New Roman" w:hAnsi="Times New Roman"/>
          <w:b/>
          <w:i/>
          <w:sz w:val="20"/>
        </w:rPr>
      </w:pPr>
      <w:r>
        <w:rPr>
          <w:rFonts w:ascii="Times New Roman" w:hAnsi="Times New Roman"/>
          <w:b/>
          <w:i/>
          <w:sz w:val="20"/>
        </w:rPr>
        <w:t xml:space="preserve">Tax Consequences of Ownership of Debt Securities </w:t>
      </w:r>
    </w:p>
    <w:p>
      <w:pPr>
        <w:pStyle w:val="TextBody"/>
        <w:spacing w:before="90" w:after="0"/>
        <w:rPr>
          <w:rFonts w:ascii="Times New Roman" w:hAnsi="Times New Roman"/>
          <w:sz w:val="20"/>
        </w:rPr>
      </w:pPr>
      <w:r>
        <w:rPr>
          <w:rFonts w:ascii="Times New Roman" w:hAnsi="Times New Roman"/>
          <w:sz w:val="20"/>
        </w:rPr>
        <w:t xml:space="preserve">A description of the material U.S. federal income tax consequences of the acquisition, ownership, and disposition of any series of debt securities will be set forth in the prospectus supplement relating to the offering of such debt securities. </w:t>
      </w:r>
    </w:p>
    <w:p>
      <w:pPr>
        <w:pStyle w:val="TextBody"/>
        <w:spacing w:before="180" w:after="0"/>
        <w:rPr>
          <w:rFonts w:ascii="Times New Roman" w:hAnsi="Times New Roman"/>
          <w:b/>
          <w:sz w:val="20"/>
        </w:rPr>
      </w:pPr>
      <w:r>
        <w:rPr>
          <w:rFonts w:ascii="Times New Roman" w:hAnsi="Times New Roman"/>
          <w:b/>
          <w:sz w:val="20"/>
        </w:rPr>
        <w:t xml:space="preserve">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toc415878_13"/>
      <w:bookmarkEnd w:id="15"/>
      <w:r>
        <w:rPr>
          <w:rFonts w:ascii="Times New Roman" w:hAnsi="Times New Roman"/>
          <w:b/>
          <w:sz w:val="20"/>
        </w:rPr>
        <w:t xml:space="preserve">Plan of Distribution </w:t>
      </w:r>
    </w:p>
    <w:p>
      <w:pPr>
        <w:pStyle w:val="TextBody"/>
        <w:spacing w:before="90" w:after="0"/>
        <w:rPr>
          <w:rFonts w:ascii="Times New Roman" w:hAnsi="Times New Roman"/>
          <w:sz w:val="20"/>
        </w:rPr>
      </w:pPr>
      <w:r>
        <w:rPr>
          <w:rFonts w:ascii="Times New Roman" w:hAnsi="Times New Roman"/>
          <w:sz w:val="20"/>
        </w:rPr>
        <w:t xml:space="preserve">Under this prospectus, we intend to offer our securities to the public: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through one or more broker-dealers;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through underwriters;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directly to investors. </w:t>
            </w:r>
          </w:p>
        </w:tc>
      </w:tr>
    </w:tbl>
    <w:p>
      <w:pPr>
        <w:pStyle w:val="TextBody"/>
        <w:spacing w:before="180" w:after="0"/>
        <w:rPr>
          <w:rFonts w:ascii="Times New Roman" w:hAnsi="Times New Roman"/>
          <w:sz w:val="20"/>
        </w:rPr>
      </w:pPr>
      <w:r>
        <w:rPr>
          <w:rFonts w:ascii="Times New Roman" w:hAnsi="Times New Roman"/>
          <w:sz w:val="20"/>
        </w:rPr>
        <w:t xml:space="preserve">We will fix a price or prices of our securities 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market prices prevailing at the time of any sale under this registration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prices related to market prices;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negotiated prices. </w:t>
            </w:r>
          </w:p>
        </w:tc>
      </w:tr>
    </w:tbl>
    <w:p>
      <w:pPr>
        <w:pStyle w:val="TextBody"/>
        <w:spacing w:before="180" w:after="0"/>
        <w:rPr>
          <w:rFonts w:ascii="Times New Roman" w:hAnsi="Times New Roman"/>
          <w:sz w:val="20"/>
        </w:rPr>
      </w:pPr>
      <w:r>
        <w:rPr>
          <w:rFonts w:ascii="Times New Roman" w:hAnsi="Times New Roman"/>
          <w:sz w:val="20"/>
        </w:rPr>
        <w:t xml:space="preserve">We may change the price of the securities offered from time to time. </w:t>
      </w:r>
    </w:p>
    <w:p>
      <w:pPr>
        <w:pStyle w:val="TextBody"/>
        <w:spacing w:before="180" w:after="0"/>
        <w:rPr>
          <w:rFonts w:ascii="Times New Roman" w:hAnsi="Times New Roman"/>
          <w:sz w:val="20"/>
        </w:rPr>
      </w:pPr>
      <w:r>
        <w:rPr>
          <w:rFonts w:ascii="Times New Roman" w:hAnsi="Times New Roman"/>
          <w:sz w:val="20"/>
        </w:rPr>
        <w:t xml:space="preserve">We will pay or allow distributors or sellers commissions that will not exceed those customary in the types of transactions involved. Broker-dealers may act as agent or may purchase securities as principal and thereafter resell the securities from time to time: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or through one or more transactions (which may involve crosses and block transactions) or distributions;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the New York Stock Exchange;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over-the-counter market;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private transactions. </w:t>
            </w:r>
          </w:p>
        </w:tc>
      </w:tr>
    </w:tbl>
    <w:p>
      <w:pPr>
        <w:pStyle w:val="TextBody"/>
        <w:spacing w:before="180" w:after="0"/>
        <w:rPr>
          <w:rFonts w:ascii="Times New Roman" w:hAnsi="Times New Roman"/>
          <w:sz w:val="20"/>
        </w:rPr>
      </w:pPr>
      <w:r>
        <w:rPr>
          <w:rFonts w:ascii="Times New Roman" w:hAnsi="Times New Roman"/>
          <w:sz w:val="20"/>
        </w:rPr>
        <w:t xml:space="preserve">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 </w:t>
      </w:r>
    </w:p>
    <w:p>
      <w:pPr>
        <w:pStyle w:val="TextBody"/>
        <w:spacing w:before="180" w:after="0"/>
        <w:rPr>
          <w:rFonts w:ascii="Times New Roman" w:hAnsi="Times New Roman"/>
          <w:sz w:val="20"/>
        </w:rPr>
      </w:pPr>
      <w:r>
        <w:rPr>
          <w:rFonts w:ascii="Times New Roman" w:hAnsi="Times New Roman"/>
          <w:sz w:val="20"/>
        </w:rPr>
        <w:t xml:space="preserve">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 </w:t>
      </w:r>
    </w:p>
    <w:p>
      <w:pPr>
        <w:pStyle w:val="TextBody"/>
        <w:spacing w:before="180" w:after="0"/>
        <w:rPr>
          <w:rFonts w:ascii="Times New Roman" w:hAnsi="Times New Roman"/>
          <w:sz w:val="20"/>
        </w:rPr>
      </w:pPr>
      <w:r>
        <w:rPr>
          <w:rFonts w:ascii="Times New Roman" w:hAnsi="Times New Roman"/>
          <w:sz w:val="20"/>
        </w:rPr>
        <w:t xml:space="preserve">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 </w:t>
      </w:r>
    </w:p>
    <w:p>
      <w:pPr>
        <w:pStyle w:val="TextBody"/>
        <w:spacing w:before="180" w:after="0"/>
        <w:rPr>
          <w:rFonts w:ascii="Times New Roman" w:hAnsi="Times New Roman"/>
          <w:sz w:val="20"/>
        </w:rPr>
      </w:pPr>
      <w:r>
        <w:rPr>
          <w:rFonts w:ascii="Times New Roman" w:hAnsi="Times New Roman"/>
          <w:sz w:val="20"/>
        </w:rPr>
        <w:t xml:space="preserve">We may offer our units into an existing trading market on the terms described in the prospectus supplement relating thereto. Underwriters and dealers who may participate in any at-the-market offerings will be described in the prospectus supplement relating thereto.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aggregate maximum compensation the underwriters will receive in connection with the sale of any securities under this prospectus and the registration statement of which it forms a part will not exceed 8% of the gross proceeds from the sale. </w:t>
      </w:r>
    </w:p>
    <w:p>
      <w:pPr>
        <w:pStyle w:val="TextBody"/>
        <w:spacing w:before="180" w:after="0"/>
        <w:rPr>
          <w:rFonts w:ascii="Times New Roman" w:hAnsi="Times New Roman"/>
          <w:sz w:val="20"/>
        </w:rPr>
      </w:pPr>
      <w:r>
        <w:rPr>
          <w:rFonts w:ascii="Times New Roman" w:hAnsi="Times New Roman"/>
          <w:sz w:val="20"/>
        </w:rPr>
        <w:t xml:space="preserve">Because FINRA views our common units as interests in a direct participation program, any offering of common units under the registration statement of which this prospectus forms a part will be made in compliance with Rule 2310 of the FINRA Rules. </w:t>
      </w:r>
    </w:p>
    <w:p>
      <w:pPr>
        <w:pStyle w:val="TextBody"/>
        <w:spacing w:before="180" w:after="0"/>
        <w:rPr>
          <w:rFonts w:ascii="Times New Roman" w:hAnsi="Times New Roman"/>
          <w:sz w:val="20"/>
        </w:rPr>
      </w:pPr>
      <w:r>
        <w:rPr>
          <w:rFonts w:ascii="Times New Roman" w:hAnsi="Times New Roman"/>
          <w:sz w:val="20"/>
        </w:rPr>
        <w:t xml:space="preserve">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 </w:t>
      </w:r>
    </w:p>
    <w:p>
      <w:pPr>
        <w:pStyle w:val="TextBody"/>
        <w:spacing w:before="180" w:after="0"/>
        <w:rPr>
          <w:rFonts w:ascii="Times New Roman" w:hAnsi="Times New Roman"/>
          <w:sz w:val="20"/>
        </w:rPr>
      </w:pPr>
      <w:r>
        <w:rPr>
          <w:rFonts w:ascii="Times New Roman" w:hAnsi="Times New Roman"/>
          <w:sz w:val="20"/>
        </w:rPr>
        <w:t xml:space="preserve">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toc415878_14"/>
      <w:bookmarkEnd w:id="16"/>
      <w:r>
        <w:rPr>
          <w:rFonts w:ascii="Times New Roman" w:hAnsi="Times New Roman"/>
          <w:b/>
          <w:sz w:val="20"/>
        </w:rPr>
        <w:t xml:space="preserve">Legal Matters </w:t>
      </w:r>
    </w:p>
    <w:p>
      <w:pPr>
        <w:pStyle w:val="TextBody"/>
        <w:spacing w:before="180" w:after="0"/>
        <w:rPr>
          <w:rFonts w:ascii="Times New Roman" w:hAnsi="Times New Roman"/>
          <w:sz w:val="20"/>
        </w:rPr>
      </w:pPr>
      <w:r>
        <w:rPr>
          <w:rFonts w:ascii="Times New Roman" w:hAnsi="Times New Roman"/>
          <w:sz w:val="20"/>
        </w:rPr>
        <w:t xml:space="preserve">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 </w:t>
      </w:r>
    </w:p>
    <w:p>
      <w:pPr>
        <w:pStyle w:val="TextBody"/>
        <w:spacing w:before="360" w:after="0"/>
        <w:jc w:val="center"/>
        <w:rPr>
          <w:rFonts w:ascii="Times New Roman" w:hAnsi="Times New Roman"/>
          <w:b/>
          <w:sz w:val="20"/>
        </w:rPr>
      </w:pPr>
      <w:bookmarkStart w:id="17" w:name="toc415878_15"/>
      <w:bookmarkEnd w:id="17"/>
      <w:r>
        <w:rPr>
          <w:rFonts w:ascii="Times New Roman" w:hAnsi="Times New Roman"/>
          <w:b/>
          <w:sz w:val="20"/>
        </w:rPr>
        <w:t xml:space="preserve">Experts </w:t>
      </w:r>
    </w:p>
    <w:p>
      <w:pPr>
        <w:pStyle w:val="TextBody"/>
        <w:spacing w:before="180" w:after="0"/>
        <w:rPr>
          <w:rFonts w:ascii="Times New Roman" w:hAnsi="Times New Roman"/>
          <w:sz w:val="20"/>
        </w:rPr>
      </w:pPr>
      <w:r>
        <w:rPr>
          <w:rFonts w:ascii="Times New Roman" w:hAnsi="Times New Roman"/>
          <w:sz w:val="20"/>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 </w:t>
      </w:r>
    </w:p>
    <w:p>
      <w:pPr>
        <w:pStyle w:val="TextBody"/>
        <w:spacing w:before="180" w:after="0"/>
        <w:rPr>
          <w:rFonts w:ascii="Times New Roman" w:hAnsi="Times New Roman"/>
          <w:sz w:val="20"/>
        </w:rPr>
      </w:pPr>
      <w:r>
        <w:rPr>
          <w:rFonts w:ascii="Times New Roman" w:hAnsi="Times New Roman"/>
          <w:sz w:val="20"/>
        </w:rPr>
        <w:t xml:space="preserve">The audited consolidated financial statements of Project Argyle, a business owned by BP p.l.c. and affiliates, as of December 31, 2011 and for the years ended December 31, 2010 and 2011, incorporated by reference into this prospectus from our Current Report on Form 8-K/A filed with the SEC on May 29, 2012, have been so incorporated by reference in reliance upon the report of Ernst &amp; Young, LLP, independent registered public accountants, given upon the authority of said firm as experts in accounting and auditing in giving said report.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18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14.</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Other Expenses of Issuance and Distribution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Set forth below are the expenses (other than underwriting discounts and commissions) expected to be incurred in connection with the issuance and distribution of the securities registered hereby. With the exception of the SEC registration fee, the amounts set forth below are estimates.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054"/>
        <w:gridCol w:w="557"/>
        <w:gridCol w:w="140"/>
        <w:gridCol w:w="1013"/>
        <w:gridCol w:w="175"/>
      </w:tblGrid>
      <w:tr>
        <w:trPr/>
        <w:tc>
          <w:tcPr>
            <w:tcW w:w="50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5054" w:type="dxa"/>
            <w:tcBorders/>
            <w:shd w:fill="CCEEFF" w:val="clear"/>
          </w:tcPr>
          <w:p>
            <w:pPr>
              <w:pStyle w:val="TableContents"/>
              <w:spacing w:before="0" w:after="283"/>
              <w:rPr>
                <w:rFonts w:ascii="Times New Roman" w:hAnsi="Times New Roman"/>
                <w:sz w:val="20"/>
              </w:rPr>
            </w:pPr>
            <w:r>
              <w:rPr>
                <w:rFonts w:ascii="Times New Roman" w:hAnsi="Times New Roman"/>
                <w:sz w:val="20"/>
              </w:rPr>
              <w:t>SEC registration fee</w:t>
            </w:r>
          </w:p>
        </w:tc>
        <w:tc>
          <w:tcPr>
            <w:tcW w:w="55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84,973</w:t>
            </w:r>
          </w:p>
        </w:tc>
        <w:tc>
          <w:tcPr>
            <w:tcW w:w="175" w:type="dxa"/>
            <w:tcBorders/>
            <w:shd w:fill="CCEEFF" w:val="clear"/>
            <w:vAlign w:val="bottom"/>
          </w:tcPr>
          <w:p>
            <w:pPr>
              <w:pStyle w:val="TableContents"/>
              <w:spacing w:before="0" w:after="283"/>
              <w:rPr/>
            </w:pPr>
            <w:r>
              <w:rPr/>
              <w:t>  </w:t>
            </w:r>
          </w:p>
        </w:tc>
      </w:tr>
      <w:tr>
        <w:trPr/>
        <w:tc>
          <w:tcPr>
            <w:tcW w:w="5054" w:type="dxa"/>
            <w:tcBorders/>
            <w:shd w:fill="auto" w:val="clear"/>
          </w:tcPr>
          <w:p>
            <w:pPr>
              <w:pStyle w:val="TableContents"/>
              <w:spacing w:before="0" w:after="283"/>
              <w:rPr>
                <w:rFonts w:ascii="Times New Roman" w:hAnsi="Times New Roman"/>
                <w:sz w:val="20"/>
              </w:rPr>
            </w:pPr>
            <w:r>
              <w:rPr>
                <w:rFonts w:ascii="Times New Roman" w:hAnsi="Times New Roman"/>
                <w:sz w:val="20"/>
              </w:rPr>
              <w:t>Legal fees and expenses</w:t>
            </w:r>
          </w:p>
        </w:tc>
        <w:tc>
          <w:tcPr>
            <w:tcW w:w="55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54" w:type="dxa"/>
            <w:tcBorders/>
            <w:shd w:fill="CCEEFF" w:val="clear"/>
          </w:tcPr>
          <w:p>
            <w:pPr>
              <w:pStyle w:val="TableContents"/>
              <w:spacing w:before="0" w:after="283"/>
              <w:rPr>
                <w:rFonts w:ascii="Times New Roman" w:hAnsi="Times New Roman"/>
                <w:sz w:val="20"/>
              </w:rPr>
            </w:pPr>
            <w:r>
              <w:rPr>
                <w:rFonts w:ascii="Times New Roman" w:hAnsi="Times New Roman"/>
                <w:sz w:val="20"/>
              </w:rPr>
              <w:t>Accounting fees and expenses</w:t>
            </w:r>
          </w:p>
        </w:tc>
        <w:tc>
          <w:tcPr>
            <w:tcW w:w="55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17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54" w:type="dxa"/>
            <w:tcBorders/>
            <w:shd w:fill="auto" w:val="clear"/>
          </w:tcPr>
          <w:p>
            <w:pPr>
              <w:pStyle w:val="TableContents"/>
              <w:spacing w:before="0" w:after="283"/>
              <w:rPr>
                <w:rFonts w:ascii="Times New Roman" w:hAnsi="Times New Roman"/>
                <w:sz w:val="20"/>
              </w:rPr>
            </w:pPr>
            <w:r>
              <w:rPr>
                <w:rFonts w:ascii="Times New Roman" w:hAnsi="Times New Roman"/>
                <w:sz w:val="20"/>
              </w:rPr>
              <w:t>Printing and engraving expenses</w:t>
            </w:r>
          </w:p>
        </w:tc>
        <w:tc>
          <w:tcPr>
            <w:tcW w:w="55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c>
          <w:tcPr>
            <w:tcW w:w="17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54" w:type="dxa"/>
            <w:tcBorders/>
            <w:shd w:fill="CCEEFF" w:val="clear"/>
          </w:tcPr>
          <w:p>
            <w:pPr>
              <w:pStyle w:val="TableContents"/>
              <w:spacing w:before="0" w:after="283"/>
              <w:rPr>
                <w:rFonts w:ascii="Times New Roman" w:hAnsi="Times New Roman"/>
                <w:sz w:val="20"/>
              </w:rPr>
            </w:pPr>
            <w:r>
              <w:rPr>
                <w:rFonts w:ascii="Times New Roman" w:hAnsi="Times New Roman"/>
                <w:sz w:val="20"/>
              </w:rPr>
              <w:t>Listing expenses</w:t>
            </w:r>
          </w:p>
        </w:tc>
        <w:tc>
          <w:tcPr>
            <w:tcW w:w="55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7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54" w:type="dxa"/>
            <w:tcBorders/>
            <w:shd w:fill="auto" w:val="clear"/>
          </w:tcPr>
          <w:p>
            <w:pPr>
              <w:pStyle w:val="TableContents"/>
              <w:spacing w:before="0" w:after="283"/>
              <w:rPr>
                <w:rFonts w:ascii="Times New Roman" w:hAnsi="Times New Roman"/>
                <w:sz w:val="20"/>
              </w:rPr>
            </w:pPr>
            <w:r>
              <w:rPr>
                <w:rFonts w:ascii="Times New Roman" w:hAnsi="Times New Roman"/>
                <w:sz w:val="20"/>
              </w:rPr>
              <w:t>Miscellaneous</w:t>
            </w:r>
          </w:p>
        </w:tc>
        <w:tc>
          <w:tcPr>
            <w:tcW w:w="55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0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75" w:type="dxa"/>
            <w:tcBorders/>
            <w:shd w:fill="auto" w:val="clear"/>
            <w:vAlign w:val="bottom"/>
          </w:tcPr>
          <w:p>
            <w:pPr>
              <w:pStyle w:val="TableContents"/>
              <w:spacing w:before="0" w:after="283"/>
              <w:rPr/>
            </w:pPr>
            <w:r>
              <w:rPr/>
              <w:t>  </w:t>
            </w:r>
          </w:p>
        </w:tc>
      </w:tr>
      <w:tr>
        <w:trPr/>
        <w:tc>
          <w:tcPr>
            <w:tcW w:w="5054" w:type="dxa"/>
            <w:tcBorders/>
            <w:shd w:fill="auto" w:val="clear"/>
            <w:vAlign w:val="bottom"/>
          </w:tcPr>
          <w:p>
            <w:pPr>
              <w:pStyle w:val="TableContents"/>
              <w:spacing w:before="0" w:after="283"/>
              <w:rPr>
                <w:sz w:val="4"/>
                <w:szCs w:val="4"/>
              </w:rPr>
            </w:pPr>
            <w:r>
              <w:rPr>
                <w:sz w:val="4"/>
                <w:szCs w:val="4"/>
              </w:rPr>
            </w:r>
          </w:p>
        </w:tc>
        <w:tc>
          <w:tcPr>
            <w:tcW w:w="55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283"/>
              <w:rPr/>
            </w:pPr>
            <w:r>
              <w:rPr/>
              <w:t> </w:t>
            </w:r>
          </w:p>
        </w:tc>
        <w:tc>
          <w:tcPr>
            <w:tcW w:w="1013" w:type="dxa"/>
            <w:tcBorders/>
            <w:shd w:fill="auto" w:val="clear"/>
            <w:vAlign w:val="bottom"/>
          </w:tcPr>
          <w:p>
            <w:pPr>
              <w:pStyle w:val="TableContents"/>
              <w:pBdr>
                <w:top w:val="single" w:sz="2" w:space="1" w:color="000000"/>
              </w:pBdr>
              <w:spacing w:before="0" w:after="283"/>
              <w:rPr/>
            </w:pPr>
            <w:r>
              <w:rPr/>
              <w:t> </w:t>
            </w:r>
          </w:p>
        </w:tc>
        <w:tc>
          <w:tcPr>
            <w:tcW w:w="175" w:type="dxa"/>
            <w:tcBorders/>
            <w:shd w:fill="auto" w:val="clear"/>
            <w:vAlign w:val="center"/>
          </w:tcPr>
          <w:p>
            <w:pPr>
              <w:pStyle w:val="TableContents"/>
              <w:spacing w:before="0" w:after="283"/>
              <w:rPr/>
            </w:pPr>
            <w:r>
              <w:rPr/>
              <w:t> </w:t>
            </w:r>
          </w:p>
        </w:tc>
      </w:tr>
      <w:tr>
        <w:trPr/>
        <w:tc>
          <w:tcPr>
            <w:tcW w:w="5054"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55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1,134,973</w:t>
            </w:r>
          </w:p>
        </w:tc>
        <w:tc>
          <w:tcPr>
            <w:tcW w:w="17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Because an indeterminate amount of securities is covered by this registration statement, the expenses in connection with the issuance and distribution of the securities are not currently determinable. The amounts shown are estimates of expenses for the amount of securities that the registrants are currently authorized to issue, but do not limit the amount of securities that may be offered.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15.</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Indemnification of Officers and Members of Our Board of Directors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Section 17-108 of the Delaware Revised Uniform Limited Partnership Act empowers a Delaware limited partnership to indemnify and hold harmless any partner or other person from and against all claims and demands whatsoever. The partnership agreement of Plains All American Pipeline, L.P. provides that Plains All American Pipeline, L.P.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L.P. and, with respect to any criminal proceeding, had no reasonable cause to believe his, her or its conduct was unlawful. Insofar as indemnification for liabilities arising under the Securities Act may be permitted to any Indemnitee pursuant to the foregoing provisions, the registrant has been informed that in the opinion of the SEC such indemnification is against public policy as expressed in the Act and is therefore unenforceable. </w:t>
      </w:r>
    </w:p>
    <w:p>
      <w:pPr>
        <w:pStyle w:val="TextBody"/>
        <w:spacing w:before="180" w:after="0"/>
        <w:rPr>
          <w:rFonts w:ascii="Times New Roman" w:hAnsi="Times New Roman"/>
          <w:sz w:val="20"/>
        </w:rPr>
      </w:pPr>
      <w:r>
        <w:rPr>
          <w:rFonts w:ascii="Times New Roman" w:hAnsi="Times New Roman"/>
          <w:sz w:val="20"/>
        </w:rPr>
        <w:t xml:space="preserve">Any indemnification under these provisions will be only out of the assets of Plains All American Pipeline, L.P., and the general partner shall not be personally liable for, or have any obligation to contribute or loan funds or assets to Plains All American Pipeline, L.P. to enable it to effectuate, such indemnification. Plains All American Pipeline, L.P. is authorized to purchase (or to reimburse the general partner or its affiliates for the cost of) insurance against liabilities asserted against and expenses incurred by such persons in connection with Plains All American Pipeline, L.P.s activities, regardless of whether Plains All American Pipeline, L.P. would have the power to indemnify such person against such liabilities under the provisions described above.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Plains All American GP LLC provides for the indemnification of (i) its members, (ii) members of its Board of Directors, and (iii) its officers (each, a Company Affiliate),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 Company Affiliate, regardless of whether a Company Affiliate continues to be a Company Affiliate at the time any such liability or expense is paid or incurred, if such Company Affiliate acted in good faith and in a manner he, she or it reasonably believed to be in, or not opposed to, the interests of the Plains All American GP LLC and with respect to any criminal proceeding, had no reason to believe his, her or its conduct was unlawful. Expenses incurred by a Company Affiliate in defending any such claim, demand, action, suit or proceeding will, from time to time, be advanced by the Plains All American GP LLC prior to the final disposition of such claim, demand, action, suit or proceeding upon receipt by the Plains All American GP LLC of an undertaking by or on behalf of the Company Affiliate to repay such amounts if it is ultimately determined that the Company Affiliate is not entitled to be indemnified. Plains All American GP LLC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Plains All American GP LLC. </w:t>
      </w:r>
    </w:p>
    <w:p>
      <w:pPr>
        <w:pStyle w:val="TextBody"/>
        <w:spacing w:before="180" w:after="0"/>
        <w:rPr>
          <w:rFonts w:ascii="Times New Roman" w:hAnsi="Times New Roman"/>
          <w:sz w:val="20"/>
        </w:rPr>
      </w:pPr>
      <w:r>
        <w:rPr>
          <w:rFonts w:ascii="Times New Roman" w:hAnsi="Times New Roman"/>
          <w:sz w:val="20"/>
        </w:rPr>
        <w:t xml:space="preserve">Section 145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of the circumstances of the case, such person is fairly and reasonably entitled to indemnity for such expenses which the Delaware Court of Chancery or such other court shall deem proper. PAA Finance Corp.s certificate of incorporation and bylaws provide that indemnification shall be to the fullest extent permitted by the DGCL for all its current or former directors or officers. As permitted by the DGCL, PAA Finance Corp.s certificate of incorporation provides that PAA Finance Corp. will indemnify its directors against liability to PAA Finance Corp. or its stockholders for monetary damages for breach of fiduciary duty as a director, except (1) for any breach of the directors duty of loyalty to PAA Finance Corp. or its stockholders, (2) for acts or omissions not in good faith or which involve intentional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misconduct or knowing violation of law, (3) under Section 174 of the DGCL or (4) for any transaction from which a director derived an improper personal benefit. </w:t>
      </w:r>
    </w:p>
    <w:p>
      <w:pPr>
        <w:pStyle w:val="TextBody"/>
        <w:spacing w:before="180" w:after="0"/>
        <w:rPr>
          <w:rFonts w:ascii="Times New Roman" w:hAnsi="Times New Roman"/>
          <w:sz w:val="20"/>
        </w:rPr>
      </w:pPr>
      <w:r>
        <w:rPr>
          <w:rFonts w:ascii="Times New Roman" w:hAnsi="Times New Roman"/>
          <w:sz w:val="20"/>
        </w:rPr>
        <w:t xml:space="preserve">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16.</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Exhibits and Financial Statement Schedules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i/>
          <w:sz w:val="20"/>
        </w:rPr>
        <w:t>Exhibits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The exhibits listed on the accompanying Exhibit Index are filed or incorporated by reference as part of this Registration Statement, and such Exhibit Index is incorporated herein by reference.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17.</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b/>
                <w:i/>
                <w:sz w:val="20"/>
              </w:rPr>
              <w:t>Undertakings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Each of the undersigned registrants hereby undertakes: </w:t>
      </w:r>
    </w:p>
    <w:p>
      <w:pPr>
        <w:pStyle w:val="TextBody"/>
        <w:spacing w:before="90" w:after="0"/>
        <w:rPr>
          <w:rFonts w:ascii="Times New Roman" w:hAnsi="Times New Roman"/>
          <w:sz w:val="20"/>
        </w:rPr>
      </w:pPr>
      <w:r>
        <w:rPr>
          <w:rFonts w:ascii="Times New Roman" w:hAnsi="Times New Roman"/>
          <w:sz w:val="20"/>
        </w:rPr>
        <w:t xml:space="preserve">A.  The undersigned registrant hereby undertakes: </w:t>
      </w:r>
    </w:p>
    <w:p>
      <w:pPr>
        <w:pStyle w:val="TextBody"/>
        <w:spacing w:before="90" w:after="0"/>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spacing w:before="90" w:after="0"/>
        <w:rPr>
          <w:rFonts w:ascii="Times New Roman" w:hAnsi="Times New Roman"/>
          <w:sz w:val="20"/>
        </w:rPr>
      </w:pPr>
      <w:r>
        <w:rPr>
          <w:rFonts w:ascii="Times New Roman" w:hAnsi="Times New Roman"/>
          <w:sz w:val="20"/>
        </w:rPr>
        <w:t xml:space="preserve">(a) To include any prospectus required by Section 10(a)(3) of the Securities Act; </w:t>
      </w:r>
    </w:p>
    <w:p>
      <w:pPr>
        <w:pStyle w:val="TextBody"/>
        <w:spacing w:before="90" w:after="0"/>
        <w:rPr>
          <w:rFonts w:ascii="Times New Roman" w:hAnsi="Times New Roman"/>
          <w:sz w:val="20"/>
        </w:rPr>
      </w:pPr>
      <w:r>
        <w:rPr>
          <w:rFonts w:ascii="Times New Roman" w:hAnsi="Times New Roman"/>
          <w:sz w:val="20"/>
        </w:rPr>
        <w:t xml:space="preserve">(b)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the prospectus filed with the SEC pursuant to Rule 424(b) if, in the aggregate, the changes in volume and price represent no more than a 20% change in the maximum aggregate offering price set forth in the Calculation of Registration Fee table in the effective registration statement; </w:t>
      </w:r>
    </w:p>
    <w:p>
      <w:pPr>
        <w:pStyle w:val="TextBody"/>
        <w:spacing w:before="90" w:after="0"/>
        <w:rPr>
          <w:rFonts w:ascii="Times New Roman" w:hAnsi="Times New Roman"/>
          <w:sz w:val="20"/>
        </w:rPr>
      </w:pPr>
      <w:r>
        <w:rPr>
          <w:rFonts w:ascii="Times New Roman" w:hAnsi="Times New Roman"/>
          <w:sz w:val="20"/>
        </w:rPr>
        <w:t xml:space="preserve">(c) To include any material information with respect to the plan of distribution not previously disclosed in this registration statement or any material change to the information in this registration statement; </w:t>
      </w:r>
    </w:p>
    <w:p>
      <w:pPr>
        <w:pStyle w:val="TextBody"/>
        <w:spacing w:before="180" w:after="0"/>
        <w:rPr>
          <w:rFonts w:ascii="Times New Roman" w:hAnsi="Times New Roman"/>
          <w:sz w:val="20"/>
        </w:rPr>
      </w:pPr>
      <w:r>
        <w:rPr>
          <w:rFonts w:ascii="Times New Roman" w:hAnsi="Times New Roman"/>
          <w:sz w:val="20"/>
        </w:rPr>
        <w:t xml:space="preserve">provided, however, that paragraphs (l)(a), (l)(b) and (1)(c) above do not apply if the information required to be included in a post-effective amendment by those paragraphs is contained in reports filed with or furnished to the SEC by the registrant pursuant to Section 13 or 15(d) of the Exchange Act that are incorporated by reference in this registration statement, or is contained in a form of prospectus filed pursuant to Rule 424(b) that is part of the registration statement. </w:t>
      </w:r>
    </w:p>
    <w:p>
      <w:pPr>
        <w:pStyle w:val="TextBody"/>
        <w:spacing w:before="90" w:after="0"/>
        <w:rPr>
          <w:rFonts w:ascii="Times New Roman" w:hAnsi="Times New Roman"/>
          <w:sz w:val="20"/>
        </w:rPr>
      </w:pPr>
      <w:r>
        <w:rPr>
          <w:rFonts w:ascii="Times New Roman" w:hAnsi="Times New Roman"/>
          <w:sz w:val="20"/>
        </w:rPr>
        <w:t xml:space="preserve">(2) That, for the purpose of determining any liability under the Securities Act, each of the post-effective amendments shall be deemed to be a new registration statement relating to the securities offered therein, and the offering of the securities at that time shall be deemed to be the initial bona fide offering thereof. </w:t>
      </w:r>
    </w:p>
    <w:p>
      <w:pPr>
        <w:pStyle w:val="TextBody"/>
        <w:spacing w:before="90" w:after="0"/>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spacing w:before="90" w:after="0"/>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spacing w:before="90" w:after="0"/>
        <w:rPr>
          <w:rFonts w:ascii="Times New Roman" w:hAnsi="Times New Roman"/>
          <w:sz w:val="20"/>
        </w:rPr>
      </w:pPr>
      <w:r>
        <w:rPr>
          <w:rFonts w:ascii="Times New Roman" w:hAnsi="Times New Roman"/>
          <w:sz w:val="20"/>
        </w:rPr>
        <w:t xml:space="preserve">(a) Each prospectus filed by the registrant pursuant to Rule 424(b)(3) shall be deemed to be part of the registration statement as of the date the filed prospectus was deemed part of and included in the registration statement;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spacing w:before="90" w:after="0"/>
        <w:rPr>
          <w:rFonts w:ascii="Times New Roman" w:hAnsi="Times New Roman"/>
          <w:sz w:val="20"/>
        </w:rPr>
      </w:pPr>
      <w:r>
        <w:rPr>
          <w:rFonts w:ascii="Times New Roman" w:hAnsi="Times New Roman"/>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spacing w:before="90" w:after="0"/>
        <w:rPr>
          <w:rFonts w:ascii="Times New Roman" w:hAnsi="Times New Roman"/>
          <w:sz w:val="20"/>
        </w:rPr>
      </w:pPr>
      <w:r>
        <w:rPr>
          <w:rFonts w:ascii="Times New Roman" w:hAnsi="Times New Roman"/>
          <w:sz w:val="20"/>
        </w:rPr>
        <w:t xml:space="preserve">(a) Any preliminary prospectus or prospectus of the undersigned registrant relating to the offering required to be filed pursuant to Rule 424; </w:t>
      </w:r>
    </w:p>
    <w:p>
      <w:pPr>
        <w:pStyle w:val="TextBody"/>
        <w:spacing w:before="90" w:after="0"/>
        <w:rPr>
          <w:rFonts w:ascii="Times New Roman" w:hAnsi="Times New Roman"/>
          <w:sz w:val="20"/>
        </w:rPr>
      </w:pPr>
      <w:r>
        <w:rPr>
          <w:rFonts w:ascii="Times New Roman" w:hAnsi="Times New Roman"/>
          <w:sz w:val="20"/>
        </w:rPr>
        <w:t xml:space="preserve">(b) Any free writing prospectus relating to the offering prepared by or on behalf of the undersigned registrant or used or referred to by the undersigned registrant; </w:t>
      </w:r>
    </w:p>
    <w:p>
      <w:pPr>
        <w:pStyle w:val="TextBody"/>
        <w:spacing w:before="90" w:after="0"/>
        <w:rPr>
          <w:rFonts w:ascii="Times New Roman" w:hAnsi="Times New Roman"/>
          <w:sz w:val="20"/>
        </w:rPr>
      </w:pPr>
      <w:r>
        <w:rPr>
          <w:rFonts w:ascii="Times New Roman" w:hAnsi="Times New Roman"/>
          <w:sz w:val="20"/>
        </w:rPr>
        <w:t xml:space="preserve">(c) The portion of any other free writing prospectus relating to the offering containing material information about the undersigned registrant or its securities provided by or on behalf of the undersigned registrant; and </w:t>
      </w:r>
    </w:p>
    <w:p>
      <w:pPr>
        <w:pStyle w:val="TextBody"/>
        <w:spacing w:before="90" w:after="0"/>
        <w:rPr>
          <w:rFonts w:ascii="Times New Roman" w:hAnsi="Times New Roman"/>
          <w:sz w:val="20"/>
        </w:rPr>
      </w:pPr>
      <w:r>
        <w:rPr>
          <w:rFonts w:ascii="Times New Roman" w:hAnsi="Times New Roman"/>
          <w:sz w:val="20"/>
        </w:rPr>
        <w:t xml:space="preserve">(d) Any other communication that is an offer in the offering made by the undersigned registrant to the purchaser. </w:t>
      </w:r>
    </w:p>
    <w:p>
      <w:pPr>
        <w:pStyle w:val="TextBody"/>
        <w:spacing w:before="180" w:after="0"/>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its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herein, and the offering of the securities at that time shall be deemed to be the initial bona fide offering thereof. </w:t>
      </w:r>
    </w:p>
    <w:p>
      <w:pPr>
        <w:pStyle w:val="TextBody"/>
        <w:spacing w:before="180" w:after="0"/>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that indemnification is against public policy as expressed in the Securities Act and is, therefore, unenforceable. In the event that a claim for indemnification against any liability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indemnification by it is against public policy as expressed in the Securities Act and will be governed by the final adjudication of the issue.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  The undersigned registrant hereby undertakes: </w:t>
      </w:r>
    </w:p>
    <w:p>
      <w:pPr>
        <w:pStyle w:val="TextBody"/>
        <w:spacing w:before="90" w:after="0"/>
        <w:rPr>
          <w:rFonts w:ascii="Times New Roman" w:hAnsi="Times New Roman"/>
          <w:sz w:val="20"/>
        </w:rPr>
      </w:pPr>
      <w:r>
        <w:rPr>
          <w:rFonts w:ascii="Times New Roman" w:hAnsi="Times New Roman"/>
          <w:sz w:val="20"/>
        </w:rPr>
        <w:t xml:space="preserve">(1) For purposes of determining any liability under the Securities Act, the information omitted from the form of prospectus or any prospectus supplement filed as part of this registration statement in reliance on Rule 430A and contained in a form of prospectus or prospectus supplement filed by the registrant pursuant to Rule 424(b)( 1) or (4) or 497(h) under the Securities Act shall be deemed to be part of this registration statement as of the time it was declared effective. </w:t>
      </w:r>
    </w:p>
    <w:p>
      <w:pPr>
        <w:pStyle w:val="TextBody"/>
        <w:spacing w:before="90" w:after="0"/>
        <w:rPr>
          <w:rFonts w:ascii="Times New Roman" w:hAnsi="Times New Roman"/>
          <w:sz w:val="20"/>
        </w:rPr>
      </w:pPr>
      <w:r>
        <w:rPr>
          <w:rFonts w:ascii="Times New Roman" w:hAnsi="Times New Roman"/>
          <w:sz w:val="20"/>
        </w:rPr>
        <w:t xml:space="preserve">(2) For the purpose of determining any liability under the Securities Act, each post-effective amendment that contains a form of prospectus or prospectus supplement shall be deemed to be a new registration statement relating to the securities offered therein, and the offering of such securities at that time shall be deemed to be the initial bona fide offering thereof.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September 27, 2012.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142"/>
        <w:gridCol w:w="60"/>
        <w:gridCol w:w="317"/>
        <w:gridCol w:w="60"/>
        <w:gridCol w:w="3503"/>
      </w:tblGrid>
      <w:tr>
        <w:trPr/>
        <w:tc>
          <w:tcPr>
            <w:tcW w:w="1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503"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PLAINS ALL AMERICAN PIPELINE, L.P.</w:t>
            </w:r>
          </w:p>
        </w:tc>
      </w:tr>
      <w:tr>
        <w:trPr>
          <w:trHeight w:val="240" w:hRule="atLeast"/>
        </w:trPr>
        <w:tc>
          <w:tcPr>
            <w:tcW w:w="142" w:type="dxa"/>
            <w:tcBorders/>
            <w:shd w:fill="auto" w:val="clear"/>
            <w:vAlign w:val="center"/>
          </w:tcPr>
          <w:p>
            <w:pPr>
              <w:pStyle w:val="TableContents"/>
              <w:spacing w:before="0" w:after="283"/>
              <w:rPr>
                <w:sz w:val="4"/>
                <w:szCs w:val="4"/>
              </w:rPr>
            </w:pPr>
            <w:r>
              <w:rPr>
                <w:sz w:val="4"/>
                <w:szCs w:val="4"/>
              </w:rPr>
            </w:r>
          </w:p>
        </w:tc>
        <w:tc>
          <w:tcPr>
            <w:tcW w:w="377" w:type="dxa"/>
            <w:gridSpan w:val="2"/>
            <w:tcBorders/>
            <w:shd w:fill="auto" w:val="clear"/>
            <w:vAlign w:val="center"/>
          </w:tcPr>
          <w:p>
            <w:pPr>
              <w:pStyle w:val="TableContents"/>
              <w:spacing w:before="0" w:after="283"/>
              <w:rPr>
                <w:sz w:val="4"/>
                <w:szCs w:val="4"/>
              </w:rPr>
            </w:pPr>
            <w:r>
              <w:rPr>
                <w:sz w:val="4"/>
                <w:szCs w:val="4"/>
              </w:rPr>
            </w:r>
          </w:p>
        </w:tc>
        <w:tc>
          <w:tcPr>
            <w:tcW w:w="3563" w:type="dxa"/>
            <w:gridSpan w:val="2"/>
            <w:tcBorders/>
            <w:shd w:fill="auto" w:val="clear"/>
            <w:vAlign w:val="center"/>
          </w:tcPr>
          <w:p>
            <w:pPr>
              <w:pStyle w:val="TableContents"/>
              <w:spacing w:before="0" w:after="283"/>
              <w:rPr>
                <w:sz w:val="4"/>
                <w:szCs w:val="4"/>
              </w:rPr>
            </w:pPr>
            <w:r>
              <w:rPr>
                <w:sz w:val="4"/>
                <w:szCs w:val="4"/>
              </w:rPr>
            </w:r>
          </w:p>
        </w:tc>
      </w:tr>
      <w:tr>
        <w:trPr/>
        <w:tc>
          <w:tcPr>
            <w:tcW w:w="1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503"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c>
          <w:tcPr>
            <w:tcW w:w="1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503"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c>
          <w:tcPr>
            <w:tcW w:w="1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503"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142" w:type="dxa"/>
            <w:tcBorders/>
            <w:shd w:fill="auto" w:val="clear"/>
            <w:vAlign w:val="center"/>
          </w:tcPr>
          <w:p>
            <w:pPr>
              <w:pStyle w:val="TableContents"/>
              <w:spacing w:before="0" w:after="283"/>
              <w:rPr>
                <w:sz w:val="4"/>
                <w:szCs w:val="4"/>
              </w:rPr>
            </w:pPr>
            <w:r>
              <w:rPr>
                <w:sz w:val="4"/>
                <w:szCs w:val="4"/>
              </w:rPr>
            </w:r>
          </w:p>
        </w:tc>
        <w:tc>
          <w:tcPr>
            <w:tcW w:w="377" w:type="dxa"/>
            <w:gridSpan w:val="2"/>
            <w:tcBorders/>
            <w:shd w:fill="auto" w:val="clear"/>
            <w:vAlign w:val="center"/>
          </w:tcPr>
          <w:p>
            <w:pPr>
              <w:pStyle w:val="TableContents"/>
              <w:spacing w:before="0" w:after="283"/>
              <w:rPr>
                <w:sz w:val="4"/>
                <w:szCs w:val="4"/>
              </w:rPr>
            </w:pPr>
            <w:r>
              <w:rPr>
                <w:sz w:val="4"/>
                <w:szCs w:val="4"/>
              </w:rPr>
            </w:r>
          </w:p>
        </w:tc>
        <w:tc>
          <w:tcPr>
            <w:tcW w:w="3563" w:type="dxa"/>
            <w:gridSpan w:val="2"/>
            <w:tcBorders/>
            <w:shd w:fill="auto" w:val="clear"/>
            <w:vAlign w:val="center"/>
          </w:tcPr>
          <w:p>
            <w:pPr>
              <w:pStyle w:val="TableContents"/>
              <w:spacing w:before="0" w:after="283"/>
              <w:rPr>
                <w:sz w:val="4"/>
                <w:szCs w:val="4"/>
              </w:rPr>
            </w:pPr>
            <w:r>
              <w:rPr>
                <w:sz w:val="4"/>
                <w:szCs w:val="4"/>
              </w:rPr>
            </w:r>
          </w:p>
        </w:tc>
      </w:tr>
      <w:tr>
        <w:trPr/>
        <w:tc>
          <w:tcPr>
            <w:tcW w:w="1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503"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GREG L. ARMSTRONG</w:t>
            </w:r>
          </w:p>
        </w:tc>
      </w:tr>
      <w:tr>
        <w:trPr/>
        <w:tc>
          <w:tcPr>
            <w:tcW w:w="1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8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Name: Greg L. Armstrong</w:t>
            </w:r>
          </w:p>
        </w:tc>
      </w:tr>
      <w:tr>
        <w:trPr/>
        <w:tc>
          <w:tcPr>
            <w:tcW w:w="14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88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Title: Chairman of the Board and Chief Executive</w:t>
              <w:br/>
              <w:t>         Officer</w:t>
            </w:r>
          </w:p>
        </w:tc>
      </w:tr>
    </w:tbl>
    <w:p>
      <w:pPr>
        <w:pStyle w:val="TextBody"/>
        <w:spacing w:before="270" w:after="0"/>
        <w:jc w:val="center"/>
        <w:rPr>
          <w:rFonts w:ascii="Times New Roman" w:hAnsi="Times New Roman"/>
          <w:b/>
          <w:sz w:val="20"/>
        </w:rPr>
      </w:pPr>
      <w:r>
        <w:rPr>
          <w:rFonts w:ascii="Times New Roman" w:hAnsi="Times New Roman"/>
          <w:b/>
          <w:sz w:val="20"/>
        </w:rPr>
        <w:t xml:space="preserve">Power of Attorney </w:t>
      </w:r>
    </w:p>
    <w:p>
      <w:pPr>
        <w:pStyle w:val="TextBody"/>
        <w:spacing w:before="180" w:after="0"/>
        <w:rPr>
          <w:rFonts w:ascii="Times New Roman" w:hAnsi="Times New Roman"/>
          <w:sz w:val="20"/>
        </w:rPr>
      </w:pPr>
      <w:r>
        <w:rPr>
          <w:rFonts w:ascii="Times New Roman" w:hAnsi="Times New Roman"/>
          <w:sz w:val="20"/>
        </w:rPr>
        <w:t xml:space="preserve">Each person whose signature appears below appoints Al Swanson and Richard McGee, and each of them, either of whom may act without the joinder of the other, as his true and lawful attorneys-in-fact and agents, with full power of substitution and resubstitution, for him and in his name, place and stead, in any and all capacities, to sign any and all amendments (including post-effective amendments) to this Registration Statement and any Registration Statement (including any amendment thereto) for this offering that is to be effective upon filing pursuant to the Securities Act and to file the same, with all exhibits thereto, and all other documents in connection therewith, with the SEC, granting unto said attorneys-in-fact and agents full power and authority to do and perform each and every act and thing requisite and necessary to be done, as fully to all intents and purposes as he might or would do in person, hereby ratifying and confirming all that said attorneys-in-fact and agents or any of them of their or his substitute and substitutes, may lawfully do or cause to be done by virtue hereof.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below. </w:t>
      </w:r>
    </w:p>
    <w:p>
      <w:pPr>
        <w:pStyle w:val="TextBody"/>
        <w:spacing w:before="180" w:after="0"/>
        <w:rPr>
          <w:rFonts w:ascii="Times New Roman" w:hAnsi="Times New Roman"/>
          <w:b/>
          <w:sz w:val="20"/>
        </w:rPr>
      </w:pPr>
      <w:r>
        <w:rPr>
          <w:rFonts w:ascii="Times New Roman" w:hAnsi="Times New Roman"/>
          <w:b/>
          <w:sz w:val="20"/>
        </w:rPr>
        <w:t xml:space="preserve">PLAINS ALL AMERICAN GP LLC, for itself and as the general partner of PLAINS AAP, L.P., which is the sole member of PAA GP LLC, which is the general partner of PLAINS ALL AMERICAN PIPELINE, L.P.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0"/>
        <w:gridCol w:w="102"/>
        <w:gridCol w:w="3674"/>
        <w:gridCol w:w="102"/>
        <w:gridCol w:w="1837"/>
      </w:tblGrid>
      <w:tr>
        <w:trPr/>
        <w:tc>
          <w:tcPr>
            <w:tcW w:w="449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67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776"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GREG L. ARMSTRONG</w:t>
            </w:r>
          </w:p>
          <w:p>
            <w:pPr>
              <w:pStyle w:val="TableContents"/>
              <w:spacing w:before="0" w:after="15"/>
              <w:jc w:val="center"/>
              <w:rPr>
                <w:rFonts w:ascii="Times New Roman" w:hAnsi="Times New Roman"/>
                <w:sz w:val="20"/>
              </w:rPr>
            </w:pPr>
            <w:r>
              <w:rPr>
                <w:rFonts w:ascii="Times New Roman" w:hAnsi="Times New Roman"/>
                <w:sz w:val="20"/>
              </w:rPr>
              <w:t>Greg L. Armstrong</w:t>
            </w:r>
          </w:p>
        </w:tc>
        <w:tc>
          <w:tcPr>
            <w:tcW w:w="102"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Chairman of the Board, Chief Executive Officer and Director (Principal Executive Officer)</w:t>
            </w:r>
          </w:p>
        </w:tc>
        <w:tc>
          <w:tcPr>
            <w:tcW w:w="10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776"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HARRY N. PEFANIS</w:t>
            </w:r>
          </w:p>
          <w:p>
            <w:pPr>
              <w:pStyle w:val="TableContents"/>
              <w:spacing w:before="0" w:after="15"/>
              <w:jc w:val="center"/>
              <w:rPr>
                <w:rFonts w:ascii="Times New Roman" w:hAnsi="Times New Roman"/>
                <w:sz w:val="20"/>
              </w:rPr>
            </w:pPr>
            <w:r>
              <w:rPr>
                <w:rFonts w:ascii="Times New Roman" w:hAnsi="Times New Roman"/>
                <w:sz w:val="20"/>
              </w:rPr>
              <w:t>Harry N. Pefanis</w:t>
            </w:r>
          </w:p>
        </w:tc>
        <w:tc>
          <w:tcPr>
            <w:tcW w:w="102"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President and Chief Operating Officer</w:t>
            </w:r>
          </w:p>
        </w:tc>
        <w:tc>
          <w:tcPr>
            <w:tcW w:w="10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490" w:type="dxa"/>
            <w:tcBorders/>
            <w:shd w:fill="auto" w:val="clear"/>
            <w:vAlign w:val="center"/>
          </w:tcPr>
          <w:p>
            <w:pPr>
              <w:pStyle w:val="TableContents"/>
              <w:spacing w:before="0" w:after="283"/>
              <w:rPr>
                <w:sz w:val="4"/>
                <w:szCs w:val="4"/>
              </w:rPr>
            </w:pPr>
            <w:r>
              <w:rPr>
                <w:sz w:val="4"/>
                <w:szCs w:val="4"/>
              </w:rPr>
            </w:r>
          </w:p>
        </w:tc>
        <w:tc>
          <w:tcPr>
            <w:tcW w:w="3776"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AL SWANSON</w:t>
            </w:r>
          </w:p>
          <w:p>
            <w:pPr>
              <w:pStyle w:val="TableContents"/>
              <w:spacing w:before="0" w:after="15"/>
              <w:jc w:val="center"/>
              <w:rPr>
                <w:rFonts w:ascii="Times New Roman" w:hAnsi="Times New Roman"/>
                <w:sz w:val="20"/>
              </w:rPr>
            </w:pPr>
            <w:r>
              <w:rPr>
                <w:rFonts w:ascii="Times New Roman" w:hAnsi="Times New Roman"/>
                <w:sz w:val="20"/>
              </w:rPr>
              <w:t>Al Swanson</w:t>
            </w:r>
          </w:p>
        </w:tc>
        <w:tc>
          <w:tcPr>
            <w:tcW w:w="102"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Executive Vice President and Chief Financial Officer (Principal Financial Officer)</w:t>
            </w:r>
          </w:p>
        </w:tc>
        <w:tc>
          <w:tcPr>
            <w:tcW w:w="102"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491"/>
        <w:gridCol w:w="101"/>
        <w:gridCol w:w="3674"/>
        <w:gridCol w:w="101"/>
        <w:gridCol w:w="1838"/>
      </w:tblGrid>
      <w:tr>
        <w:trPr/>
        <w:tc>
          <w:tcPr>
            <w:tcW w:w="449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67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838"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CHRIS HERBOLD</w:t>
            </w:r>
          </w:p>
          <w:p>
            <w:pPr>
              <w:pStyle w:val="TableContents"/>
              <w:spacing w:before="0" w:after="15"/>
              <w:jc w:val="center"/>
              <w:rPr>
                <w:rFonts w:ascii="Times New Roman" w:hAnsi="Times New Roman"/>
                <w:sz w:val="20"/>
              </w:rPr>
            </w:pPr>
            <w:r>
              <w:rPr>
                <w:rFonts w:ascii="Times New Roman" w:hAnsi="Times New Roman"/>
                <w:sz w:val="20"/>
              </w:rPr>
              <w:t>Chris Herbold</w:t>
            </w:r>
          </w:p>
        </w:tc>
        <w:tc>
          <w:tcPr>
            <w:tcW w:w="101"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Vice President  Accounting and Chief Accounting Officer (Principal Accounting Officer)</w:t>
            </w:r>
          </w:p>
        </w:tc>
        <w:tc>
          <w:tcPr>
            <w:tcW w:w="101"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EVERARDO GOYANES</w:t>
            </w:r>
          </w:p>
          <w:p>
            <w:pPr>
              <w:pStyle w:val="TableContents"/>
              <w:spacing w:before="0" w:after="15"/>
              <w:jc w:val="center"/>
              <w:rPr>
                <w:rFonts w:ascii="Times New Roman" w:hAnsi="Times New Roman"/>
                <w:sz w:val="20"/>
              </w:rPr>
            </w:pPr>
            <w:r>
              <w:rPr>
                <w:rFonts w:ascii="Times New Roman" w:hAnsi="Times New Roman"/>
                <w:sz w:val="20"/>
              </w:rPr>
              <w:t>Everardo Goyanes</w:t>
            </w:r>
          </w:p>
        </w:tc>
        <w:tc>
          <w:tcPr>
            <w:tcW w:w="101"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101"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GARY R. PETERSEN</w:t>
            </w:r>
          </w:p>
          <w:p>
            <w:pPr>
              <w:pStyle w:val="TableContents"/>
              <w:spacing w:before="0" w:after="15"/>
              <w:jc w:val="center"/>
              <w:rPr>
                <w:rFonts w:ascii="Times New Roman" w:hAnsi="Times New Roman"/>
                <w:sz w:val="20"/>
              </w:rPr>
            </w:pPr>
            <w:r>
              <w:rPr>
                <w:rFonts w:ascii="Times New Roman" w:hAnsi="Times New Roman"/>
                <w:sz w:val="20"/>
              </w:rPr>
              <w:t>Gary R. Petersen</w:t>
            </w:r>
          </w:p>
        </w:tc>
        <w:tc>
          <w:tcPr>
            <w:tcW w:w="101"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101"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JOHN T. RAYMOND</w:t>
            </w:r>
          </w:p>
          <w:p>
            <w:pPr>
              <w:pStyle w:val="TableContents"/>
              <w:spacing w:before="0" w:after="15"/>
              <w:jc w:val="center"/>
              <w:rPr>
                <w:rFonts w:ascii="Times New Roman" w:hAnsi="Times New Roman"/>
                <w:sz w:val="20"/>
              </w:rPr>
            </w:pPr>
            <w:r>
              <w:rPr>
                <w:rFonts w:ascii="Times New Roman" w:hAnsi="Times New Roman"/>
                <w:sz w:val="20"/>
              </w:rPr>
              <w:t>John T. Raymond</w:t>
            </w:r>
          </w:p>
        </w:tc>
        <w:tc>
          <w:tcPr>
            <w:tcW w:w="101"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101"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ROBERT V. SINNOTT</w:t>
            </w:r>
          </w:p>
          <w:p>
            <w:pPr>
              <w:pStyle w:val="TableContents"/>
              <w:spacing w:before="0" w:after="15"/>
              <w:jc w:val="center"/>
              <w:rPr>
                <w:rFonts w:ascii="Times New Roman" w:hAnsi="Times New Roman"/>
                <w:sz w:val="20"/>
              </w:rPr>
            </w:pPr>
            <w:r>
              <w:rPr>
                <w:rFonts w:ascii="Times New Roman" w:hAnsi="Times New Roman"/>
                <w:sz w:val="20"/>
              </w:rPr>
              <w:t>Robert V. Sinnott</w:t>
            </w:r>
          </w:p>
        </w:tc>
        <w:tc>
          <w:tcPr>
            <w:tcW w:w="101"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101"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VICKY SUTIL</w:t>
            </w:r>
          </w:p>
          <w:p>
            <w:pPr>
              <w:pStyle w:val="TableContents"/>
              <w:spacing w:before="0" w:after="15"/>
              <w:jc w:val="center"/>
              <w:rPr>
                <w:rFonts w:ascii="Times New Roman" w:hAnsi="Times New Roman"/>
                <w:sz w:val="20"/>
              </w:rPr>
            </w:pPr>
            <w:r>
              <w:rPr>
                <w:rFonts w:ascii="Times New Roman" w:hAnsi="Times New Roman"/>
                <w:sz w:val="20"/>
              </w:rPr>
              <w:t>Vicky Sutil</w:t>
            </w:r>
          </w:p>
        </w:tc>
        <w:tc>
          <w:tcPr>
            <w:tcW w:w="101"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101"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 TAFT SYMONDS</w:t>
            </w:r>
          </w:p>
          <w:p>
            <w:pPr>
              <w:pStyle w:val="TableContents"/>
              <w:spacing w:before="0" w:after="15"/>
              <w:jc w:val="center"/>
              <w:rPr>
                <w:rFonts w:ascii="Times New Roman" w:hAnsi="Times New Roman"/>
                <w:sz w:val="20"/>
              </w:rPr>
            </w:pPr>
            <w:r>
              <w:rPr>
                <w:rFonts w:ascii="Times New Roman" w:hAnsi="Times New Roman"/>
                <w:sz w:val="20"/>
              </w:rPr>
              <w:t>J. Taft Symonds</w:t>
            </w:r>
          </w:p>
        </w:tc>
        <w:tc>
          <w:tcPr>
            <w:tcW w:w="101"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101"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CHRISTOPHER M. TEMPLE</w:t>
            </w:r>
          </w:p>
          <w:p>
            <w:pPr>
              <w:pStyle w:val="TableContents"/>
              <w:spacing w:before="0" w:after="15"/>
              <w:jc w:val="center"/>
              <w:rPr>
                <w:rFonts w:ascii="Times New Roman" w:hAnsi="Times New Roman"/>
                <w:sz w:val="20"/>
              </w:rPr>
            </w:pPr>
            <w:r>
              <w:rPr>
                <w:rFonts w:ascii="Times New Roman" w:hAnsi="Times New Roman"/>
                <w:sz w:val="20"/>
              </w:rPr>
              <w:t>Christopher M. Temple</w:t>
            </w:r>
          </w:p>
        </w:tc>
        <w:tc>
          <w:tcPr>
            <w:tcW w:w="101"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101"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September 27, 2012.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26"/>
        <w:gridCol w:w="60"/>
        <w:gridCol w:w="3396"/>
      </w:tblGrid>
      <w:tr>
        <w:trPr/>
        <w:tc>
          <w:tcPr>
            <w:tcW w:w="6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9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PAA FINANCE CORP.</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 xml:space="preserve">By: </w:t>
            </w:r>
            <w:r>
              <w:rPr>
                <w:rFonts w:ascii="Times New Roman" w:hAnsi="Times New Roman"/>
                <w:sz w:val="20"/>
                <w:u w:val="single"/>
              </w:rPr>
              <w:t>    /s/    GREG L. ARMSTRONG</w:t>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39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Greg L. Armstrong</w:t>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39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Executive Officer</w:t>
            </w:r>
          </w:p>
        </w:tc>
      </w:tr>
    </w:tbl>
    <w:p>
      <w:pPr>
        <w:pStyle w:val="TextBody"/>
        <w:spacing w:before="360" w:after="0"/>
        <w:jc w:val="center"/>
        <w:rPr>
          <w:rFonts w:ascii="Times New Roman" w:hAnsi="Times New Roman"/>
          <w:b/>
          <w:sz w:val="20"/>
        </w:rPr>
      </w:pPr>
      <w:r>
        <w:rPr>
          <w:rFonts w:ascii="Times New Roman" w:hAnsi="Times New Roman"/>
          <w:b/>
          <w:sz w:val="20"/>
        </w:rPr>
        <w:t xml:space="preserve">Power of Attorney </w:t>
      </w:r>
    </w:p>
    <w:p>
      <w:pPr>
        <w:pStyle w:val="TextBody"/>
        <w:spacing w:before="180" w:after="0"/>
        <w:rPr>
          <w:rFonts w:ascii="Times New Roman" w:hAnsi="Times New Roman"/>
          <w:sz w:val="20"/>
        </w:rPr>
      </w:pPr>
      <w:r>
        <w:rPr>
          <w:rFonts w:ascii="Times New Roman" w:hAnsi="Times New Roman"/>
          <w:sz w:val="20"/>
        </w:rPr>
        <w:t xml:space="preserve">Each person whose signature appears below appoints Al Swanson and Richard McGee, and each of them, either of whom may act without the joinder of the other, as his true and lawful attorneys-in-fact and agents, with full power of substitution and resubstitution, for him and in his name, place and stead, in any and all capacities, to sign any and all amendments (including post-effective amendments) to this Registration Statement and any Registration Statement (including any amendment thereto) for this offering that is to be effective upon filing pursuant to the Securities Act and to file the same, with all exhibits thereto, and all other documents in connection therewith, with the SEC, granting unto said attorneys-in-fact and agents full power and authority to do and perform each and every act and thing requisite and necessary to be done, as fully to all intents and purposes as he might or would do in person, hereby ratifying and confirming all that said attorneys-in-fact and agents or any of them of their or his substitute and substitutes, may lawfully do or cause to be done by virtue hereof.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491"/>
        <w:gridCol w:w="101"/>
        <w:gridCol w:w="3674"/>
        <w:gridCol w:w="101"/>
        <w:gridCol w:w="1838"/>
      </w:tblGrid>
      <w:tr>
        <w:trPr/>
        <w:tc>
          <w:tcPr>
            <w:tcW w:w="449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67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838"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GREG L. ARMSTRONG        </w:t>
            </w:r>
          </w:p>
          <w:p>
            <w:pPr>
              <w:pStyle w:val="TableContents"/>
              <w:spacing w:before="0" w:after="15"/>
              <w:jc w:val="center"/>
              <w:rPr>
                <w:rFonts w:ascii="Times New Roman" w:hAnsi="Times New Roman"/>
                <w:sz w:val="20"/>
              </w:rPr>
            </w:pPr>
            <w:r>
              <w:rPr>
                <w:rFonts w:ascii="Times New Roman" w:hAnsi="Times New Roman"/>
                <w:sz w:val="20"/>
              </w:rPr>
              <w:t>Greg L. Armstrong</w:t>
            </w:r>
          </w:p>
        </w:tc>
        <w:tc>
          <w:tcPr>
            <w:tcW w:w="101"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Chief Executive Officer and Director (Principal Executive Officer)</w:t>
            </w:r>
          </w:p>
        </w:tc>
        <w:tc>
          <w:tcPr>
            <w:tcW w:w="101"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AL SWANSON        </w:t>
            </w:r>
          </w:p>
          <w:p>
            <w:pPr>
              <w:pStyle w:val="TableContents"/>
              <w:spacing w:before="0" w:after="15"/>
              <w:jc w:val="center"/>
              <w:rPr>
                <w:rFonts w:ascii="Times New Roman" w:hAnsi="Times New Roman"/>
                <w:sz w:val="20"/>
              </w:rPr>
            </w:pPr>
            <w:r>
              <w:rPr>
                <w:rFonts w:ascii="Times New Roman" w:hAnsi="Times New Roman"/>
                <w:sz w:val="20"/>
              </w:rPr>
              <w:t>Al Swanson</w:t>
            </w:r>
          </w:p>
        </w:tc>
        <w:tc>
          <w:tcPr>
            <w:tcW w:w="101"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Executive Vice President, Chief Financial Officer and Director (Principal Financial Officer)</w:t>
            </w:r>
          </w:p>
        </w:tc>
        <w:tc>
          <w:tcPr>
            <w:tcW w:w="101"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CHRIS HERBOLD        </w:t>
            </w:r>
          </w:p>
          <w:p>
            <w:pPr>
              <w:pStyle w:val="TableContents"/>
              <w:spacing w:before="0" w:after="15"/>
              <w:jc w:val="center"/>
              <w:rPr>
                <w:rFonts w:ascii="Times New Roman" w:hAnsi="Times New Roman"/>
                <w:sz w:val="20"/>
              </w:rPr>
            </w:pPr>
            <w:r>
              <w:rPr>
                <w:rFonts w:ascii="Times New Roman" w:hAnsi="Times New Roman"/>
                <w:sz w:val="20"/>
              </w:rPr>
              <w:t>Chris Herbold</w:t>
            </w:r>
          </w:p>
        </w:tc>
        <w:tc>
          <w:tcPr>
            <w:tcW w:w="101"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Vice President  Accounting and Chief Accounting Officer (Principal Accounting Officer)</w:t>
            </w:r>
          </w:p>
        </w:tc>
        <w:tc>
          <w:tcPr>
            <w:tcW w:w="101"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491" w:type="dxa"/>
            <w:tcBorders/>
            <w:shd w:fill="auto" w:val="clear"/>
            <w:vAlign w:val="center"/>
          </w:tcPr>
          <w:p>
            <w:pPr>
              <w:pStyle w:val="TableContents"/>
              <w:spacing w:before="0" w:after="283"/>
              <w:rPr>
                <w:sz w:val="4"/>
                <w:szCs w:val="4"/>
              </w:rPr>
            </w:pPr>
            <w:r>
              <w:rPr>
                <w:sz w:val="4"/>
                <w:szCs w:val="4"/>
              </w:rPr>
            </w:r>
          </w:p>
        </w:tc>
        <w:tc>
          <w:tcPr>
            <w:tcW w:w="3775" w:type="dxa"/>
            <w:gridSpan w:val="2"/>
            <w:tcBorders/>
            <w:shd w:fill="auto" w:val="clear"/>
            <w:vAlign w:val="center"/>
          </w:tcPr>
          <w:p>
            <w:pPr>
              <w:pStyle w:val="TableContents"/>
              <w:spacing w:before="0" w:after="283"/>
              <w:rPr>
                <w:sz w:val="4"/>
                <w:szCs w:val="4"/>
              </w:rPr>
            </w:pPr>
            <w:r>
              <w:rPr>
                <w:sz w:val="4"/>
                <w:szCs w:val="4"/>
              </w:rPr>
            </w:r>
          </w:p>
        </w:tc>
        <w:tc>
          <w:tcPr>
            <w:tcW w:w="1939" w:type="dxa"/>
            <w:gridSpan w:val="2"/>
            <w:tcBorders/>
            <w:shd w:fill="auto" w:val="clear"/>
            <w:vAlign w:val="center"/>
          </w:tcPr>
          <w:p>
            <w:pPr>
              <w:pStyle w:val="TableContents"/>
              <w:spacing w:before="0" w:after="283"/>
              <w:rPr>
                <w:sz w:val="4"/>
                <w:szCs w:val="4"/>
              </w:rPr>
            </w:pPr>
            <w:r>
              <w:rPr>
                <w:sz w:val="4"/>
                <w:szCs w:val="4"/>
              </w:rPr>
            </w:r>
          </w:p>
        </w:tc>
      </w:tr>
      <w:tr>
        <w:trPr/>
        <w:tc>
          <w:tcPr>
            <w:tcW w:w="4491"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HARRY N. PEFANIS        </w:t>
            </w:r>
          </w:p>
          <w:p>
            <w:pPr>
              <w:pStyle w:val="TableContents"/>
              <w:spacing w:before="0" w:after="15"/>
              <w:jc w:val="center"/>
              <w:rPr>
                <w:rFonts w:ascii="Times New Roman" w:hAnsi="Times New Roman"/>
                <w:sz w:val="20"/>
              </w:rPr>
            </w:pPr>
            <w:r>
              <w:rPr>
                <w:rFonts w:ascii="Times New Roman" w:hAnsi="Times New Roman"/>
                <w:sz w:val="20"/>
              </w:rPr>
              <w:t>Harry N. Pefanis</w:t>
            </w:r>
          </w:p>
        </w:tc>
        <w:tc>
          <w:tcPr>
            <w:tcW w:w="101"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President and Director</w:t>
            </w:r>
          </w:p>
        </w:tc>
        <w:tc>
          <w:tcPr>
            <w:tcW w:w="101" w:type="dxa"/>
            <w:tcBorders/>
            <w:shd w:fill="auto" w:val="clear"/>
            <w:vAlign w:val="bottom"/>
          </w:tcPr>
          <w:p>
            <w:pPr>
              <w:pStyle w:val="TableContents"/>
              <w:spacing w:before="0" w:after="283"/>
              <w:rPr/>
            </w:pPr>
            <w:r>
              <w:rPr/>
              <w:t> </w:t>
            </w:r>
          </w:p>
        </w:tc>
        <w:tc>
          <w:tcPr>
            <w:tcW w:w="183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INDEX TO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9"/>
        <w:gridCol w:w="574"/>
        <w:gridCol w:w="120"/>
        <w:gridCol w:w="403"/>
        <w:gridCol w:w="60"/>
        <w:gridCol w:w="265"/>
        <w:gridCol w:w="120"/>
        <w:gridCol w:w="244"/>
        <w:gridCol w:w="8360"/>
      </w:tblGrid>
      <w:tr>
        <w:trPr/>
        <w:tc>
          <w:tcPr>
            <w:tcW w:w="5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bottom"/>
          </w:tcPr>
          <w:p>
            <w:pPr>
              <w:pStyle w:val="TableContents"/>
              <w:spacing w:before="0" w:after="283"/>
              <w:rPr>
                <w:sz w:val="4"/>
                <w:szCs w:val="4"/>
              </w:rPr>
            </w:pPr>
            <w:r>
              <w:rPr>
                <w:sz w:val="4"/>
                <w:szCs w:val="4"/>
              </w:rPr>
            </w:r>
          </w:p>
        </w:tc>
        <w:tc>
          <w:tcPr>
            <w:tcW w:w="8360" w:type="dxa"/>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tcPr>
          <w:p>
            <w:pPr>
              <w:pStyle w:val="TableContents"/>
              <w:spacing w:before="0" w:after="283"/>
              <w:rPr/>
            </w:pPr>
            <w:r>
              <w:rPr/>
              <w:t> </w:t>
            </w:r>
          </w:p>
        </w:tc>
        <w:tc>
          <w:tcPr>
            <w:tcW w:w="57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1.1+</w:t>
            </w:r>
          </w:p>
        </w:tc>
        <w:tc>
          <w:tcPr>
            <w:tcW w:w="120" w:type="dxa"/>
            <w:tcBorders/>
            <w:shd w:fill="auto" w:val="clea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83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Underwriting Agreement</w:t>
            </w:r>
          </w:p>
        </w:tc>
      </w:tr>
      <w:tr>
        <w:trPr/>
        <w:tc>
          <w:tcPr>
            <w:tcW w:w="59" w:type="dxa"/>
            <w:tcBorders/>
            <w:shd w:fill="auto" w:val="clear"/>
          </w:tcPr>
          <w:p>
            <w:pPr>
              <w:pStyle w:val="TableContents"/>
              <w:spacing w:before="0" w:after="283"/>
              <w:rPr/>
            </w:pPr>
            <w:r>
              <w:rPr/>
              <w:t> </w:t>
            </w:r>
          </w:p>
        </w:tc>
        <w:tc>
          <w:tcPr>
            <w:tcW w:w="57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4.1  </w:t>
            </w:r>
          </w:p>
        </w:tc>
        <w:tc>
          <w:tcPr>
            <w:tcW w:w="120" w:type="dxa"/>
            <w:tcBorders/>
            <w:shd w:fill="auto" w:val="clea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83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Indenture for Senior Debt Securities dated as of September 25, 2002 among Plains All American Pipeline, L.P., PAA Finance Corp. and Wachovia Bank, National Association, as original trustee (incorporated by reference to Exhibit 4.1 to the Quarterly Report on Form 10-Q for the quarter ended September 30, 2002 (File No. 001-14569)).</w:t>
            </w:r>
          </w:p>
        </w:tc>
      </w:tr>
      <w:tr>
        <w:trPr/>
        <w:tc>
          <w:tcPr>
            <w:tcW w:w="59" w:type="dxa"/>
            <w:tcBorders/>
            <w:shd w:fill="auto" w:val="clear"/>
          </w:tcPr>
          <w:p>
            <w:pPr>
              <w:pStyle w:val="TableContents"/>
              <w:spacing w:before="0" w:after="283"/>
              <w:rPr/>
            </w:pPr>
            <w:r>
              <w:rPr/>
              <w:t> </w:t>
            </w:r>
          </w:p>
        </w:tc>
        <w:tc>
          <w:tcPr>
            <w:tcW w:w="57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4.2  </w:t>
            </w:r>
          </w:p>
        </w:tc>
        <w:tc>
          <w:tcPr>
            <w:tcW w:w="120" w:type="dxa"/>
            <w:tcBorders/>
            <w:shd w:fill="auto" w:val="clea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83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Subordinated Indenture for Subordinated Debt Securities (incorporated by reference to Exhibit 4.2 to the Registration Statement on Form S-3 filed on August 27, 2001 (File No. 333-68446))</w:t>
            </w:r>
          </w:p>
        </w:tc>
      </w:tr>
      <w:tr>
        <w:trPr/>
        <w:tc>
          <w:tcPr>
            <w:tcW w:w="59" w:type="dxa"/>
            <w:tcBorders/>
            <w:shd w:fill="auto" w:val="clear"/>
          </w:tcPr>
          <w:p>
            <w:pPr>
              <w:pStyle w:val="TableContents"/>
              <w:spacing w:before="0" w:after="283"/>
              <w:rPr/>
            </w:pPr>
            <w:r>
              <w:rPr/>
              <w:t> </w:t>
            </w:r>
          </w:p>
        </w:tc>
        <w:tc>
          <w:tcPr>
            <w:tcW w:w="57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4.3+</w:t>
            </w:r>
          </w:p>
        </w:tc>
        <w:tc>
          <w:tcPr>
            <w:tcW w:w="120" w:type="dxa"/>
            <w:tcBorders/>
            <w:shd w:fill="auto" w:val="clea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83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Senior Debt Securities</w:t>
            </w:r>
          </w:p>
        </w:tc>
      </w:tr>
      <w:tr>
        <w:trPr/>
        <w:tc>
          <w:tcPr>
            <w:tcW w:w="59" w:type="dxa"/>
            <w:tcBorders/>
            <w:shd w:fill="auto" w:val="clear"/>
          </w:tcPr>
          <w:p>
            <w:pPr>
              <w:pStyle w:val="TableContents"/>
              <w:spacing w:before="0" w:after="283"/>
              <w:rPr/>
            </w:pPr>
            <w:r>
              <w:rPr/>
              <w:t> </w:t>
            </w:r>
          </w:p>
        </w:tc>
        <w:tc>
          <w:tcPr>
            <w:tcW w:w="57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4.4+</w:t>
            </w:r>
          </w:p>
        </w:tc>
        <w:tc>
          <w:tcPr>
            <w:tcW w:w="120" w:type="dxa"/>
            <w:tcBorders/>
            <w:shd w:fill="auto" w:val="clea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83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Subordinated Debt Securities</w:t>
            </w:r>
          </w:p>
        </w:tc>
      </w:tr>
      <w:tr>
        <w:trPr/>
        <w:tc>
          <w:tcPr>
            <w:tcW w:w="59" w:type="dxa"/>
            <w:tcBorders/>
            <w:shd w:fill="auto" w:val="clear"/>
          </w:tcPr>
          <w:p>
            <w:pPr>
              <w:pStyle w:val="TableContents"/>
              <w:spacing w:before="0" w:after="283"/>
              <w:rPr/>
            </w:pPr>
            <w:r>
              <w:rPr/>
              <w:t> </w:t>
            </w:r>
          </w:p>
        </w:tc>
        <w:tc>
          <w:tcPr>
            <w:tcW w:w="57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5.1*</w:t>
            </w:r>
          </w:p>
        </w:tc>
        <w:tc>
          <w:tcPr>
            <w:tcW w:w="120" w:type="dxa"/>
            <w:tcBorders/>
            <w:shd w:fill="auto" w:val="clea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83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Opinion of Vinson &amp; Elkins L.L.P. as to the legality of the securities being registered</w:t>
            </w:r>
          </w:p>
        </w:tc>
      </w:tr>
      <w:tr>
        <w:trPr/>
        <w:tc>
          <w:tcPr>
            <w:tcW w:w="59" w:type="dxa"/>
            <w:tcBorders/>
            <w:shd w:fill="auto" w:val="clear"/>
          </w:tcPr>
          <w:p>
            <w:pPr>
              <w:pStyle w:val="TableContents"/>
              <w:spacing w:before="0" w:after="283"/>
              <w:rPr/>
            </w:pPr>
            <w:r>
              <w:rPr/>
              <w:t> </w:t>
            </w:r>
          </w:p>
        </w:tc>
        <w:tc>
          <w:tcPr>
            <w:tcW w:w="57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8.1*</w:t>
            </w:r>
          </w:p>
        </w:tc>
        <w:tc>
          <w:tcPr>
            <w:tcW w:w="120" w:type="dxa"/>
            <w:tcBorders/>
            <w:shd w:fill="auto" w:val="clea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83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Opinion of Vinson &amp; Elkins L.L.P. relating to tax matters</w:t>
            </w:r>
          </w:p>
        </w:tc>
      </w:tr>
      <w:tr>
        <w:trPr/>
        <w:tc>
          <w:tcPr>
            <w:tcW w:w="59" w:type="dxa"/>
            <w:tcBorders/>
            <w:shd w:fill="auto" w:val="clear"/>
          </w:tcPr>
          <w:p>
            <w:pPr>
              <w:pStyle w:val="TableContents"/>
              <w:spacing w:before="0" w:after="283"/>
              <w:rPr/>
            </w:pPr>
            <w:r>
              <w:rPr/>
              <w:t> </w:t>
            </w:r>
          </w:p>
        </w:tc>
        <w:tc>
          <w:tcPr>
            <w:tcW w:w="57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12.1  </w:t>
            </w:r>
          </w:p>
        </w:tc>
        <w:tc>
          <w:tcPr>
            <w:tcW w:w="120" w:type="dxa"/>
            <w:tcBorders/>
            <w:shd w:fill="auto" w:val="clea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83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Calculation of ratio of earnings to fixed charges (incorporated by reference to Exhibit 12.1 of the Partnerships Quarterly Report on Form 10-Q for the quarterly period ended June 30, 2012 filed on August 9, 2012 (File No. 001-14569))</w:t>
            </w:r>
          </w:p>
        </w:tc>
      </w:tr>
      <w:tr>
        <w:trPr/>
        <w:tc>
          <w:tcPr>
            <w:tcW w:w="59" w:type="dxa"/>
            <w:tcBorders/>
            <w:shd w:fill="auto" w:val="clear"/>
          </w:tcPr>
          <w:p>
            <w:pPr>
              <w:pStyle w:val="TableContents"/>
              <w:spacing w:before="0" w:after="283"/>
              <w:rPr/>
            </w:pPr>
            <w:r>
              <w:rPr/>
              <w:t> </w:t>
            </w:r>
          </w:p>
        </w:tc>
        <w:tc>
          <w:tcPr>
            <w:tcW w:w="57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23.1*</w:t>
            </w:r>
          </w:p>
        </w:tc>
        <w:tc>
          <w:tcPr>
            <w:tcW w:w="120" w:type="dxa"/>
            <w:tcBorders/>
            <w:shd w:fill="auto" w:val="clea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83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Consent of PricewaterhouseCoopers LLP</w:t>
            </w:r>
          </w:p>
        </w:tc>
      </w:tr>
      <w:tr>
        <w:trPr/>
        <w:tc>
          <w:tcPr>
            <w:tcW w:w="59" w:type="dxa"/>
            <w:tcBorders/>
            <w:shd w:fill="auto" w:val="clear"/>
          </w:tcPr>
          <w:p>
            <w:pPr>
              <w:pStyle w:val="TableContents"/>
              <w:spacing w:before="0" w:after="283"/>
              <w:rPr/>
            </w:pPr>
            <w:r>
              <w:rPr/>
              <w:t> </w:t>
            </w:r>
          </w:p>
        </w:tc>
        <w:tc>
          <w:tcPr>
            <w:tcW w:w="57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23.2*</w:t>
            </w:r>
          </w:p>
        </w:tc>
        <w:tc>
          <w:tcPr>
            <w:tcW w:w="120" w:type="dxa"/>
            <w:tcBorders/>
            <w:shd w:fill="auto" w:val="clea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83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Consent of Ernst &amp; Young, LLP</w:t>
            </w:r>
          </w:p>
        </w:tc>
      </w:tr>
      <w:tr>
        <w:trPr/>
        <w:tc>
          <w:tcPr>
            <w:tcW w:w="59" w:type="dxa"/>
            <w:tcBorders/>
            <w:shd w:fill="auto" w:val="clear"/>
          </w:tcPr>
          <w:p>
            <w:pPr>
              <w:pStyle w:val="TableContents"/>
              <w:spacing w:before="0" w:after="283"/>
              <w:rPr/>
            </w:pPr>
            <w:r>
              <w:rPr/>
              <w:t> </w:t>
            </w:r>
          </w:p>
        </w:tc>
        <w:tc>
          <w:tcPr>
            <w:tcW w:w="57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23.3*</w:t>
            </w:r>
          </w:p>
        </w:tc>
        <w:tc>
          <w:tcPr>
            <w:tcW w:w="120" w:type="dxa"/>
            <w:tcBorders/>
            <w:shd w:fill="auto" w:val="clea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83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Consent of Vinson &amp; Elkins L.L.P. (contained in Exhibits 5.1 and 8.1)</w:t>
            </w:r>
          </w:p>
        </w:tc>
      </w:tr>
      <w:tr>
        <w:trPr/>
        <w:tc>
          <w:tcPr>
            <w:tcW w:w="59" w:type="dxa"/>
            <w:tcBorders/>
            <w:shd w:fill="auto" w:val="clear"/>
          </w:tcPr>
          <w:p>
            <w:pPr>
              <w:pStyle w:val="TableContents"/>
              <w:spacing w:before="0" w:after="283"/>
              <w:rPr/>
            </w:pPr>
            <w:r>
              <w:rPr/>
              <w:t> </w:t>
            </w:r>
          </w:p>
        </w:tc>
        <w:tc>
          <w:tcPr>
            <w:tcW w:w="57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24.1*</w:t>
            </w:r>
          </w:p>
        </w:tc>
        <w:tc>
          <w:tcPr>
            <w:tcW w:w="120" w:type="dxa"/>
            <w:tcBorders/>
            <w:shd w:fill="auto" w:val="clea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83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Powers of Attorney (included on the signature page)</w:t>
            </w:r>
          </w:p>
        </w:tc>
      </w:tr>
      <w:tr>
        <w:trPr/>
        <w:tc>
          <w:tcPr>
            <w:tcW w:w="59" w:type="dxa"/>
            <w:tcBorders/>
            <w:shd w:fill="auto" w:val="clear"/>
          </w:tcPr>
          <w:p>
            <w:pPr>
              <w:pStyle w:val="TableContents"/>
              <w:spacing w:before="0" w:after="283"/>
              <w:rPr/>
            </w:pPr>
            <w:r>
              <w:rPr/>
              <w:t> </w:t>
            </w:r>
          </w:p>
        </w:tc>
        <w:tc>
          <w:tcPr>
            <w:tcW w:w="57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25.1*</w:t>
            </w:r>
          </w:p>
        </w:tc>
        <w:tc>
          <w:tcPr>
            <w:tcW w:w="120" w:type="dxa"/>
            <w:tcBorders/>
            <w:shd w:fill="auto" w:val="clea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83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T-1 Statement of Eligibility and Qualification under the Trust Indenture Act of 1939 of the trustee under the Senior Indenture</w:t>
            </w:r>
          </w:p>
        </w:tc>
      </w:tr>
      <w:tr>
        <w:trPr/>
        <w:tc>
          <w:tcPr>
            <w:tcW w:w="59" w:type="dxa"/>
            <w:tcBorders/>
            <w:shd w:fill="auto" w:val="clear"/>
          </w:tcPr>
          <w:p>
            <w:pPr>
              <w:pStyle w:val="TableContents"/>
              <w:spacing w:before="0" w:after="283"/>
              <w:rPr/>
            </w:pPr>
            <w:r>
              <w:rPr/>
              <w:t> </w:t>
            </w:r>
          </w:p>
        </w:tc>
        <w:tc>
          <w:tcPr>
            <w:tcW w:w="57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25.2*</w:t>
            </w:r>
          </w:p>
        </w:tc>
        <w:tc>
          <w:tcPr>
            <w:tcW w:w="120" w:type="dxa"/>
            <w:tcBorders/>
            <w:shd w:fill="auto" w:val="clear"/>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6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83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T-1 Statement of Eligibility and Qualification under the Trust Indenture Act of 1939 of the trustee under the Subordinated Indenture</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filed as an exhibit to a report pursuant to Section 13(a) or 15(d) of the Exchange Act or in a post-effective amendment to this registration statement.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II-9 </w:t>
      </w:r>
      <w:r>
        <w:br w:type="page"/>
      </w:r>
    </w:p>
    <w:p>
      <w:pPr>
        <w:pStyle w:val="TextBody"/>
        <w:spacing w:before="0" w:after="0"/>
        <w:jc w:val="right"/>
        <w:rPr>
          <w:rFonts w:ascii="Times New Roman" w:hAnsi="Times New Roman"/>
          <w:b/>
          <w:sz w:val="20"/>
        </w:rPr>
      </w:pPr>
      <w:bookmarkStart w:id="18" w:name="d415878dex51.htm"/>
      <w:bookmarkStart w:id="19" w:name="ksd415878dex51"/>
      <w:bookmarkEnd w:id="18"/>
      <w:bookmarkEnd w:id="19"/>
      <w:r>
        <w:rPr>
          <w:rFonts w:ascii="Times New Roman" w:hAnsi="Times New Roman"/>
          <w:b/>
          <w:sz w:val="20"/>
        </w:rPr>
        <w:t xml:space="preserve">Exhibit 5.1 </w:t>
      </w:r>
    </w:p>
    <w:p>
      <w:pPr>
        <w:pStyle w:val="TextBody"/>
        <w:spacing w:before="0" w:after="0"/>
        <w:rPr/>
      </w:pPr>
      <w:r>
        <w:rPr/>
        <w:t> </w:t>
      </w:r>
    </w:p>
    <w:p>
      <w:pPr>
        <w:pStyle w:val="TextBody"/>
        <w:spacing w:before="180" w:after="0"/>
        <w:rPr/>
      </w:pPr>
      <w:r>
        <w:rPr/>
        <w:drawing>
          <wp:inline distT="0" distB="0" distL="0" distR="0">
            <wp:extent cx="1685925" cy="200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85925" cy="200025"/>
                    </a:xfrm>
                    <a:prstGeom prst="rect">
                      <a:avLst/>
                    </a:prstGeom>
                  </pic:spPr>
                </pic:pic>
              </a:graphicData>
            </a:graphic>
          </wp:inline>
        </w:drawing>
      </w:r>
      <w:r>
        <w:rPr/>
        <w:t xml:space="preserve"> </w:t>
      </w:r>
    </w:p>
    <w:p>
      <w:pPr>
        <w:pStyle w:val="TextBody"/>
        <w:spacing w:before="180" w:after="0"/>
        <w:rPr>
          <w:rFonts w:ascii="Times New Roman" w:hAnsi="Times New Roman"/>
          <w:sz w:val="20"/>
        </w:rPr>
      </w:pPr>
      <w:r>
        <w:rPr>
          <w:rFonts w:ascii="Times New Roman" w:hAnsi="Times New Roman"/>
          <w:sz w:val="20"/>
        </w:rPr>
        <w:t xml:space="preserve">September 27, 2012 </w:t>
      </w:r>
    </w:p>
    <w:p>
      <w:pPr>
        <w:pStyle w:val="TextBody"/>
        <w:spacing w:before="180" w:after="0"/>
        <w:rPr>
          <w:rFonts w:ascii="Times New Roman" w:hAnsi="Times New Roman"/>
          <w:sz w:val="20"/>
        </w:rPr>
      </w:pPr>
      <w:r>
        <w:rPr>
          <w:rFonts w:ascii="Times New Roman" w:hAnsi="Times New Roman"/>
          <w:sz w:val="20"/>
        </w:rPr>
        <w:t xml:space="preserve">Plains All American Pipeline, L.P. </w:t>
      </w:r>
    </w:p>
    <w:p>
      <w:pPr>
        <w:pStyle w:val="TextBody"/>
        <w:spacing w:before="0" w:after="0"/>
        <w:rPr>
          <w:rFonts w:ascii="Times New Roman" w:hAnsi="Times New Roman"/>
          <w:sz w:val="20"/>
        </w:rPr>
      </w:pPr>
      <w:r>
        <w:rPr>
          <w:rFonts w:ascii="Times New Roman" w:hAnsi="Times New Roman"/>
          <w:sz w:val="20"/>
        </w:rPr>
        <w:t xml:space="preserve">333 Clay Street, Suite 1600 </w:t>
      </w:r>
    </w:p>
    <w:p>
      <w:pPr>
        <w:pStyle w:val="TextBody"/>
        <w:spacing w:before="0" w:after="0"/>
        <w:rPr>
          <w:rFonts w:ascii="Times New Roman" w:hAnsi="Times New Roman"/>
          <w:sz w:val="20"/>
        </w:rPr>
      </w:pPr>
      <w:r>
        <w:rPr>
          <w:rFonts w:ascii="Times New Roman" w:hAnsi="Times New Roman"/>
          <w:sz w:val="20"/>
        </w:rPr>
        <w:t xml:space="preserve">Houston, Texas 77002 </w:t>
      </w:r>
    </w:p>
    <w:p>
      <w:pPr>
        <w:pStyle w:val="TextBody"/>
        <w:spacing w:before="180" w:after="0"/>
        <w:rPr>
          <w:rFonts w:ascii="Times New Roman" w:hAnsi="Times New Roman"/>
          <w:sz w:val="20"/>
        </w:rPr>
      </w:pPr>
      <w:r>
        <w:rPr>
          <w:rFonts w:ascii="Times New Roman" w:hAnsi="Times New Roman"/>
          <w:sz w:val="20"/>
        </w:rPr>
        <w:t xml:space="preserve">Re: Plains All American Pipeline L.P.  Registration Statement on Form S-3 </w:t>
      </w:r>
    </w:p>
    <w:p>
      <w:pPr>
        <w:pStyle w:val="TextBody"/>
        <w:spacing w:before="180" w:after="0"/>
        <w:rPr>
          <w:rFonts w:ascii="Times New Roman" w:hAnsi="Times New Roman"/>
          <w:sz w:val="20"/>
        </w:rPr>
      </w:pPr>
      <w:r>
        <w:rPr>
          <w:rFonts w:ascii="Times New Roman" w:hAnsi="Times New Roman"/>
          <w:sz w:val="20"/>
        </w:rPr>
        <w:t xml:space="preserve">Ladies and Gentlemen: </w:t>
      </w:r>
    </w:p>
    <w:p>
      <w:pPr>
        <w:pStyle w:val="TextBody"/>
        <w:spacing w:before="90" w:after="0"/>
        <w:rPr>
          <w:rFonts w:ascii="Times New Roman" w:hAnsi="Times New Roman"/>
          <w:sz w:val="20"/>
        </w:rPr>
      </w:pPr>
      <w:r>
        <w:rPr>
          <w:rFonts w:ascii="Times New Roman" w:hAnsi="Times New Roman"/>
          <w:sz w:val="20"/>
        </w:rPr>
        <w:t xml:space="preserve">We have acted as counsel for Plains All American Pipeline, L.P., a Delaware limited partnership (the Partnership) with respect to the preparation of the Registration Statement on Form S-3 (the Registration Statement) filed on the date hereof with the Securities and Exchange Commission (the Commission) in connection with the registration by the Partnership under the Securities Act of 1933, as amended (the Securities Act), of the offer and sale by the Partnership from time to time, pursuant to Rule 415 under the Securities Act, of: </w:t>
      </w:r>
    </w:p>
    <w:p>
      <w:pPr>
        <w:pStyle w:val="TextBody"/>
        <w:spacing w:before="90" w:after="0"/>
        <w:rPr>
          <w:rFonts w:ascii="Times New Roman" w:hAnsi="Times New Roman"/>
          <w:sz w:val="20"/>
        </w:rPr>
      </w:pPr>
      <w:r>
        <w:rPr>
          <w:rFonts w:ascii="Times New Roman" w:hAnsi="Times New Roman"/>
          <w:sz w:val="20"/>
        </w:rPr>
        <w:t xml:space="preserve">(1) common units representing limited partner interests in the Partnership (the Common Units); and </w:t>
      </w:r>
    </w:p>
    <w:p>
      <w:pPr>
        <w:pStyle w:val="TextBody"/>
        <w:spacing w:before="180" w:after="0"/>
        <w:rPr>
          <w:rFonts w:ascii="Times New Roman" w:hAnsi="Times New Roman"/>
          <w:sz w:val="20"/>
        </w:rPr>
      </w:pPr>
      <w:r>
        <w:rPr>
          <w:rFonts w:ascii="Times New Roman" w:hAnsi="Times New Roman"/>
          <w:sz w:val="20"/>
        </w:rPr>
        <w:t xml:space="preserve">(2) debt securities, which may be co-issued by PAA Finance Corp., a Delaware corporation (PAA Finance), in one or more series, consisting of notes, debentures or other evidences of indebtedness (the Debt Securities). </w:t>
      </w:r>
    </w:p>
    <w:p>
      <w:pPr>
        <w:pStyle w:val="TextBody"/>
        <w:spacing w:before="180" w:after="0"/>
        <w:rPr>
          <w:rFonts w:ascii="Times New Roman" w:hAnsi="Times New Roman"/>
          <w:sz w:val="20"/>
        </w:rPr>
      </w:pPr>
      <w:r>
        <w:rPr>
          <w:rFonts w:ascii="Times New Roman" w:hAnsi="Times New Roman"/>
          <w:sz w:val="20"/>
        </w:rPr>
        <w:t xml:space="preserve">The aggregate initial offering price of the Common Units and Debt Securities that may be offered and sold by the Partnership will not exceed $2,000,000,000 or, if applicable, the equivalent thereof in any other security or currency unit. </w:t>
      </w:r>
    </w:p>
    <w:p>
      <w:pPr>
        <w:pStyle w:val="TextBody"/>
        <w:spacing w:before="180" w:after="0"/>
        <w:rPr>
          <w:rFonts w:ascii="Times New Roman" w:hAnsi="Times New Roman"/>
          <w:sz w:val="20"/>
        </w:rPr>
      </w:pPr>
      <w:r>
        <w:rPr>
          <w:rFonts w:ascii="Times New Roman" w:hAnsi="Times New Roman"/>
          <w:sz w:val="20"/>
        </w:rPr>
        <w:t xml:space="preserve">The Common Units and Debt Securities are collectively referred to herein as the Securities. We have also participated in the preparation of the Prospectus (the Prospectus) contained in the Registration Statement to which this opinion is an exhibit. </w:t>
      </w:r>
    </w:p>
    <w:p>
      <w:pPr>
        <w:pStyle w:val="TextBody"/>
        <w:spacing w:before="180" w:after="0"/>
        <w:rPr>
          <w:rFonts w:ascii="Times New Roman" w:hAnsi="Times New Roman"/>
          <w:sz w:val="20"/>
        </w:rPr>
      </w:pPr>
      <w:r>
        <w:rPr>
          <w:rFonts w:ascii="Times New Roman" w:hAnsi="Times New Roman"/>
          <w:sz w:val="20"/>
        </w:rPr>
        <w:t xml:space="preserve">In rendering the opinions set forth below, we have examined the Delaware Revised Uniform Limited Partnership Act (the Delaware LP Act), the Registration Statement, including the Prospectus, the Senior Indenture (the Senior Indenture) filed as an exhibit to the Registration Statement, the form of Subordinated Indenture (the Subordinated Indenture, together with the Senior Indenture, the Indentures) filed as an exhibit to the Registration Statement, the Fourth Amended and Restated Agreement of Limited Partnership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rPr>
                <w:rFonts w:ascii="Times New Roman" w:hAnsi="Times New Roman"/>
                <w:b/>
                <w:sz w:val="14"/>
              </w:rPr>
            </w:pPr>
            <w:r>
              <w:rPr>
                <w:rFonts w:ascii="Times New Roman" w:hAnsi="Times New Roman"/>
                <w:b/>
                <w:sz w:val="14"/>
              </w:rPr>
              <w:t>Vinson &amp; Elkins LLP Attorneys at Law</w:t>
            </w:r>
          </w:p>
          <w:p>
            <w:pPr>
              <w:pStyle w:val="TableContents"/>
              <w:spacing w:before="0" w:after="0"/>
              <w:rPr>
                <w:rFonts w:ascii="Times New Roman" w:hAnsi="Times New Roman"/>
                <w:sz w:val="14"/>
              </w:rPr>
            </w:pPr>
            <w:r>
              <w:rPr>
                <w:rFonts w:ascii="Times New Roman" w:hAnsi="Times New Roman"/>
                <w:sz w:val="14"/>
              </w:rPr>
              <w:t>Abu Dhabi Austin Beijing Dallas Dubai Hong Kong Houston London Moscow</w:t>
            </w:r>
          </w:p>
          <w:p>
            <w:pPr>
              <w:pStyle w:val="TableContents"/>
              <w:spacing w:before="0" w:after="15"/>
              <w:rPr>
                <w:rFonts w:ascii="Times New Roman" w:hAnsi="Times New Roman"/>
                <w:sz w:val="14"/>
              </w:rPr>
            </w:pPr>
            <w:r>
              <w:rPr>
                <w:rFonts w:ascii="Times New Roman" w:hAnsi="Times New Roman"/>
                <w:sz w:val="14"/>
              </w:rPr>
              <w:t>New York Palo Alto Riyadh San Francisco Shanghai Tokyo Washington</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14"/>
              </w:rPr>
            </w:pPr>
            <w:r>
              <w:rPr>
                <w:rFonts w:ascii="Times New Roman" w:hAnsi="Times New Roman"/>
                <w:sz w:val="14"/>
              </w:rPr>
              <w:t>First City Tower, 1001 Fannin Street, Suite 2500</w:t>
            </w:r>
          </w:p>
          <w:p>
            <w:pPr>
              <w:pStyle w:val="TableContents"/>
              <w:spacing w:before="0" w:after="0"/>
              <w:rPr>
                <w:rFonts w:ascii="Times New Roman" w:hAnsi="Times New Roman"/>
                <w:sz w:val="14"/>
              </w:rPr>
            </w:pPr>
            <w:r>
              <w:rPr>
                <w:rFonts w:ascii="Times New Roman" w:hAnsi="Times New Roman"/>
                <w:sz w:val="14"/>
              </w:rPr>
              <w:t>Houston, TX 77002-6760</w:t>
            </w:r>
          </w:p>
          <w:p>
            <w:pPr>
              <w:pStyle w:val="TableContents"/>
              <w:spacing w:before="0" w:after="15"/>
              <w:rPr>
                <w:rFonts w:ascii="Times New Roman" w:hAnsi="Times New Roman"/>
                <w:sz w:val="14"/>
              </w:rPr>
            </w:pPr>
            <w:r>
              <w:rPr>
                <w:rFonts w:ascii="Times New Roman" w:hAnsi="Times New Roman"/>
                <w:b/>
                <w:sz w:val="14"/>
              </w:rPr>
              <w:t>Tel</w:t>
            </w:r>
            <w:r>
              <w:rPr>
                <w:rFonts w:ascii="Times New Roman" w:hAnsi="Times New Roman"/>
                <w:sz w:val="14"/>
              </w:rPr>
              <w:t xml:space="preserve"> +1.713.758.2222 </w:t>
            </w:r>
            <w:r>
              <w:rPr>
                <w:rFonts w:ascii="Times New Roman" w:hAnsi="Times New Roman"/>
                <w:b/>
                <w:sz w:val="14"/>
              </w:rPr>
              <w:t>Fax</w:t>
            </w:r>
            <w:r>
              <w:rPr>
                <w:rFonts w:ascii="Times New Roman" w:hAnsi="Times New Roman"/>
                <w:sz w:val="14"/>
              </w:rPr>
              <w:t xml:space="preserve"> +1.713.758.2346 </w:t>
            </w:r>
            <w:r>
              <w:rPr>
                <w:rFonts w:ascii="Times New Roman" w:hAnsi="Times New Roman"/>
                <w:b/>
                <w:sz w:val="14"/>
              </w:rPr>
              <w:t>www.velaw.com</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drawing>
                <wp:inline distT="0" distB="0" distL="0" distR="0">
                  <wp:extent cx="485775" cy="190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5775" cy="190500"/>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xml:space="preserve">September 27, 2012 Page 2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of the Partnership, as amended, the Certificate of Limited Partnership filed with the Secretary of State of Delaware pursuant to the Delaware LP Act in connection with the formation of the Partnership, the formation documents of PAA Finance and such other documents as we have deemed necessary or appropriate for purposes of this opinion. In addition, we have reviewed certain certificates of officers of the general partner of the Partnership and of public officials, and we have relied on such certificates with respect to certain factual matters that we have not independently established. </w:t>
      </w:r>
    </w:p>
    <w:p>
      <w:pPr>
        <w:pStyle w:val="TextBody"/>
        <w:spacing w:before="90" w:after="0"/>
        <w:rPr>
          <w:rFonts w:ascii="Times New Roman" w:hAnsi="Times New Roman"/>
          <w:sz w:val="20"/>
        </w:rPr>
      </w:pPr>
      <w:r>
        <w:rPr>
          <w:rFonts w:ascii="Times New Roman" w:hAnsi="Times New Roman"/>
          <w:sz w:val="20"/>
        </w:rPr>
        <w:t xml:space="preserve">In connection with this opinion, we have assumed that: </w:t>
      </w:r>
    </w:p>
    <w:p>
      <w:pPr>
        <w:pStyle w:val="TextBody"/>
        <w:spacing w:before="90" w:after="0"/>
        <w:rPr>
          <w:rFonts w:ascii="Times New Roman" w:hAnsi="Times New Roman"/>
          <w:sz w:val="20"/>
        </w:rPr>
      </w:pPr>
      <w:r>
        <w:rPr>
          <w:rFonts w:ascii="Times New Roman" w:hAnsi="Times New Roman"/>
          <w:sz w:val="20"/>
        </w:rPr>
        <w:t xml:space="preserve">(1) the Registration Statement, and any amendments thereto (including post-effective amendments), will have become effective; </w:t>
      </w:r>
    </w:p>
    <w:p>
      <w:pPr>
        <w:pStyle w:val="TextBody"/>
        <w:spacing w:before="90" w:after="0"/>
        <w:rPr>
          <w:rFonts w:ascii="Times New Roman" w:hAnsi="Times New Roman"/>
          <w:sz w:val="20"/>
        </w:rPr>
      </w:pPr>
      <w:r>
        <w:rPr>
          <w:rFonts w:ascii="Times New Roman" w:hAnsi="Times New Roman"/>
          <w:sz w:val="20"/>
        </w:rPr>
        <w:t xml:space="preserve">(2) a Prospectus Supplement will have been prepared and filed with the Commission describing the Securities offered thereby; </w:t>
      </w:r>
    </w:p>
    <w:p>
      <w:pPr>
        <w:pStyle w:val="TextBody"/>
        <w:spacing w:before="90" w:after="0"/>
        <w:rPr>
          <w:rFonts w:ascii="Times New Roman" w:hAnsi="Times New Roman"/>
          <w:sz w:val="20"/>
        </w:rPr>
      </w:pPr>
      <w:r>
        <w:rPr>
          <w:rFonts w:ascii="Times New Roman" w:hAnsi="Times New Roman"/>
          <w:sz w:val="20"/>
        </w:rPr>
        <w:t xml:space="preserve">(3) all Securities will be issued and sold in compliance with applicable federal and state securities laws and in the manner stated in the Registration Statement and the appropriate Prospectus Supplement; </w:t>
      </w:r>
    </w:p>
    <w:p>
      <w:pPr>
        <w:pStyle w:val="TextBody"/>
        <w:spacing w:before="90" w:after="0"/>
        <w:rPr>
          <w:rFonts w:ascii="Times New Roman" w:hAnsi="Times New Roman"/>
          <w:sz w:val="20"/>
        </w:rPr>
      </w:pPr>
      <w:r>
        <w:rPr>
          <w:rFonts w:ascii="Times New Roman" w:hAnsi="Times New Roman"/>
          <w:sz w:val="20"/>
        </w:rPr>
        <w:t xml:space="preserve">(4) a definitive purchase, underwriting or similar agreement with respect to any Securities offered will have been duly authorized and validly executed and delivered by the Partnership and the other parties thereto; and </w:t>
      </w:r>
    </w:p>
    <w:p>
      <w:pPr>
        <w:pStyle w:val="TextBody"/>
        <w:spacing w:before="90" w:after="0"/>
        <w:rPr>
          <w:rFonts w:ascii="Times New Roman" w:hAnsi="Times New Roman"/>
          <w:sz w:val="20"/>
        </w:rPr>
      </w:pPr>
      <w:r>
        <w:rPr>
          <w:rFonts w:ascii="Times New Roman" w:hAnsi="Times New Roman"/>
          <w:sz w:val="20"/>
        </w:rPr>
        <w:t xml:space="preserve">(5) any Securities issuable upon conversion, exchange or exercise of any Security being offered will be duly authorized, created, and, if appropriate, reserved for issuance upon such conversion, exercise or exchange. </w:t>
      </w:r>
    </w:p>
    <w:p>
      <w:pPr>
        <w:pStyle w:val="TextBody"/>
        <w:spacing w:before="180" w:after="0"/>
        <w:rPr>
          <w:rFonts w:ascii="Times New Roman" w:hAnsi="Times New Roman"/>
          <w:sz w:val="20"/>
        </w:rPr>
      </w:pPr>
      <w:r>
        <w:rPr>
          <w:rFonts w:ascii="Times New Roman" w:hAnsi="Times New Roman"/>
          <w:sz w:val="20"/>
        </w:rPr>
        <w:t xml:space="preserve">Based upon and subject to the foregoing, we are of the opinion that: </w:t>
      </w:r>
    </w:p>
    <w:p>
      <w:pPr>
        <w:pStyle w:val="TextBody"/>
        <w:spacing w:before="180" w:after="0"/>
        <w:rPr>
          <w:rFonts w:ascii="Times New Roman" w:hAnsi="Times New Roman"/>
          <w:sz w:val="20"/>
        </w:rPr>
      </w:pPr>
      <w:r>
        <w:rPr>
          <w:rFonts w:ascii="Times New Roman" w:hAnsi="Times New Roman"/>
          <w:sz w:val="20"/>
        </w:rPr>
        <w:t xml:space="preserve">(1) With respect to the Common Units, when (a) the Partnership has taken all necessary action to approve the issuance of such Common Units, the terms of the offering thereof and related matters and (b) the Common Units have been issued and delivered in accordance with the terms of the applicable definitive purchase, underwriting or similar agreement approved by the Partnership upon payment of the consideration thereof or provided for therein, then the Common Units will be validly issued, fully paid and non-assessable.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drawing>
                <wp:inline distT="0" distB="0" distL="0" distR="0">
                  <wp:extent cx="485775" cy="190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5775" cy="190500"/>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xml:space="preserve">September 27, 2012 Page 3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With respect to the Debt Securities, when (a) the applicable Indenture has been duly qualified under the Trust Indenture Act of 1939, as amended; (b) the Partnership and PAA Finance, as applicable, have taken all necessary action to duly authorize and approve the issuance and terms of such Debt Securities, the terms of the offering thereof and related matters; and (c) such Debt Securities have been duly authorized, executed, authenticated, issued and delivered in accordance with the provisions of the applicable Indenture and the applicable definitive purchase, underwriting or similar agreement approved by the Partnership and PAA Finance, as applicable, upon payment of the consideration thereof or provided for therein, such Debt Securities will be legally issued and will constitute valid and legally binding obligations of the Partnership and PAA Finance, as applicable, enforceable against the Partnership and PAA Finance, as applicable, in accordance with their terms, except as such enforcement may be limited by (x) applicable bankruptcy, insolvency, fraudulent transfer, reorganization, moratorium or similar laws from time to time in effect affecting creditors rights and remedies generally and general principles of equity (regardless of whether such principles are considered in a proceeding in equity or at law) and (y) public policy, applicable law relating to fiduciary duties and indemnification and an implied covenant of good faith and fair dealing. </w:t>
      </w:r>
    </w:p>
    <w:p>
      <w:pPr>
        <w:pStyle w:val="TextBody"/>
        <w:spacing w:before="180" w:after="0"/>
        <w:rPr>
          <w:rFonts w:ascii="Times New Roman" w:hAnsi="Times New Roman"/>
          <w:sz w:val="20"/>
        </w:rPr>
      </w:pPr>
      <w:r>
        <w:rPr>
          <w:rFonts w:ascii="Times New Roman" w:hAnsi="Times New Roman"/>
          <w:sz w:val="20"/>
        </w:rPr>
        <w:t xml:space="preserve">The opinions expressed herein are qualified in the following respects: </w:t>
      </w:r>
    </w:p>
    <w:p>
      <w:pPr>
        <w:pStyle w:val="TextBody"/>
        <w:spacing w:before="90" w:after="0"/>
        <w:rPr>
          <w:rFonts w:ascii="Times New Roman" w:hAnsi="Times New Roman"/>
          <w:sz w:val="20"/>
        </w:rPr>
      </w:pPr>
      <w:r>
        <w:rPr>
          <w:rFonts w:ascii="Times New Roman" w:hAnsi="Times New Roman"/>
          <w:sz w:val="20"/>
        </w:rPr>
        <w:t xml:space="preserve">(1) We have assumed, without independent verification, that the certificates for the Common Units will conform to the specimens thereof examined by us and will have been duly countersigned by a transfer agent and duly registered by a registrar of the Common Units. </w:t>
      </w:r>
    </w:p>
    <w:p>
      <w:pPr>
        <w:pStyle w:val="TextBody"/>
        <w:spacing w:before="180" w:after="0"/>
        <w:rPr>
          <w:rFonts w:ascii="Times New Roman" w:hAnsi="Times New Roman"/>
          <w:sz w:val="20"/>
        </w:rPr>
      </w:pPr>
      <w:r>
        <w:rPr>
          <w:rFonts w:ascii="Times New Roman" w:hAnsi="Times New Roman"/>
          <w:sz w:val="20"/>
        </w:rPr>
        <w:t xml:space="preserve">(2) We have assumed that (a) each document submitted to us for review is accurate and complete, each such document that is an original is authentic, each such document that is a copy conforms to an authentic original and all signatures on each such document are genuine and (b) each certificate from governmental officials reviewed by us is accurate, complete and authentic, and all official public records are accurate and complete. </w:t>
      </w:r>
    </w:p>
    <w:p>
      <w:pPr>
        <w:pStyle w:val="TextBody"/>
        <w:spacing w:before="180" w:after="0"/>
        <w:rPr>
          <w:rFonts w:ascii="Times New Roman" w:hAnsi="Times New Roman"/>
          <w:sz w:val="20"/>
        </w:rPr>
      </w:pPr>
      <w:r>
        <w:rPr>
          <w:rFonts w:ascii="Times New Roman" w:hAnsi="Times New Roman"/>
          <w:sz w:val="20"/>
        </w:rPr>
        <w:t xml:space="preserve">(3) We express no opinions concerning (a) the validity or enforceability of any provisions contained in the Indentures that purport to waive or not give effect to the rights to notices, defenses, subrogation or other rights or benefits that cannot be effectively waived under applicable law; or (b) the enforceability of indemnification provisions to the extent they purport to relate to liabilities resulting from or based upon negligence or any violation of federal or state securities or blue sky laws.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pPr>
            <w:r>
              <w:rPr/>
              <w:drawing>
                <wp:inline distT="0" distB="0" distL="0" distR="0">
                  <wp:extent cx="485775" cy="190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5775" cy="190500"/>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xml:space="preserve">September 27, 2012 Page 4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 The foregoing opinion is limited in all respects to U.S. federal laws, as interpreted by federal courts, and all applicable Delaware statutory provisions, as well as the reported judicial decisions interpreting such provisions. </w:t>
      </w:r>
    </w:p>
    <w:p>
      <w:pPr>
        <w:pStyle w:val="TextBody"/>
        <w:spacing w:before="180" w:after="0"/>
        <w:rPr>
          <w:rFonts w:ascii="Times New Roman" w:hAnsi="Times New Roman"/>
          <w:sz w:val="20"/>
        </w:rPr>
      </w:pPr>
      <w:r>
        <w:rPr>
          <w:rFonts w:ascii="Times New Roman" w:hAnsi="Times New Roman"/>
          <w:sz w:val="20"/>
        </w:rPr>
        <w:t xml:space="preserve">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Securities and Exchange Commission issued thereunder.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58"/>
        <w:gridCol w:w="172"/>
        <w:gridCol w:w="3452"/>
      </w:tblGrid>
      <w:tr>
        <w:trPr/>
        <w:tc>
          <w:tcPr>
            <w:tcW w:w="45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345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 Vinson &amp; Elkins L.L.P.</w:t>
            </w:r>
          </w:p>
        </w:tc>
      </w:tr>
    </w:tbl>
    <w:p>
      <w:pPr>
        <w:pStyle w:val="TextBody"/>
        <w:spacing w:before="0" w:after="0"/>
        <w:jc w:val="right"/>
        <w:rPr>
          <w:rFonts w:ascii="Times New Roman" w:hAnsi="Times New Roman"/>
          <w:b/>
          <w:sz w:val="20"/>
        </w:rPr>
      </w:pPr>
      <w:r>
        <w:br w:type="page"/>
      </w:r>
      <w:bookmarkStart w:id="20" w:name="d415878dex81.htm"/>
      <w:bookmarkStart w:id="21" w:name="ksd415878dex81"/>
      <w:bookmarkEnd w:id="20"/>
      <w:bookmarkEnd w:id="21"/>
      <w:r>
        <w:rPr>
          <w:rFonts w:ascii="Times New Roman" w:hAnsi="Times New Roman"/>
          <w:b/>
          <w:sz w:val="20"/>
        </w:rPr>
        <w:t xml:space="preserve">Exhibit 8.1 </w:t>
      </w:r>
    </w:p>
    <w:p>
      <w:pPr>
        <w:pStyle w:val="TextBody"/>
        <w:spacing w:before="0" w:after="0"/>
        <w:rPr/>
      </w:pPr>
      <w:r>
        <w:rPr/>
        <w:t> </w:t>
      </w:r>
    </w:p>
    <w:p>
      <w:pPr>
        <w:pStyle w:val="TextBody"/>
        <w:spacing w:before="180" w:after="0"/>
        <w:rPr/>
      </w:pPr>
      <w:r>
        <w:rPr/>
        <w:drawing>
          <wp:inline distT="0" distB="0" distL="0" distR="0">
            <wp:extent cx="1685925" cy="200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85925" cy="200025"/>
                    </a:xfrm>
                    <a:prstGeom prst="rect">
                      <a:avLst/>
                    </a:prstGeom>
                  </pic:spPr>
                </pic:pic>
              </a:graphicData>
            </a:graphic>
          </wp:inline>
        </w:drawing>
      </w:r>
      <w:r>
        <w:rPr/>
        <w:t xml:space="preserve"> </w:t>
      </w:r>
    </w:p>
    <w:p>
      <w:pPr>
        <w:pStyle w:val="TextBody"/>
        <w:spacing w:before="180" w:after="0"/>
        <w:rPr>
          <w:rFonts w:ascii="Times New Roman" w:hAnsi="Times New Roman"/>
          <w:sz w:val="20"/>
        </w:rPr>
      </w:pPr>
      <w:r>
        <w:rPr>
          <w:rFonts w:ascii="Times New Roman" w:hAnsi="Times New Roman"/>
          <w:sz w:val="20"/>
        </w:rPr>
        <w:t xml:space="preserve">September 27, 2012 </w:t>
      </w:r>
    </w:p>
    <w:p>
      <w:pPr>
        <w:pStyle w:val="TextBody"/>
        <w:spacing w:before="180" w:after="0"/>
        <w:rPr>
          <w:rFonts w:ascii="Times New Roman" w:hAnsi="Times New Roman"/>
          <w:sz w:val="20"/>
        </w:rPr>
      </w:pPr>
      <w:r>
        <w:rPr>
          <w:rFonts w:ascii="Times New Roman" w:hAnsi="Times New Roman"/>
          <w:sz w:val="20"/>
        </w:rPr>
        <w:t xml:space="preserve">Plains All American Pipeline, L.P. </w:t>
      </w:r>
    </w:p>
    <w:p>
      <w:pPr>
        <w:pStyle w:val="TextBody"/>
        <w:spacing w:before="0" w:after="0"/>
        <w:rPr>
          <w:rFonts w:ascii="Times New Roman" w:hAnsi="Times New Roman"/>
          <w:sz w:val="20"/>
        </w:rPr>
      </w:pPr>
      <w:r>
        <w:rPr>
          <w:rFonts w:ascii="Times New Roman" w:hAnsi="Times New Roman"/>
          <w:sz w:val="20"/>
        </w:rPr>
        <w:t xml:space="preserve">333 Clay Street, Suite 1600 </w:t>
      </w:r>
    </w:p>
    <w:p>
      <w:pPr>
        <w:pStyle w:val="TextBody"/>
        <w:spacing w:before="0" w:after="0"/>
        <w:rPr>
          <w:rFonts w:ascii="Times New Roman" w:hAnsi="Times New Roman"/>
          <w:sz w:val="20"/>
        </w:rPr>
      </w:pPr>
      <w:r>
        <w:rPr>
          <w:rFonts w:ascii="Times New Roman" w:hAnsi="Times New Roman"/>
          <w:sz w:val="20"/>
        </w:rPr>
        <w:t xml:space="preserve">Houston, Texas 77002 </w:t>
      </w:r>
    </w:p>
    <w:p>
      <w:pPr>
        <w:pStyle w:val="TextBody"/>
        <w:spacing w:before="180" w:after="0"/>
        <w:rPr>
          <w:rFonts w:ascii="Times New Roman" w:hAnsi="Times New Roman"/>
          <w:sz w:val="20"/>
        </w:rPr>
      </w:pPr>
      <w:r>
        <w:rPr>
          <w:rFonts w:ascii="Times New Roman" w:hAnsi="Times New Roman"/>
          <w:sz w:val="20"/>
        </w:rPr>
        <w:t xml:space="preserve">Re: Plains All American Pipeline, L.P. Registration Statement on Form S-3 </w:t>
      </w:r>
    </w:p>
    <w:p>
      <w:pPr>
        <w:pStyle w:val="TextBody"/>
        <w:spacing w:before="180" w:after="0"/>
        <w:rPr>
          <w:rFonts w:ascii="Times New Roman" w:hAnsi="Times New Roman"/>
          <w:sz w:val="20"/>
        </w:rPr>
      </w:pPr>
      <w:r>
        <w:rPr>
          <w:rFonts w:ascii="Times New Roman" w:hAnsi="Times New Roman"/>
          <w:sz w:val="20"/>
        </w:rPr>
        <w:t xml:space="preserve">Ladies and Gentlemen: </w:t>
      </w:r>
    </w:p>
    <w:p>
      <w:pPr>
        <w:pStyle w:val="TextBody"/>
        <w:spacing w:before="180" w:after="0"/>
        <w:rPr>
          <w:rFonts w:ascii="Times New Roman" w:hAnsi="Times New Roman"/>
          <w:sz w:val="20"/>
        </w:rPr>
      </w:pPr>
      <w:r>
        <w:rPr>
          <w:rFonts w:ascii="Times New Roman" w:hAnsi="Times New Roman"/>
          <w:sz w:val="20"/>
        </w:rPr>
        <w:t>We have acted as counsel to Plains All American Pipeline, L.P. (the </w:t>
      </w:r>
      <w:r>
        <w:rPr>
          <w:rFonts w:ascii="Times New Roman" w:hAnsi="Times New Roman"/>
          <w:b/>
          <w:i/>
          <w:sz w:val="20"/>
        </w:rPr>
        <w:t>Partnership</w:t>
      </w:r>
      <w:r>
        <w:rPr>
          <w:rFonts w:ascii="Times New Roman" w:hAnsi="Times New Roman"/>
          <w:sz w:val="20"/>
        </w:rPr>
        <w:t>), a Delaware limited partnership, and PAA Finance Corp. (</w:t>
      </w:r>
      <w:r>
        <w:rPr>
          <w:rFonts w:ascii="Times New Roman" w:hAnsi="Times New Roman"/>
          <w:b/>
          <w:i/>
          <w:sz w:val="20"/>
        </w:rPr>
        <w:t>Finance Corp.</w:t>
      </w:r>
      <w:r>
        <w:rPr>
          <w:rFonts w:ascii="Times New Roman" w:hAnsi="Times New Roman"/>
          <w:sz w:val="20"/>
        </w:rPr>
        <w:t>), a Delaware corporation, and certain other subsidiaries of the Partnership with respect to certain legal matters in connection with the preparation of a Prospectus dated on or about the date hereof (the </w:t>
      </w:r>
      <w:r>
        <w:rPr>
          <w:rFonts w:ascii="Times New Roman" w:hAnsi="Times New Roman"/>
          <w:b/>
          <w:i/>
          <w:sz w:val="20"/>
        </w:rPr>
        <w:t>Prospectus</w:t>
      </w:r>
      <w:r>
        <w:rPr>
          <w:rFonts w:ascii="Times New Roman" w:hAnsi="Times New Roman"/>
          <w:sz w:val="20"/>
        </w:rPr>
        <w:t>), forming part of the Registration Statement on Form S-3, (the </w:t>
      </w:r>
      <w:r>
        <w:rPr>
          <w:rFonts w:ascii="Times New Roman" w:hAnsi="Times New Roman"/>
          <w:b/>
          <w:i/>
          <w:sz w:val="20"/>
        </w:rPr>
        <w:t>Registration Statement</w:t>
      </w:r>
      <w:r>
        <w:rPr>
          <w:rFonts w:ascii="Times New Roman" w:hAnsi="Times New Roman"/>
          <w:sz w:val="20"/>
        </w:rPr>
        <w:t>). The Registration Statement relates to the registration under the Securities Act of 1933, as amended (the </w:t>
      </w:r>
      <w:r>
        <w:rPr>
          <w:rFonts w:ascii="Times New Roman" w:hAnsi="Times New Roman"/>
          <w:b/>
          <w:i/>
          <w:sz w:val="20"/>
        </w:rPr>
        <w:t>Securities Act</w:t>
      </w:r>
      <w:r>
        <w:rPr>
          <w:rFonts w:ascii="Times New Roman" w:hAnsi="Times New Roman"/>
          <w:sz w:val="20"/>
        </w:rPr>
        <w:t xml:space="preserve">), respecting the offer from time to time, pursuant to Rule 415 of the Securities Act, an indeterminate amount of: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common units representing limited partner interests in the Partnership;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debt securities, which may be co-issued by Finance Corp., consisting of senior debt securities or subordinated debt securities (the </w:t>
            </w:r>
            <w:r>
              <w:rPr>
                <w:rFonts w:ascii="Times New Roman" w:hAnsi="Times New Roman"/>
                <w:b/>
                <w:i/>
                <w:sz w:val="20"/>
              </w:rPr>
              <w:t>Debt Securities</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sz w:val="20"/>
        </w:rPr>
        <w:t>This opinion is based on various facts and assumptions, and is conditioned upon certain representations made by the Partnership as to factual matters through a certificate of an officer of the Partnership (the </w:t>
      </w:r>
      <w:r>
        <w:rPr>
          <w:rFonts w:ascii="Times New Roman" w:hAnsi="Times New Roman"/>
          <w:b/>
          <w:i/>
          <w:sz w:val="20"/>
        </w:rPr>
        <w:t>Officers Certificate</w:t>
      </w:r>
      <w:r>
        <w:rPr>
          <w:rFonts w:ascii="Times New Roman" w:hAnsi="Times New Roman"/>
          <w:sz w:val="20"/>
        </w:rPr>
        <w:t xml:space="preserve">). In addition, this opinion is based upon the factual representations of the Partnership concerning its business, properties and governing documents as set forth in the Registration Statement. </w:t>
      </w:r>
    </w:p>
    <w:p>
      <w:pPr>
        <w:pStyle w:val="TextBody"/>
        <w:spacing w:before="180" w:after="0"/>
        <w:rPr>
          <w:rFonts w:ascii="Times New Roman" w:hAnsi="Times New Roman"/>
          <w:sz w:val="20"/>
        </w:rPr>
      </w:pPr>
      <w:r>
        <w:rPr>
          <w:rFonts w:ascii="Times New Roman" w:hAnsi="Times New Roman"/>
          <w:sz w:val="20"/>
        </w:rPr>
        <w:t xml:space="preserve">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 </w:t>
      </w:r>
    </w:p>
    <w:p>
      <w:pPr>
        <w:pStyle w:val="TextBody"/>
        <w:spacing w:before="180" w:after="0"/>
        <w:rPr>
          <w:rFonts w:ascii="Times New Roman" w:hAnsi="Times New Roman"/>
          <w:sz w:val="20"/>
        </w:rPr>
      </w:pPr>
      <w:r>
        <w:rPr>
          <w:rFonts w:ascii="Times New Roman" w:hAnsi="Times New Roman"/>
          <w:sz w:val="20"/>
        </w:rPr>
        <w:t xml:space="preserve">We are opining herein as to the effect on the subject transaction only of the federal income tax laws of the United States, and we express no opinion with respect to the applicability thereto, or the effect thereon, of other federal laws, foreign laws, the laws of any state or any other jurisdiction or as to any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3"/>
        <w:gridCol w:w="4798"/>
      </w:tblGrid>
      <w:tr>
        <w:trPr/>
        <w:tc>
          <w:tcPr>
            <w:tcW w:w="52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0"/>
              <w:rPr>
                <w:rFonts w:ascii="Times New Roman" w:hAnsi="Times New Roman"/>
                <w:b/>
                <w:sz w:val="14"/>
              </w:rPr>
            </w:pPr>
            <w:r>
              <w:rPr>
                <w:rFonts w:ascii="Times New Roman" w:hAnsi="Times New Roman"/>
                <w:b/>
                <w:sz w:val="14"/>
              </w:rPr>
              <w:t>Vinson &amp; Elkins LLP Attorneys at Law</w:t>
            </w:r>
          </w:p>
          <w:p>
            <w:pPr>
              <w:pStyle w:val="TableContents"/>
              <w:spacing w:before="0" w:after="0"/>
              <w:rPr>
                <w:rFonts w:ascii="Times New Roman" w:hAnsi="Times New Roman"/>
                <w:sz w:val="14"/>
              </w:rPr>
            </w:pPr>
            <w:r>
              <w:rPr>
                <w:rFonts w:ascii="Times New Roman" w:hAnsi="Times New Roman"/>
                <w:sz w:val="14"/>
              </w:rPr>
              <w:t>Abu Dhabi Austin Beijing Dallas Dubai Hong Kong Houston London</w:t>
            </w:r>
          </w:p>
          <w:p>
            <w:pPr>
              <w:pStyle w:val="TableContents"/>
              <w:spacing w:before="0" w:after="15"/>
              <w:rPr>
                <w:rFonts w:ascii="Times New Roman" w:hAnsi="Times New Roman"/>
                <w:sz w:val="14"/>
              </w:rPr>
            </w:pPr>
            <w:r>
              <w:rPr>
                <w:rFonts w:ascii="Times New Roman" w:hAnsi="Times New Roman"/>
                <w:sz w:val="14"/>
              </w:rPr>
              <w:t>Moscow New York Palo Alto Riyadh Shanghai Tokyo Washington</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0"/>
              <w:rPr>
                <w:rFonts w:ascii="Times New Roman" w:hAnsi="Times New Roman"/>
                <w:sz w:val="14"/>
              </w:rPr>
            </w:pPr>
            <w:r>
              <w:rPr>
                <w:rFonts w:ascii="Times New Roman" w:hAnsi="Times New Roman"/>
                <w:sz w:val="14"/>
              </w:rPr>
              <w:t>First City Tower, 1001 Fannin Street, Suite 2500</w:t>
            </w:r>
          </w:p>
          <w:p>
            <w:pPr>
              <w:pStyle w:val="TableContents"/>
              <w:spacing w:before="0" w:after="0"/>
              <w:rPr>
                <w:rFonts w:ascii="Times New Roman" w:hAnsi="Times New Roman"/>
                <w:sz w:val="14"/>
              </w:rPr>
            </w:pPr>
            <w:r>
              <w:rPr>
                <w:rFonts w:ascii="Times New Roman" w:hAnsi="Times New Roman"/>
                <w:sz w:val="14"/>
              </w:rPr>
              <w:t>Houston, TX 77002-6760</w:t>
            </w:r>
          </w:p>
          <w:p>
            <w:pPr>
              <w:pStyle w:val="TableContents"/>
              <w:spacing w:before="0" w:after="15"/>
              <w:rPr>
                <w:rFonts w:ascii="Times New Roman" w:hAnsi="Times New Roman"/>
                <w:sz w:val="14"/>
              </w:rPr>
            </w:pPr>
            <w:r>
              <w:rPr>
                <w:rFonts w:ascii="Times New Roman" w:hAnsi="Times New Roman"/>
                <w:b/>
                <w:sz w:val="14"/>
              </w:rPr>
              <w:t>Tel</w:t>
            </w:r>
            <w:r>
              <w:rPr>
                <w:rFonts w:ascii="Times New Roman" w:hAnsi="Times New Roman"/>
                <w:sz w:val="14"/>
              </w:rPr>
              <w:t xml:space="preserve"> +1.713.758.2222 </w:t>
            </w:r>
            <w:r>
              <w:rPr>
                <w:rFonts w:ascii="Times New Roman" w:hAnsi="Times New Roman"/>
                <w:b/>
                <w:sz w:val="14"/>
              </w:rPr>
              <w:t>Fax</w:t>
            </w:r>
            <w:r>
              <w:rPr>
                <w:rFonts w:ascii="Times New Roman" w:hAnsi="Times New Roman"/>
                <w:sz w:val="14"/>
              </w:rPr>
              <w:t xml:space="preserve"> +1.713.758.2346 </w:t>
            </w:r>
            <w:r>
              <w:rPr>
                <w:rFonts w:ascii="Times New Roman" w:hAnsi="Times New Roman"/>
                <w:b/>
                <w:sz w:val="14"/>
              </w:rPr>
              <w:t>www.velaw.com</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pPr>
            <w:r>
              <w:rPr/>
              <w:drawing>
                <wp:inline distT="0" distB="0" distL="0" distR="0">
                  <wp:extent cx="485775" cy="190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85775" cy="190500"/>
                          </a:xfrm>
                          <a:prstGeom prst="rect">
                            <a:avLst/>
                          </a:prstGeom>
                        </pic:spPr>
                      </pic:pic>
                    </a:graphicData>
                  </a:graphic>
                </wp:inline>
              </w:drawing>
            </w:r>
            <w:r>
              <w:rPr/>
              <w:t xml:space="preserve"> </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matters of municipal law or the laws of any other local agencies within any state. We hereby confirm that all statements of legal conclusions contained in the discussion in the Prospectus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No opinion is expressed as to any matter not discussed therein. </w:t>
      </w:r>
    </w:p>
    <w:p>
      <w:pPr>
        <w:pStyle w:val="TextBody"/>
        <w:spacing w:before="180" w:after="0"/>
        <w:rPr>
          <w:rFonts w:ascii="Times New Roman" w:hAnsi="Times New Roman"/>
          <w:sz w:val="20"/>
        </w:rPr>
      </w:pPr>
      <w:r>
        <w:rPr>
          <w:rFonts w:ascii="Times New Roman" w:hAnsi="Times New Roman"/>
          <w:sz w:val="20"/>
        </w:rPr>
        <w:t xml:space="preserve">This opinion is rendered to you as of the effective date of the Registration Statement, and we undertake no obligation to update this opinion subsequent to the date hereof.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 </w:t>
      </w:r>
    </w:p>
    <w:p>
      <w:pPr>
        <w:pStyle w:val="TextBody"/>
        <w:spacing w:before="180" w:after="0"/>
        <w:rPr>
          <w:rFonts w:ascii="Times New Roman" w:hAnsi="Times New Roman"/>
          <w:sz w:val="20"/>
        </w:rPr>
      </w:pPr>
      <w:r>
        <w:rPr>
          <w:rFonts w:ascii="Times New Roman" w:hAnsi="Times New Roman"/>
          <w:sz w:val="20"/>
        </w:rPr>
        <w:t xml:space="preserve">This opinion is furnished to you, and is for your use in connection with the transactions set forth in the Registration Statement. This opinion may not be relied upon by you for any other purpose or furnished to, assigned to, quoted to or relied upon by any other person, firm or other entity, for any purpose, without our prior written consent. However, this opinion may be relied upon by you and by persons entitled to rely on it pursuant to applicable provisions of federal securities law, including persons purchasing limited partnership units or debt securities pursuant to the Registration Statement. </w:t>
      </w:r>
    </w:p>
    <w:p>
      <w:pPr>
        <w:pStyle w:val="TextBody"/>
        <w:spacing w:before="180" w:after="0"/>
        <w:rPr>
          <w:rFonts w:ascii="Times New Roman" w:hAnsi="Times New Roman"/>
          <w:sz w:val="20"/>
        </w:rPr>
      </w:pPr>
      <w:r>
        <w:rPr>
          <w:rFonts w:ascii="Times New Roman" w:hAnsi="Times New Roman"/>
          <w:sz w:val="20"/>
        </w:rPr>
        <w:t xml:space="preserve">We hereby consent to the filing of this opinion as an exhibit to the Prospectus and to the use of our name under the captions Material U.S. Federal Income Tax Consequences and Legal Matters in the Registration Statement. By giving this consent, we do not admit that we are within the category of persons whose consent is required under Section 7 of the Securities Act and the rules and regulations thereunder. </w:t>
      </w:r>
    </w:p>
    <w:p>
      <w:pPr>
        <w:pStyle w:val="TextBody"/>
        <w:spacing w:before="180" w:after="0"/>
        <w:rPr>
          <w:rFonts w:ascii="Times New Roman" w:hAnsi="Times New Roman"/>
          <w:sz w:val="20"/>
        </w:rPr>
      </w:pPr>
      <w:r>
        <w:rPr>
          <w:rFonts w:ascii="Times New Roman" w:hAnsi="Times New Roman"/>
          <w:sz w:val="20"/>
        </w:rPr>
        <w:t xml:space="preserve">Very truly yours, </w:t>
      </w:r>
    </w:p>
    <w:p>
      <w:pPr>
        <w:pStyle w:val="TextBody"/>
        <w:spacing w:before="180" w:after="0"/>
        <w:rPr>
          <w:rFonts w:ascii="Times New Roman" w:hAnsi="Times New Roman"/>
          <w:sz w:val="20"/>
        </w:rPr>
      </w:pPr>
      <w:r>
        <w:rPr>
          <w:rFonts w:ascii="Times New Roman" w:hAnsi="Times New Roman"/>
          <w:sz w:val="20"/>
        </w:rPr>
        <w:t xml:space="preserve">/s/ VINSON &amp; ELKINS L.L.P. </w:t>
      </w:r>
    </w:p>
    <w:p>
      <w:pPr>
        <w:pStyle w:val="TextBody"/>
        <w:spacing w:before="180" w:after="0"/>
        <w:rPr>
          <w:rFonts w:ascii="Times New Roman" w:hAnsi="Times New Roman"/>
          <w:sz w:val="20"/>
        </w:rPr>
      </w:pPr>
      <w:r>
        <w:rPr>
          <w:rFonts w:ascii="Times New Roman" w:hAnsi="Times New Roman"/>
          <w:sz w:val="20"/>
        </w:rPr>
        <w:t xml:space="preserve">Vinson &amp; Elkins L.L.P. </w:t>
      </w:r>
      <w:r>
        <w:br w:type="page"/>
      </w:r>
    </w:p>
    <w:p>
      <w:pPr>
        <w:pStyle w:val="TextBody"/>
        <w:spacing w:before="0" w:after="0"/>
        <w:jc w:val="right"/>
        <w:rPr>
          <w:rFonts w:ascii="Times New Roman" w:hAnsi="Times New Roman"/>
          <w:b/>
          <w:sz w:val="20"/>
        </w:rPr>
      </w:pPr>
      <w:bookmarkStart w:id="22" w:name="d415878dex231.htm"/>
      <w:bookmarkStart w:id="23" w:name="ksd415878dex231"/>
      <w:bookmarkEnd w:id="22"/>
      <w:bookmarkEnd w:id="23"/>
      <w:r>
        <w:rPr>
          <w:rFonts w:ascii="Times New Roman" w:hAnsi="Times New Roman"/>
          <w:b/>
          <w:sz w:val="20"/>
        </w:rPr>
        <w:t xml:space="preserve">Exhibit 23.1 </w:t>
      </w:r>
    </w:p>
    <w:p>
      <w:pPr>
        <w:pStyle w:val="TextBody"/>
        <w:spacing w:before="36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180" w:after="0"/>
        <w:rPr>
          <w:rFonts w:ascii="Times New Roman" w:hAnsi="Times New Roman"/>
          <w:sz w:val="20"/>
        </w:rPr>
      </w:pPr>
      <w:r>
        <w:rPr>
          <w:rFonts w:ascii="Times New Roman" w:hAnsi="Times New Roman"/>
          <w:sz w:val="20"/>
        </w:rPr>
        <w:t xml:space="preserve">We hereby consent to the incorporation by reference in this Registration Statement on Form S-3 of our report dated February 27, 2012 relating to the financial statements and the effectiveness of internal control over financial reporting, which appears in Plains All American Pipeline, L.P.s Annual Report on Form 10-K for the year ended December 31, 2011. We also consent to the reference to us under the heading Experts in such Registration Statement. </w:t>
      </w:r>
    </w:p>
    <w:p>
      <w:pPr>
        <w:pStyle w:val="TextBody"/>
        <w:spacing w:before="180" w:after="0"/>
        <w:rPr>
          <w:rFonts w:ascii="Times New Roman" w:hAnsi="Times New Roman"/>
          <w:sz w:val="20"/>
        </w:rPr>
      </w:pPr>
      <w:r>
        <w:rPr>
          <w:rFonts w:ascii="Times New Roman" w:hAnsi="Times New Roman"/>
          <w:sz w:val="20"/>
        </w:rPr>
        <w:t xml:space="preserve">/s/ PricewaterhouseCoopers LLP </w:t>
      </w:r>
    </w:p>
    <w:p>
      <w:pPr>
        <w:pStyle w:val="TextBody"/>
        <w:spacing w:before="180" w:after="0"/>
        <w:rPr>
          <w:rFonts w:ascii="Times New Roman" w:hAnsi="Times New Roman"/>
          <w:sz w:val="20"/>
        </w:rPr>
      </w:pPr>
      <w:r>
        <w:rPr>
          <w:rFonts w:ascii="Times New Roman" w:hAnsi="Times New Roman"/>
          <w:sz w:val="20"/>
        </w:rPr>
        <w:t xml:space="preserve">Houston, Texas </w:t>
      </w:r>
    </w:p>
    <w:p>
      <w:pPr>
        <w:pStyle w:val="TextBody"/>
        <w:spacing w:before="0" w:after="0"/>
        <w:rPr>
          <w:rFonts w:ascii="Times New Roman" w:hAnsi="Times New Roman"/>
          <w:sz w:val="20"/>
        </w:rPr>
      </w:pPr>
      <w:r>
        <w:rPr>
          <w:rFonts w:ascii="Times New Roman" w:hAnsi="Times New Roman"/>
          <w:sz w:val="20"/>
        </w:rPr>
        <w:t xml:space="preserve">September 27, 2012 </w:t>
      </w:r>
      <w:r>
        <w:br w:type="page"/>
      </w:r>
    </w:p>
    <w:p>
      <w:pPr>
        <w:pStyle w:val="TextBody"/>
        <w:spacing w:before="0" w:after="0"/>
        <w:jc w:val="right"/>
        <w:rPr>
          <w:rFonts w:ascii="Times New Roman" w:hAnsi="Times New Roman"/>
          <w:b/>
          <w:sz w:val="20"/>
        </w:rPr>
      </w:pPr>
      <w:bookmarkStart w:id="24" w:name="d415878dex232.htm"/>
      <w:bookmarkStart w:id="25" w:name="ksd415878dex232"/>
      <w:bookmarkEnd w:id="24"/>
      <w:bookmarkEnd w:id="25"/>
      <w:r>
        <w:rPr>
          <w:rFonts w:ascii="Times New Roman" w:hAnsi="Times New Roman"/>
          <w:b/>
          <w:sz w:val="20"/>
        </w:rPr>
        <w:t xml:space="preserve">Exhibit 23.2 </w:t>
      </w:r>
    </w:p>
    <w:p>
      <w:pPr>
        <w:pStyle w:val="TextBody"/>
        <w:spacing w:before="360" w:after="0"/>
        <w:jc w:val="center"/>
        <w:rPr>
          <w:rFonts w:ascii="Times New Roman" w:hAnsi="Times New Roman"/>
          <w:b/>
          <w:sz w:val="20"/>
        </w:rPr>
      </w:pPr>
      <w:r>
        <w:rPr>
          <w:rFonts w:ascii="Times New Roman" w:hAnsi="Times New Roman"/>
          <w:b/>
          <w:sz w:val="20"/>
        </w:rPr>
        <w:t xml:space="preserve">CONSENT OF INDEPENDENT AUDITORS </w:t>
      </w:r>
    </w:p>
    <w:p>
      <w:pPr>
        <w:pStyle w:val="TextBody"/>
        <w:spacing w:before="180" w:after="0"/>
        <w:rPr>
          <w:rFonts w:ascii="Times New Roman" w:hAnsi="Times New Roman"/>
          <w:sz w:val="20"/>
        </w:rPr>
      </w:pPr>
      <w:r>
        <w:rPr>
          <w:rFonts w:ascii="Times New Roman" w:hAnsi="Times New Roman"/>
          <w:sz w:val="20"/>
        </w:rPr>
        <w:t xml:space="preserve">We consent to the reference to our firm under the caption Experts and to the incorporation by reference of our report dated March 22, 2012 relating to the financial statements of Project Argyle, a business owned by BP p.l.c. and affiliates, in the Registration Statement on Form S-3 dated September 27, 2012 of Plains All American Pipeline, L.P., which report is included in the Current Report on Form 8-K/A of Plains All American Pipeline, L.P. filed on May 29, 2012 with the Securities and Exchange Commission. </w:t>
      </w:r>
    </w:p>
    <w:p>
      <w:pPr>
        <w:pStyle w:val="TextBody"/>
        <w:spacing w:before="180" w:after="0"/>
        <w:rPr>
          <w:rFonts w:ascii="Times New Roman" w:hAnsi="Times New Roman"/>
          <w:sz w:val="20"/>
        </w:rPr>
      </w:pPr>
      <w:r>
        <w:rPr>
          <w:rFonts w:ascii="Times New Roman" w:hAnsi="Times New Roman"/>
          <w:sz w:val="20"/>
        </w:rPr>
        <w:t xml:space="preserve">/s/ ERNST &amp; YOUNG LLP </w:t>
      </w:r>
    </w:p>
    <w:p>
      <w:pPr>
        <w:pStyle w:val="TextBody"/>
        <w:spacing w:before="180" w:after="0"/>
        <w:rPr>
          <w:rFonts w:ascii="Times New Roman" w:hAnsi="Times New Roman"/>
          <w:sz w:val="20"/>
        </w:rPr>
      </w:pPr>
      <w:r>
        <w:rPr>
          <w:rFonts w:ascii="Times New Roman" w:hAnsi="Times New Roman"/>
          <w:sz w:val="20"/>
        </w:rPr>
        <w:t xml:space="preserve">Calgary, Canada </w:t>
      </w:r>
    </w:p>
    <w:p>
      <w:pPr>
        <w:pStyle w:val="TextBody"/>
        <w:spacing w:before="0" w:after="0"/>
        <w:rPr>
          <w:rFonts w:ascii="Times New Roman" w:hAnsi="Times New Roman"/>
          <w:sz w:val="20"/>
        </w:rPr>
      </w:pPr>
      <w:r>
        <w:rPr>
          <w:rFonts w:ascii="Times New Roman" w:hAnsi="Times New Roman"/>
          <w:sz w:val="20"/>
        </w:rPr>
        <w:t xml:space="preserve">September 27, 2012 </w:t>
      </w:r>
      <w:r>
        <w:br w:type="page"/>
      </w:r>
    </w:p>
    <w:p>
      <w:pPr>
        <w:pStyle w:val="TextBody"/>
        <w:spacing w:before="0" w:after="0"/>
        <w:jc w:val="right"/>
        <w:rPr>
          <w:rFonts w:ascii="Times New Roman" w:hAnsi="Times New Roman"/>
          <w:b/>
          <w:sz w:val="20"/>
        </w:rPr>
      </w:pPr>
      <w:bookmarkStart w:id="26" w:name="d415878dex251.htm"/>
      <w:bookmarkStart w:id="27" w:name="ksd415878dex251"/>
      <w:bookmarkEnd w:id="26"/>
      <w:bookmarkEnd w:id="27"/>
      <w:r>
        <w:rPr>
          <w:rFonts w:ascii="Times New Roman" w:hAnsi="Times New Roman"/>
          <w:b/>
          <w:sz w:val="20"/>
        </w:rPr>
        <w:t xml:space="preserve">Exhibit 25.1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28"/>
        </w:rPr>
        <w:t>SECURITIES</w:t>
      </w:r>
      <w:r>
        <w:rPr>
          <w:rFonts w:ascii="Times New Roman" w:hAnsi="Times New Roman"/>
          <w:b/>
          <w:sz w:val="36"/>
        </w:rPr>
        <w:t xml:space="preserve"> </w:t>
      </w:r>
      <w:r>
        <w:rPr>
          <w:rFonts w:ascii="Times New Roman" w:hAnsi="Times New Roman"/>
          <w:b/>
          <w:sz w:val="28"/>
        </w:rPr>
        <w:t>AND</w:t>
      </w:r>
      <w:r>
        <w:rPr>
          <w:rFonts w:ascii="Times New Roman" w:hAnsi="Times New Roman"/>
          <w:b/>
          <w:sz w:val="36"/>
        </w:rPr>
        <w:t xml:space="preserve"> </w:t>
      </w:r>
      <w:r>
        <w:rPr>
          <w:rFonts w:ascii="Times New Roman" w:hAnsi="Times New Roman"/>
          <w:b/>
          <w:sz w:val="28"/>
        </w:rPr>
        <w:t>EXCHANGE</w:t>
      </w:r>
      <w:r>
        <w:rPr>
          <w:rFonts w:ascii="Times New Roman" w:hAnsi="Times New Roman"/>
          <w:b/>
          <w:sz w:val="36"/>
        </w:rPr>
        <w:t xml:space="preserve"> </w:t>
      </w:r>
      <w:r>
        <w:rPr>
          <w:rFonts w:ascii="Times New Roman" w:hAnsi="Times New Roman"/>
          <w:b/>
          <w:sz w:val="28"/>
        </w:rPr>
        <w:t>COMMISSION</w:t>
      </w:r>
      <w:r>
        <w:rPr>
          <w:rFonts w:ascii="Times New Roman" w:hAnsi="Times New Roman"/>
          <w:b/>
          <w:sz w:val="36"/>
        </w:rPr>
        <w:t xml:space="preserve">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T-1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4"/>
        </w:rPr>
      </w:pPr>
      <w:r>
        <w:rPr>
          <w:rFonts w:ascii="Times New Roman" w:hAnsi="Times New Roman"/>
          <w:b/>
          <w:sz w:val="24"/>
        </w:rPr>
        <w:t xml:space="preserve">STATEMENT OF ELIGIBILITY </w:t>
      </w:r>
    </w:p>
    <w:p>
      <w:pPr>
        <w:pStyle w:val="TextBody"/>
        <w:spacing w:before="0" w:after="0"/>
        <w:jc w:val="center"/>
        <w:rPr>
          <w:rFonts w:ascii="Times New Roman" w:hAnsi="Times New Roman"/>
          <w:b/>
          <w:sz w:val="24"/>
        </w:rPr>
      </w:pPr>
      <w:r>
        <w:rPr>
          <w:rFonts w:ascii="Times New Roman" w:hAnsi="Times New Roman"/>
          <w:b/>
          <w:sz w:val="24"/>
        </w:rPr>
        <w:t xml:space="preserve">UNDER THE TRUST INDENTURE ACT OF 1939 OF A </w:t>
      </w:r>
    </w:p>
    <w:p>
      <w:pPr>
        <w:pStyle w:val="TextBody"/>
        <w:spacing w:before="0" w:after="0"/>
        <w:jc w:val="center"/>
        <w:rPr>
          <w:rFonts w:ascii="Times New Roman" w:hAnsi="Times New Roman"/>
          <w:b/>
          <w:sz w:val="24"/>
        </w:rPr>
      </w:pPr>
      <w:r>
        <w:rPr>
          <w:rFonts w:ascii="Times New Roman" w:hAnsi="Times New Roman"/>
          <w:b/>
          <w:sz w:val="24"/>
        </w:rPr>
        <w:t xml:space="preserve">CORPORATION DESIGNATED TO ACT AS TRUSTEE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Check if an Application to Determine Eligibility of a Trustee Pursuant to Section 305(b)(2) </w:t>
            </w:r>
          </w:p>
        </w:tc>
      </w:tr>
    </w:tbl>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U.S. BANK NATIONAL ASSOCIATION </w:t>
      </w:r>
    </w:p>
    <w:p>
      <w:pPr>
        <w:pStyle w:val="TextBody"/>
        <w:spacing w:before="0" w:after="0"/>
        <w:jc w:val="center"/>
        <w:rPr>
          <w:rFonts w:ascii="Times New Roman" w:hAnsi="Times New Roman"/>
          <w:b/>
          <w:sz w:val="20"/>
        </w:rPr>
      </w:pPr>
      <w:r>
        <w:rPr>
          <w:rFonts w:ascii="Times New Roman" w:hAnsi="Times New Roman"/>
          <w:b/>
          <w:sz w:val="20"/>
        </w:rPr>
        <w:t xml:space="preserve">(Exact name of Trustee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31-0841368 </w:t>
      </w:r>
    </w:p>
    <w:p>
      <w:pPr>
        <w:pStyle w:val="TextBody"/>
        <w:spacing w:before="0" w:after="0"/>
        <w:jc w:val="center"/>
        <w:rPr>
          <w:rFonts w:ascii="Times New Roman" w:hAnsi="Times New Roman"/>
          <w:b/>
          <w:sz w:val="20"/>
        </w:rPr>
      </w:pPr>
      <w:r>
        <w:rPr>
          <w:rFonts w:ascii="Times New Roman" w:hAnsi="Times New Roman"/>
          <w:b/>
          <w:sz w:val="20"/>
        </w:rPr>
        <w:t xml:space="preserve">I.R.S. Employer Identification No.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800 Nicollet Mall</w:t>
            </w:r>
          </w:p>
          <w:p>
            <w:pPr>
              <w:pStyle w:val="TableContents"/>
              <w:spacing w:before="0" w:after="15"/>
              <w:jc w:val="center"/>
              <w:rPr>
                <w:rFonts w:ascii="Times New Roman" w:hAnsi="Times New Roman"/>
                <w:b/>
                <w:sz w:val="20"/>
              </w:rPr>
            </w:pPr>
            <w:r>
              <w:rPr>
                <w:rFonts w:ascii="Times New Roman" w:hAnsi="Times New Roman"/>
                <w:b/>
                <w:sz w:val="20"/>
              </w:rPr>
              <w:t>Minneapolis, Minnesota</w:t>
            </w:r>
          </w:p>
        </w:tc>
        <w:tc>
          <w:tcPr>
            <w:tcW w:w="102"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55402</w:t>
            </w:r>
          </w:p>
        </w:tc>
      </w:tr>
      <w:tr>
        <w:trPr/>
        <w:tc>
          <w:tcPr>
            <w:tcW w:w="515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2"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Steven A. Finklea </w:t>
      </w:r>
    </w:p>
    <w:p>
      <w:pPr>
        <w:pStyle w:val="TextBody"/>
        <w:spacing w:before="0" w:after="0"/>
        <w:jc w:val="center"/>
        <w:rPr>
          <w:rFonts w:ascii="Times New Roman" w:hAnsi="Times New Roman"/>
          <w:b/>
          <w:sz w:val="20"/>
        </w:rPr>
      </w:pPr>
      <w:r>
        <w:rPr>
          <w:rFonts w:ascii="Times New Roman" w:hAnsi="Times New Roman"/>
          <w:b/>
          <w:sz w:val="20"/>
        </w:rPr>
        <w:t xml:space="preserve">U.S. Bank National Association </w:t>
      </w:r>
    </w:p>
    <w:p>
      <w:pPr>
        <w:pStyle w:val="TextBody"/>
        <w:spacing w:before="0" w:after="0"/>
        <w:jc w:val="center"/>
        <w:rPr>
          <w:rFonts w:ascii="Times New Roman" w:hAnsi="Times New Roman"/>
          <w:b/>
          <w:sz w:val="20"/>
        </w:rPr>
      </w:pPr>
      <w:r>
        <w:rPr>
          <w:rFonts w:ascii="Times New Roman" w:hAnsi="Times New Roman"/>
          <w:b/>
          <w:sz w:val="20"/>
        </w:rPr>
        <w:t xml:space="preserve">5555 San Felipe, Suite 1150 </w:t>
      </w:r>
    </w:p>
    <w:p>
      <w:pPr>
        <w:pStyle w:val="TextBody"/>
        <w:spacing w:before="0" w:after="0"/>
        <w:jc w:val="center"/>
        <w:rPr>
          <w:rFonts w:ascii="Times New Roman" w:hAnsi="Times New Roman"/>
          <w:b/>
          <w:sz w:val="20"/>
        </w:rPr>
      </w:pPr>
      <w:r>
        <w:rPr>
          <w:rFonts w:ascii="Times New Roman" w:hAnsi="Times New Roman"/>
          <w:b/>
          <w:sz w:val="20"/>
        </w:rPr>
        <w:t xml:space="preserve">Houston, Texas 77057 </w:t>
      </w:r>
    </w:p>
    <w:p>
      <w:pPr>
        <w:pStyle w:val="TextBody"/>
        <w:spacing w:before="0" w:after="0"/>
        <w:jc w:val="center"/>
        <w:rPr>
          <w:rFonts w:ascii="Times New Roman" w:hAnsi="Times New Roman"/>
          <w:b/>
          <w:sz w:val="20"/>
        </w:rPr>
      </w:pPr>
      <w:r>
        <w:rPr>
          <w:rFonts w:ascii="Times New Roman" w:hAnsi="Times New Roman"/>
          <w:b/>
          <w:sz w:val="20"/>
        </w:rPr>
        <w:t xml:space="preserve">(713) 235-9208 </w:t>
      </w:r>
    </w:p>
    <w:p>
      <w:pPr>
        <w:pStyle w:val="TextBody"/>
        <w:spacing w:before="0" w:after="0"/>
        <w:jc w:val="center"/>
        <w:rPr>
          <w:rFonts w:ascii="Times New Roman" w:hAnsi="Times New Roman"/>
          <w:b/>
          <w:sz w:val="14"/>
        </w:rPr>
      </w:pPr>
      <w:r>
        <w:rPr>
          <w:rFonts w:ascii="Times New Roman" w:hAnsi="Times New Roman"/>
          <w:b/>
          <w:sz w:val="14"/>
        </w:rPr>
        <w:t xml:space="preserve">(Name, address and telephone number of agent for service)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PAA Finance Corp. </w:t>
      </w:r>
    </w:p>
    <w:p>
      <w:pPr>
        <w:pStyle w:val="TextBody"/>
        <w:spacing w:before="0" w:after="0"/>
        <w:jc w:val="center"/>
        <w:rPr>
          <w:rFonts w:ascii="Times New Roman" w:hAnsi="Times New Roman"/>
          <w:b/>
          <w:sz w:val="14"/>
        </w:rPr>
      </w:pPr>
      <w:r>
        <w:rPr>
          <w:rFonts w:ascii="Times New Roman" w:hAnsi="Times New Roman"/>
          <w:b/>
          <w:sz w:val="14"/>
        </w:rPr>
        <w:t xml:space="preserve">(Issuer with respect to the Securities)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55"/>
        <w:gridCol w:w="101"/>
        <w:gridCol w:w="4949"/>
      </w:tblGrid>
      <w:tr>
        <w:trPr/>
        <w:tc>
          <w:tcPr>
            <w:tcW w:w="515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5"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Delaware</w:t>
            </w:r>
          </w:p>
          <w:p>
            <w:pPr>
              <w:pStyle w:val="TableContents"/>
              <w:spacing w:before="0" w:after="15"/>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76-0582150</w:t>
            </w:r>
          </w:p>
          <w:p>
            <w:pPr>
              <w:pStyle w:val="TableContents"/>
              <w:spacing w:before="0" w:after="15"/>
              <w:jc w:val="center"/>
              <w:rPr>
                <w:rFonts w:ascii="Times New Roman" w:hAnsi="Times New Roman"/>
                <w:b/>
                <w:sz w:val="20"/>
              </w:rPr>
            </w:pPr>
            <w:r>
              <w:rPr>
                <w:rFonts w:ascii="Times New Roman" w:hAnsi="Times New Roman"/>
                <w:b/>
                <w:sz w:val="20"/>
              </w:rPr>
              <w:t>56-2464313</w:t>
            </w:r>
          </w:p>
        </w:tc>
      </w:tr>
      <w:tr>
        <w:trPr/>
        <w:tc>
          <w:tcPr>
            <w:tcW w:w="5155"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 of</w:t>
            </w:r>
          </w:p>
          <w:p>
            <w:pPr>
              <w:pStyle w:val="TableContents"/>
              <w:spacing w:before="0" w:after="15"/>
              <w:jc w:val="center"/>
              <w:rPr>
                <w:rFonts w:ascii="Times New Roman" w:hAnsi="Times New Roman"/>
                <w:b/>
                <w:sz w:val="14"/>
              </w:rPr>
            </w:pPr>
            <w:r>
              <w:rPr>
                <w:rFonts w:ascii="Times New Roman" w:hAnsi="Times New Roman"/>
                <w:b/>
                <w:sz w:val="14"/>
              </w:rPr>
              <w:t>incorporation or organization)</w:t>
            </w:r>
          </w:p>
        </w:tc>
        <w:tc>
          <w:tcPr>
            <w:tcW w:w="101"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333 Clay Street, Suite 1600</w:t>
            </w:r>
          </w:p>
          <w:p>
            <w:pPr>
              <w:pStyle w:val="TableContents"/>
              <w:spacing w:before="0" w:after="15"/>
              <w:jc w:val="center"/>
              <w:rPr>
                <w:rFonts w:ascii="Times New Roman" w:hAnsi="Times New Roman"/>
                <w:b/>
                <w:sz w:val="20"/>
              </w:rPr>
            </w:pPr>
            <w:r>
              <w:rPr>
                <w:rFonts w:ascii="Times New Roman" w:hAnsi="Times New Roman"/>
                <w:b/>
                <w:sz w:val="20"/>
              </w:rPr>
              <w:t>Houston, Texas</w:t>
            </w:r>
          </w:p>
        </w:tc>
        <w:tc>
          <w:tcPr>
            <w:tcW w:w="102"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515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2"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Senior Debt </w:t>
      </w:r>
    </w:p>
    <w:p>
      <w:pPr>
        <w:pStyle w:val="TextBody"/>
        <w:spacing w:before="0" w:after="0"/>
        <w:jc w:val="center"/>
        <w:rPr>
          <w:rFonts w:ascii="Times New Roman" w:hAnsi="Times New Roman"/>
          <w:b/>
          <w:sz w:val="14"/>
        </w:rPr>
      </w:pPr>
      <w:r>
        <w:rPr>
          <w:rFonts w:ascii="Times New Roman" w:hAnsi="Times New Roman"/>
          <w:b/>
          <w:sz w:val="14"/>
        </w:rPr>
        <w:t xml:space="preserve">(Title of the Indenture Securities)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FORM T-1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224"/>
        <w:gridCol w:w="8981"/>
      </w:tblGrid>
      <w:tr>
        <w:trPr/>
        <w:tc>
          <w:tcPr>
            <w:tcW w:w="1224"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w:t>
            </w:r>
          </w:p>
        </w:tc>
        <w:tc>
          <w:tcPr>
            <w:tcW w:w="8981"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GENERAL INFORMATION. </w:t>
            </w:r>
            <w:r>
              <w:rPr>
                <w:rFonts w:ascii="Times New Roman" w:hAnsi="Times New Roman"/>
                <w:sz w:val="20"/>
              </w:rPr>
              <w:t xml:space="preserve">Furnish the following information as to the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Name and address of each examining or supervising authority to which it is subject.</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Comptroller of the Currency </w:t>
      </w:r>
    </w:p>
    <w:p>
      <w:pPr>
        <w:pStyle w:val="TextBody"/>
        <w:spacing w:before="0" w:after="0"/>
        <w:rPr>
          <w:rFonts w:ascii="Times New Roman" w:hAnsi="Times New Roman"/>
          <w:sz w:val="20"/>
        </w:rPr>
      </w:pPr>
      <w:r>
        <w:rPr>
          <w:rFonts w:ascii="Times New Roman" w:hAnsi="Times New Roman"/>
          <w:sz w:val="20"/>
        </w:rPr>
        <w:t xml:space="preserve">Washington, D.C.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Whether it is authorized to exercise corporate trust powers. </w:t>
            </w:r>
          </w:p>
        </w:tc>
      </w:tr>
    </w:tbl>
    <w:p>
      <w:pPr>
        <w:pStyle w:val="TextBody"/>
        <w:spacing w:before="90" w:after="0"/>
        <w:rPr>
          <w:rFonts w:ascii="Times New Roman" w:hAnsi="Times New Roman"/>
          <w:sz w:val="20"/>
        </w:rPr>
      </w:pPr>
      <w:r>
        <w:rPr>
          <w:rFonts w:ascii="Times New Roman" w:hAnsi="Times New Roman"/>
          <w:sz w:val="20"/>
        </w:rPr>
        <w:t xml:space="preserve">Yes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223"/>
        <w:gridCol w:w="8982"/>
      </w:tblGrid>
      <w:tr>
        <w:trPr/>
        <w:tc>
          <w:tcPr>
            <w:tcW w:w="1223"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2.</w:t>
            </w:r>
          </w:p>
        </w:tc>
        <w:tc>
          <w:tcPr>
            <w:tcW w:w="8982"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AFFILIATIONS WITH OBLIGOR. </w:t>
            </w:r>
            <w:r>
              <w:rPr>
                <w:rFonts w:ascii="Times New Roman" w:hAnsi="Times New Roman"/>
                <w:i/>
                <w:sz w:val="20"/>
              </w:rPr>
              <w:t>If the obligor is an affiliate of the Trustee, describe each such affiliation.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None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224"/>
        <w:gridCol w:w="8981"/>
      </w:tblGrid>
      <w:tr>
        <w:trPr/>
        <w:tc>
          <w:tcPr>
            <w:tcW w:w="1224"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Items 3-15</w:t>
            </w:r>
          </w:p>
        </w:tc>
        <w:tc>
          <w:tcPr>
            <w:tcW w:w="8981"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Items 3-15 are not applicable because to the best of the Trustees knowledge, the obligor is not in default under any Indenture for which the Trustee acts as Trustee.</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223"/>
        <w:gridCol w:w="8982"/>
      </w:tblGrid>
      <w:tr>
        <w:trPr/>
        <w:tc>
          <w:tcPr>
            <w:tcW w:w="1223"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16.</w:t>
            </w:r>
          </w:p>
        </w:tc>
        <w:tc>
          <w:tcPr>
            <w:tcW w:w="8982"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LIST OF EXHIBITS: </w:t>
            </w:r>
            <w:r>
              <w:rPr>
                <w:rFonts w:ascii="Times New Roman" w:hAnsi="Times New Roman"/>
                <w:i/>
                <w:sz w:val="20"/>
              </w:rPr>
              <w:t>List below all exhibits filed as a part of this statement of eligibility and qualification.</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the Articles of Association of the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the certificate of authority of the Trustee to commence business, attached as Exhibit 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the certificate of authority of the Trustee to exercise corporate trust powers, attached as Exhibit 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the existing bylaws of the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each Indenture referred to in Item 4. Not applicable.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consent of the Trustee required by Section 321(b) of the Trust Indenture Act of 1939, attached as Exhibit 6.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Report of Condition of the Trustee as of June 30, 2012 published pursuant to law or the requirements of its supervising or examining authority, attached as Exhibit 7.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Incorporated by reference to Exhibit 25.1 to Amendment No. 2 to registration statement on S-4, Registration Number 333-128217 filed on November 15, 2005.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Incorporated by reference to Exhibit 25.1 to registration statement on S-4, Registration Number 333-166527 filed on May 5, 2010.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pBdr/>
        <w:spacing w:before="180" w:after="0"/>
        <w:rPr/>
      </w:pPr>
      <w:r>
        <w:rPr>
          <w:rFonts w:ascii="Times New Roman" w:hAnsi="Times New Roman"/>
          <w:sz w:val="20"/>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20</w:t>
      </w:r>
      <w:r>
        <w:rPr>
          <w:rFonts w:ascii="Times New Roman" w:hAnsi="Times New Roman"/>
          <w:sz w:val="14"/>
        </w:rPr>
        <w:t xml:space="preserve">th </w:t>
      </w:r>
      <w:r>
        <w:rPr>
          <w:rFonts w:ascii="Times New Roman" w:hAnsi="Times New Roman"/>
          <w:sz w:val="20"/>
        </w:rPr>
        <w:t xml:space="preserve">of September, 2012. </w:t>
      </w:r>
    </w:p>
    <w:tbl>
      <w:tblPr>
        <w:tblW w:w="2000" w:type="pct"/>
        <w:jc w:val="right"/>
        <w:tblInd w:w="0" w:type="dxa"/>
        <w:tblCellMar>
          <w:top w:w="0" w:type="dxa"/>
          <w:left w:w="0" w:type="dxa"/>
          <w:bottom w:w="0" w:type="dxa"/>
          <w:right w:w="0" w:type="dxa"/>
        </w:tblCellMar>
      </w:tblPr>
      <w:tblGrid>
        <w:gridCol w:w="259"/>
        <w:gridCol w:w="84"/>
        <w:gridCol w:w="3739"/>
      </w:tblGrid>
      <w:tr>
        <w:trPr/>
        <w:tc>
          <w:tcPr>
            <w:tcW w:w="2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259" w:type="dxa"/>
            <w:tcBorders/>
            <w:shd w:fill="auto" w:val="clear"/>
            <w:vAlign w:val="center"/>
          </w:tcPr>
          <w:p>
            <w:pPr>
              <w:pStyle w:val="TableContents"/>
              <w:spacing w:before="0" w:after="283"/>
              <w:rPr>
                <w:sz w:val="4"/>
                <w:szCs w:val="4"/>
              </w:rPr>
            </w:pPr>
            <w:r>
              <w:rPr>
                <w:sz w:val="4"/>
                <w:szCs w:val="4"/>
              </w:rPr>
            </w:r>
          </w:p>
        </w:tc>
        <w:tc>
          <w:tcPr>
            <w:tcW w:w="3823" w:type="dxa"/>
            <w:gridSpan w:val="2"/>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Steven A. Finklea</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Steven A. Finklea</w:t>
            </w:r>
          </w:p>
          <w:p>
            <w:pPr>
              <w:pStyle w:val="TableContents"/>
              <w:spacing w:before="0" w:after="15"/>
              <w:rPr>
                <w:rFonts w:ascii="Times New Roman" w:hAnsi="Times New Roman"/>
                <w:sz w:val="20"/>
              </w:rPr>
            </w:pPr>
            <w:r>
              <w:rPr>
                <w:rFonts w:ascii="Times New Roman" w:hAnsi="Times New Roman"/>
                <w:sz w:val="20"/>
              </w:rPr>
              <w:t>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2 </w:t>
      </w:r>
    </w:p>
    <w:p>
      <w:pPr>
        <w:pStyle w:val="TextBody"/>
        <w:spacing w:before="0" w:after="0"/>
        <w:rPr/>
      </w:pPr>
      <w:r>
        <w:rPr/>
        <w:t> </w:t>
      </w:r>
    </w:p>
    <w:p>
      <w:pPr>
        <w:pStyle w:val="TextBody"/>
        <w:spacing w:before="180" w:after="0"/>
        <w:rPr>
          <w:u w:val="single"/>
        </w:rPr>
      </w:pPr>
      <w:r>
        <w:rPr>
          <w:u w:val="single"/>
        </w:rPr>
        <w:drawing>
          <wp:inline distT="0" distB="0" distL="0" distR="0">
            <wp:extent cx="438150" cy="495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38150" cy="495300"/>
                    </a:xfrm>
                    <a:prstGeom prst="rect">
                      <a:avLst/>
                    </a:prstGeom>
                  </pic:spPr>
                </pic:pic>
              </a:graphicData>
            </a:graphic>
          </wp:inline>
        </w:drawing>
      </w:r>
      <w:r>
        <w:rPr>
          <w:u w:val="single"/>
        </w:rPr>
        <w:t xml:space="preserve"> </w:t>
      </w:r>
    </w:p>
    <w:p>
      <w:pPr>
        <w:pStyle w:val="TextBody"/>
        <w:spacing w:before="180" w:after="0"/>
        <w:rPr>
          <w:rFonts w:ascii="Times New Roman" w:hAnsi="Times New Roman"/>
          <w:sz w:val="20"/>
        </w:rPr>
      </w:pPr>
      <w:r>
        <w:rPr>
          <w:rFonts w:ascii="Times New Roman" w:hAnsi="Times New Roman"/>
          <w:sz w:val="20"/>
        </w:rPr>
        <w:t xml:space="preserve">Comptroller of the Currency </w:t>
      </w:r>
    </w:p>
    <w:p>
      <w:pPr>
        <w:pStyle w:val="TextBody"/>
        <w:spacing w:before="0" w:after="0"/>
        <w:rPr>
          <w:rFonts w:ascii="Times New Roman" w:hAnsi="Times New Roman"/>
          <w:sz w:val="20"/>
        </w:rPr>
      </w:pPr>
      <w:r>
        <w:rPr>
          <w:rFonts w:ascii="Times New Roman" w:hAnsi="Times New Roman"/>
          <w:sz w:val="20"/>
        </w:rPr>
        <w:t xml:space="preserve">Administrator of National Banks </w:t>
      </w:r>
    </w:p>
    <w:p>
      <w:pPr>
        <w:pStyle w:val="TextBody"/>
        <w:spacing w:before="180" w:after="0"/>
        <w:rPr>
          <w:rFonts w:ascii="Times New Roman" w:hAnsi="Times New Roman"/>
          <w:sz w:val="20"/>
        </w:rPr>
      </w:pPr>
      <w:r>
        <w:rPr>
          <w:rFonts w:ascii="Times New Roman" w:hAnsi="Times New Roman"/>
          <w:sz w:val="20"/>
        </w:rPr>
        <w:t xml:space="preserve">Washington, DC 20219 </w:t>
      </w:r>
    </w:p>
    <w:p>
      <w:pPr>
        <w:pStyle w:val="TextBody"/>
        <w:spacing w:before="360" w:after="0"/>
        <w:jc w:val="center"/>
        <w:rPr>
          <w:rFonts w:ascii="Times New Roman" w:hAnsi="Times New Roman"/>
          <w:b/>
          <w:sz w:val="20"/>
        </w:rPr>
      </w:pPr>
      <w:r>
        <w:rPr>
          <w:rFonts w:ascii="Times New Roman" w:hAnsi="Times New Roman"/>
          <w:b/>
          <w:sz w:val="20"/>
        </w:rPr>
        <w:t xml:space="preserve">CERTIFICATE OF CORPORATE EXISTENCE </w:t>
      </w:r>
    </w:p>
    <w:p>
      <w:pPr>
        <w:pStyle w:val="TextBody"/>
        <w:spacing w:before="180" w:after="0"/>
        <w:rPr>
          <w:rFonts w:ascii="Times New Roman" w:hAnsi="Times New Roman"/>
          <w:sz w:val="20"/>
        </w:rPr>
      </w:pPr>
      <w:r>
        <w:rPr>
          <w:rFonts w:ascii="Times New Roman" w:hAnsi="Times New Roman"/>
          <w:sz w:val="20"/>
        </w:rPr>
        <w:t xml:space="preserve">I, Thomas J. Curry, Comptroller of the Currency, do hereby certify that: </w:t>
      </w:r>
    </w:p>
    <w:p>
      <w:pPr>
        <w:pStyle w:val="TextBody"/>
        <w:spacing w:before="90" w:after="0"/>
        <w:rPr>
          <w:rFonts w:ascii="Times New Roman" w:hAnsi="Times New Roman"/>
          <w:sz w:val="20"/>
        </w:rPr>
      </w:pPr>
      <w:r>
        <w:rPr>
          <w:rFonts w:ascii="Times New Roman" w:hAnsi="Times New Roman"/>
          <w:sz w:val="20"/>
        </w:rPr>
        <w:t xml:space="preserve">1. The Comptroller of the Currency, pursuant to Revised Statutes 324, et seq, as amended, and 12 USC 1, et seq, as amended, has possession, custody, and control of all records pertaining to the chartering, regulation, and supervision of all national banking associations. </w:t>
      </w:r>
    </w:p>
    <w:p>
      <w:pPr>
        <w:pStyle w:val="TextBody"/>
        <w:spacing w:before="90" w:after="0"/>
        <w:rPr>
          <w:rFonts w:ascii="Times New Roman" w:hAnsi="Times New Roman"/>
          <w:sz w:val="20"/>
        </w:rPr>
      </w:pPr>
      <w:r>
        <w:rPr>
          <w:rFonts w:ascii="Times New Roman" w:hAnsi="Times New Roman"/>
          <w:sz w:val="20"/>
        </w:rPr>
        <w:t xml:space="preserve">2. U.S. Bank National Association, Cincinnati, Ohio (Charter No. 24), is a national banking association formed under the laws of the United States and is authorized thereunder to transact the business of banking on the date of this certificate.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3"/>
        <w:gridCol w:w="4798"/>
      </w:tblGrid>
      <w:tr>
        <w:trPr/>
        <w:tc>
          <w:tcPr>
            <w:tcW w:w="52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5204" w:type="dxa"/>
            <w:vMerge w:val="restart"/>
            <w:tcBorders/>
            <w:shd w:fill="auto" w:val="clear"/>
            <w:vAlign w:val="bottom"/>
          </w:tcPr>
          <w:p>
            <w:pPr>
              <w:pStyle w:val="TableContents"/>
              <w:spacing w:before="0" w:after="0"/>
              <w:rPr/>
            </w:pPr>
            <w:r>
              <w:rPr/>
              <w:t> </w:t>
            </w:r>
          </w:p>
          <w:p>
            <w:pPr>
              <w:pStyle w:val="TableContents"/>
              <w:spacing w:before="0" w:after="15"/>
              <w:rPr/>
            </w:pPr>
            <w:r>
              <w:rPr/>
              <w:drawing>
                <wp:inline distT="0" distB="0" distL="0" distR="0">
                  <wp:extent cx="1447800" cy="14382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47800" cy="1438275"/>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IN TESTIMONY WHEREOF, today, May 9, 2012, I have hereunto subscribed my name and caused my seal of office to be Affixed to these presents at the U.S. Department of the Treasury, in the City of Washington, District of Columbia.</w:t>
            </w:r>
          </w:p>
        </w:tc>
      </w:tr>
      <w:tr>
        <w:trPr/>
        <w:tc>
          <w:tcPr>
            <w:tcW w:w="5204" w:type="dxa"/>
            <w:vMerge w:val="continue"/>
            <w:tcBorders/>
            <w:shd w:fill="auto" w:val="clear"/>
            <w:vAlign w:val="bottom"/>
          </w:tcPr>
          <w:p>
            <w:pPr>
              <w:pStyle w:val="Normal"/>
              <w:rPr/>
            </w:pPr>
            <w:r>
              <w:rPr/>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pBdr>
                <w:bottom w:val="single" w:sz="2" w:space="1" w:color="000000"/>
              </w:pBdr>
              <w:spacing w:before="0" w:after="15"/>
              <w:jc w:val="center"/>
              <w:rPr/>
            </w:pPr>
            <w:r>
              <w:rPr/>
              <w:drawing>
                <wp:inline distT="0" distB="0" distL="0" distR="0">
                  <wp:extent cx="2000250" cy="762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000250" cy="762000"/>
                          </a:xfrm>
                          <a:prstGeom prst="rect">
                            <a:avLst/>
                          </a:prstGeom>
                        </pic:spPr>
                      </pic:pic>
                    </a:graphicData>
                  </a:graphic>
                </wp:inline>
              </w:drawing>
            </w:r>
            <w:r>
              <w:rPr/>
              <w:t xml:space="preserve"> </w:t>
            </w:r>
          </w:p>
        </w:tc>
      </w:tr>
      <w:tr>
        <w:trPr/>
        <w:tc>
          <w:tcPr>
            <w:tcW w:w="5204" w:type="dxa"/>
            <w:vMerge w:val="continue"/>
            <w:tcBorders/>
            <w:shd w:fill="auto" w:val="clear"/>
            <w:vAlign w:val="bottom"/>
          </w:tcPr>
          <w:p>
            <w:pPr>
              <w:pStyle w:val="Normal"/>
              <w:rPr/>
            </w:pPr>
            <w:r>
              <w:rPr/>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Comptroller of the Currency</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3 </w:t>
      </w:r>
    </w:p>
    <w:p>
      <w:pPr>
        <w:pStyle w:val="TextBody"/>
        <w:spacing w:before="0" w:after="0"/>
        <w:rPr/>
      </w:pPr>
      <w:r>
        <w:rPr/>
        <w:t> </w:t>
      </w:r>
    </w:p>
    <w:p>
      <w:pPr>
        <w:pStyle w:val="TextBody"/>
        <w:spacing w:before="180" w:after="0"/>
        <w:rPr>
          <w:u w:val="single"/>
        </w:rPr>
      </w:pPr>
      <w:r>
        <w:rPr>
          <w:u w:val="single"/>
        </w:rPr>
        <w:drawing>
          <wp:inline distT="0" distB="0" distL="0" distR="0">
            <wp:extent cx="438150" cy="4953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38150" cy="495300"/>
                    </a:xfrm>
                    <a:prstGeom prst="rect">
                      <a:avLst/>
                    </a:prstGeom>
                  </pic:spPr>
                </pic:pic>
              </a:graphicData>
            </a:graphic>
          </wp:inline>
        </w:drawing>
      </w:r>
      <w:r>
        <w:rPr>
          <w:u w:val="single"/>
        </w:rPr>
        <w:t xml:space="preserve"> </w:t>
      </w:r>
    </w:p>
    <w:p>
      <w:pPr>
        <w:pStyle w:val="TextBody"/>
        <w:spacing w:before="180" w:after="0"/>
        <w:rPr>
          <w:rFonts w:ascii="Times New Roman" w:hAnsi="Times New Roman"/>
          <w:sz w:val="20"/>
        </w:rPr>
      </w:pPr>
      <w:r>
        <w:rPr>
          <w:rFonts w:ascii="Times New Roman" w:hAnsi="Times New Roman"/>
          <w:sz w:val="20"/>
        </w:rPr>
        <w:t xml:space="preserve">Comptroller of the Currency </w:t>
      </w:r>
    </w:p>
    <w:p>
      <w:pPr>
        <w:pStyle w:val="TextBody"/>
        <w:spacing w:before="0" w:after="0"/>
        <w:rPr>
          <w:rFonts w:ascii="Times New Roman" w:hAnsi="Times New Roman"/>
          <w:sz w:val="20"/>
        </w:rPr>
      </w:pPr>
      <w:r>
        <w:rPr>
          <w:rFonts w:ascii="Times New Roman" w:hAnsi="Times New Roman"/>
          <w:sz w:val="20"/>
        </w:rPr>
        <w:t xml:space="preserve">Administrator of National Banks </w:t>
      </w:r>
    </w:p>
    <w:p>
      <w:pPr>
        <w:pStyle w:val="TextBody"/>
        <w:spacing w:before="180" w:after="0"/>
        <w:rPr>
          <w:rFonts w:ascii="Times New Roman" w:hAnsi="Times New Roman"/>
          <w:sz w:val="20"/>
        </w:rPr>
      </w:pPr>
      <w:r>
        <w:rPr>
          <w:rFonts w:ascii="Times New Roman" w:hAnsi="Times New Roman"/>
          <w:sz w:val="20"/>
        </w:rPr>
        <w:t xml:space="preserve">Washington, DC 20219 </w:t>
      </w:r>
    </w:p>
    <w:p>
      <w:pPr>
        <w:pStyle w:val="TextBody"/>
        <w:spacing w:before="360" w:after="0"/>
        <w:jc w:val="center"/>
        <w:rPr>
          <w:rFonts w:ascii="Times New Roman" w:hAnsi="Times New Roman"/>
          <w:b/>
          <w:sz w:val="20"/>
        </w:rPr>
      </w:pPr>
      <w:r>
        <w:rPr>
          <w:rFonts w:ascii="Times New Roman" w:hAnsi="Times New Roman"/>
          <w:b/>
          <w:sz w:val="20"/>
        </w:rPr>
        <w:t xml:space="preserve">CERTIFICATION OF FIDUCIARY POWERS </w:t>
      </w:r>
    </w:p>
    <w:p>
      <w:pPr>
        <w:pStyle w:val="TextBody"/>
        <w:spacing w:before="180" w:after="0"/>
        <w:rPr>
          <w:rFonts w:ascii="Times New Roman" w:hAnsi="Times New Roman"/>
          <w:sz w:val="20"/>
        </w:rPr>
      </w:pPr>
      <w:r>
        <w:rPr>
          <w:rFonts w:ascii="Times New Roman" w:hAnsi="Times New Roman"/>
          <w:sz w:val="20"/>
        </w:rPr>
        <w:t xml:space="preserve">I, John Walsh, Acting Comptroller of the Currency, do hereby certify that: </w:t>
      </w:r>
    </w:p>
    <w:p>
      <w:pPr>
        <w:pStyle w:val="TextBody"/>
        <w:spacing w:before="90" w:after="0"/>
        <w:rPr>
          <w:rFonts w:ascii="Times New Roman" w:hAnsi="Times New Roman"/>
          <w:sz w:val="20"/>
        </w:rPr>
      </w:pPr>
      <w:r>
        <w:rPr>
          <w:rFonts w:ascii="Times New Roman" w:hAnsi="Times New Roman"/>
          <w:sz w:val="20"/>
        </w:rPr>
        <w:t xml:space="preserve">1. The Office of the Comptroller of the Currency, pursuant to Revised Statutes 324, et seq, as amended, and 12 USC 1, et seq, as amended, has possession, custody, and control of all records pertaining to the chartering, regulation, and supervision of all national banking associations. </w:t>
      </w:r>
    </w:p>
    <w:p>
      <w:pPr>
        <w:pStyle w:val="TextBody"/>
        <w:spacing w:before="90" w:after="0"/>
        <w:rPr>
          <w:rFonts w:ascii="Times New Roman" w:hAnsi="Times New Roman"/>
          <w:sz w:val="20"/>
        </w:rPr>
      </w:pPr>
      <w:r>
        <w:rPr>
          <w:rFonts w:ascii="Times New Roman" w:hAnsi="Times New Roman"/>
          <w:sz w:val="20"/>
        </w:rPr>
        <w:t xml:space="preserve">2. U.S. Bank National Association, Cincinnati, Ohio (Charter No. 24), was granted, under the hand and seal of the Comptroller, the right to act in all fiduciary capacities authorized under the provisions of the Act of Congress approved September 28, 1962, 76 Stat. 668, 12 USC 92a, and that the authority so granted remains in full force and effect on the date of this certificate.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vMerge w:val="restart"/>
            <w:tcBorders/>
            <w:shd w:fill="auto" w:val="clear"/>
            <w:vAlign w:val="bottom"/>
          </w:tcPr>
          <w:p>
            <w:pPr>
              <w:pStyle w:val="TableContents"/>
              <w:spacing w:before="0" w:after="283"/>
              <w:jc w:val="center"/>
              <w:rPr/>
            </w:pPr>
            <w:r>
              <w:rPr/>
              <w:drawing>
                <wp:inline distT="0" distB="0" distL="0" distR="0">
                  <wp:extent cx="1447800" cy="14382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47800" cy="1438275"/>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IN TESTIMONY WHEREOF, today, September 14, 2011, I have hereunto subscribed my name and caused my seal of office to be affixed to these presents at the U.S. Department of the Treasury, in the City of Washington, District of Columbia.</w:t>
            </w:r>
          </w:p>
        </w:tc>
      </w:tr>
      <w:tr>
        <w:trPr/>
        <w:tc>
          <w:tcPr>
            <w:tcW w:w="5205" w:type="dxa"/>
            <w:vMerge w:val="continue"/>
            <w:tcBorders/>
            <w:shd w:fill="auto" w:val="clear"/>
            <w:vAlign w:val="bottom"/>
          </w:tcPr>
          <w:p>
            <w:pPr>
              <w:pStyle w:val="Normal"/>
              <w:rPr/>
            </w:pPr>
            <w:r>
              <w:rPr/>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center"/>
              <w:rPr/>
            </w:pPr>
            <w:r>
              <w:rPr/>
              <w:drawing>
                <wp:inline distT="0" distB="0" distL="0" distR="0">
                  <wp:extent cx="1381125" cy="4095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381125" cy="409575"/>
                          </a:xfrm>
                          <a:prstGeom prst="rect">
                            <a:avLst/>
                          </a:prstGeom>
                        </pic:spPr>
                      </pic:pic>
                    </a:graphicData>
                  </a:graphic>
                </wp:inline>
              </w:drawing>
            </w:r>
            <w:r>
              <w:rPr/>
              <w:t xml:space="preserve"> </w:t>
            </w:r>
          </w:p>
        </w:tc>
      </w:tr>
      <w:tr>
        <w:trPr/>
        <w:tc>
          <w:tcPr>
            <w:tcW w:w="5205"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pBdr>
                <w:top w:val="single" w:sz="2" w:space="1" w:color="000000"/>
              </w:pBdr>
              <w:spacing w:before="0" w:after="283"/>
              <w:rPr/>
            </w:pPr>
            <w:r>
              <w:rPr/>
              <w:t> </w:t>
            </w:r>
          </w:p>
        </w:tc>
      </w:tr>
      <w:tr>
        <w:trPr/>
        <w:tc>
          <w:tcPr>
            <w:tcW w:w="5205"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Acting comptroller of the Currency</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6 </w:t>
      </w:r>
    </w:p>
    <w:p>
      <w:pPr>
        <w:pStyle w:val="TextBody"/>
        <w:spacing w:before="180" w:after="0"/>
        <w:jc w:val="center"/>
        <w:rPr>
          <w:rFonts w:ascii="Times New Roman" w:hAnsi="Times New Roman"/>
          <w:b/>
          <w:sz w:val="20"/>
        </w:rPr>
      </w:pPr>
      <w:r>
        <w:rPr>
          <w:rFonts w:ascii="Times New Roman" w:hAnsi="Times New Roman"/>
          <w:b/>
          <w:sz w:val="20"/>
        </w:rPr>
        <w:t xml:space="preserve">CONSENT </w:t>
      </w:r>
    </w:p>
    <w:p>
      <w:pPr>
        <w:pStyle w:val="TextBody"/>
        <w:spacing w:before="180" w:after="0"/>
        <w:rPr>
          <w:rFonts w:ascii="Times New Roman" w:hAnsi="Times New Roman"/>
          <w:sz w:val="20"/>
        </w:rPr>
      </w:pPr>
      <w:r>
        <w:rPr>
          <w:rFonts w:ascii="Times New Roman" w:hAnsi="Times New Roman"/>
          <w:sz w:val="20"/>
        </w:rPr>
        <w:t xml:space="preserve">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 </w:t>
      </w:r>
    </w:p>
    <w:p>
      <w:pPr>
        <w:pStyle w:val="TextBody"/>
        <w:spacing w:before="180" w:after="0"/>
        <w:rPr>
          <w:rFonts w:ascii="Times New Roman" w:hAnsi="Times New Roman"/>
          <w:sz w:val="20"/>
        </w:rPr>
      </w:pPr>
      <w:r>
        <w:rPr>
          <w:rFonts w:ascii="Times New Roman" w:hAnsi="Times New Roman"/>
          <w:sz w:val="20"/>
        </w:rPr>
        <w:t xml:space="preserve">Dated: September 20, 2012 </w:t>
      </w:r>
    </w:p>
    <w:tbl>
      <w:tblPr>
        <w:tblW w:w="2000" w:type="pct"/>
        <w:jc w:val="right"/>
        <w:tblInd w:w="0" w:type="dxa"/>
        <w:tblCellMar>
          <w:top w:w="0" w:type="dxa"/>
          <w:left w:w="0" w:type="dxa"/>
          <w:bottom w:w="0" w:type="dxa"/>
          <w:right w:w="0" w:type="dxa"/>
        </w:tblCellMar>
      </w:tblPr>
      <w:tblGrid>
        <w:gridCol w:w="259"/>
        <w:gridCol w:w="84"/>
        <w:gridCol w:w="3739"/>
      </w:tblGrid>
      <w:tr>
        <w:trPr/>
        <w:tc>
          <w:tcPr>
            <w:tcW w:w="2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259" w:type="dxa"/>
            <w:tcBorders/>
            <w:shd w:fill="auto" w:val="clear"/>
            <w:vAlign w:val="center"/>
          </w:tcPr>
          <w:p>
            <w:pPr>
              <w:pStyle w:val="TableContents"/>
              <w:spacing w:before="0" w:after="283"/>
              <w:rPr>
                <w:sz w:val="4"/>
                <w:szCs w:val="4"/>
              </w:rPr>
            </w:pPr>
            <w:r>
              <w:rPr>
                <w:sz w:val="4"/>
                <w:szCs w:val="4"/>
              </w:rPr>
            </w:r>
          </w:p>
        </w:tc>
        <w:tc>
          <w:tcPr>
            <w:tcW w:w="3823" w:type="dxa"/>
            <w:gridSpan w:val="2"/>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Steven A. Finklea</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Steven A. Finklea</w:t>
            </w:r>
          </w:p>
          <w:p>
            <w:pPr>
              <w:pStyle w:val="TableContents"/>
              <w:spacing w:before="0" w:after="15"/>
              <w:rPr>
                <w:rFonts w:ascii="Times New Roman" w:hAnsi="Times New Roman"/>
                <w:sz w:val="20"/>
              </w:rPr>
            </w:pPr>
            <w:r>
              <w:rPr>
                <w:rFonts w:ascii="Times New Roman" w:hAnsi="Times New Roman"/>
                <w:sz w:val="20"/>
              </w:rPr>
              <w:t>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7 </w:t>
      </w:r>
    </w:p>
    <w:p>
      <w:pPr>
        <w:pStyle w:val="TextBody"/>
        <w:spacing w:before="0" w:after="0"/>
        <w:jc w:val="center"/>
        <w:rPr>
          <w:rFonts w:ascii="Times New Roman" w:hAnsi="Times New Roman"/>
          <w:b/>
          <w:sz w:val="20"/>
        </w:rPr>
      </w:pPr>
      <w:r>
        <w:rPr>
          <w:rFonts w:ascii="Times New Roman" w:hAnsi="Times New Roman"/>
          <w:b/>
          <w:sz w:val="20"/>
        </w:rPr>
        <w:t xml:space="preserve">U.S. Bank National Association </w:t>
      </w:r>
    </w:p>
    <w:p>
      <w:pPr>
        <w:pStyle w:val="TextBody"/>
        <w:spacing w:before="0" w:after="0"/>
        <w:jc w:val="center"/>
        <w:rPr>
          <w:rFonts w:ascii="Times New Roman" w:hAnsi="Times New Roman"/>
          <w:b/>
          <w:sz w:val="20"/>
        </w:rPr>
      </w:pPr>
      <w:r>
        <w:rPr>
          <w:rFonts w:ascii="Times New Roman" w:hAnsi="Times New Roman"/>
          <w:b/>
          <w:sz w:val="20"/>
        </w:rPr>
        <w:t xml:space="preserve">Statement of Financial Condition </w:t>
      </w:r>
    </w:p>
    <w:p>
      <w:pPr>
        <w:pStyle w:val="TextBody"/>
        <w:spacing w:before="0" w:after="0"/>
        <w:jc w:val="center"/>
        <w:rPr>
          <w:rFonts w:ascii="Times New Roman" w:hAnsi="Times New Roman"/>
          <w:b/>
          <w:sz w:val="20"/>
        </w:rPr>
      </w:pPr>
      <w:r>
        <w:rPr>
          <w:rFonts w:ascii="Times New Roman" w:hAnsi="Times New Roman"/>
          <w:b/>
          <w:sz w:val="20"/>
        </w:rPr>
        <w:t xml:space="preserve">As of 6/30/2012 </w:t>
      </w:r>
    </w:p>
    <w:p>
      <w:pPr>
        <w:pStyle w:val="TextBody"/>
        <w:spacing w:before="180" w:after="0"/>
        <w:jc w:val="center"/>
        <w:rPr>
          <w:rFonts w:ascii="Times New Roman" w:hAnsi="Times New Roman"/>
          <w:b/>
          <w:sz w:val="20"/>
        </w:rPr>
      </w:pPr>
      <w:r>
        <w:rPr>
          <w:rFonts w:ascii="Times New Roman" w:hAnsi="Times New Roman"/>
          <w:b/>
          <w:sz w:val="20"/>
        </w:rPr>
        <w:t xml:space="preserve">($000s)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561"/>
        <w:gridCol w:w="323"/>
        <w:gridCol w:w="125"/>
        <w:gridCol w:w="1073"/>
        <w:gridCol w:w="123"/>
      </w:tblGrid>
      <w:tr>
        <w:trPr/>
        <w:tc>
          <w:tcPr>
            <w:tcW w:w="8561"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856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9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6/30/2012</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b/>
                <w:sz w:val="20"/>
              </w:rPr>
            </w:pPr>
            <w:r>
              <w:rPr>
                <w:rFonts w:ascii="Times New Roman" w:hAnsi="Times New Roman"/>
                <w:b/>
                <w:sz w:val="20"/>
              </w:rPr>
              <w:t>Assets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73"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Cash and Balances Due From Depository Institutions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15,399,893</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Securities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72,720,824</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Federal Funds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75,584</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Loans &amp; Lease Financing Receivables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211,830,660</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Fixed Assets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5,286,747</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12,383,063</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Other Assets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25,125,941</w:t>
            </w:r>
          </w:p>
        </w:tc>
        <w:tc>
          <w:tcPr>
            <w:tcW w:w="123" w:type="dxa"/>
            <w:tcBorders/>
            <w:shd w:fill="auto" w:val="clear"/>
            <w:vAlign w:val="bottom"/>
          </w:tcPr>
          <w:p>
            <w:pPr>
              <w:pStyle w:val="TableContents"/>
              <w:spacing w:before="0" w:after="283"/>
              <w:rPr/>
            </w:pPr>
            <w:r>
              <w:rPr/>
              <w:t>  </w:t>
            </w:r>
          </w:p>
        </w:tc>
      </w:tr>
      <w:tr>
        <w:trPr/>
        <w:tc>
          <w:tcPr>
            <w:tcW w:w="8561"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073"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Assets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1073"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342,822,712</w:t>
            </w:r>
          </w:p>
        </w:tc>
        <w:tc>
          <w:tcPr>
            <w:tcW w:w="123" w:type="dxa"/>
            <w:tcBorders/>
            <w:shd w:fill="CCEEFF" w:val="clear"/>
            <w:vAlign w:val="bottom"/>
          </w:tcPr>
          <w:p>
            <w:pPr>
              <w:pStyle w:val="TableContents"/>
              <w:spacing w:before="0" w:after="283"/>
              <w:rPr/>
            </w:pPr>
            <w:r>
              <w:rPr/>
              <w:t>  </w:t>
            </w:r>
          </w:p>
        </w:tc>
      </w:tr>
      <w:tr>
        <w:trPr>
          <w:trHeight w:val="120" w:hRule="atLeast"/>
        </w:trPr>
        <w:tc>
          <w:tcPr>
            <w:tcW w:w="8561" w:type="dxa"/>
            <w:tcBorders/>
            <w:shd w:fill="auto" w:val="clear"/>
            <w:vAlign w:val="center"/>
          </w:tcPr>
          <w:p>
            <w:pPr>
              <w:pStyle w:val="TableContents"/>
              <w:spacing w:before="0" w:after="283"/>
              <w:rPr>
                <w:sz w:val="4"/>
                <w:szCs w:val="4"/>
              </w:rPr>
            </w:pPr>
            <w:r>
              <w:rPr>
                <w:sz w:val="4"/>
                <w:szCs w:val="4"/>
              </w:rPr>
            </w:r>
          </w:p>
        </w:tc>
        <w:tc>
          <w:tcPr>
            <w:tcW w:w="1644" w:type="dxa"/>
            <w:gridSpan w:val="4"/>
            <w:tcBorders/>
            <w:shd w:fill="auto" w:val="clear"/>
            <w:vAlign w:val="center"/>
          </w:tcPr>
          <w:p>
            <w:pPr>
              <w:pStyle w:val="TableContents"/>
              <w:spacing w:before="0" w:after="283"/>
              <w:rPr>
                <w:sz w:val="4"/>
                <w:szCs w:val="4"/>
              </w:rPr>
            </w:pPr>
            <w:r>
              <w:rPr>
                <w:sz w:val="4"/>
                <w:szCs w:val="4"/>
              </w:rPr>
            </w:r>
          </w:p>
        </w:tc>
      </w:tr>
      <w:tr>
        <w:trPr/>
        <w:tc>
          <w:tcPr>
            <w:tcW w:w="8561" w:type="dxa"/>
            <w:tcBorders/>
            <w:shd w:fill="auto" w:val="clear"/>
          </w:tcPr>
          <w:p>
            <w:pPr>
              <w:pStyle w:val="TableContents"/>
              <w:spacing w:before="0" w:after="283"/>
              <w:rPr>
                <w:rFonts w:ascii="Times New Roman" w:hAnsi="Times New Roman"/>
                <w:b/>
                <w:sz w:val="20"/>
              </w:rPr>
            </w:pPr>
            <w:r>
              <w:rPr>
                <w:rFonts w:ascii="Times New Roman" w:hAnsi="Times New Roman"/>
                <w:b/>
                <w:sz w:val="20"/>
              </w:rPr>
              <w:t>Liabilities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73"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Deposits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245,043,009</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Fed Funds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6,587,299</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Treasury Demand Notes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Trading Liabilities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937,898</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Other Borrowed Money</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35,563,317</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Acceptances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Subordinated Notes and Debentures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5,829,815</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11,359,611</w:t>
            </w:r>
          </w:p>
        </w:tc>
        <w:tc>
          <w:tcPr>
            <w:tcW w:w="123" w:type="dxa"/>
            <w:tcBorders/>
            <w:shd w:fill="auto" w:val="clear"/>
            <w:vAlign w:val="bottom"/>
          </w:tcPr>
          <w:p>
            <w:pPr>
              <w:pStyle w:val="TableContents"/>
              <w:spacing w:before="0" w:after="283"/>
              <w:rPr/>
            </w:pPr>
            <w:r>
              <w:rPr/>
              <w:t>  </w:t>
            </w:r>
          </w:p>
        </w:tc>
      </w:tr>
      <w:tr>
        <w:trPr/>
        <w:tc>
          <w:tcPr>
            <w:tcW w:w="8561"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073"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Liabilities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1073"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305,320,949</w:t>
            </w:r>
          </w:p>
        </w:tc>
        <w:tc>
          <w:tcPr>
            <w:tcW w:w="123" w:type="dxa"/>
            <w:tcBorders/>
            <w:shd w:fill="CCEEFF" w:val="clear"/>
            <w:vAlign w:val="bottom"/>
          </w:tcPr>
          <w:p>
            <w:pPr>
              <w:pStyle w:val="TableContents"/>
              <w:spacing w:before="0" w:after="283"/>
              <w:rPr/>
            </w:pPr>
            <w:r>
              <w:rPr/>
              <w:t>  </w:t>
            </w:r>
          </w:p>
        </w:tc>
      </w:tr>
      <w:tr>
        <w:trPr>
          <w:trHeight w:val="120" w:hRule="atLeast"/>
        </w:trPr>
        <w:tc>
          <w:tcPr>
            <w:tcW w:w="8561" w:type="dxa"/>
            <w:tcBorders/>
            <w:shd w:fill="auto" w:val="clear"/>
            <w:vAlign w:val="center"/>
          </w:tcPr>
          <w:p>
            <w:pPr>
              <w:pStyle w:val="TableContents"/>
              <w:spacing w:before="0" w:after="283"/>
              <w:rPr>
                <w:sz w:val="4"/>
                <w:szCs w:val="4"/>
              </w:rPr>
            </w:pPr>
            <w:r>
              <w:rPr>
                <w:sz w:val="4"/>
                <w:szCs w:val="4"/>
              </w:rPr>
            </w:r>
          </w:p>
        </w:tc>
        <w:tc>
          <w:tcPr>
            <w:tcW w:w="1644" w:type="dxa"/>
            <w:gridSpan w:val="4"/>
            <w:tcBorders/>
            <w:shd w:fill="auto" w:val="clear"/>
            <w:vAlign w:val="center"/>
          </w:tcPr>
          <w:p>
            <w:pPr>
              <w:pStyle w:val="TableContents"/>
              <w:spacing w:before="0" w:after="283"/>
              <w:rPr>
                <w:sz w:val="4"/>
                <w:szCs w:val="4"/>
              </w:rPr>
            </w:pPr>
            <w:r>
              <w:rPr>
                <w:sz w:val="4"/>
                <w:szCs w:val="4"/>
              </w:rPr>
            </w:r>
          </w:p>
        </w:tc>
      </w:tr>
      <w:tr>
        <w:trPr/>
        <w:tc>
          <w:tcPr>
            <w:tcW w:w="8561" w:type="dxa"/>
            <w:tcBorders/>
            <w:shd w:fill="auto" w:val="clear"/>
          </w:tcPr>
          <w:p>
            <w:pPr>
              <w:pStyle w:val="TableContents"/>
              <w:spacing w:before="0" w:after="283"/>
              <w:rPr>
                <w:rFonts w:ascii="Times New Roman" w:hAnsi="Times New Roman"/>
                <w:b/>
                <w:sz w:val="20"/>
              </w:rPr>
            </w:pPr>
            <w:r>
              <w:rPr>
                <w:rFonts w:ascii="Times New Roman" w:hAnsi="Times New Roman"/>
                <w:b/>
                <w:sz w:val="20"/>
              </w:rPr>
              <w:t>Equity</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73"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Minority Interest in Subsidiaries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2,015,054</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Common and Preferred Stock</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18,200</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Surplus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14,133,323</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Undivided Profits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21,335,186</w:t>
            </w:r>
          </w:p>
        </w:tc>
        <w:tc>
          <w:tcPr>
            <w:tcW w:w="123" w:type="dxa"/>
            <w:tcBorders/>
            <w:shd w:fill="auto" w:val="clear"/>
            <w:vAlign w:val="bottom"/>
          </w:tcPr>
          <w:p>
            <w:pPr>
              <w:pStyle w:val="TableContents"/>
              <w:spacing w:before="0" w:after="283"/>
              <w:rPr/>
            </w:pPr>
            <w:r>
              <w:rPr/>
              <w:t>  </w:t>
            </w:r>
          </w:p>
        </w:tc>
      </w:tr>
      <w:tr>
        <w:trPr/>
        <w:tc>
          <w:tcPr>
            <w:tcW w:w="8561"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073"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Equity Capital</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1073"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37,501,763</w:t>
            </w:r>
          </w:p>
        </w:tc>
        <w:tc>
          <w:tcPr>
            <w:tcW w:w="123" w:type="dxa"/>
            <w:tcBorders/>
            <w:shd w:fill="CCEEFF" w:val="clear"/>
            <w:vAlign w:val="bottom"/>
          </w:tcPr>
          <w:p>
            <w:pPr>
              <w:pStyle w:val="TableContents"/>
              <w:spacing w:before="0" w:after="283"/>
              <w:rPr/>
            </w:pPr>
            <w:r>
              <w:rPr/>
              <w:t>  </w:t>
            </w:r>
          </w:p>
        </w:tc>
      </w:tr>
      <w:tr>
        <w:trPr>
          <w:trHeight w:val="120" w:hRule="atLeast"/>
        </w:trPr>
        <w:tc>
          <w:tcPr>
            <w:tcW w:w="8561" w:type="dxa"/>
            <w:tcBorders/>
            <w:shd w:fill="auto" w:val="clear"/>
            <w:vAlign w:val="center"/>
          </w:tcPr>
          <w:p>
            <w:pPr>
              <w:pStyle w:val="TableContents"/>
              <w:spacing w:before="0" w:after="283"/>
              <w:rPr>
                <w:sz w:val="4"/>
                <w:szCs w:val="4"/>
              </w:rPr>
            </w:pPr>
            <w:r>
              <w:rPr>
                <w:sz w:val="4"/>
                <w:szCs w:val="4"/>
              </w:rPr>
            </w:r>
          </w:p>
        </w:tc>
        <w:tc>
          <w:tcPr>
            <w:tcW w:w="1644" w:type="dxa"/>
            <w:gridSpan w:val="4"/>
            <w:tcBorders/>
            <w:shd w:fill="auto" w:val="clear"/>
            <w:vAlign w:val="center"/>
          </w:tcPr>
          <w:p>
            <w:pPr>
              <w:pStyle w:val="TableContents"/>
              <w:spacing w:before="0" w:after="283"/>
              <w:rPr>
                <w:sz w:val="4"/>
                <w:szCs w:val="4"/>
              </w:rPr>
            </w:pPr>
            <w:r>
              <w:rPr>
                <w:sz w:val="4"/>
                <w:szCs w:val="4"/>
              </w:rPr>
            </w:r>
          </w:p>
        </w:tc>
      </w:tr>
      <w:tr>
        <w:trPr/>
        <w:tc>
          <w:tcPr>
            <w:tcW w:w="8561" w:type="dxa"/>
            <w:tcBorders/>
            <w:shd w:fill="auto" w:val="clear"/>
          </w:tcPr>
          <w:p>
            <w:pPr>
              <w:pStyle w:val="TableContents"/>
              <w:spacing w:before="0" w:after="283"/>
              <w:rPr>
                <w:rFonts w:ascii="Times New Roman" w:hAnsi="Times New Roman"/>
                <w:b/>
                <w:sz w:val="20"/>
              </w:rPr>
            </w:pPr>
            <w:r>
              <w:rPr>
                <w:rFonts w:ascii="Times New Roman" w:hAnsi="Times New Roman"/>
                <w:b/>
                <w:sz w:val="20"/>
              </w:rPr>
              <w:t>Total Liabilities and Equity Capital</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107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342,822,712</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TextBody"/>
        <w:spacing w:before="0" w:after="0"/>
        <w:jc w:val="right"/>
        <w:rPr>
          <w:rFonts w:ascii="Times New Roman" w:hAnsi="Times New Roman"/>
          <w:b/>
          <w:sz w:val="20"/>
        </w:rPr>
      </w:pPr>
      <w:bookmarkStart w:id="28" w:name="d415878dex252.htm"/>
      <w:bookmarkStart w:id="29" w:name="ksd415878dex252"/>
      <w:bookmarkEnd w:id="28"/>
      <w:bookmarkEnd w:id="29"/>
      <w:r>
        <w:rPr>
          <w:rFonts w:ascii="Times New Roman" w:hAnsi="Times New Roman"/>
          <w:b/>
          <w:sz w:val="20"/>
        </w:rPr>
        <w:t xml:space="preserve">Exhibit 25.2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28"/>
        </w:rPr>
        <w:t>SECURITIES</w:t>
      </w:r>
      <w:r>
        <w:rPr>
          <w:rFonts w:ascii="Times New Roman" w:hAnsi="Times New Roman"/>
          <w:b/>
          <w:sz w:val="36"/>
        </w:rPr>
        <w:t xml:space="preserve"> </w:t>
      </w:r>
      <w:r>
        <w:rPr>
          <w:rFonts w:ascii="Times New Roman" w:hAnsi="Times New Roman"/>
          <w:b/>
          <w:sz w:val="28"/>
        </w:rPr>
        <w:t>AND</w:t>
      </w:r>
      <w:r>
        <w:rPr>
          <w:rFonts w:ascii="Times New Roman" w:hAnsi="Times New Roman"/>
          <w:b/>
          <w:sz w:val="36"/>
        </w:rPr>
        <w:t xml:space="preserve"> </w:t>
      </w:r>
      <w:r>
        <w:rPr>
          <w:rFonts w:ascii="Times New Roman" w:hAnsi="Times New Roman"/>
          <w:b/>
          <w:sz w:val="28"/>
        </w:rPr>
        <w:t>EXCHANGE</w:t>
      </w:r>
      <w:r>
        <w:rPr>
          <w:rFonts w:ascii="Times New Roman" w:hAnsi="Times New Roman"/>
          <w:b/>
          <w:sz w:val="36"/>
        </w:rPr>
        <w:t xml:space="preserve"> </w:t>
      </w:r>
      <w:r>
        <w:rPr>
          <w:rFonts w:ascii="Times New Roman" w:hAnsi="Times New Roman"/>
          <w:b/>
          <w:sz w:val="28"/>
        </w:rPr>
        <w:t>COMMISSION</w:t>
      </w:r>
      <w:r>
        <w:rPr>
          <w:rFonts w:ascii="Times New Roman" w:hAnsi="Times New Roman"/>
          <w:b/>
          <w:sz w:val="36"/>
        </w:rPr>
        <w:t xml:space="preserve">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T-1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4"/>
        </w:rPr>
      </w:pPr>
      <w:r>
        <w:rPr>
          <w:rFonts w:ascii="Times New Roman" w:hAnsi="Times New Roman"/>
          <w:b/>
          <w:sz w:val="24"/>
        </w:rPr>
        <w:t xml:space="preserve">STATEMENT OF ELIGIBILITY </w:t>
      </w:r>
    </w:p>
    <w:p>
      <w:pPr>
        <w:pStyle w:val="TextBody"/>
        <w:spacing w:before="0" w:after="0"/>
        <w:jc w:val="center"/>
        <w:rPr>
          <w:rFonts w:ascii="Times New Roman" w:hAnsi="Times New Roman"/>
          <w:b/>
          <w:sz w:val="24"/>
        </w:rPr>
      </w:pPr>
      <w:r>
        <w:rPr>
          <w:rFonts w:ascii="Times New Roman" w:hAnsi="Times New Roman"/>
          <w:b/>
          <w:sz w:val="24"/>
        </w:rPr>
        <w:t xml:space="preserve">UNDER THE TRUST INDENTURE ACT OF 1939 OF A </w:t>
      </w:r>
    </w:p>
    <w:p>
      <w:pPr>
        <w:pStyle w:val="TextBody"/>
        <w:spacing w:before="0" w:after="0"/>
        <w:jc w:val="center"/>
        <w:rPr>
          <w:rFonts w:ascii="Times New Roman" w:hAnsi="Times New Roman"/>
          <w:b/>
          <w:sz w:val="24"/>
        </w:rPr>
      </w:pPr>
      <w:r>
        <w:rPr>
          <w:rFonts w:ascii="Times New Roman" w:hAnsi="Times New Roman"/>
          <w:b/>
          <w:sz w:val="24"/>
        </w:rPr>
        <w:t xml:space="preserve">CORPORATION DESIGNATED TO ACT AS TRUSTEE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Check if an Application to Determine Eligibility of a Trustee Pursuant to Section 305(b)(2) </w:t>
            </w:r>
          </w:p>
        </w:tc>
      </w:tr>
    </w:tbl>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U.S. BANK NATIONAL ASSOCIATION </w:t>
      </w:r>
    </w:p>
    <w:p>
      <w:pPr>
        <w:pStyle w:val="TextBody"/>
        <w:spacing w:before="0" w:after="0"/>
        <w:jc w:val="center"/>
        <w:rPr>
          <w:rFonts w:ascii="Times New Roman" w:hAnsi="Times New Roman"/>
          <w:b/>
          <w:sz w:val="20"/>
        </w:rPr>
      </w:pPr>
      <w:r>
        <w:rPr>
          <w:rFonts w:ascii="Times New Roman" w:hAnsi="Times New Roman"/>
          <w:b/>
          <w:sz w:val="20"/>
        </w:rPr>
        <w:t xml:space="preserve">(Exact name of Trustee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31-0841368 </w:t>
      </w:r>
    </w:p>
    <w:p>
      <w:pPr>
        <w:pStyle w:val="TextBody"/>
        <w:spacing w:before="0" w:after="0"/>
        <w:jc w:val="center"/>
        <w:rPr>
          <w:rFonts w:ascii="Times New Roman" w:hAnsi="Times New Roman"/>
          <w:b/>
          <w:sz w:val="20"/>
        </w:rPr>
      </w:pPr>
      <w:r>
        <w:rPr>
          <w:rFonts w:ascii="Times New Roman" w:hAnsi="Times New Roman"/>
          <w:b/>
          <w:sz w:val="20"/>
        </w:rPr>
        <w:t xml:space="preserve">I.R.S. Employer Identification No.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800 Nicollet Mall</w:t>
            </w:r>
          </w:p>
          <w:p>
            <w:pPr>
              <w:pStyle w:val="TableContents"/>
              <w:spacing w:before="0" w:after="15"/>
              <w:jc w:val="center"/>
              <w:rPr>
                <w:rFonts w:ascii="Times New Roman" w:hAnsi="Times New Roman"/>
                <w:b/>
                <w:sz w:val="20"/>
              </w:rPr>
            </w:pPr>
            <w:r>
              <w:rPr>
                <w:rFonts w:ascii="Times New Roman" w:hAnsi="Times New Roman"/>
                <w:b/>
                <w:sz w:val="20"/>
              </w:rPr>
              <w:t>Minneapolis, Minnesota</w:t>
            </w:r>
          </w:p>
        </w:tc>
        <w:tc>
          <w:tcPr>
            <w:tcW w:w="102"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55402</w:t>
            </w:r>
          </w:p>
        </w:tc>
      </w:tr>
      <w:tr>
        <w:trPr/>
        <w:tc>
          <w:tcPr>
            <w:tcW w:w="515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Steven A. Finklea </w:t>
      </w:r>
    </w:p>
    <w:p>
      <w:pPr>
        <w:pStyle w:val="TextBody"/>
        <w:spacing w:before="0" w:after="0"/>
        <w:jc w:val="center"/>
        <w:rPr>
          <w:rFonts w:ascii="Times New Roman" w:hAnsi="Times New Roman"/>
          <w:b/>
          <w:sz w:val="20"/>
        </w:rPr>
      </w:pPr>
      <w:r>
        <w:rPr>
          <w:rFonts w:ascii="Times New Roman" w:hAnsi="Times New Roman"/>
          <w:b/>
          <w:sz w:val="20"/>
        </w:rPr>
        <w:t xml:space="preserve">U.S. Bank National Association </w:t>
      </w:r>
    </w:p>
    <w:p>
      <w:pPr>
        <w:pStyle w:val="TextBody"/>
        <w:spacing w:before="0" w:after="0"/>
        <w:jc w:val="center"/>
        <w:rPr>
          <w:rFonts w:ascii="Times New Roman" w:hAnsi="Times New Roman"/>
          <w:b/>
          <w:sz w:val="20"/>
        </w:rPr>
      </w:pPr>
      <w:r>
        <w:rPr>
          <w:rFonts w:ascii="Times New Roman" w:hAnsi="Times New Roman"/>
          <w:b/>
          <w:sz w:val="20"/>
        </w:rPr>
        <w:t xml:space="preserve">5555 San Felipe, Suite 1150 </w:t>
      </w:r>
    </w:p>
    <w:p>
      <w:pPr>
        <w:pStyle w:val="TextBody"/>
        <w:spacing w:before="0" w:after="0"/>
        <w:jc w:val="center"/>
        <w:rPr>
          <w:rFonts w:ascii="Times New Roman" w:hAnsi="Times New Roman"/>
          <w:b/>
          <w:sz w:val="20"/>
        </w:rPr>
      </w:pPr>
      <w:r>
        <w:rPr>
          <w:rFonts w:ascii="Times New Roman" w:hAnsi="Times New Roman"/>
          <w:b/>
          <w:sz w:val="20"/>
        </w:rPr>
        <w:t xml:space="preserve">Houston, Texas 77057 </w:t>
      </w:r>
    </w:p>
    <w:p>
      <w:pPr>
        <w:pStyle w:val="TextBody"/>
        <w:spacing w:before="0" w:after="0"/>
        <w:jc w:val="center"/>
        <w:rPr>
          <w:rFonts w:ascii="Times New Roman" w:hAnsi="Times New Roman"/>
          <w:b/>
          <w:sz w:val="20"/>
        </w:rPr>
      </w:pPr>
      <w:r>
        <w:rPr>
          <w:rFonts w:ascii="Times New Roman" w:hAnsi="Times New Roman"/>
          <w:b/>
          <w:sz w:val="20"/>
        </w:rPr>
        <w:t xml:space="preserve">(713) 235-9208 </w:t>
      </w:r>
    </w:p>
    <w:p>
      <w:pPr>
        <w:pStyle w:val="TextBody"/>
        <w:spacing w:before="0" w:after="0"/>
        <w:jc w:val="center"/>
        <w:rPr>
          <w:rFonts w:ascii="Times New Roman" w:hAnsi="Times New Roman"/>
          <w:b/>
          <w:sz w:val="14"/>
        </w:rPr>
      </w:pPr>
      <w:r>
        <w:rPr>
          <w:rFonts w:ascii="Times New Roman" w:hAnsi="Times New Roman"/>
          <w:b/>
          <w:sz w:val="14"/>
        </w:rPr>
        <w:t xml:space="preserve">(Name, address and telephone number of agent for service)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PAA Finance Corp. </w:t>
      </w:r>
    </w:p>
    <w:p>
      <w:pPr>
        <w:pStyle w:val="TextBody"/>
        <w:spacing w:before="0" w:after="0"/>
        <w:jc w:val="center"/>
        <w:rPr>
          <w:rFonts w:ascii="Times New Roman" w:hAnsi="Times New Roman"/>
          <w:b/>
          <w:sz w:val="14"/>
        </w:rPr>
      </w:pPr>
      <w:r>
        <w:rPr>
          <w:rFonts w:ascii="Times New Roman" w:hAnsi="Times New Roman"/>
          <w:b/>
          <w:sz w:val="14"/>
        </w:rPr>
        <w:t xml:space="preserve">(Issuer with respect to the Securities)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55"/>
        <w:gridCol w:w="101"/>
        <w:gridCol w:w="4949"/>
      </w:tblGrid>
      <w:tr>
        <w:trPr/>
        <w:tc>
          <w:tcPr>
            <w:tcW w:w="515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5"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Delaware</w:t>
            </w:r>
          </w:p>
          <w:p>
            <w:pPr>
              <w:pStyle w:val="TableContents"/>
              <w:spacing w:before="0" w:after="15"/>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76-0582150</w:t>
            </w:r>
          </w:p>
          <w:p>
            <w:pPr>
              <w:pStyle w:val="TableContents"/>
              <w:spacing w:before="0" w:after="15"/>
              <w:jc w:val="center"/>
              <w:rPr>
                <w:rFonts w:ascii="Times New Roman" w:hAnsi="Times New Roman"/>
                <w:b/>
                <w:sz w:val="20"/>
              </w:rPr>
            </w:pPr>
            <w:r>
              <w:rPr>
                <w:rFonts w:ascii="Times New Roman" w:hAnsi="Times New Roman"/>
                <w:b/>
                <w:sz w:val="20"/>
              </w:rPr>
              <w:t>56-2464313</w:t>
            </w:r>
          </w:p>
        </w:tc>
      </w:tr>
      <w:tr>
        <w:trPr/>
        <w:tc>
          <w:tcPr>
            <w:tcW w:w="5155"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 of</w:t>
            </w:r>
          </w:p>
          <w:p>
            <w:pPr>
              <w:pStyle w:val="TableContents"/>
              <w:spacing w:before="0" w:after="15"/>
              <w:jc w:val="center"/>
              <w:rPr>
                <w:rFonts w:ascii="Times New Roman" w:hAnsi="Times New Roman"/>
                <w:b/>
                <w:sz w:val="14"/>
              </w:rPr>
            </w:pPr>
            <w:r>
              <w:rPr>
                <w:rFonts w:ascii="Times New Roman" w:hAnsi="Times New Roman"/>
                <w:b/>
                <w:sz w:val="14"/>
              </w:rPr>
              <w:t>incorporation or organization)</w:t>
            </w:r>
          </w:p>
        </w:tc>
        <w:tc>
          <w:tcPr>
            <w:tcW w:w="101"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333 Clay Street, Suite 1600</w:t>
            </w:r>
          </w:p>
          <w:p>
            <w:pPr>
              <w:pStyle w:val="TableContents"/>
              <w:spacing w:before="0" w:after="15"/>
              <w:jc w:val="center"/>
              <w:rPr>
                <w:rFonts w:ascii="Times New Roman" w:hAnsi="Times New Roman"/>
                <w:b/>
                <w:sz w:val="20"/>
              </w:rPr>
            </w:pPr>
            <w:r>
              <w:rPr>
                <w:rFonts w:ascii="Times New Roman" w:hAnsi="Times New Roman"/>
                <w:b/>
                <w:sz w:val="20"/>
              </w:rPr>
              <w:t>Houston, Texas</w:t>
            </w:r>
          </w:p>
        </w:tc>
        <w:tc>
          <w:tcPr>
            <w:tcW w:w="102"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515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Subordinated Debt </w:t>
      </w:r>
    </w:p>
    <w:p>
      <w:pPr>
        <w:pStyle w:val="TextBody"/>
        <w:spacing w:before="0" w:after="0"/>
        <w:jc w:val="center"/>
        <w:rPr>
          <w:rFonts w:ascii="Times New Roman" w:hAnsi="Times New Roman"/>
          <w:b/>
          <w:sz w:val="14"/>
        </w:rPr>
      </w:pPr>
      <w:r>
        <w:rPr>
          <w:rFonts w:ascii="Times New Roman" w:hAnsi="Times New Roman"/>
          <w:b/>
          <w:sz w:val="14"/>
        </w:rPr>
        <w:t xml:space="preserve">(Title of the Indenture Securities)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FORM T-1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GENERAL INFORMATION</w:t>
            </w:r>
            <w:r>
              <w:rPr>
                <w:rFonts w:ascii="Times New Roman" w:hAnsi="Times New Roman"/>
                <w:b/>
                <w:i/>
                <w:sz w:val="20"/>
              </w:rPr>
              <w:t>.</w:t>
            </w:r>
            <w:r>
              <w:rPr>
                <w:rFonts w:ascii="Times New Roman" w:hAnsi="Times New Roman"/>
                <w:sz w:val="20"/>
              </w:rPr>
              <w:t xml:space="preserve"> Furnish the following information as to the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Name and address of each examining or supervising authority to which it is subject.</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Comptroller of the Currency </w:t>
      </w:r>
    </w:p>
    <w:p>
      <w:pPr>
        <w:pStyle w:val="TextBody"/>
        <w:spacing w:before="0" w:after="0"/>
        <w:rPr>
          <w:rFonts w:ascii="Times New Roman" w:hAnsi="Times New Roman"/>
          <w:sz w:val="20"/>
        </w:rPr>
      </w:pPr>
      <w:r>
        <w:rPr>
          <w:rFonts w:ascii="Times New Roman" w:hAnsi="Times New Roman"/>
          <w:sz w:val="20"/>
        </w:rPr>
        <w:t xml:space="preserve">Washington, D.C.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Whether it is authorized to exercise corporate trust powers. </w:t>
            </w:r>
          </w:p>
        </w:tc>
      </w:tr>
    </w:tbl>
    <w:p>
      <w:pPr>
        <w:pStyle w:val="TextBody"/>
        <w:spacing w:before="90" w:after="0"/>
        <w:rPr>
          <w:rFonts w:ascii="Times New Roman" w:hAnsi="Times New Roman"/>
          <w:sz w:val="20"/>
        </w:rPr>
      </w:pPr>
      <w:r>
        <w:rPr>
          <w:rFonts w:ascii="Times New Roman" w:hAnsi="Times New Roman"/>
          <w:sz w:val="20"/>
        </w:rPr>
        <w:t xml:space="preserve">Yes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2.</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AFFILIATIONS WITH OBLIGOR. </w:t>
            </w:r>
            <w:r>
              <w:rPr>
                <w:rFonts w:ascii="Times New Roman" w:hAnsi="Times New Roman"/>
                <w:i/>
                <w:sz w:val="20"/>
              </w:rPr>
              <w:t>If the obligor is an affiliate of the Trustee, describe each such affiliation.</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None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Items 3-15</w:t>
            </w:r>
          </w:p>
        </w:tc>
        <w:tc>
          <w:tcPr>
            <w:tcW w:w="9185"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Items 3-15 are not applicable because to the best of the Trustees knowledge, the obligor is not in default under any Indenture for which the Trustee acts as Trustee.</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16.</w:t>
            </w:r>
          </w:p>
        </w:tc>
        <w:tc>
          <w:tcPr>
            <w:tcW w:w="9186"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 xml:space="preserve">LIST OF EXHIBITS: </w:t>
            </w:r>
            <w:r>
              <w:rPr>
                <w:rFonts w:ascii="Times New Roman" w:hAnsi="Times New Roman"/>
                <w:i/>
                <w:sz w:val="20"/>
              </w:rPr>
              <w:t>List below all exhibits filed as a part of this statement of eligibility and qualification.</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the Articles of Association of the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the certificate of authority of the Trustee to commence business, attached as Exhibit 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the certificate of authority of the Trustee to exercise corporate trust powers, attached as Exhibit 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the existing bylaws of the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each Indenture referred to in Item 4. Not applicable.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consent of the Trustee required by Section 321(b) of the Trust Indenture Act of 1939, attached as Exhibit 6.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Report of Condition of the Trustee as of June 30, 2012 published pursuant to law or the requirements of its supervising or examining authority, attached as Exhibit 7.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Incorporated by reference to Exhibit 25.1 to Amendment No. 2 to registration statement on S-4, Registration Number 333-128217 filed on November 15, 2005.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Incorporated by reference to Exhibit 25.1 to registration statement on S-4, Registration Number 333-166527 filed on May 5, 2010.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pBdr/>
        <w:spacing w:before="180" w:after="0"/>
        <w:rPr/>
      </w:pPr>
      <w:r>
        <w:rPr>
          <w:rFonts w:ascii="Times New Roman" w:hAnsi="Times New Roman"/>
          <w:sz w:val="20"/>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20</w:t>
      </w:r>
      <w:r>
        <w:rPr>
          <w:rFonts w:ascii="Times New Roman" w:hAnsi="Times New Roman"/>
          <w:sz w:val="14"/>
        </w:rPr>
        <w:t xml:space="preserve">th </w:t>
      </w:r>
      <w:r>
        <w:rPr>
          <w:rFonts w:ascii="Times New Roman" w:hAnsi="Times New Roman"/>
          <w:sz w:val="20"/>
        </w:rPr>
        <w:t xml:space="preserve">of September, 2012.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59"/>
        <w:gridCol w:w="84"/>
        <w:gridCol w:w="3739"/>
      </w:tblGrid>
      <w:tr>
        <w:trPr/>
        <w:tc>
          <w:tcPr>
            <w:tcW w:w="2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Steven A. Finklea</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Steven A. Finklea</w:t>
            </w:r>
          </w:p>
          <w:p>
            <w:pPr>
              <w:pStyle w:val="TableContents"/>
              <w:spacing w:before="0" w:after="15"/>
              <w:rPr>
                <w:rFonts w:ascii="Times New Roman" w:hAnsi="Times New Roman"/>
                <w:sz w:val="20"/>
              </w:rPr>
            </w:pPr>
            <w:r>
              <w:rPr>
                <w:rFonts w:ascii="Times New Roman" w:hAnsi="Times New Roman"/>
                <w:sz w:val="20"/>
              </w:rPr>
              <w:t>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2 </w:t>
      </w:r>
    </w:p>
    <w:p>
      <w:pPr>
        <w:pStyle w:val="TextBody"/>
        <w:spacing w:before="0" w:after="0"/>
        <w:rPr/>
      </w:pPr>
      <w:r>
        <w:rPr/>
        <w:t> </w:t>
      </w:r>
    </w:p>
    <w:p>
      <w:pPr>
        <w:pStyle w:val="TextBody"/>
        <w:spacing w:before="180" w:after="0"/>
        <w:rPr/>
      </w:pPr>
      <w:r>
        <w:rPr/>
        <w:drawing>
          <wp:inline distT="0" distB="0" distL="0" distR="0">
            <wp:extent cx="438150" cy="4953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38150" cy="495300"/>
                    </a:xfrm>
                    <a:prstGeom prst="rect">
                      <a:avLst/>
                    </a:prstGeom>
                  </pic:spPr>
                </pic:pic>
              </a:graphicData>
            </a:graphic>
          </wp:inline>
        </w:drawing>
      </w:r>
      <w:r>
        <w:rPr/>
        <w:t xml:space="preserve"> </w:t>
      </w:r>
    </w:p>
    <w:p>
      <w:pPr>
        <w:pStyle w:val="TextBody"/>
        <w:spacing w:before="180" w:after="0"/>
        <w:rPr>
          <w:rFonts w:ascii="Times New Roman" w:hAnsi="Times New Roman"/>
          <w:sz w:val="20"/>
        </w:rPr>
      </w:pPr>
      <w:r>
        <w:rPr>
          <w:rFonts w:ascii="Times New Roman" w:hAnsi="Times New Roman"/>
          <w:sz w:val="20"/>
        </w:rPr>
        <w:t xml:space="preserve">Comptroller of the Currency </w:t>
      </w:r>
    </w:p>
    <w:p>
      <w:pPr>
        <w:pStyle w:val="TextBody"/>
        <w:spacing w:before="0" w:after="0"/>
        <w:rPr>
          <w:rFonts w:ascii="Times New Roman" w:hAnsi="Times New Roman"/>
          <w:sz w:val="20"/>
        </w:rPr>
      </w:pPr>
      <w:r>
        <w:rPr>
          <w:rFonts w:ascii="Times New Roman" w:hAnsi="Times New Roman"/>
          <w:sz w:val="20"/>
        </w:rPr>
        <w:t xml:space="preserve">Administrator of National Banks </w:t>
      </w:r>
    </w:p>
    <w:p>
      <w:pPr>
        <w:pStyle w:val="TextBody"/>
        <w:spacing w:before="90" w:after="0"/>
        <w:rPr>
          <w:rFonts w:ascii="Times New Roman" w:hAnsi="Times New Roman"/>
          <w:sz w:val="20"/>
        </w:rPr>
      </w:pPr>
      <w:r>
        <w:rPr>
          <w:rFonts w:ascii="Times New Roman" w:hAnsi="Times New Roman"/>
          <w:sz w:val="20"/>
        </w:rPr>
        <w:t xml:space="preserve">Washington, DC 20219 </w:t>
      </w:r>
    </w:p>
    <w:p>
      <w:pPr>
        <w:pStyle w:val="TextBody"/>
        <w:spacing w:before="360" w:after="0"/>
        <w:jc w:val="center"/>
        <w:rPr>
          <w:rFonts w:ascii="Times New Roman" w:hAnsi="Times New Roman"/>
          <w:b/>
          <w:sz w:val="20"/>
        </w:rPr>
      </w:pPr>
      <w:r>
        <w:rPr>
          <w:rFonts w:ascii="Times New Roman" w:hAnsi="Times New Roman"/>
          <w:b/>
          <w:sz w:val="20"/>
        </w:rPr>
        <w:t xml:space="preserve">CERTIFICATE OF CORPORATE EXISTENCE </w:t>
      </w:r>
    </w:p>
    <w:p>
      <w:pPr>
        <w:pStyle w:val="TextBody"/>
        <w:spacing w:before="180" w:after="0"/>
        <w:rPr>
          <w:rFonts w:ascii="Times New Roman" w:hAnsi="Times New Roman"/>
          <w:sz w:val="20"/>
        </w:rPr>
      </w:pPr>
      <w:r>
        <w:rPr>
          <w:rFonts w:ascii="Times New Roman" w:hAnsi="Times New Roman"/>
          <w:sz w:val="20"/>
        </w:rPr>
        <w:t xml:space="preserve">I, Thomas J. Curry, Comptroller of the Currency, do hereby certify that: </w:t>
      </w:r>
    </w:p>
    <w:p>
      <w:pPr>
        <w:pStyle w:val="TextBody"/>
        <w:spacing w:before="90" w:after="0"/>
        <w:rPr>
          <w:rFonts w:ascii="Times New Roman" w:hAnsi="Times New Roman"/>
          <w:sz w:val="20"/>
        </w:rPr>
      </w:pPr>
      <w:r>
        <w:rPr>
          <w:rFonts w:ascii="Times New Roman" w:hAnsi="Times New Roman"/>
          <w:sz w:val="20"/>
        </w:rPr>
        <w:t xml:space="preserve">1. The Comptroller of the Currency, pursuant to Revised Statutes 324, et seq, as amended, and 12 USC 1, et seq, as amended, has possession, custody, and control of all records pertaining to the chartering, regulation, and supervision of all national banking associations. </w:t>
      </w:r>
    </w:p>
    <w:p>
      <w:pPr>
        <w:pStyle w:val="TextBody"/>
        <w:spacing w:before="90" w:after="0"/>
        <w:rPr>
          <w:rFonts w:ascii="Times New Roman" w:hAnsi="Times New Roman"/>
          <w:sz w:val="20"/>
        </w:rPr>
      </w:pPr>
      <w:r>
        <w:rPr>
          <w:rFonts w:ascii="Times New Roman" w:hAnsi="Times New Roman"/>
          <w:sz w:val="20"/>
        </w:rPr>
        <w:t xml:space="preserve">2. U.S. Bank National Association, Cincinnati, Ohio (Charter No. 24), is a national banking association formed under the laws of the United States and is authorized thereunder to transact the business of banking on the date of this certificate.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3"/>
        <w:gridCol w:w="4798"/>
      </w:tblGrid>
      <w:tr>
        <w:trPr/>
        <w:tc>
          <w:tcPr>
            <w:tcW w:w="52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5204" w:type="dxa"/>
            <w:vMerge w:val="restart"/>
            <w:tcBorders/>
            <w:shd w:fill="auto" w:val="clear"/>
          </w:tcPr>
          <w:p>
            <w:pPr>
              <w:pStyle w:val="TableContents"/>
              <w:spacing w:before="0" w:after="283"/>
              <w:rPr/>
            </w:pPr>
            <w:r>
              <w:rPr/>
              <w:drawing>
                <wp:inline distT="0" distB="0" distL="0" distR="0">
                  <wp:extent cx="1447800" cy="14382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447800" cy="1438275"/>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0"/>
              <w:rPr>
                <w:rFonts w:ascii="Times New Roman" w:hAnsi="Times New Roman"/>
                <w:sz w:val="20"/>
              </w:rPr>
            </w:pPr>
            <w:r>
              <w:rPr>
                <w:rFonts w:ascii="Times New Roman" w:hAnsi="Times New Roman"/>
                <w:sz w:val="20"/>
              </w:rPr>
              <w:t>IN TESTIMONY WHEREOF, today, May 9, 2012, I have hereunto subscribed my name and caused my seal of office to be affixed to these presents at the U.S. Department of the Treasury, in the City of Washington, District of Columbia.</w:t>
            </w:r>
          </w:p>
          <w:p>
            <w:pPr>
              <w:pStyle w:val="TableContents"/>
              <w:spacing w:before="0" w:after="15"/>
              <w:rPr/>
            </w:pPr>
            <w:r>
              <w:rPr/>
              <w:drawing>
                <wp:inline distT="0" distB="0" distL="0" distR="0">
                  <wp:extent cx="2000250" cy="762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000250" cy="762000"/>
                          </a:xfrm>
                          <a:prstGeom prst="rect">
                            <a:avLst/>
                          </a:prstGeom>
                        </pic:spPr>
                      </pic:pic>
                    </a:graphicData>
                  </a:graphic>
                </wp:inline>
              </w:drawing>
            </w:r>
            <w:r>
              <w:rPr/>
              <w:t xml:space="preserve"> </w:t>
            </w:r>
          </w:p>
        </w:tc>
      </w:tr>
      <w:tr>
        <w:trPr/>
        <w:tc>
          <w:tcPr>
            <w:tcW w:w="5204" w:type="dxa"/>
            <w:vMerge w:val="continue"/>
            <w:tcBorders/>
            <w:shd w:fill="auto" w:val="clear"/>
          </w:tcPr>
          <w:p>
            <w:pPr>
              <w:pStyle w:val="Normal"/>
              <w:rPr/>
            </w:pPr>
            <w:r>
              <w:rPr/>
            </w:r>
          </w:p>
        </w:tc>
        <w:tc>
          <w:tcPr>
            <w:tcW w:w="203" w:type="dxa"/>
            <w:tcBorders>
              <w:top w:val="single" w:sz="2" w:space="0" w:color="000000"/>
            </w:tcBorders>
            <w:shd w:fill="auto" w:val="clear"/>
            <w:tcMar>
              <w:top w:w="28" w:type="dxa"/>
            </w:tcMar>
            <w:vAlign w:val="bottom"/>
          </w:tcPr>
          <w:p>
            <w:pPr>
              <w:pStyle w:val="TableContents"/>
              <w:spacing w:before="0" w:after="283"/>
              <w:rPr/>
            </w:pPr>
            <w:r>
              <w:rPr/>
              <w:t>  </w:t>
            </w:r>
          </w:p>
        </w:tc>
        <w:tc>
          <w:tcPr>
            <w:tcW w:w="4798" w:type="dxa"/>
            <w:tcBorders>
              <w:top w:val="single" w:sz="2" w:space="0" w:color="000000"/>
            </w:tcBorders>
            <w:shd w:fill="auto" w:val="clear"/>
            <w:tcMar>
              <w:top w:w="28" w:type="dxa"/>
            </w:tcMar>
          </w:tcPr>
          <w:p>
            <w:pPr>
              <w:pStyle w:val="TableContents"/>
              <w:spacing w:before="0" w:after="15"/>
              <w:jc w:val="center"/>
              <w:rPr>
                <w:rFonts w:ascii="Times New Roman" w:hAnsi="Times New Roman"/>
                <w:sz w:val="20"/>
              </w:rPr>
            </w:pPr>
            <w:r>
              <w:rPr>
                <w:rFonts w:ascii="Times New Roman" w:hAnsi="Times New Roman"/>
                <w:sz w:val="20"/>
              </w:rPr>
              <w:t>Comptroller of the Currency</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u w:val="single"/>
        </w:rPr>
        <w:t>Exhibit 3</w:t>
      </w:r>
      <w:r>
        <w:rPr>
          <w:rFonts w:ascii="Times New Roman" w:hAnsi="Times New Roman"/>
          <w:b/>
          <w:sz w:val="20"/>
        </w:rPr>
        <w:t xml:space="preserve"> </w:t>
      </w:r>
    </w:p>
    <w:p>
      <w:pPr>
        <w:pStyle w:val="TextBody"/>
        <w:spacing w:before="0" w:after="0"/>
        <w:rPr/>
      </w:pPr>
      <w:r>
        <w:rPr/>
        <w:t> </w:t>
      </w:r>
    </w:p>
    <w:p>
      <w:pPr>
        <w:pStyle w:val="TextBody"/>
        <w:spacing w:before="180" w:after="0"/>
        <w:rPr/>
      </w:pPr>
      <w:r>
        <w:rPr/>
        <w:drawing>
          <wp:inline distT="0" distB="0" distL="0" distR="0">
            <wp:extent cx="438150" cy="4953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38150" cy="495300"/>
                    </a:xfrm>
                    <a:prstGeom prst="rect">
                      <a:avLst/>
                    </a:prstGeom>
                  </pic:spPr>
                </pic:pic>
              </a:graphicData>
            </a:graphic>
          </wp:inline>
        </w:drawing>
      </w:r>
      <w:r>
        <w:rPr/>
        <w:t xml:space="preserve"> </w:t>
      </w:r>
    </w:p>
    <w:p>
      <w:pPr>
        <w:pStyle w:val="TextBody"/>
        <w:spacing w:before="180" w:after="0"/>
        <w:rPr>
          <w:rFonts w:ascii="Times New Roman" w:hAnsi="Times New Roman"/>
          <w:sz w:val="20"/>
        </w:rPr>
      </w:pPr>
      <w:r>
        <w:rPr>
          <w:rFonts w:ascii="Times New Roman" w:hAnsi="Times New Roman"/>
          <w:sz w:val="20"/>
        </w:rPr>
        <w:t xml:space="preserve">Comptroller of the Currency </w:t>
      </w:r>
    </w:p>
    <w:p>
      <w:pPr>
        <w:pStyle w:val="TextBody"/>
        <w:spacing w:before="0" w:after="0"/>
        <w:rPr>
          <w:rFonts w:ascii="Times New Roman" w:hAnsi="Times New Roman"/>
          <w:sz w:val="20"/>
        </w:rPr>
      </w:pPr>
      <w:r>
        <w:rPr>
          <w:rFonts w:ascii="Times New Roman" w:hAnsi="Times New Roman"/>
          <w:sz w:val="20"/>
        </w:rPr>
        <w:t xml:space="preserve">Administrator of National Banks </w:t>
      </w:r>
    </w:p>
    <w:p>
      <w:pPr>
        <w:pStyle w:val="TextBody"/>
        <w:spacing w:before="180" w:after="0"/>
        <w:rPr>
          <w:rFonts w:ascii="Times New Roman" w:hAnsi="Times New Roman"/>
          <w:sz w:val="20"/>
        </w:rPr>
      </w:pPr>
      <w:r>
        <w:rPr>
          <w:rFonts w:ascii="Times New Roman" w:hAnsi="Times New Roman"/>
          <w:sz w:val="20"/>
        </w:rPr>
        <w:t xml:space="preserve">Washington, DC 20219 </w:t>
      </w:r>
    </w:p>
    <w:p>
      <w:pPr>
        <w:pStyle w:val="TextBody"/>
        <w:spacing w:before="360" w:after="0"/>
        <w:jc w:val="center"/>
        <w:rPr>
          <w:rFonts w:ascii="Times New Roman" w:hAnsi="Times New Roman"/>
          <w:b/>
          <w:sz w:val="20"/>
        </w:rPr>
      </w:pPr>
      <w:r>
        <w:rPr>
          <w:rFonts w:ascii="Times New Roman" w:hAnsi="Times New Roman"/>
          <w:b/>
          <w:sz w:val="20"/>
        </w:rPr>
        <w:t xml:space="preserve">CERTIFICATION OF FIDUCIARY POWERS </w:t>
      </w:r>
    </w:p>
    <w:p>
      <w:pPr>
        <w:pStyle w:val="TextBody"/>
        <w:spacing w:before="180" w:after="0"/>
        <w:rPr>
          <w:rFonts w:ascii="Times New Roman" w:hAnsi="Times New Roman"/>
          <w:sz w:val="20"/>
        </w:rPr>
      </w:pPr>
      <w:r>
        <w:rPr>
          <w:rFonts w:ascii="Times New Roman" w:hAnsi="Times New Roman"/>
          <w:sz w:val="20"/>
        </w:rPr>
        <w:t xml:space="preserve">I, John Walsh, Acting Comptroller of the Currency, do hereby certify that: </w:t>
      </w:r>
    </w:p>
    <w:p>
      <w:pPr>
        <w:pStyle w:val="TextBody"/>
        <w:spacing w:before="180" w:after="0"/>
        <w:rPr>
          <w:rFonts w:ascii="Times New Roman" w:hAnsi="Times New Roman"/>
          <w:sz w:val="20"/>
        </w:rPr>
      </w:pPr>
      <w:r>
        <w:rPr>
          <w:rFonts w:ascii="Times New Roman" w:hAnsi="Times New Roman"/>
          <w:sz w:val="20"/>
        </w:rPr>
        <w:t xml:space="preserve">1. The Office of the Comptroller of the Currency, pursuant to Revised Statutes 324, et seq, as amended, and 12 USC 1, et seq, as amended, has possession, custody, and control of all records pertaining to the chartering, regulation, and supervision of all national banking associations. </w:t>
      </w:r>
    </w:p>
    <w:p>
      <w:pPr>
        <w:pStyle w:val="TextBody"/>
        <w:spacing w:before="180" w:after="0"/>
        <w:rPr>
          <w:rFonts w:ascii="Times New Roman" w:hAnsi="Times New Roman"/>
          <w:sz w:val="20"/>
        </w:rPr>
      </w:pPr>
      <w:r>
        <w:rPr>
          <w:rFonts w:ascii="Times New Roman" w:hAnsi="Times New Roman"/>
          <w:sz w:val="20"/>
        </w:rPr>
        <w:t xml:space="preserve">2. U.S Bank National Association, Cincinnati, Ohio (Charter No. 24), was granted, under the hand and seal of the Comptroller, the right to act in all fiduciary capacities authorized under the provisions of the Act of Congress approved September 28, 1962, 76 Stat. 668, 12 USC 92a, and that the authority so granted remains in full force and effect on the date of this certificate.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vMerge w:val="restart"/>
            <w:tcBorders/>
            <w:shd w:fill="auto" w:val="clear"/>
            <w:vAlign w:val="bottom"/>
          </w:tcPr>
          <w:p>
            <w:pPr>
              <w:pStyle w:val="TableContents"/>
              <w:spacing w:before="0" w:after="0"/>
              <w:rPr/>
            </w:pPr>
            <w:r>
              <w:rPr/>
              <w:t> </w:t>
            </w:r>
          </w:p>
          <w:p>
            <w:pPr>
              <w:pStyle w:val="TableContents"/>
              <w:spacing w:before="0" w:after="0"/>
              <w:rPr/>
            </w:pPr>
            <w:r>
              <w:rPr/>
              <w:t> </w:t>
            </w:r>
          </w:p>
          <w:p>
            <w:pPr>
              <w:pStyle w:val="TableContents"/>
              <w:spacing w:before="0" w:after="0"/>
              <w:rPr/>
            </w:pPr>
            <w:r>
              <w:rPr/>
              <w:t> </w:t>
            </w:r>
          </w:p>
          <w:p>
            <w:pPr>
              <w:pStyle w:val="TableContents"/>
              <w:spacing w:before="0" w:after="15"/>
              <w:rPr/>
            </w:pPr>
            <w:r>
              <w:rPr/>
              <w:drawing>
                <wp:inline distT="0" distB="0" distL="0" distR="0">
                  <wp:extent cx="1447800" cy="14382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447800" cy="1438275"/>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IN TESTIMONEY WHEREOF, today, September 14, 2011, I have hereunto subscribed my name and caused my seal of office to be affixed to these presents at the U.S. Department of the Treasury, in the City of Washington, District of Columbia.</w:t>
            </w:r>
          </w:p>
        </w:tc>
      </w:tr>
      <w:tr>
        <w:trPr/>
        <w:tc>
          <w:tcPr>
            <w:tcW w:w="5205" w:type="dxa"/>
            <w:vMerge w:val="continue"/>
            <w:tcBorders/>
            <w:shd w:fill="auto" w:val="clear"/>
            <w:vAlign w:val="bottom"/>
          </w:tcPr>
          <w:p>
            <w:pPr>
              <w:pStyle w:val="Normal"/>
              <w:rPr/>
            </w:pPr>
            <w:r>
              <w:rPr/>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pBdr>
                <w:bottom w:val="single" w:sz="2" w:space="1" w:color="000000"/>
              </w:pBdr>
              <w:spacing w:before="0" w:after="0"/>
              <w:jc w:val="center"/>
              <w:rPr/>
            </w:pPr>
            <w:r>
              <w:rPr/>
              <w:drawing>
                <wp:inline distT="0" distB="0" distL="0" distR="0">
                  <wp:extent cx="1381125" cy="4095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381125" cy="409575"/>
                          </a:xfrm>
                          <a:prstGeom prst="rect">
                            <a:avLst/>
                          </a:prstGeom>
                        </pic:spPr>
                      </pic:pic>
                    </a:graphicData>
                  </a:graphic>
                </wp:inline>
              </w:drawing>
            </w:r>
            <w:r>
              <w:rPr/>
              <w:t xml:space="preserve"> </w:t>
            </w:r>
          </w:p>
          <w:p>
            <w:pPr>
              <w:pStyle w:val="TableContents"/>
              <w:spacing w:before="0" w:after="15"/>
              <w:jc w:val="center"/>
              <w:rPr>
                <w:rFonts w:ascii="Times New Roman" w:hAnsi="Times New Roman"/>
                <w:sz w:val="20"/>
              </w:rPr>
            </w:pPr>
            <w:r>
              <w:rPr>
                <w:rFonts w:ascii="Times New Roman" w:hAnsi="Times New Roman"/>
                <w:sz w:val="20"/>
              </w:rPr>
              <w:t>Acting Comptroller of the Currency</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6 </w:t>
      </w:r>
    </w:p>
    <w:p>
      <w:pPr>
        <w:pStyle w:val="TextBody"/>
        <w:spacing w:before="180" w:after="0"/>
        <w:jc w:val="center"/>
        <w:rPr>
          <w:rFonts w:ascii="Times New Roman" w:hAnsi="Times New Roman"/>
          <w:b/>
          <w:sz w:val="20"/>
        </w:rPr>
      </w:pPr>
      <w:r>
        <w:rPr>
          <w:rFonts w:ascii="Times New Roman" w:hAnsi="Times New Roman"/>
          <w:b/>
          <w:sz w:val="20"/>
        </w:rPr>
        <w:t xml:space="preserve">CONSENT </w:t>
      </w:r>
    </w:p>
    <w:p>
      <w:pPr>
        <w:pStyle w:val="TextBody"/>
        <w:spacing w:before="180" w:after="0"/>
        <w:rPr>
          <w:rFonts w:ascii="Times New Roman" w:hAnsi="Times New Roman"/>
          <w:sz w:val="20"/>
        </w:rPr>
      </w:pPr>
      <w:r>
        <w:rPr>
          <w:rFonts w:ascii="Times New Roman" w:hAnsi="Times New Roman"/>
          <w:sz w:val="20"/>
        </w:rPr>
        <w:t xml:space="preserve">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 </w:t>
      </w:r>
    </w:p>
    <w:p>
      <w:pPr>
        <w:pStyle w:val="TextBody"/>
        <w:spacing w:before="180" w:after="0"/>
        <w:rPr>
          <w:rFonts w:ascii="Times New Roman" w:hAnsi="Times New Roman"/>
          <w:sz w:val="20"/>
        </w:rPr>
      </w:pPr>
      <w:r>
        <w:rPr>
          <w:rFonts w:ascii="Times New Roman" w:hAnsi="Times New Roman"/>
          <w:sz w:val="20"/>
        </w:rPr>
        <w:t xml:space="preserve">Dated: September 20, 2012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59"/>
        <w:gridCol w:w="84"/>
        <w:gridCol w:w="3739"/>
      </w:tblGrid>
      <w:tr>
        <w:trPr/>
        <w:tc>
          <w:tcPr>
            <w:tcW w:w="2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9"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 Steven A. Finklea</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Steven A. Finklea</w:t>
            </w:r>
          </w:p>
          <w:p>
            <w:pPr>
              <w:pStyle w:val="TableContents"/>
              <w:spacing w:before="0" w:after="15"/>
              <w:rPr>
                <w:rFonts w:ascii="Times New Roman" w:hAnsi="Times New Roman"/>
                <w:sz w:val="20"/>
              </w:rPr>
            </w:pPr>
            <w:r>
              <w:rPr>
                <w:rFonts w:ascii="Times New Roman" w:hAnsi="Times New Roman"/>
                <w:sz w:val="20"/>
              </w:rPr>
              <w:t>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7 </w:t>
      </w:r>
    </w:p>
    <w:p>
      <w:pPr>
        <w:pStyle w:val="TextBody"/>
        <w:spacing w:before="0" w:after="0"/>
        <w:jc w:val="center"/>
        <w:rPr>
          <w:rFonts w:ascii="Times New Roman" w:hAnsi="Times New Roman"/>
          <w:b/>
          <w:sz w:val="20"/>
        </w:rPr>
      </w:pPr>
      <w:r>
        <w:rPr>
          <w:rFonts w:ascii="Times New Roman" w:hAnsi="Times New Roman"/>
          <w:b/>
          <w:sz w:val="20"/>
        </w:rPr>
        <w:t xml:space="preserve">U.S. Bank National Association </w:t>
      </w:r>
    </w:p>
    <w:p>
      <w:pPr>
        <w:pStyle w:val="TextBody"/>
        <w:spacing w:before="0" w:after="0"/>
        <w:jc w:val="center"/>
        <w:rPr>
          <w:rFonts w:ascii="Times New Roman" w:hAnsi="Times New Roman"/>
          <w:b/>
          <w:sz w:val="20"/>
        </w:rPr>
      </w:pPr>
      <w:r>
        <w:rPr>
          <w:rFonts w:ascii="Times New Roman" w:hAnsi="Times New Roman"/>
          <w:b/>
          <w:sz w:val="20"/>
        </w:rPr>
        <w:t xml:space="preserve">Statement of Financial Condition </w:t>
      </w:r>
    </w:p>
    <w:p>
      <w:pPr>
        <w:pStyle w:val="TextBody"/>
        <w:spacing w:before="0" w:after="0"/>
        <w:jc w:val="center"/>
        <w:rPr>
          <w:rFonts w:ascii="Times New Roman" w:hAnsi="Times New Roman"/>
          <w:b/>
          <w:sz w:val="20"/>
        </w:rPr>
      </w:pPr>
      <w:r>
        <w:rPr>
          <w:rFonts w:ascii="Times New Roman" w:hAnsi="Times New Roman"/>
          <w:b/>
          <w:sz w:val="20"/>
        </w:rPr>
        <w:t xml:space="preserve">As of 6/30/2012 </w:t>
      </w:r>
    </w:p>
    <w:p>
      <w:pPr>
        <w:pStyle w:val="TextBody"/>
        <w:spacing w:before="180" w:after="0"/>
        <w:jc w:val="center"/>
        <w:rPr>
          <w:rFonts w:ascii="Times New Roman" w:hAnsi="Times New Roman"/>
          <w:b/>
          <w:sz w:val="20"/>
        </w:rPr>
      </w:pPr>
      <w:r>
        <w:rPr>
          <w:rFonts w:ascii="Times New Roman" w:hAnsi="Times New Roman"/>
          <w:b/>
          <w:sz w:val="20"/>
        </w:rPr>
        <w:t xml:space="preserve">($000s)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452"/>
        <w:gridCol w:w="325"/>
        <w:gridCol w:w="125"/>
        <w:gridCol w:w="1180"/>
        <w:gridCol w:w="123"/>
      </w:tblGrid>
      <w:tr>
        <w:trPr/>
        <w:tc>
          <w:tcPr>
            <w:tcW w:w="8452"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845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30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6/30/2012</w:t>
            </w:r>
          </w:p>
        </w:tc>
        <w:tc>
          <w:tcPr>
            <w:tcW w:w="123" w:type="dxa"/>
            <w:tcBorders/>
            <w:shd w:fill="auto" w:val="clear"/>
            <w:vAlign w:val="bottom"/>
          </w:tcPr>
          <w:p>
            <w:pPr>
              <w:pStyle w:val="TableContents"/>
              <w:spacing w:before="0" w:after="283"/>
              <w:rPr/>
            </w:pPr>
            <w:r>
              <w:rPr/>
              <w:t> </w:t>
            </w:r>
          </w:p>
        </w:tc>
      </w:tr>
      <w:tr>
        <w:trPr/>
        <w:tc>
          <w:tcPr>
            <w:tcW w:w="8452" w:type="dxa"/>
            <w:tcBorders/>
            <w:shd w:fill="CCEEFF" w:val="clear"/>
          </w:tcPr>
          <w:p>
            <w:pPr>
              <w:pStyle w:val="TableContents"/>
              <w:spacing w:before="0" w:after="283"/>
              <w:rPr>
                <w:rFonts w:ascii="Times New Roman" w:hAnsi="Times New Roman"/>
                <w:b/>
                <w:sz w:val="20"/>
              </w:rPr>
            </w:pPr>
            <w:r>
              <w:rPr>
                <w:rFonts w:ascii="Times New Roman" w:hAnsi="Times New Roman"/>
                <w:b/>
                <w:sz w:val="20"/>
              </w:rPr>
              <w:t>Assets</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180"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8452" w:type="dxa"/>
            <w:tcBorders/>
            <w:shd w:fill="auto" w:val="clear"/>
          </w:tcPr>
          <w:p>
            <w:pPr>
              <w:pStyle w:val="TableContents"/>
              <w:spacing w:before="0" w:after="283"/>
              <w:rPr>
                <w:rFonts w:ascii="Times New Roman" w:hAnsi="Times New Roman"/>
                <w:sz w:val="20"/>
              </w:rPr>
            </w:pPr>
            <w:r>
              <w:rPr>
                <w:rFonts w:ascii="Times New Roman" w:hAnsi="Times New Roman"/>
                <w:sz w:val="20"/>
              </w:rPr>
              <w:t>Cash and Balances Due From Depository Institutions</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15,399,893</w:t>
            </w:r>
          </w:p>
        </w:tc>
        <w:tc>
          <w:tcPr>
            <w:tcW w:w="123" w:type="dxa"/>
            <w:tcBorders/>
            <w:shd w:fill="auto" w:val="clear"/>
            <w:vAlign w:val="bottom"/>
          </w:tcPr>
          <w:p>
            <w:pPr>
              <w:pStyle w:val="TableContents"/>
              <w:spacing w:before="0" w:after="283"/>
              <w:rPr/>
            </w:pPr>
            <w:r>
              <w:rPr/>
              <w:t>  </w:t>
            </w:r>
          </w:p>
        </w:tc>
      </w:tr>
      <w:tr>
        <w:trPr/>
        <w:tc>
          <w:tcPr>
            <w:tcW w:w="8452" w:type="dxa"/>
            <w:tcBorders/>
            <w:shd w:fill="CCEEFF" w:val="clear"/>
          </w:tcPr>
          <w:p>
            <w:pPr>
              <w:pStyle w:val="TableContents"/>
              <w:spacing w:before="0" w:after="283"/>
              <w:rPr>
                <w:rFonts w:ascii="Times New Roman" w:hAnsi="Times New Roman"/>
                <w:sz w:val="20"/>
              </w:rPr>
            </w:pPr>
            <w:r>
              <w:rPr>
                <w:rFonts w:ascii="Times New Roman" w:hAnsi="Times New Roman"/>
                <w:sz w:val="20"/>
              </w:rPr>
              <w:t>Securities</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72,720,824</w:t>
            </w:r>
          </w:p>
        </w:tc>
        <w:tc>
          <w:tcPr>
            <w:tcW w:w="123" w:type="dxa"/>
            <w:tcBorders/>
            <w:shd w:fill="CCEEFF" w:val="clear"/>
            <w:vAlign w:val="bottom"/>
          </w:tcPr>
          <w:p>
            <w:pPr>
              <w:pStyle w:val="TableContents"/>
              <w:spacing w:before="0" w:after="283"/>
              <w:rPr/>
            </w:pPr>
            <w:r>
              <w:rPr/>
              <w:t>  </w:t>
            </w:r>
          </w:p>
        </w:tc>
      </w:tr>
      <w:tr>
        <w:trPr/>
        <w:tc>
          <w:tcPr>
            <w:tcW w:w="8452" w:type="dxa"/>
            <w:tcBorders/>
            <w:shd w:fill="auto" w:val="clear"/>
          </w:tcPr>
          <w:p>
            <w:pPr>
              <w:pStyle w:val="TableContents"/>
              <w:spacing w:before="0" w:after="283"/>
              <w:rPr>
                <w:rFonts w:ascii="Times New Roman" w:hAnsi="Times New Roman"/>
                <w:sz w:val="20"/>
              </w:rPr>
            </w:pPr>
            <w:r>
              <w:rPr>
                <w:rFonts w:ascii="Times New Roman" w:hAnsi="Times New Roman"/>
                <w:sz w:val="20"/>
              </w:rPr>
              <w:t>Federal Funds</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75,584</w:t>
            </w:r>
          </w:p>
        </w:tc>
        <w:tc>
          <w:tcPr>
            <w:tcW w:w="123" w:type="dxa"/>
            <w:tcBorders/>
            <w:shd w:fill="auto" w:val="clear"/>
            <w:vAlign w:val="bottom"/>
          </w:tcPr>
          <w:p>
            <w:pPr>
              <w:pStyle w:val="TableContents"/>
              <w:spacing w:before="0" w:after="283"/>
              <w:rPr/>
            </w:pPr>
            <w:r>
              <w:rPr/>
              <w:t>  </w:t>
            </w:r>
          </w:p>
        </w:tc>
      </w:tr>
      <w:tr>
        <w:trPr/>
        <w:tc>
          <w:tcPr>
            <w:tcW w:w="8452" w:type="dxa"/>
            <w:tcBorders/>
            <w:shd w:fill="CCEEFF" w:val="clear"/>
          </w:tcPr>
          <w:p>
            <w:pPr>
              <w:pStyle w:val="TableContents"/>
              <w:spacing w:before="0" w:after="283"/>
              <w:rPr>
                <w:rFonts w:ascii="Times New Roman" w:hAnsi="Times New Roman"/>
                <w:sz w:val="20"/>
              </w:rPr>
            </w:pPr>
            <w:r>
              <w:rPr>
                <w:rFonts w:ascii="Times New Roman" w:hAnsi="Times New Roman"/>
                <w:sz w:val="20"/>
              </w:rPr>
              <w:t>Loans &amp; Lease Financing Receivables</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211,830,660</w:t>
            </w:r>
          </w:p>
        </w:tc>
        <w:tc>
          <w:tcPr>
            <w:tcW w:w="123" w:type="dxa"/>
            <w:tcBorders/>
            <w:shd w:fill="CCEEFF" w:val="clear"/>
            <w:vAlign w:val="bottom"/>
          </w:tcPr>
          <w:p>
            <w:pPr>
              <w:pStyle w:val="TableContents"/>
              <w:spacing w:before="0" w:after="283"/>
              <w:rPr/>
            </w:pPr>
            <w:r>
              <w:rPr/>
              <w:t>  </w:t>
            </w:r>
          </w:p>
        </w:tc>
      </w:tr>
      <w:tr>
        <w:trPr/>
        <w:tc>
          <w:tcPr>
            <w:tcW w:w="8452" w:type="dxa"/>
            <w:tcBorders/>
            <w:shd w:fill="auto" w:val="clear"/>
          </w:tcPr>
          <w:p>
            <w:pPr>
              <w:pStyle w:val="TableContents"/>
              <w:spacing w:before="0" w:after="283"/>
              <w:rPr>
                <w:rFonts w:ascii="Times New Roman" w:hAnsi="Times New Roman"/>
                <w:sz w:val="20"/>
              </w:rPr>
            </w:pPr>
            <w:r>
              <w:rPr>
                <w:rFonts w:ascii="Times New Roman" w:hAnsi="Times New Roman"/>
                <w:sz w:val="20"/>
              </w:rPr>
              <w:t>Fixed Assets</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5,286,747</w:t>
            </w:r>
          </w:p>
        </w:tc>
        <w:tc>
          <w:tcPr>
            <w:tcW w:w="123" w:type="dxa"/>
            <w:tcBorders/>
            <w:shd w:fill="auto" w:val="clear"/>
            <w:vAlign w:val="bottom"/>
          </w:tcPr>
          <w:p>
            <w:pPr>
              <w:pStyle w:val="TableContents"/>
              <w:spacing w:before="0" w:after="283"/>
              <w:rPr/>
            </w:pPr>
            <w:r>
              <w:rPr/>
              <w:t>  </w:t>
            </w:r>
          </w:p>
        </w:tc>
      </w:tr>
      <w:tr>
        <w:trPr/>
        <w:tc>
          <w:tcPr>
            <w:tcW w:w="8452"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12,383,063</w:t>
            </w:r>
          </w:p>
        </w:tc>
        <w:tc>
          <w:tcPr>
            <w:tcW w:w="123" w:type="dxa"/>
            <w:tcBorders/>
            <w:shd w:fill="CCEEFF" w:val="clear"/>
            <w:vAlign w:val="bottom"/>
          </w:tcPr>
          <w:p>
            <w:pPr>
              <w:pStyle w:val="TableContents"/>
              <w:spacing w:before="0" w:after="283"/>
              <w:rPr/>
            </w:pPr>
            <w:r>
              <w:rPr/>
              <w:t>  </w:t>
            </w:r>
          </w:p>
        </w:tc>
      </w:tr>
      <w:tr>
        <w:trPr/>
        <w:tc>
          <w:tcPr>
            <w:tcW w:w="8452" w:type="dxa"/>
            <w:tcBorders/>
            <w:shd w:fill="auto" w:val="clear"/>
          </w:tcPr>
          <w:p>
            <w:pPr>
              <w:pStyle w:val="TableContents"/>
              <w:spacing w:before="0" w:after="283"/>
              <w:rPr>
                <w:rFonts w:ascii="Times New Roman" w:hAnsi="Times New Roman"/>
                <w:sz w:val="20"/>
              </w:rPr>
            </w:pPr>
            <w:r>
              <w:rPr>
                <w:rFonts w:ascii="Times New Roman" w:hAnsi="Times New Roman"/>
                <w:sz w:val="20"/>
              </w:rPr>
              <w:t>Other Assets</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25,125,941</w:t>
            </w:r>
          </w:p>
        </w:tc>
        <w:tc>
          <w:tcPr>
            <w:tcW w:w="123" w:type="dxa"/>
            <w:tcBorders/>
            <w:shd w:fill="auto" w:val="clear"/>
            <w:vAlign w:val="bottom"/>
          </w:tcPr>
          <w:p>
            <w:pPr>
              <w:pStyle w:val="TableContents"/>
              <w:spacing w:before="0" w:after="283"/>
              <w:rPr/>
            </w:pPr>
            <w:r>
              <w:rPr/>
              <w:t>  </w:t>
            </w:r>
          </w:p>
        </w:tc>
      </w:tr>
      <w:tr>
        <w:trPr/>
        <w:tc>
          <w:tcPr>
            <w:tcW w:w="8452"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180"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8452"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Assets</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1180"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342,822,712</w:t>
            </w:r>
          </w:p>
        </w:tc>
        <w:tc>
          <w:tcPr>
            <w:tcW w:w="123" w:type="dxa"/>
            <w:tcBorders/>
            <w:shd w:fill="CCEEFF" w:val="clear"/>
            <w:vAlign w:val="bottom"/>
          </w:tcPr>
          <w:p>
            <w:pPr>
              <w:pStyle w:val="TableContents"/>
              <w:spacing w:before="0" w:after="283"/>
              <w:rPr/>
            </w:pPr>
            <w:r>
              <w:rPr/>
              <w:t>  </w:t>
            </w:r>
          </w:p>
        </w:tc>
      </w:tr>
      <w:tr>
        <w:trPr/>
        <w:tc>
          <w:tcPr>
            <w:tcW w:w="8452" w:type="dxa"/>
            <w:tcBorders/>
            <w:shd w:fill="auto" w:val="clear"/>
          </w:tcPr>
          <w:p>
            <w:pPr>
              <w:pStyle w:val="TableContents"/>
              <w:spacing w:before="0" w:after="283"/>
              <w:rPr>
                <w:rFonts w:ascii="Times New Roman" w:hAnsi="Times New Roman"/>
                <w:b/>
                <w:sz w:val="20"/>
              </w:rPr>
            </w:pPr>
            <w:r>
              <w:rPr>
                <w:rFonts w:ascii="Times New Roman" w:hAnsi="Times New Roman"/>
                <w:b/>
                <w:sz w:val="20"/>
              </w:rPr>
              <w:t>Liabilities</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18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8452" w:type="dxa"/>
            <w:tcBorders/>
            <w:shd w:fill="CCEEFF" w:val="clear"/>
          </w:tcPr>
          <w:p>
            <w:pPr>
              <w:pStyle w:val="TableContents"/>
              <w:spacing w:before="0" w:after="283"/>
              <w:rPr>
                <w:rFonts w:ascii="Times New Roman" w:hAnsi="Times New Roman"/>
                <w:sz w:val="20"/>
              </w:rPr>
            </w:pPr>
            <w:r>
              <w:rPr>
                <w:rFonts w:ascii="Times New Roman" w:hAnsi="Times New Roman"/>
                <w:sz w:val="20"/>
              </w:rPr>
              <w:t>Deposits</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245,043,009</w:t>
            </w:r>
          </w:p>
        </w:tc>
        <w:tc>
          <w:tcPr>
            <w:tcW w:w="123" w:type="dxa"/>
            <w:tcBorders/>
            <w:shd w:fill="CCEEFF" w:val="clear"/>
            <w:vAlign w:val="bottom"/>
          </w:tcPr>
          <w:p>
            <w:pPr>
              <w:pStyle w:val="TableContents"/>
              <w:spacing w:before="0" w:after="283"/>
              <w:rPr/>
            </w:pPr>
            <w:r>
              <w:rPr/>
              <w:t>  </w:t>
            </w:r>
          </w:p>
        </w:tc>
      </w:tr>
      <w:tr>
        <w:trPr/>
        <w:tc>
          <w:tcPr>
            <w:tcW w:w="8452" w:type="dxa"/>
            <w:tcBorders/>
            <w:shd w:fill="auto" w:val="clear"/>
          </w:tcPr>
          <w:p>
            <w:pPr>
              <w:pStyle w:val="TableContents"/>
              <w:spacing w:before="0" w:after="283"/>
              <w:rPr>
                <w:rFonts w:ascii="Times New Roman" w:hAnsi="Times New Roman"/>
                <w:sz w:val="20"/>
              </w:rPr>
            </w:pPr>
            <w:r>
              <w:rPr>
                <w:rFonts w:ascii="Times New Roman" w:hAnsi="Times New Roman"/>
                <w:sz w:val="20"/>
              </w:rPr>
              <w:t>Fed Funds</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6,587,299</w:t>
            </w:r>
          </w:p>
        </w:tc>
        <w:tc>
          <w:tcPr>
            <w:tcW w:w="123" w:type="dxa"/>
            <w:tcBorders/>
            <w:shd w:fill="auto" w:val="clear"/>
            <w:vAlign w:val="bottom"/>
          </w:tcPr>
          <w:p>
            <w:pPr>
              <w:pStyle w:val="TableContents"/>
              <w:spacing w:before="0" w:after="283"/>
              <w:rPr/>
            </w:pPr>
            <w:r>
              <w:rPr/>
              <w:t>  </w:t>
            </w:r>
          </w:p>
        </w:tc>
      </w:tr>
      <w:tr>
        <w:trPr/>
        <w:tc>
          <w:tcPr>
            <w:tcW w:w="8452" w:type="dxa"/>
            <w:tcBorders/>
            <w:shd w:fill="CCEEFF" w:val="clear"/>
          </w:tcPr>
          <w:p>
            <w:pPr>
              <w:pStyle w:val="TableContents"/>
              <w:spacing w:before="0" w:after="283"/>
              <w:rPr>
                <w:rFonts w:ascii="Times New Roman" w:hAnsi="Times New Roman"/>
                <w:sz w:val="20"/>
              </w:rPr>
            </w:pPr>
            <w:r>
              <w:rPr>
                <w:rFonts w:ascii="Times New Roman" w:hAnsi="Times New Roman"/>
                <w:sz w:val="20"/>
              </w:rPr>
              <w:t>Treasury Demand Notes</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23" w:type="dxa"/>
            <w:tcBorders/>
            <w:shd w:fill="CCEEFF" w:val="clear"/>
            <w:vAlign w:val="bottom"/>
          </w:tcPr>
          <w:p>
            <w:pPr>
              <w:pStyle w:val="TableContents"/>
              <w:spacing w:before="0" w:after="283"/>
              <w:rPr/>
            </w:pPr>
            <w:r>
              <w:rPr/>
              <w:t>  </w:t>
            </w:r>
          </w:p>
        </w:tc>
      </w:tr>
      <w:tr>
        <w:trPr/>
        <w:tc>
          <w:tcPr>
            <w:tcW w:w="8452" w:type="dxa"/>
            <w:tcBorders/>
            <w:shd w:fill="auto" w:val="clear"/>
          </w:tcPr>
          <w:p>
            <w:pPr>
              <w:pStyle w:val="TableContents"/>
              <w:spacing w:before="0" w:after="283"/>
              <w:rPr>
                <w:rFonts w:ascii="Times New Roman" w:hAnsi="Times New Roman"/>
                <w:sz w:val="20"/>
              </w:rPr>
            </w:pPr>
            <w:r>
              <w:rPr>
                <w:rFonts w:ascii="Times New Roman" w:hAnsi="Times New Roman"/>
                <w:sz w:val="20"/>
              </w:rPr>
              <w:t>Trading Liabilities</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937,898</w:t>
            </w:r>
          </w:p>
        </w:tc>
        <w:tc>
          <w:tcPr>
            <w:tcW w:w="123" w:type="dxa"/>
            <w:tcBorders/>
            <w:shd w:fill="auto" w:val="clear"/>
            <w:vAlign w:val="bottom"/>
          </w:tcPr>
          <w:p>
            <w:pPr>
              <w:pStyle w:val="TableContents"/>
              <w:spacing w:before="0" w:after="283"/>
              <w:rPr/>
            </w:pPr>
            <w:r>
              <w:rPr/>
              <w:t>  </w:t>
            </w:r>
          </w:p>
        </w:tc>
      </w:tr>
      <w:tr>
        <w:trPr/>
        <w:tc>
          <w:tcPr>
            <w:tcW w:w="8452" w:type="dxa"/>
            <w:tcBorders/>
            <w:shd w:fill="CCEEFF" w:val="clear"/>
          </w:tcPr>
          <w:p>
            <w:pPr>
              <w:pStyle w:val="TableContents"/>
              <w:spacing w:before="0" w:after="283"/>
              <w:rPr>
                <w:rFonts w:ascii="Times New Roman" w:hAnsi="Times New Roman"/>
                <w:sz w:val="20"/>
              </w:rPr>
            </w:pPr>
            <w:r>
              <w:rPr>
                <w:rFonts w:ascii="Times New Roman" w:hAnsi="Times New Roman"/>
                <w:sz w:val="20"/>
              </w:rPr>
              <w:t>Other Borrowed Money</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35,563,317</w:t>
            </w:r>
          </w:p>
        </w:tc>
        <w:tc>
          <w:tcPr>
            <w:tcW w:w="123" w:type="dxa"/>
            <w:tcBorders/>
            <w:shd w:fill="CCEEFF" w:val="clear"/>
            <w:vAlign w:val="bottom"/>
          </w:tcPr>
          <w:p>
            <w:pPr>
              <w:pStyle w:val="TableContents"/>
              <w:spacing w:before="0" w:after="283"/>
              <w:rPr/>
            </w:pPr>
            <w:r>
              <w:rPr/>
              <w:t>  </w:t>
            </w:r>
          </w:p>
        </w:tc>
      </w:tr>
      <w:tr>
        <w:trPr/>
        <w:tc>
          <w:tcPr>
            <w:tcW w:w="8452" w:type="dxa"/>
            <w:tcBorders/>
            <w:shd w:fill="auto" w:val="clear"/>
          </w:tcPr>
          <w:p>
            <w:pPr>
              <w:pStyle w:val="TableContents"/>
              <w:spacing w:before="0" w:after="283"/>
              <w:rPr>
                <w:rFonts w:ascii="Times New Roman" w:hAnsi="Times New Roman"/>
                <w:sz w:val="20"/>
              </w:rPr>
            </w:pPr>
            <w:r>
              <w:rPr>
                <w:rFonts w:ascii="Times New Roman" w:hAnsi="Times New Roman"/>
                <w:sz w:val="20"/>
              </w:rPr>
              <w:t>Acceptances</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23" w:type="dxa"/>
            <w:tcBorders/>
            <w:shd w:fill="auto" w:val="clear"/>
            <w:vAlign w:val="bottom"/>
          </w:tcPr>
          <w:p>
            <w:pPr>
              <w:pStyle w:val="TableContents"/>
              <w:spacing w:before="0" w:after="283"/>
              <w:rPr/>
            </w:pPr>
            <w:r>
              <w:rPr/>
              <w:t>  </w:t>
            </w:r>
          </w:p>
        </w:tc>
      </w:tr>
      <w:tr>
        <w:trPr/>
        <w:tc>
          <w:tcPr>
            <w:tcW w:w="8452" w:type="dxa"/>
            <w:tcBorders/>
            <w:shd w:fill="CCEEFF" w:val="clear"/>
          </w:tcPr>
          <w:p>
            <w:pPr>
              <w:pStyle w:val="TableContents"/>
              <w:spacing w:before="0" w:after="283"/>
              <w:rPr>
                <w:rFonts w:ascii="Times New Roman" w:hAnsi="Times New Roman"/>
                <w:sz w:val="20"/>
              </w:rPr>
            </w:pPr>
            <w:r>
              <w:rPr>
                <w:rFonts w:ascii="Times New Roman" w:hAnsi="Times New Roman"/>
                <w:sz w:val="20"/>
              </w:rPr>
              <w:t>Subordinated Notes and Debentures</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5,829,815</w:t>
            </w:r>
          </w:p>
        </w:tc>
        <w:tc>
          <w:tcPr>
            <w:tcW w:w="123" w:type="dxa"/>
            <w:tcBorders/>
            <w:shd w:fill="CCEEFF" w:val="clear"/>
            <w:vAlign w:val="bottom"/>
          </w:tcPr>
          <w:p>
            <w:pPr>
              <w:pStyle w:val="TableContents"/>
              <w:spacing w:before="0" w:after="283"/>
              <w:rPr/>
            </w:pPr>
            <w:r>
              <w:rPr/>
              <w:t>  </w:t>
            </w:r>
          </w:p>
        </w:tc>
      </w:tr>
      <w:tr>
        <w:trPr/>
        <w:tc>
          <w:tcPr>
            <w:tcW w:w="8452"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11,359,611</w:t>
            </w:r>
          </w:p>
        </w:tc>
        <w:tc>
          <w:tcPr>
            <w:tcW w:w="123" w:type="dxa"/>
            <w:tcBorders/>
            <w:shd w:fill="auto" w:val="clear"/>
            <w:vAlign w:val="bottom"/>
          </w:tcPr>
          <w:p>
            <w:pPr>
              <w:pStyle w:val="TableContents"/>
              <w:spacing w:before="0" w:after="283"/>
              <w:rPr/>
            </w:pPr>
            <w:r>
              <w:rPr/>
              <w:t>  </w:t>
            </w:r>
          </w:p>
        </w:tc>
      </w:tr>
      <w:tr>
        <w:trPr/>
        <w:tc>
          <w:tcPr>
            <w:tcW w:w="8452"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180"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8452"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Liabilities</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$305,320,949</w:t>
            </w:r>
          </w:p>
        </w:tc>
        <w:tc>
          <w:tcPr>
            <w:tcW w:w="123" w:type="dxa"/>
            <w:tcBorders/>
            <w:shd w:fill="CCEEFF" w:val="clear"/>
            <w:vAlign w:val="bottom"/>
          </w:tcPr>
          <w:p>
            <w:pPr>
              <w:pStyle w:val="TableContents"/>
              <w:spacing w:before="0" w:after="283"/>
              <w:rPr/>
            </w:pPr>
            <w:r>
              <w:rPr/>
              <w:t>  </w:t>
            </w:r>
          </w:p>
        </w:tc>
      </w:tr>
      <w:tr>
        <w:trPr/>
        <w:tc>
          <w:tcPr>
            <w:tcW w:w="8452" w:type="dxa"/>
            <w:tcBorders/>
            <w:shd w:fill="auto" w:val="clear"/>
          </w:tcPr>
          <w:p>
            <w:pPr>
              <w:pStyle w:val="TableContents"/>
              <w:spacing w:before="0" w:after="283"/>
              <w:rPr>
                <w:rFonts w:ascii="Times New Roman" w:hAnsi="Times New Roman"/>
                <w:b/>
                <w:sz w:val="20"/>
              </w:rPr>
            </w:pPr>
            <w:r>
              <w:rPr>
                <w:rFonts w:ascii="Times New Roman" w:hAnsi="Times New Roman"/>
                <w:b/>
                <w:sz w:val="20"/>
              </w:rPr>
              <w:t>Equity</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18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8452" w:type="dxa"/>
            <w:tcBorders/>
            <w:shd w:fill="CCEEFF" w:val="clear"/>
          </w:tcPr>
          <w:p>
            <w:pPr>
              <w:pStyle w:val="TableContents"/>
              <w:spacing w:before="0" w:after="283"/>
              <w:rPr>
                <w:rFonts w:ascii="Times New Roman" w:hAnsi="Times New Roman"/>
                <w:sz w:val="20"/>
              </w:rPr>
            </w:pPr>
            <w:r>
              <w:rPr>
                <w:rFonts w:ascii="Times New Roman" w:hAnsi="Times New Roman"/>
                <w:sz w:val="20"/>
              </w:rPr>
              <w:t>Minority Interest in Subsidiaries</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2,015,054</w:t>
            </w:r>
          </w:p>
        </w:tc>
        <w:tc>
          <w:tcPr>
            <w:tcW w:w="123" w:type="dxa"/>
            <w:tcBorders/>
            <w:shd w:fill="CCEEFF" w:val="clear"/>
            <w:vAlign w:val="bottom"/>
          </w:tcPr>
          <w:p>
            <w:pPr>
              <w:pStyle w:val="TableContents"/>
              <w:spacing w:before="0" w:after="283"/>
              <w:rPr/>
            </w:pPr>
            <w:r>
              <w:rPr/>
              <w:t>  </w:t>
            </w:r>
          </w:p>
        </w:tc>
      </w:tr>
      <w:tr>
        <w:trPr/>
        <w:tc>
          <w:tcPr>
            <w:tcW w:w="8452" w:type="dxa"/>
            <w:tcBorders/>
            <w:shd w:fill="auto" w:val="clear"/>
          </w:tcPr>
          <w:p>
            <w:pPr>
              <w:pStyle w:val="TableContents"/>
              <w:spacing w:before="0" w:after="283"/>
              <w:rPr>
                <w:rFonts w:ascii="Times New Roman" w:hAnsi="Times New Roman"/>
                <w:sz w:val="20"/>
              </w:rPr>
            </w:pPr>
            <w:r>
              <w:rPr>
                <w:rFonts w:ascii="Times New Roman" w:hAnsi="Times New Roman"/>
                <w:sz w:val="20"/>
              </w:rPr>
              <w:t>Common and Preferred Stock</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18,200</w:t>
            </w:r>
          </w:p>
        </w:tc>
        <w:tc>
          <w:tcPr>
            <w:tcW w:w="123" w:type="dxa"/>
            <w:tcBorders/>
            <w:shd w:fill="auto" w:val="clear"/>
            <w:vAlign w:val="bottom"/>
          </w:tcPr>
          <w:p>
            <w:pPr>
              <w:pStyle w:val="TableContents"/>
              <w:spacing w:before="0" w:after="283"/>
              <w:rPr/>
            </w:pPr>
            <w:r>
              <w:rPr/>
              <w:t>  </w:t>
            </w:r>
          </w:p>
        </w:tc>
      </w:tr>
      <w:tr>
        <w:trPr/>
        <w:tc>
          <w:tcPr>
            <w:tcW w:w="8452" w:type="dxa"/>
            <w:tcBorders/>
            <w:shd w:fill="CCEEFF" w:val="clear"/>
          </w:tcPr>
          <w:p>
            <w:pPr>
              <w:pStyle w:val="TableContents"/>
              <w:spacing w:before="0" w:after="283"/>
              <w:rPr>
                <w:rFonts w:ascii="Times New Roman" w:hAnsi="Times New Roman"/>
                <w:sz w:val="20"/>
              </w:rPr>
            </w:pPr>
            <w:r>
              <w:rPr>
                <w:rFonts w:ascii="Times New Roman" w:hAnsi="Times New Roman"/>
                <w:sz w:val="20"/>
              </w:rPr>
              <w:t>Surplus</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14,133,323</w:t>
            </w:r>
          </w:p>
        </w:tc>
        <w:tc>
          <w:tcPr>
            <w:tcW w:w="123" w:type="dxa"/>
            <w:tcBorders/>
            <w:shd w:fill="CCEEFF" w:val="clear"/>
            <w:vAlign w:val="bottom"/>
          </w:tcPr>
          <w:p>
            <w:pPr>
              <w:pStyle w:val="TableContents"/>
              <w:spacing w:before="0" w:after="283"/>
              <w:rPr/>
            </w:pPr>
            <w:r>
              <w:rPr/>
              <w:t>  </w:t>
            </w:r>
          </w:p>
        </w:tc>
      </w:tr>
      <w:tr>
        <w:trPr/>
        <w:tc>
          <w:tcPr>
            <w:tcW w:w="8452" w:type="dxa"/>
            <w:tcBorders/>
            <w:shd w:fill="auto" w:val="clear"/>
          </w:tcPr>
          <w:p>
            <w:pPr>
              <w:pStyle w:val="TableContents"/>
              <w:spacing w:before="0" w:after="283"/>
              <w:rPr>
                <w:rFonts w:ascii="Times New Roman" w:hAnsi="Times New Roman"/>
                <w:sz w:val="20"/>
              </w:rPr>
            </w:pPr>
            <w:r>
              <w:rPr>
                <w:rFonts w:ascii="Times New Roman" w:hAnsi="Times New Roman"/>
                <w:sz w:val="20"/>
              </w:rPr>
              <w:t>Undivided Profits</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1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21,335,186</w:t>
            </w:r>
          </w:p>
        </w:tc>
        <w:tc>
          <w:tcPr>
            <w:tcW w:w="123" w:type="dxa"/>
            <w:tcBorders/>
            <w:shd w:fill="auto" w:val="clear"/>
            <w:vAlign w:val="bottom"/>
          </w:tcPr>
          <w:p>
            <w:pPr>
              <w:pStyle w:val="TableContents"/>
              <w:spacing w:before="0" w:after="283"/>
              <w:rPr/>
            </w:pPr>
            <w:r>
              <w:rPr/>
              <w:t>  </w:t>
            </w:r>
          </w:p>
        </w:tc>
      </w:tr>
      <w:tr>
        <w:trPr/>
        <w:tc>
          <w:tcPr>
            <w:tcW w:w="8452"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180"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8452"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Equity Capital</w:t>
            </w:r>
          </w:p>
        </w:tc>
        <w:tc>
          <w:tcPr>
            <w:tcW w:w="32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1180"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37,501,763</w:t>
            </w:r>
          </w:p>
        </w:tc>
        <w:tc>
          <w:tcPr>
            <w:tcW w:w="123" w:type="dxa"/>
            <w:tcBorders/>
            <w:shd w:fill="CCEEFF" w:val="clear"/>
            <w:vAlign w:val="bottom"/>
          </w:tcPr>
          <w:p>
            <w:pPr>
              <w:pStyle w:val="TableContents"/>
              <w:spacing w:before="0" w:after="283"/>
              <w:rPr/>
            </w:pPr>
            <w:r>
              <w:rPr/>
              <w:t>  </w:t>
            </w:r>
          </w:p>
        </w:tc>
      </w:tr>
      <w:tr>
        <w:trPr/>
        <w:tc>
          <w:tcPr>
            <w:tcW w:w="8452" w:type="dxa"/>
            <w:tcBorders/>
            <w:shd w:fill="auto" w:val="clear"/>
          </w:tcPr>
          <w:p>
            <w:pPr>
              <w:pStyle w:val="TableContents"/>
              <w:spacing w:before="0" w:after="283"/>
              <w:rPr>
                <w:rFonts w:ascii="Times New Roman" w:hAnsi="Times New Roman"/>
                <w:b/>
                <w:sz w:val="20"/>
              </w:rPr>
            </w:pPr>
            <w:r>
              <w:rPr>
                <w:rFonts w:ascii="Times New Roman" w:hAnsi="Times New Roman"/>
                <w:b/>
                <w:sz w:val="20"/>
              </w:rPr>
              <w:t>Total Liabilities and Equity Capital</w:t>
            </w:r>
          </w:p>
        </w:tc>
        <w:tc>
          <w:tcPr>
            <w:tcW w:w="32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118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342,822,712</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Narrow">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76</Pages>
  <Words>31961</Words>
  <CharactersWithSpaces>197618</CharactersWithSpaces>
  <Paragraphs>2921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T-1 (Subordinated Indenture)</dc:title>
</cp:coreProperties>
</file>