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800735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723265</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t>UNITED STATES</w:t>
      </w:r>
    </w:p>
    <w:p>
      <w:pPr>
        <w:spacing w:after="0" w:line="6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1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6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22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 </w:t>
      </w:r>
      <w:r>
        <w:rPr>
          <w:rFonts w:ascii="Times New Roman" w:cs="Times New Roman" w:eastAsia="Times New Roman" w:hAnsi="Times New Roman"/>
          <w:sz w:val="18"/>
          <w:szCs w:val="18"/>
          <w:b w:val="1"/>
          <w:bCs w:val="1"/>
          <w:color w:val="auto"/>
        </w:rPr>
        <w:t>August 8, 2025</w:t>
      </w:r>
    </w:p>
    <w:p>
      <w:pPr>
        <w:spacing w:after="0" w:line="24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Plains All American Pipeline, L.P.</w:t>
      </w:r>
    </w:p>
    <w:p>
      <w:pPr>
        <w:spacing w:after="0" w:line="5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20"/>
          </w:cols>
          <w:pgMar w:left="320" w:top="1415" w:right="359" w:bottom="1440" w:gutter="0" w:footer="0" w:header="0"/>
        </w:sectPr>
      </w:pPr>
    </w:p>
    <w:p>
      <w:pPr>
        <w:spacing w:after="0" w:line="26" w:lineRule="exact"/>
        <w:rPr>
          <w:sz w:val="24"/>
          <w:szCs w:val="24"/>
          <w:color w:val="auto"/>
        </w:rPr>
      </w:pPr>
    </w:p>
    <w:p>
      <w:pPr>
        <w:jc w:val="center"/>
        <w:ind w:left="3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left="36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1-14569</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jc w:val="center"/>
        <w:ind w:right="880"/>
        <w:spacing w:after="0"/>
        <w:rPr>
          <w:sz w:val="20"/>
          <w:szCs w:val="20"/>
          <w:color w:val="auto"/>
        </w:rPr>
      </w:pPr>
      <w:r>
        <w:rPr>
          <w:rFonts w:ascii="Times New Roman" w:cs="Times New Roman" w:eastAsia="Times New Roman" w:hAnsi="Times New Roman"/>
          <w:sz w:val="18"/>
          <w:szCs w:val="18"/>
          <w:b w:val="1"/>
          <w:bCs w:val="1"/>
          <w:color w:val="auto"/>
        </w:rPr>
        <w:t>76-0582150</w:t>
      </w:r>
    </w:p>
    <w:p>
      <w:pPr>
        <w:spacing w:after="0" w:line="31" w:lineRule="exact"/>
        <w:rPr>
          <w:sz w:val="24"/>
          <w:szCs w:val="24"/>
          <w:color w:val="auto"/>
        </w:rPr>
      </w:pPr>
    </w:p>
    <w:p>
      <w:pPr>
        <w:jc w:val="center"/>
        <w:ind w:right="88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12" w:lineRule="exact"/>
        <w:rPr>
          <w:sz w:val="24"/>
          <w:szCs w:val="24"/>
          <w:color w:val="auto"/>
        </w:rPr>
      </w:pPr>
    </w:p>
    <w:p>
      <w:pPr>
        <w:sectPr>
          <w:pgSz w:w="11900" w:h="16838" w:orient="portrait"/>
          <w:cols w:equalWidth="0" w:num="3">
            <w:col w:w="3900" w:space="720"/>
            <w:col w:w="2520" w:space="720"/>
            <w:col w:w="3360"/>
          </w:cols>
          <w:pgMar w:left="320" w:top="1415" w:right="359" w:bottom="1440" w:gutter="0" w:footer="0" w:header="0"/>
          <w:type w:val="continuous"/>
        </w:sectPr>
      </w:pPr>
    </w:p>
    <w:p>
      <w:pPr>
        <w:ind w:left="1620"/>
        <w:spacing w:after="0" w:line="229" w:lineRule="auto"/>
        <w:rPr>
          <w:sz w:val="20"/>
          <w:szCs w:val="20"/>
          <w:color w:val="auto"/>
        </w:rPr>
      </w:pPr>
      <w:r>
        <w:rPr>
          <w:rFonts w:ascii="Times New Roman" w:cs="Times New Roman" w:eastAsia="Times New Roman" w:hAnsi="Times New Roman"/>
          <w:sz w:val="18"/>
          <w:szCs w:val="18"/>
          <w:color w:val="auto"/>
        </w:rPr>
        <w:t>incorporation)</w:t>
      </w:r>
    </w:p>
    <w:p>
      <w:pPr>
        <w:spacing w:after="0" w:line="316"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7"/>
          <w:szCs w:val="17"/>
          <w:b w:val="1"/>
          <w:bCs w:val="1"/>
          <w:color w:val="auto"/>
        </w:rPr>
        <w:t>333 Clay Street, Suite 1600, Houston, Texas 77002</w:t>
      </w:r>
    </w:p>
    <w:p>
      <w:pPr>
        <w:spacing w:after="0" w:line="43"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ectPr>
          <w:pgSz w:w="11900" w:h="16838" w:orient="portrait"/>
          <w:cols w:equalWidth="0" w:num="1">
            <w:col w:w="11220"/>
          </w:cols>
          <w:pgMar w:left="320" w:top="1415" w:right="359" w:bottom="1440" w:gutter="0" w:footer="0" w:header="0"/>
          <w:type w:val="continuous"/>
        </w:sectPr>
      </w:pP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713-646-4100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52" w:lineRule="exact"/>
        <w:rPr>
          <w:sz w:val="24"/>
          <w:szCs w:val="24"/>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89"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right="2840" w:firstLine="8"/>
        <w:spacing w:after="0" w:line="553" w:lineRule="auto"/>
        <w:tabs>
          <w:tab w:leader="none" w:pos="34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40" w:type="dxa"/>
        <w:tblCellMar>
          <w:top w:w="0" w:type="dxa"/>
          <w:left w:w="0" w:type="dxa"/>
          <w:bottom w:w="0" w:type="dxa"/>
          <w:right w:w="0" w:type="dxa"/>
        </w:tblCellMar>
      </w:tblPr>
      <w:tr>
        <w:trPr>
          <w:trHeight w:val="238"/>
        </w:trPr>
        <w:tc>
          <w:tcPr>
            <w:tcW w:w="34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5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Units</w:t>
            </w:r>
          </w:p>
        </w:tc>
        <w:tc>
          <w:tcPr>
            <w:tcW w:w="120" w:type="dxa"/>
            <w:vAlign w:val="bottom"/>
          </w:tcPr>
          <w:p>
            <w:pPr>
              <w:spacing w:after="0"/>
              <w:rPr>
                <w:sz w:val="19"/>
                <w:szCs w:val="19"/>
                <w:color w:val="auto"/>
              </w:rPr>
            </w:pPr>
          </w:p>
        </w:tc>
        <w:tc>
          <w:tcPr>
            <w:tcW w:w="3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PAA</w:t>
            </w:r>
          </w:p>
        </w:tc>
        <w:tc>
          <w:tcPr>
            <w:tcW w:w="120" w:type="dxa"/>
            <w:vAlign w:val="bottom"/>
          </w:tcPr>
          <w:p>
            <w:pPr>
              <w:spacing w:after="0"/>
              <w:rPr>
                <w:sz w:val="19"/>
                <w:szCs w:val="19"/>
                <w:color w:val="auto"/>
              </w:rPr>
            </w:pPr>
          </w:p>
        </w:tc>
        <w:tc>
          <w:tcPr>
            <w:tcW w:w="42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w:t>
            </w:r>
          </w:p>
        </w:tc>
      </w:tr>
    </w:tbl>
    <w:p>
      <w:pPr>
        <w:spacing w:after="0" w:line="314" w:lineRule="exact"/>
        <w:rPr>
          <w:sz w:val="24"/>
          <w:szCs w:val="24"/>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97" w:lineRule="exact"/>
        <w:rPr>
          <w:sz w:val="24"/>
          <w:szCs w:val="24"/>
          <w:color w:val="auto"/>
        </w:rPr>
      </w:pPr>
    </w:p>
    <w:p>
      <w:pPr>
        <w:ind w:right="220"/>
        <w:spacing w:after="0" w:line="231"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989965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213995</wp:posOffset>
            </wp:positionV>
            <wp:extent cx="70891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171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153670</wp:posOffset>
            </wp:positionV>
            <wp:extent cx="70891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220"/>
          </w:cols>
          <w:pgMar w:left="320" w:top="1415" w:right="3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and Item 7.01. Results of Operations and Financial Condition; Regulation FD Disclosure.</w:t>
      </w:r>
    </w:p>
    <w:p>
      <w:pPr>
        <w:spacing w:after="0" w:line="256" w:lineRule="exact"/>
        <w:rPr>
          <w:sz w:val="20"/>
          <w:szCs w:val="20"/>
          <w:color w:val="auto"/>
        </w:rPr>
      </w:pPr>
    </w:p>
    <w:p>
      <w:pPr>
        <w:ind w:firstLine="180"/>
        <w:spacing w:after="0" w:line="258" w:lineRule="auto"/>
        <w:rPr>
          <w:sz w:val="20"/>
          <w:szCs w:val="20"/>
          <w:color w:val="auto"/>
        </w:rPr>
      </w:pPr>
      <w:r>
        <w:rPr>
          <w:rFonts w:ascii="Times New Roman" w:cs="Times New Roman" w:eastAsia="Times New Roman" w:hAnsi="Times New Roman"/>
          <w:sz w:val="18"/>
          <w:szCs w:val="18"/>
          <w:color w:val="auto"/>
        </w:rPr>
        <w:t>On August 8, 2025, the Registrant issued a press release reporting its second-quarter 2025 results. A copy of the press release is furnished as Exhibit 99.1 hereto. In accordance with General Instruction B.2 of Form 8-K, the information presented herein under Item 2.02 and Item 7.01 shall not be deemed “filed” for the purpose of Section 18 of the Securities Exchange Act of 1934, as amended, or otherwise subject to the liabilities of that section, nor shall such information be deemed incorporated by reference into any filing under the Securities Act of 1933 or the Securities Exchange Act of 1934, each as amended.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 Exhibits.</w:t>
      </w:r>
    </w:p>
    <w:p>
      <w:pPr>
        <w:spacing w:after="0" w:line="32" w:lineRule="exact"/>
        <w:rPr>
          <w:sz w:val="20"/>
          <w:szCs w:val="20"/>
          <w:color w:val="auto"/>
        </w:rPr>
      </w:pPr>
    </w:p>
    <w:tbl>
      <w:tblPr>
        <w:tblLayout w:type="fixed"/>
        <w:tblInd w:w="660" w:type="dxa"/>
        <w:tblCellMar>
          <w:top w:w="0" w:type="dxa"/>
          <w:left w:w="0" w:type="dxa"/>
          <w:bottom w:w="0" w:type="dxa"/>
          <w:right w:w="0" w:type="dxa"/>
        </w:tblCellMar>
      </w:tblPr>
      <w:tr>
        <w:trPr>
          <w:trHeight w:val="184"/>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2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4840" w:type="dxa"/>
            <w:vAlign w:val="bottom"/>
            <w:vMerge w:val="restart"/>
          </w:tcPr>
          <w:p>
            <w:pPr>
              <w:ind w:left="72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0" w:type="dxa"/>
            <w:vAlign w:val="bottom"/>
          </w:tcPr>
          <w:p>
            <w:pPr>
              <w:spacing w:after="0"/>
              <w:rPr>
                <w:sz w:val="1"/>
                <w:szCs w:val="1"/>
                <w:color w:val="auto"/>
              </w:rPr>
            </w:pPr>
          </w:p>
        </w:tc>
      </w:tr>
      <w:tr>
        <w:trPr>
          <w:trHeight w:val="214"/>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080" w:type="dxa"/>
            <w:vAlign w:val="bottom"/>
            <w:tcBorders>
              <w:top w:val="single" w:sz="8" w:color="auto"/>
            </w:tcBorders>
          </w:tcPr>
          <w:p>
            <w:pPr>
              <w:jc w:val="center"/>
              <w:spacing w:after="0" w:line="184" w:lineRule="exact"/>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580" w:type="dxa"/>
            <w:vAlign w:val="bottom"/>
            <w:tcBorders>
              <w:top w:val="single" w:sz="8" w:color="auto"/>
              <w:bottom w:val="single" w:sz="8" w:color="0000FF"/>
            </w:tcBorders>
          </w:tcPr>
          <w:p>
            <w:pPr>
              <w:spacing w:after="0" w:line="184" w:lineRule="exact"/>
              <w:rPr>
                <w:sz w:val="20"/>
                <w:szCs w:val="20"/>
                <w:color w:val="auto"/>
              </w:rPr>
            </w:pPr>
            <w:r>
              <w:rPr>
                <w:rFonts w:ascii="Times New Roman" w:cs="Times New Roman" w:eastAsia="Times New Roman" w:hAnsi="Times New Roman"/>
                <w:sz w:val="18"/>
                <w:szCs w:val="18"/>
                <w:color w:val="0000FF"/>
                <w:w w:val="99"/>
              </w:rPr>
              <w:t>Press Release dated August 8, 2025</w:t>
            </w:r>
          </w:p>
        </w:tc>
        <w:tc>
          <w:tcPr>
            <w:tcW w:w="48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1860" w:hanging="792"/>
        <w:spacing w:after="0"/>
        <w:tabs>
          <w:tab w:leader="none" w:pos="18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00"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94" w:lineRule="exact"/>
        <w:rPr>
          <w:sz w:val="20"/>
          <w:szCs w:val="20"/>
          <w:color w:val="auto"/>
        </w:rPr>
      </w:pPr>
    </w:p>
    <w:p>
      <w:pPr>
        <w:ind w:right="700" w:firstLine="1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8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040" w:type="dxa"/>
            <w:vAlign w:val="bottom"/>
          </w:tcPr>
          <w:p>
            <w:pPr>
              <w:spacing w:after="0"/>
              <w:rPr>
                <w:sz w:val="20"/>
                <w:szCs w:val="20"/>
                <w:color w:val="auto"/>
              </w:rPr>
            </w:pPr>
          </w:p>
        </w:tc>
        <w:tc>
          <w:tcPr>
            <w:tcW w:w="8160" w:type="dxa"/>
            <w:vAlign w:val="bottom"/>
            <w:gridSpan w:val="3"/>
          </w:tcPr>
          <w:p>
            <w:pPr>
              <w:ind w:left="1480"/>
              <w:spacing w:after="0"/>
              <w:rPr>
                <w:sz w:val="20"/>
                <w:szCs w:val="20"/>
                <w:color w:val="auto"/>
              </w:rPr>
            </w:pPr>
            <w:r>
              <w:rPr>
                <w:rFonts w:ascii="Times New Roman" w:cs="Times New Roman" w:eastAsia="Times New Roman" w:hAnsi="Times New Roman"/>
                <w:sz w:val="18"/>
                <w:szCs w:val="18"/>
                <w:color w:val="auto"/>
              </w:rPr>
              <w:t>PLAINS ALL AMERICAN PIPELINE, L.P.</w:t>
            </w:r>
          </w:p>
        </w:tc>
      </w:tr>
      <w:tr>
        <w:trPr>
          <w:trHeight w:val="500"/>
        </w:trPr>
        <w:tc>
          <w:tcPr>
            <w:tcW w:w="3040" w:type="dxa"/>
            <w:vAlign w:val="bottom"/>
          </w:tcPr>
          <w:p>
            <w:pPr>
              <w:spacing w:after="0"/>
              <w:rPr>
                <w:sz w:val="24"/>
                <w:szCs w:val="24"/>
                <w:color w:val="auto"/>
              </w:rPr>
            </w:pPr>
          </w:p>
        </w:tc>
        <w:tc>
          <w:tcPr>
            <w:tcW w:w="8160" w:type="dxa"/>
            <w:vAlign w:val="bottom"/>
            <w:gridSpan w:val="3"/>
          </w:tcPr>
          <w:p>
            <w:pPr>
              <w:ind w:left="1480"/>
              <w:spacing w:after="0"/>
              <w:rPr>
                <w:sz w:val="20"/>
                <w:szCs w:val="20"/>
                <w:color w:val="auto"/>
              </w:rPr>
            </w:pPr>
            <w:r>
              <w:rPr>
                <w:rFonts w:ascii="Times New Roman" w:cs="Times New Roman" w:eastAsia="Times New Roman" w:hAnsi="Times New Roman"/>
                <w:sz w:val="18"/>
                <w:szCs w:val="18"/>
                <w:color w:val="auto"/>
              </w:rPr>
              <w:t>By:  PAA GP LLC, its general partner</w:t>
            </w:r>
          </w:p>
        </w:tc>
      </w:tr>
      <w:tr>
        <w:trPr>
          <w:trHeight w:val="499"/>
        </w:trPr>
        <w:tc>
          <w:tcPr>
            <w:tcW w:w="3040" w:type="dxa"/>
            <w:vAlign w:val="bottom"/>
          </w:tcPr>
          <w:p>
            <w:pPr>
              <w:spacing w:after="0"/>
              <w:rPr>
                <w:sz w:val="24"/>
                <w:szCs w:val="24"/>
                <w:color w:val="auto"/>
              </w:rPr>
            </w:pPr>
          </w:p>
        </w:tc>
        <w:tc>
          <w:tcPr>
            <w:tcW w:w="8160" w:type="dxa"/>
            <w:vAlign w:val="bottom"/>
            <w:gridSpan w:val="3"/>
          </w:tcPr>
          <w:p>
            <w:pPr>
              <w:ind w:left="1480"/>
              <w:spacing w:after="0"/>
              <w:rPr>
                <w:sz w:val="20"/>
                <w:szCs w:val="20"/>
                <w:color w:val="auto"/>
              </w:rPr>
            </w:pPr>
            <w:r>
              <w:rPr>
                <w:rFonts w:ascii="Times New Roman" w:cs="Times New Roman" w:eastAsia="Times New Roman" w:hAnsi="Times New Roman"/>
                <w:sz w:val="18"/>
                <w:szCs w:val="18"/>
                <w:color w:val="auto"/>
              </w:rPr>
              <w:t>By:  Plains AAP, L.P., its sole member</w:t>
            </w:r>
          </w:p>
        </w:tc>
      </w:tr>
      <w:tr>
        <w:trPr>
          <w:trHeight w:val="499"/>
        </w:trPr>
        <w:tc>
          <w:tcPr>
            <w:tcW w:w="3040" w:type="dxa"/>
            <w:vAlign w:val="bottom"/>
          </w:tcPr>
          <w:p>
            <w:pPr>
              <w:spacing w:after="0"/>
              <w:rPr>
                <w:sz w:val="24"/>
                <w:szCs w:val="24"/>
                <w:color w:val="auto"/>
              </w:rPr>
            </w:pPr>
          </w:p>
        </w:tc>
        <w:tc>
          <w:tcPr>
            <w:tcW w:w="8160" w:type="dxa"/>
            <w:vAlign w:val="bottom"/>
            <w:gridSpan w:val="3"/>
          </w:tcPr>
          <w:p>
            <w:pPr>
              <w:ind w:left="1480"/>
              <w:spacing w:after="0"/>
              <w:rPr>
                <w:sz w:val="20"/>
                <w:szCs w:val="20"/>
                <w:color w:val="auto"/>
              </w:rPr>
            </w:pPr>
            <w:r>
              <w:rPr>
                <w:rFonts w:ascii="Times New Roman" w:cs="Times New Roman" w:eastAsia="Times New Roman" w:hAnsi="Times New Roman"/>
                <w:sz w:val="18"/>
                <w:szCs w:val="18"/>
                <w:color w:val="auto"/>
              </w:rPr>
              <w:t>By:  Plains All American GP LLC, its general partner</w:t>
            </w:r>
          </w:p>
        </w:tc>
      </w:tr>
      <w:tr>
        <w:trPr>
          <w:trHeight w:val="499"/>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Date: August 8, 2025</w:t>
            </w:r>
          </w:p>
        </w:tc>
        <w:tc>
          <w:tcPr>
            <w:tcW w:w="8160" w:type="dxa"/>
            <w:vAlign w:val="bottom"/>
            <w:gridSpan w:val="3"/>
          </w:tcPr>
          <w:p>
            <w:pPr>
              <w:ind w:left="1480"/>
              <w:spacing w:after="0"/>
              <w:rPr>
                <w:sz w:val="20"/>
                <w:szCs w:val="20"/>
                <w:color w:val="auto"/>
              </w:rPr>
            </w:pPr>
            <w:r>
              <w:rPr>
                <w:rFonts w:ascii="Times New Roman" w:cs="Times New Roman" w:eastAsia="Times New Roman" w:hAnsi="Times New Roman"/>
                <w:sz w:val="18"/>
                <w:szCs w:val="18"/>
                <w:color w:val="auto"/>
              </w:rPr>
              <w:t>By:  /s/ Sharon Spurlin</w:t>
            </w:r>
          </w:p>
        </w:tc>
      </w:tr>
      <w:tr>
        <w:trPr>
          <w:trHeight w:val="216"/>
        </w:trPr>
        <w:tc>
          <w:tcPr>
            <w:tcW w:w="30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6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558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Sharon Spurlin</w:t>
            </w:r>
          </w:p>
        </w:tc>
      </w:tr>
      <w:tr>
        <w:trPr>
          <w:trHeight w:val="236"/>
        </w:trPr>
        <w:tc>
          <w:tcPr>
            <w:tcW w:w="30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5580" w:type="dxa"/>
            <w:vAlign w:val="bottom"/>
          </w:tcPr>
          <w:p>
            <w:pPr>
              <w:ind w:left="160"/>
              <w:spacing w:after="0"/>
              <w:rPr>
                <w:sz w:val="20"/>
                <w:szCs w:val="20"/>
                <w:color w:val="auto"/>
              </w:rPr>
            </w:pPr>
            <w:r>
              <w:rPr>
                <w:rFonts w:ascii="Times New Roman" w:cs="Times New Roman" w:eastAsia="Times New Roman" w:hAnsi="Times New Roman"/>
                <w:sz w:val="18"/>
                <w:szCs w:val="18"/>
                <w:i w:val="1"/>
                <w:iCs w:val="1"/>
                <w:color w:val="auto"/>
              </w:rPr>
              <w:t>Senior Vice President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20"/>
          </w:cols>
          <w:pgMar w:left="320" w:top="981" w:right="3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2542540</wp:posOffset>
            </wp:positionH>
            <wp:positionV relativeFrom="paragraph">
              <wp:posOffset>294005</wp:posOffset>
            </wp:positionV>
            <wp:extent cx="2057400" cy="4711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057400" cy="471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Plains All American Reports Second-Quarter 2025 Results</w:t>
      </w:r>
    </w:p>
    <w:p>
      <w:pPr>
        <w:spacing w:after="0" w:line="24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Houston, TX – August 8, 2025 – Plains All American Pipeline, L.P. (Nasdaq: PAA) and Plains GP Holdings (Nasdaq: PAGP) today reported solid second-quarter 2025 results and provided the following highlights: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Second-Quarter Results</w:t>
      </w:r>
    </w:p>
    <w:p>
      <w:pPr>
        <w:spacing w:after="0" w:line="162"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Reported net income attributable to PAA of $210 million and net cash provided by operating activities of $694 million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Delivered Adjusted EBITDA attributable to PAA of $672 million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Exited the quarter with 3.3x leverage ratio, toward the low-end of our target range of 3.25x - 3.75x</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Highlights and Recent Announcements</w:t>
      </w:r>
    </w:p>
    <w:p>
      <w:pPr>
        <w:spacing w:after="0" w:line="148" w:lineRule="exact"/>
        <w:rPr>
          <w:sz w:val="20"/>
          <w:szCs w:val="20"/>
          <w:color w:val="auto"/>
        </w:rPr>
      </w:pPr>
    </w:p>
    <w:p>
      <w:pPr>
        <w:ind w:left="660" w:right="48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Executed agreements to divest substantially all of our NGL business for total cash consideration of approximately $5.15 billion CAD ($3.75 billion USD) with expected closing first quarter 2026 pending regulatory approval</w:t>
      </w:r>
    </w:p>
    <w:p>
      <w:pPr>
        <w:spacing w:after="0" w:line="107"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NGL sale proceeds (~$3.0 billion net USD) will be prioritized toward bolt-on M&amp;A, preferred unit repurchases, and opportunistic common unit repurchases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22, 2025, Plains acquired an additional 20% interest in BridgeTex Pipeline Company, LLC, bringing PAA’s total interest to 40%</w:t>
      </w:r>
    </w:p>
    <w:p>
      <w:pPr>
        <w:spacing w:after="0" w:line="17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continue to advance our strategic initiatives and delivered solid second-quarter performance in a volatile macro environment,” said Willie Chiang, Chairman, CEO and President. “Our previously announced NGL divestiture is expected to close in the first quarter of 2026 and will improve our free cash durability, provide substantial financial flexibility and drive opportunities to streamline the business. Separately, we continue to execute on our bolt-on acquisition opportunity set by acquiring an incremental interest in the BridgeTex Pipeline joint venture, which further strengthens our Permian footprint. We remain well-positioned and highly focused on additional bolt-ons and optimizing our crude oil focused asset base in a capital disciplined manner while continuing to return cash to unitholders.”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Reporting Considerations for Pending Sale of Canadian NGL Business</w:t>
      </w:r>
    </w:p>
    <w:p>
      <w:pPr>
        <w:spacing w:after="0" w:line="148"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On June 17, 2025, we entered into a definitive agreement to sell substantially all of our NGL business in Canada (the “Canadian NGL Business”) to Keyera Corp. This transaction is expected to close in the first quarter of 2026 and is subject to the satisfaction or waiver of customary closing conditions, including receipt of regulatory approvals. While we will divest the Canadian NGL Business as part of the transaction, we will retain substantially all NGL assets in the United States and will also retain all crude oil assets in Canada.</w:t>
      </w:r>
    </w:p>
    <w:p>
      <w:pPr>
        <w:spacing w:after="0" w:line="20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We have determined that the operations of the Canadian NGL Business meet the criteria for classification as held for sale and presentation as discontinued operations and have applied these changes retrospectively to all periods presented. Results throughout this release specify if they are presented from continuing operations (which exclude the results of the Canadian NGL Business) and/or discontinued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auto"/>
        </w:rPr>
        <w:t>Page 2</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Summary Financial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 except per unit data)</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20" w:type="dxa"/>
            <w:vAlign w:val="bottom"/>
            <w:gridSpan w:val="7"/>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2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center"/>
              <w:ind w:left="37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gridSpan w:val="3"/>
          </w:tcPr>
          <w:p>
            <w:pPr>
              <w:ind w:left="20"/>
              <w:spacing w:after="0" w:line="203" w:lineRule="exact"/>
              <w:rPr>
                <w:sz w:val="20"/>
                <w:szCs w:val="20"/>
                <w:color w:val="auto"/>
              </w:rPr>
            </w:pPr>
            <w:r>
              <w:rPr>
                <w:rFonts w:ascii="Times New Roman" w:cs="Times New Roman" w:eastAsia="Times New Roman" w:hAnsi="Times New Roman"/>
                <w:sz w:val="16"/>
                <w:szCs w:val="16"/>
                <w:b w:val="1"/>
                <w:bCs w:val="1"/>
                <w:i w:val="1"/>
                <w:iCs w:val="1"/>
                <w:color w:val="auto"/>
              </w:rPr>
              <w:t xml:space="preserve">GAAP Results </w:t>
            </w:r>
            <w:r>
              <w:rPr>
                <w:rFonts w:ascii="Times New Roman" w:cs="Times New Roman" w:eastAsia="Times New Roman" w:hAnsi="Times New Roman"/>
                <w:sz w:val="21"/>
                <w:szCs w:val="21"/>
                <w:b w:val="1"/>
                <w:bCs w:val="1"/>
                <w:i w:val="1"/>
                <w:iCs w:val="1"/>
                <w:color w:val="auto"/>
                <w:vertAlign w:val="superscript"/>
              </w:rPr>
              <w:t>(1)</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Borders>
              <w:top w:val="single" w:sz="8" w:color="auto"/>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Net income attributable to PAA </w:t>
            </w:r>
            <w:r>
              <w:rPr>
                <w:rFonts w:ascii="Times New Roman" w:cs="Times New Roman" w:eastAsia="Times New Roman" w:hAnsi="Times New Roman"/>
                <w:sz w:val="23"/>
                <w:szCs w:val="23"/>
                <w:color w:val="auto"/>
                <w:vertAlign w:val="superscript"/>
              </w:rPr>
              <w:t>(2)</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0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Diluted net income per common unit</w:t>
            </w:r>
          </w:p>
        </w:tc>
        <w:tc>
          <w:tcPr>
            <w:tcW w:w="2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right w:val="single" w:sz="8" w:color="auto"/>
            </w:tcBorders>
          </w:tcPr>
          <w:p>
            <w:pPr>
              <w:spacing w:after="0"/>
              <w:rPr>
                <w:sz w:val="19"/>
                <w:szCs w:val="19"/>
                <w:color w:val="auto"/>
              </w:rPr>
            </w:pP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weighted average common units outstanding</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2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20" w:type="dxa"/>
            <w:vAlign w:val="bottom"/>
            <w:tcBorders>
              <w:right w:val="single" w:sz="8" w:color="auto"/>
            </w:tcBorders>
          </w:tcPr>
          <w:p>
            <w:pPr>
              <w:spacing w:after="0"/>
              <w:rPr>
                <w:sz w:val="19"/>
                <w:szCs w:val="19"/>
                <w:color w:val="auto"/>
              </w:rPr>
            </w:pP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1,333</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1,072</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 per common unit declared for the period</w:t>
            </w:r>
          </w:p>
        </w:tc>
        <w:tc>
          <w:tcPr>
            <w:tcW w:w="2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0.3800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0.3175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20" w:type="dxa"/>
            <w:vAlign w:val="bottom"/>
            <w:tcBorders>
              <w:right w:val="single" w:sz="8" w:color="auto"/>
            </w:tcBorders>
            <w:shd w:val="clear" w:color="auto" w:fill="CCEEFF"/>
          </w:tcPr>
          <w:p>
            <w:pPr>
              <w:spacing w:after="0"/>
              <w:rPr>
                <w:sz w:val="19"/>
                <w:szCs w:val="19"/>
                <w:color w:val="auto"/>
              </w:rPr>
            </w:pP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0.7600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0.6350</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08"/>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20" w:type="dxa"/>
            <w:vAlign w:val="bottom"/>
            <w:gridSpan w:val="7"/>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3"/>
          </w:tcPr>
          <w:p>
            <w:pPr>
              <w:jc w:val="center"/>
              <w:ind w:left="37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gridSpan w:val="3"/>
          </w:tcPr>
          <w:p>
            <w:pPr>
              <w:spacing w:after="0" w:line="203" w:lineRule="exact"/>
              <w:rPr>
                <w:sz w:val="20"/>
                <w:szCs w:val="20"/>
                <w:color w:val="auto"/>
              </w:rPr>
            </w:pPr>
            <w:r>
              <w:rPr>
                <w:rFonts w:ascii="Times New Roman" w:cs="Times New Roman" w:eastAsia="Times New Roman" w:hAnsi="Times New Roman"/>
                <w:sz w:val="16"/>
                <w:szCs w:val="16"/>
                <w:b w:val="1"/>
                <w:bCs w:val="1"/>
                <w:i w:val="1"/>
                <w:iCs w:val="1"/>
                <w:color w:val="auto"/>
              </w:rPr>
              <w:t xml:space="preserve">Non-GAAP Results </w:t>
            </w:r>
            <w:r>
              <w:rPr>
                <w:rFonts w:ascii="Times New Roman" w:cs="Times New Roman" w:eastAsia="Times New Roman" w:hAnsi="Times New Roman"/>
                <w:sz w:val="21"/>
                <w:szCs w:val="21"/>
                <w:b w:val="1"/>
                <w:bCs w:val="1"/>
                <w:i w:val="1"/>
                <w:iCs w:val="1"/>
                <w:color w:val="auto"/>
                <w:vertAlign w:val="superscript"/>
              </w:rPr>
              <w:t>(1) (3)</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auto"/>
            </w:tcBorders>
            <w:shd w:val="clear" w:color="auto" w:fill="CCEEFF"/>
          </w:tcPr>
          <w:p>
            <w:pPr>
              <w:spacing w:after="0"/>
              <w:rPr>
                <w:sz w:val="19"/>
                <w:szCs w:val="19"/>
                <w:color w:val="auto"/>
              </w:rPr>
            </w:pPr>
          </w:p>
        </w:tc>
        <w:tc>
          <w:tcPr>
            <w:tcW w:w="5040" w:type="dxa"/>
            <w:vAlign w:val="bottom"/>
            <w:tcBorders>
              <w:top w:val="single" w:sz="8" w:color="auto"/>
            </w:tcBorders>
            <w:gridSpan w:val="2"/>
            <w:shd w:val="clear" w:color="auto" w:fill="CCEEFF"/>
          </w:tcPr>
          <w:p>
            <w:pPr>
              <w:spacing w:after="0" w:line="223" w:lineRule="exact"/>
              <w:rPr>
                <w:sz w:val="20"/>
                <w:szCs w:val="20"/>
                <w:color w:val="auto"/>
              </w:rPr>
            </w:pPr>
            <w:r>
              <w:rPr>
                <w:rFonts w:ascii="Times New Roman" w:cs="Times New Roman" w:eastAsia="Times New Roman" w:hAnsi="Times New Roman"/>
                <w:sz w:val="18"/>
                <w:szCs w:val="18"/>
                <w:color w:val="auto"/>
              </w:rPr>
              <w:t xml:space="preserve">Adjusted net income attributable to PAA </w:t>
            </w:r>
            <w:r>
              <w:rPr>
                <w:rFonts w:ascii="Times New Roman" w:cs="Times New Roman" w:eastAsia="Times New Roman" w:hAnsi="Times New Roman"/>
                <w:sz w:val="23"/>
                <w:szCs w:val="23"/>
                <w:color w:val="auto"/>
                <w:vertAlign w:val="superscript"/>
              </w:rPr>
              <w:t>(2)</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0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Diluted adjusted net income per common unit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20" w:type="dxa"/>
            <w:vAlign w:val="bottom"/>
            <w:tcBorders>
              <w:right w:val="single" w:sz="8" w:color="auto"/>
            </w:tcBorders>
          </w:tcPr>
          <w:p>
            <w:pPr>
              <w:spacing w:after="0"/>
              <w:rPr>
                <w:sz w:val="19"/>
                <w:szCs w:val="19"/>
                <w:color w:val="auto"/>
              </w:rPr>
            </w:pP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tcBorders>
              <w:right w:val="single" w:sz="8" w:color="auto"/>
            </w:tcBorders>
            <w:shd w:val="clear" w:color="auto" w:fill="CCEEFF"/>
          </w:tcPr>
          <w:p>
            <w:pPr>
              <w:spacing w:after="0"/>
              <w:rPr>
                <w:sz w:val="19"/>
                <w:szCs w:val="19"/>
                <w:color w:val="auto"/>
              </w:rPr>
            </w:pP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gridSpan w:val="3"/>
          </w:tcPr>
          <w:p>
            <w:pPr>
              <w:spacing w:after="0" w:line="230" w:lineRule="exact"/>
              <w:rPr>
                <w:sz w:val="20"/>
                <w:szCs w:val="20"/>
                <w:color w:val="auto"/>
              </w:rPr>
            </w:pPr>
            <w:r>
              <w:rPr>
                <w:rFonts w:ascii="Times New Roman" w:cs="Times New Roman" w:eastAsia="Times New Roman" w:hAnsi="Times New Roman"/>
                <w:sz w:val="18"/>
                <w:szCs w:val="18"/>
                <w:color w:val="auto"/>
              </w:rPr>
              <w:t xml:space="preserve">Adjusted EBITDA attributable to PAA </w:t>
            </w:r>
            <w:r>
              <w:rPr>
                <w:rFonts w:ascii="Times New Roman" w:cs="Times New Roman" w:eastAsia="Times New Roman" w:hAnsi="Times New Roman"/>
                <w:sz w:val="23"/>
                <w:szCs w:val="23"/>
                <w:color w:val="auto"/>
                <w:vertAlign w:val="superscript"/>
              </w:rPr>
              <w:t>(2)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Implied DCF per common unit and common unit equivalent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20" w:type="dxa"/>
            <w:vAlign w:val="bottom"/>
            <w:tcBorders>
              <w:right w:val="single" w:sz="8" w:color="auto"/>
            </w:tcBorders>
            <w:shd w:val="clear" w:color="auto" w:fill="CCEEFF"/>
          </w:tcPr>
          <w:p>
            <w:pPr>
              <w:spacing w:after="0"/>
              <w:rPr>
                <w:sz w:val="19"/>
                <w:szCs w:val="19"/>
                <w:color w:val="auto"/>
              </w:rPr>
            </w:pP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40" w:type="dxa"/>
            <w:vAlign w:val="bottom"/>
            <w:gridSpan w:val="3"/>
          </w:tcPr>
          <w:p>
            <w:pPr>
              <w:spacing w:after="0" w:line="230" w:lineRule="exact"/>
              <w:rPr>
                <w:sz w:val="20"/>
                <w:szCs w:val="20"/>
                <w:color w:val="auto"/>
              </w:rPr>
            </w:pPr>
            <w:r>
              <w:rPr>
                <w:rFonts w:ascii="Times New Roman" w:cs="Times New Roman" w:eastAsia="Times New Roman" w:hAnsi="Times New Roman"/>
                <w:sz w:val="18"/>
                <w:szCs w:val="18"/>
                <w:color w:val="auto"/>
              </w:rPr>
              <w:t xml:space="preserve">Adjusted Free Cash Flow </w:t>
            </w:r>
            <w:r>
              <w:rPr>
                <w:rFonts w:ascii="Times New Roman" w:cs="Times New Roman" w:eastAsia="Times New Roman" w:hAnsi="Times New Roman"/>
                <w:sz w:val="23"/>
                <w:szCs w:val="23"/>
                <w:color w:val="auto"/>
                <w:vertAlign w:val="superscript"/>
              </w:rPr>
              <w:t>(4)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right w:val="single" w:sz="8" w:color="auto"/>
            </w:tcBorders>
          </w:tcPr>
          <w:p>
            <w:pPr>
              <w:spacing w:after="0"/>
              <w:rPr>
                <w:sz w:val="19"/>
                <w:szCs w:val="19"/>
                <w:color w:val="auto"/>
              </w:rPr>
            </w:pP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140" w:type="dxa"/>
            <w:vAlign w:val="bottom"/>
            <w:gridSpan w:val="3"/>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Adjusted Free Cash Flow after Distributions </w:t>
            </w:r>
            <w:r>
              <w:rPr>
                <w:rFonts w:ascii="Times New Roman" w:cs="Times New Roman" w:eastAsia="Times New Roman" w:hAnsi="Times New Roman"/>
                <w:sz w:val="23"/>
                <w:szCs w:val="23"/>
                <w:color w:val="auto"/>
                <w:vertAlign w:val="superscript"/>
              </w:rPr>
              <w:t>(4)</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tcBorders>
              <w:right w:val="single" w:sz="8" w:color="auto"/>
            </w:tcBorders>
            <w:shd w:val="clear" w:color="auto" w:fill="CCEEFF"/>
          </w:tcPr>
          <w:p>
            <w:pPr>
              <w:spacing w:after="0"/>
              <w:rPr>
                <w:sz w:val="19"/>
                <w:szCs w:val="19"/>
                <w:color w:val="auto"/>
              </w:rPr>
            </w:pP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14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Adjusted Free Cash Flow (Excluding Changes in Assets &amp;</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gridSpan w:val="3"/>
          </w:tcPr>
          <w:p>
            <w:pPr>
              <w:ind w:left="80"/>
              <w:spacing w:after="0" w:line="243" w:lineRule="exact"/>
              <w:rPr>
                <w:sz w:val="20"/>
                <w:szCs w:val="20"/>
                <w:color w:val="auto"/>
              </w:rPr>
            </w:pPr>
            <w:r>
              <w:rPr>
                <w:rFonts w:ascii="Times New Roman" w:cs="Times New Roman" w:eastAsia="Times New Roman" w:hAnsi="Times New Roman"/>
                <w:sz w:val="18"/>
                <w:szCs w:val="18"/>
                <w:color w:val="auto"/>
              </w:rPr>
              <w:t xml:space="preserve">Liabilities) </w:t>
            </w:r>
            <w:r>
              <w:rPr>
                <w:rFonts w:ascii="Times New Roman" w:cs="Times New Roman" w:eastAsia="Times New Roman" w:hAnsi="Times New Roman"/>
                <w:sz w:val="23"/>
                <w:szCs w:val="23"/>
                <w:color w:val="auto"/>
                <w:vertAlign w:val="superscript"/>
              </w:rPr>
              <w:t>(4)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right w:val="single" w:sz="8" w:color="auto"/>
            </w:tcBorders>
          </w:tcPr>
          <w:p>
            <w:pPr>
              <w:spacing w:after="0"/>
              <w:rPr>
                <w:sz w:val="21"/>
                <w:szCs w:val="21"/>
                <w:color w:val="auto"/>
              </w:rPr>
            </w:pP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514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Adjusted Free Cash Flow after Distributions (Excluding Changes in</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5140" w:type="dxa"/>
            <w:vAlign w:val="bottom"/>
            <w:gridSpan w:val="3"/>
            <w:shd w:val="clear" w:color="auto" w:fill="CCEEFF"/>
          </w:tcPr>
          <w:p>
            <w:pPr>
              <w:ind w:left="80"/>
              <w:spacing w:after="0" w:line="243" w:lineRule="exact"/>
              <w:rPr>
                <w:sz w:val="20"/>
                <w:szCs w:val="20"/>
                <w:color w:val="auto"/>
              </w:rPr>
            </w:pPr>
            <w:r>
              <w:rPr>
                <w:rFonts w:ascii="Times New Roman" w:cs="Times New Roman" w:eastAsia="Times New Roman" w:hAnsi="Times New Roman"/>
                <w:sz w:val="18"/>
                <w:szCs w:val="18"/>
                <w:color w:val="auto"/>
              </w:rPr>
              <w:t xml:space="preserve">Assets &amp; Liabilities) </w:t>
            </w:r>
            <w:r>
              <w:rPr>
                <w:rFonts w:ascii="Times New Roman" w:cs="Times New Roman" w:eastAsia="Times New Roman" w:hAnsi="Times New Roman"/>
                <w:sz w:val="23"/>
                <w:szCs w:val="23"/>
                <w:color w:val="auto"/>
                <w:vertAlign w:val="superscript"/>
              </w:rPr>
              <w:t>(4)</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Borders>
              <w:right w:val="single" w:sz="8" w:color="auto"/>
            </w:tcBorders>
            <w:shd w:val="clear" w:color="auto" w:fill="CCEEFF"/>
          </w:tcPr>
          <w:p>
            <w:pPr>
              <w:spacing w:after="0"/>
              <w:rPr>
                <w:sz w:val="21"/>
                <w:szCs w:val="21"/>
                <w:color w:val="auto"/>
              </w:rPr>
            </w:pP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24599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Indicates that variance as a percentage is not meaningful.</w:t>
      </w:r>
    </w:p>
    <w:p>
      <w:pPr>
        <w:spacing w:after="0" w:line="63" w:lineRule="exact"/>
        <w:rPr>
          <w:sz w:val="20"/>
          <w:szCs w:val="20"/>
          <w:color w:val="auto"/>
        </w:rPr>
      </w:pPr>
    </w:p>
    <w:p>
      <w:pPr>
        <w:ind w:left="340" w:right="700" w:hanging="332"/>
        <w:spacing w:after="0" w:line="229" w:lineRule="auto"/>
        <w:tabs>
          <w:tab w:leader="none" w:pos="328"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results from continuing operations and discontinued operations for all periods presented. See the tables attached hereto for additional information.</w:t>
      </w:r>
    </w:p>
    <w:p>
      <w:pPr>
        <w:spacing w:after="0" w:line="36" w:lineRule="exact"/>
        <w:rPr>
          <w:rFonts w:ascii="Times New Roman" w:cs="Times New Roman" w:eastAsia="Times New Roman" w:hAnsi="Times New Roman"/>
          <w:sz w:val="23"/>
          <w:szCs w:val="23"/>
          <w:color w:val="auto"/>
          <w:vertAlign w:val="superscript"/>
        </w:rPr>
      </w:pPr>
    </w:p>
    <w:p>
      <w:pPr>
        <w:ind w:left="340" w:right="140" w:hanging="332"/>
        <w:spacing w:after="0" w:line="229" w:lineRule="auto"/>
        <w:tabs>
          <w:tab w:leader="none" w:pos="328"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Excludes amounts attributable to noncontrolling interests in the Plains Oryx Permian Basin LLC (the “Permian JV”), Cactus II Pipeline LLC and Red River Pipeline LLC joint ventures.</w:t>
      </w:r>
    </w:p>
    <w:p>
      <w:pPr>
        <w:spacing w:after="0" w:line="36" w:lineRule="exact"/>
        <w:rPr>
          <w:rFonts w:ascii="Times New Roman" w:cs="Times New Roman" w:eastAsia="Times New Roman" w:hAnsi="Times New Roman"/>
          <w:sz w:val="23"/>
          <w:szCs w:val="23"/>
          <w:color w:val="auto"/>
          <w:vertAlign w:val="superscript"/>
        </w:rPr>
      </w:pPr>
    </w:p>
    <w:p>
      <w:pPr>
        <w:jc w:val="both"/>
        <w:ind w:left="340" w:right="260" w:hanging="332"/>
        <w:spacing w:after="0" w:line="251" w:lineRule="auto"/>
        <w:tabs>
          <w:tab w:leader="none" w:pos="328" w:val="left"/>
        </w:tabs>
        <w:numPr>
          <w:ilvl w:val="0"/>
          <w:numId w:val="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See the section of this release entitled “Non-GAAP Financial Measures and Selected Items Impacting Comparability” and the tables attached hereto for information regarding our Non-GAAP financial measures, including their reconciliation to the most directly comparable measures as reported in accordance with GAAP, and certain selected items that PAA believes impact comparability of financial results between reporting periods.</w:t>
      </w:r>
    </w:p>
    <w:p>
      <w:pPr>
        <w:ind w:left="320" w:hanging="312"/>
        <w:spacing w:after="0"/>
        <w:tabs>
          <w:tab w:leader="none" w:pos="320"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six months ended June 30, 2025 includes the impact of a net cash outflow of $681 million for bolt-on acquisitions.</w:t>
      </w:r>
    </w:p>
    <w:p>
      <w:pPr>
        <w:spacing w:after="0" w:line="157" w:lineRule="exact"/>
        <w:rPr>
          <w:rFonts w:ascii="Times New Roman" w:cs="Times New Roman" w:eastAsia="Times New Roman" w:hAnsi="Times New Roman"/>
          <w:sz w:val="23"/>
          <w:szCs w:val="23"/>
          <w:color w:val="auto"/>
          <w:vertAlign w:val="superscript"/>
        </w:rPr>
      </w:pPr>
    </w:p>
    <w:p>
      <w:pPr>
        <w:ind w:left="5440" w:hanging="106"/>
        <w:spacing w:after="0"/>
        <w:tabs>
          <w:tab w:leader="none" w:pos="54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auto"/>
        </w:rPr>
        <w:t>Page 3</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Disaggregation of Adjusted EBITDA by Product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23"/>
          <w:szCs w:val="23"/>
          <w:color w:val="auto"/>
          <w:vertAlign w:val="superscript"/>
        </w:rPr>
        <w:t>(1) (2)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(unaudited)</w:t>
      </w:r>
    </w:p>
    <w:p>
      <w:pPr>
        <w:spacing w:after="0"/>
        <w:rPr>
          <w:sz w:val="20"/>
          <w:szCs w:val="20"/>
          <w:color w:val="auto"/>
        </w:rPr>
      </w:pPr>
      <w:r>
        <w:rPr>
          <w:rFonts w:ascii="Times New Roman" w:cs="Times New Roman" w:eastAsia="Times New Roman" w:hAnsi="Times New Roman"/>
          <w:sz w:val="18"/>
          <w:szCs w:val="18"/>
          <w:color w:val="auto"/>
        </w:rPr>
        <w:t>(in millions)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Adjusted EBITDA from</w:t>
            </w:r>
          </w:p>
        </w:tc>
        <w:tc>
          <w:tcPr>
            <w:tcW w:w="140" w:type="dxa"/>
            <w:vAlign w:val="bottom"/>
          </w:tcPr>
          <w:p>
            <w:pPr>
              <w:spacing w:after="0"/>
              <w:rPr>
                <w:sz w:val="16"/>
                <w:szCs w:val="16"/>
                <w:color w:val="auto"/>
              </w:rPr>
            </w:pPr>
          </w:p>
        </w:tc>
        <w:tc>
          <w:tcPr>
            <w:tcW w:w="1940" w:type="dxa"/>
            <w:vAlign w:val="bottom"/>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rPr>
              <w:t>Adjusted EBITDA from</w:t>
            </w:r>
          </w:p>
        </w:tc>
      </w:tr>
      <w:tr>
        <w:trPr>
          <w:trHeight w:val="214"/>
        </w:trPr>
        <w:tc>
          <w:tcPr>
            <w:tcW w:w="8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Crude Oil</w:t>
            </w:r>
          </w:p>
        </w:tc>
        <w:tc>
          <w:tcPr>
            <w:tcW w:w="140" w:type="dxa"/>
            <w:vAlign w:val="bottom"/>
          </w:tcPr>
          <w:p>
            <w:pPr>
              <w:spacing w:after="0"/>
              <w:rPr>
                <w:sz w:val="18"/>
                <w:szCs w:val="18"/>
                <w:color w:val="auto"/>
              </w:rPr>
            </w:pPr>
          </w:p>
        </w:tc>
        <w:tc>
          <w:tcPr>
            <w:tcW w:w="1940" w:type="dxa"/>
            <w:vAlign w:val="bottom"/>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w w:val="97"/>
              </w:rPr>
              <w:t>NGL</w:t>
            </w:r>
          </w:p>
        </w:tc>
      </w:tr>
      <w:tr>
        <w:trPr>
          <w:trHeight w:val="250"/>
        </w:trPr>
        <w:tc>
          <w:tcPr>
            <w:tcW w:w="80" w:type="dxa"/>
            <w:vAlign w:val="bottom"/>
          </w:tcPr>
          <w:p>
            <w:pPr>
              <w:spacing w:after="0"/>
              <w:rPr>
                <w:sz w:val="21"/>
                <w:szCs w:val="21"/>
                <w:color w:val="auto"/>
              </w:rPr>
            </w:pPr>
          </w:p>
        </w:tc>
        <w:tc>
          <w:tcPr>
            <w:tcW w:w="68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Three Months Ended June 30, 2025</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580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top w:val="single" w:sz="8" w:color="auto"/>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87</w:t>
            </w:r>
          </w:p>
        </w:tc>
      </w:tr>
      <w:tr>
        <w:trPr>
          <w:trHeight w:val="20"/>
        </w:trPr>
        <w:tc>
          <w:tcPr>
            <w:tcW w:w="80" w:type="dxa"/>
            <w:vAlign w:val="bottom"/>
          </w:tcPr>
          <w:p>
            <w:pPr>
              <w:spacing w:after="0" w:line="20" w:lineRule="exact"/>
              <w:rPr>
                <w:sz w:val="1"/>
                <w:szCs w:val="1"/>
                <w:color w:val="auto"/>
              </w:rPr>
            </w:pPr>
          </w:p>
        </w:tc>
        <w:tc>
          <w:tcPr>
            <w:tcW w:w="3800" w:type="dxa"/>
            <w:vAlign w:val="bottom"/>
            <w:tcBorders>
              <w:top w:val="single" w:sz="8" w:color="CCEEFF"/>
            </w:tcBorders>
          </w:tcPr>
          <w:p>
            <w:pPr>
              <w:spacing w:after="0" w:line="20" w:lineRule="exact"/>
              <w:rPr>
                <w:sz w:val="1"/>
                <w:szCs w:val="1"/>
                <w:color w:val="auto"/>
              </w:rPr>
            </w:pPr>
          </w:p>
        </w:tc>
        <w:tc>
          <w:tcPr>
            <w:tcW w:w="3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0" w:type="dxa"/>
            <w:vAlign w:val="bottom"/>
          </w:tcPr>
          <w:p>
            <w:pPr>
              <w:spacing w:after="0"/>
              <w:rPr>
                <w:sz w:val="17"/>
                <w:szCs w:val="17"/>
                <w:color w:val="auto"/>
              </w:rPr>
            </w:pPr>
          </w:p>
        </w:tc>
        <w:tc>
          <w:tcPr>
            <w:tcW w:w="682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8"/>
                <w:szCs w:val="18"/>
                <w:color w:val="auto"/>
              </w:rPr>
              <w:t>Three Months Ended June 30, 2024</w:t>
            </w: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tcPr>
          <w:p>
            <w:pPr>
              <w:jc w:val="right"/>
              <w:ind w:right="134"/>
              <w:spacing w:after="0" w:line="203" w:lineRule="exact"/>
              <w:rPr>
                <w:sz w:val="20"/>
                <w:szCs w:val="20"/>
                <w:color w:val="auto"/>
              </w:rPr>
            </w:pPr>
            <w:r>
              <w:rPr>
                <w:rFonts w:ascii="Times New Roman" w:cs="Times New Roman" w:eastAsia="Times New Roman" w:hAnsi="Times New Roman"/>
                <w:sz w:val="18"/>
                <w:szCs w:val="18"/>
                <w:color w:val="auto"/>
              </w:rPr>
              <w:t>576</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tcPr>
          <w:p>
            <w:pPr>
              <w:jc w:val="right"/>
              <w:ind w:right="154"/>
              <w:spacing w:after="0" w:line="203" w:lineRule="exact"/>
              <w:rPr>
                <w:sz w:val="20"/>
                <w:szCs w:val="20"/>
                <w:color w:val="auto"/>
              </w:rPr>
            </w:pPr>
            <w:r>
              <w:rPr>
                <w:rFonts w:ascii="Times New Roman" w:cs="Times New Roman" w:eastAsia="Times New Roman" w:hAnsi="Times New Roman"/>
                <w:sz w:val="18"/>
                <w:szCs w:val="18"/>
                <w:color w:val="auto"/>
              </w:rPr>
              <w:t>94</w:t>
            </w:r>
          </w:p>
        </w:tc>
      </w:tr>
      <w:tr>
        <w:trPr>
          <w:trHeight w:val="20"/>
        </w:trPr>
        <w:tc>
          <w:tcPr>
            <w:tcW w:w="80" w:type="dxa"/>
            <w:vAlign w:val="bottom"/>
          </w:tcPr>
          <w:p>
            <w:pPr>
              <w:spacing w:after="0" w:line="20" w:lineRule="exact"/>
              <w:rPr>
                <w:sz w:val="1"/>
                <w:szCs w:val="1"/>
                <w:color w:val="auto"/>
              </w:rPr>
            </w:pPr>
          </w:p>
        </w:tc>
        <w:tc>
          <w:tcPr>
            <w:tcW w:w="3800" w:type="dxa"/>
            <w:vAlign w:val="bottom"/>
            <w:tcBorders>
              <w:bottom w:val="single" w:sz="8" w:color="CCEEFF"/>
            </w:tcBorders>
          </w:tcPr>
          <w:p>
            <w:pPr>
              <w:spacing w:after="0" w:line="20" w:lineRule="exact"/>
              <w:rPr>
                <w:sz w:val="1"/>
                <w:szCs w:val="1"/>
                <w:color w:val="auto"/>
              </w:rPr>
            </w:pPr>
          </w:p>
        </w:tc>
        <w:tc>
          <w:tcPr>
            <w:tcW w:w="30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r>
        <w:trPr>
          <w:trHeight w:val="248"/>
        </w:trPr>
        <w:tc>
          <w:tcPr>
            <w:tcW w:w="80" w:type="dxa"/>
            <w:vAlign w:val="bottom"/>
          </w:tcPr>
          <w:p>
            <w:pPr>
              <w:spacing w:after="0"/>
              <w:rPr>
                <w:sz w:val="21"/>
                <w:szCs w:val="21"/>
                <w:color w:val="auto"/>
              </w:rPr>
            </w:pPr>
          </w:p>
        </w:tc>
        <w:tc>
          <w:tcPr>
            <w:tcW w:w="6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Percentage change versus 2024 period</w:t>
            </w:r>
          </w:p>
        </w:tc>
        <w:tc>
          <w:tcPr>
            <w:tcW w:w="160" w:type="dxa"/>
            <w:vAlign w:val="bottom"/>
            <w:tcBorders>
              <w:bottom w:val="single" w:sz="8" w:color="auto"/>
            </w:tcBorders>
            <w:shd w:val="clear" w:color="auto" w:fill="CCEEFF"/>
          </w:tcPr>
          <w:p>
            <w:pPr>
              <w:spacing w:after="0"/>
              <w:rPr>
                <w:sz w:val="21"/>
                <w:szCs w:val="21"/>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1 %</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(7)%</w:t>
            </w:r>
          </w:p>
        </w:tc>
      </w:tr>
      <w:tr>
        <w:trPr>
          <w:trHeight w:val="20"/>
        </w:trPr>
        <w:tc>
          <w:tcPr>
            <w:tcW w:w="80" w:type="dxa"/>
            <w:vAlign w:val="bottom"/>
          </w:tcPr>
          <w:p>
            <w:pPr>
              <w:spacing w:after="0" w:line="20" w:lineRule="exact"/>
              <w:rPr>
                <w:sz w:val="1"/>
                <w:szCs w:val="1"/>
                <w:color w:val="auto"/>
              </w:rPr>
            </w:pPr>
          </w:p>
        </w:tc>
        <w:tc>
          <w:tcPr>
            <w:tcW w:w="3800" w:type="dxa"/>
            <w:vAlign w:val="bottom"/>
            <w:tcBorders>
              <w:top w:val="single" w:sz="8" w:color="CCEEFF"/>
            </w:tcBorders>
          </w:tcPr>
          <w:p>
            <w:pPr>
              <w:spacing w:after="0" w:line="20" w:lineRule="exact"/>
              <w:rPr>
                <w:sz w:val="1"/>
                <w:szCs w:val="1"/>
                <w:color w:val="auto"/>
              </w:rPr>
            </w:pPr>
          </w:p>
        </w:tc>
        <w:tc>
          <w:tcPr>
            <w:tcW w:w="3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r>
        <w:trPr>
          <w:trHeight w:val="379"/>
        </w:trPr>
        <w:tc>
          <w:tcPr>
            <w:tcW w:w="8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Adjusted EBITDA from</w:t>
            </w:r>
          </w:p>
        </w:tc>
        <w:tc>
          <w:tcPr>
            <w:tcW w:w="140" w:type="dxa"/>
            <w:vAlign w:val="bottom"/>
          </w:tcPr>
          <w:p>
            <w:pPr>
              <w:spacing w:after="0"/>
              <w:rPr>
                <w:sz w:val="24"/>
                <w:szCs w:val="24"/>
                <w:color w:val="auto"/>
              </w:rPr>
            </w:pPr>
          </w:p>
        </w:tc>
        <w:tc>
          <w:tcPr>
            <w:tcW w:w="1940" w:type="dxa"/>
            <w:vAlign w:val="bottom"/>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rPr>
              <w:t>Adjusted EBITDA from</w:t>
            </w:r>
          </w:p>
        </w:tc>
      </w:tr>
      <w:tr>
        <w:trPr>
          <w:trHeight w:val="214"/>
        </w:trPr>
        <w:tc>
          <w:tcPr>
            <w:tcW w:w="8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Crude Oil</w:t>
            </w:r>
          </w:p>
        </w:tc>
        <w:tc>
          <w:tcPr>
            <w:tcW w:w="140" w:type="dxa"/>
            <w:vAlign w:val="bottom"/>
          </w:tcPr>
          <w:p>
            <w:pPr>
              <w:spacing w:after="0"/>
              <w:rPr>
                <w:sz w:val="18"/>
                <w:szCs w:val="18"/>
                <w:color w:val="auto"/>
              </w:rPr>
            </w:pPr>
          </w:p>
        </w:tc>
        <w:tc>
          <w:tcPr>
            <w:tcW w:w="1940" w:type="dxa"/>
            <w:vAlign w:val="bottom"/>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w w:val="97"/>
              </w:rPr>
              <w:t>NGL</w:t>
            </w:r>
          </w:p>
        </w:tc>
      </w:tr>
      <w:tr>
        <w:trPr>
          <w:trHeight w:val="250"/>
        </w:trPr>
        <w:tc>
          <w:tcPr>
            <w:tcW w:w="80" w:type="dxa"/>
            <w:vAlign w:val="bottom"/>
          </w:tcPr>
          <w:p>
            <w:pPr>
              <w:spacing w:after="0"/>
              <w:rPr>
                <w:sz w:val="21"/>
                <w:szCs w:val="21"/>
                <w:color w:val="auto"/>
              </w:rPr>
            </w:pPr>
          </w:p>
        </w:tc>
        <w:tc>
          <w:tcPr>
            <w:tcW w:w="68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Six Months Ended June 30, 2025</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1,140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top w:val="single" w:sz="8" w:color="auto"/>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276</w:t>
            </w:r>
          </w:p>
        </w:tc>
      </w:tr>
      <w:tr>
        <w:trPr>
          <w:trHeight w:val="20"/>
        </w:trPr>
        <w:tc>
          <w:tcPr>
            <w:tcW w:w="80" w:type="dxa"/>
            <w:vAlign w:val="bottom"/>
          </w:tcPr>
          <w:p>
            <w:pPr>
              <w:spacing w:after="0" w:line="20" w:lineRule="exact"/>
              <w:rPr>
                <w:sz w:val="1"/>
                <w:szCs w:val="1"/>
                <w:color w:val="auto"/>
              </w:rPr>
            </w:pPr>
          </w:p>
        </w:tc>
        <w:tc>
          <w:tcPr>
            <w:tcW w:w="3800" w:type="dxa"/>
            <w:vAlign w:val="bottom"/>
            <w:tcBorders>
              <w:top w:val="single" w:sz="8" w:color="CCEEFF"/>
            </w:tcBorders>
          </w:tcPr>
          <w:p>
            <w:pPr>
              <w:spacing w:after="0" w:line="20" w:lineRule="exact"/>
              <w:rPr>
                <w:sz w:val="1"/>
                <w:szCs w:val="1"/>
                <w:color w:val="auto"/>
              </w:rPr>
            </w:pPr>
          </w:p>
        </w:tc>
        <w:tc>
          <w:tcPr>
            <w:tcW w:w="3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0" w:type="dxa"/>
            <w:vAlign w:val="bottom"/>
          </w:tcPr>
          <w:p>
            <w:pPr>
              <w:spacing w:after="0"/>
              <w:rPr>
                <w:sz w:val="17"/>
                <w:szCs w:val="17"/>
                <w:color w:val="auto"/>
              </w:rPr>
            </w:pPr>
          </w:p>
        </w:tc>
        <w:tc>
          <w:tcPr>
            <w:tcW w:w="682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8"/>
                <w:szCs w:val="18"/>
                <w:color w:val="auto"/>
              </w:rPr>
              <w:t>Six Months Ended June 30, 2024</w:t>
            </w: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tcPr>
          <w:p>
            <w:pPr>
              <w:jc w:val="right"/>
              <w:ind w:right="134"/>
              <w:spacing w:after="0" w:line="203" w:lineRule="exact"/>
              <w:rPr>
                <w:sz w:val="20"/>
                <w:szCs w:val="20"/>
                <w:color w:val="auto"/>
              </w:rPr>
            </w:pPr>
            <w:r>
              <w:rPr>
                <w:rFonts w:ascii="Times New Roman" w:cs="Times New Roman" w:eastAsia="Times New Roman" w:hAnsi="Times New Roman"/>
                <w:sz w:val="18"/>
                <w:szCs w:val="18"/>
                <w:color w:val="auto"/>
              </w:rPr>
              <w:t>1,130</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tcPr>
          <w:p>
            <w:pPr>
              <w:jc w:val="right"/>
              <w:ind w:right="154"/>
              <w:spacing w:after="0" w:line="203" w:lineRule="exact"/>
              <w:rPr>
                <w:sz w:val="20"/>
                <w:szCs w:val="20"/>
                <w:color w:val="auto"/>
              </w:rPr>
            </w:pPr>
            <w:r>
              <w:rPr>
                <w:rFonts w:ascii="Times New Roman" w:cs="Times New Roman" w:eastAsia="Times New Roman" w:hAnsi="Times New Roman"/>
                <w:sz w:val="18"/>
                <w:szCs w:val="18"/>
                <w:color w:val="auto"/>
              </w:rPr>
              <w:t>253</w:t>
            </w:r>
          </w:p>
        </w:tc>
      </w:tr>
      <w:tr>
        <w:trPr>
          <w:trHeight w:val="20"/>
        </w:trPr>
        <w:tc>
          <w:tcPr>
            <w:tcW w:w="80" w:type="dxa"/>
            <w:vAlign w:val="bottom"/>
          </w:tcPr>
          <w:p>
            <w:pPr>
              <w:spacing w:after="0" w:line="20" w:lineRule="exact"/>
              <w:rPr>
                <w:sz w:val="1"/>
                <w:szCs w:val="1"/>
                <w:color w:val="auto"/>
              </w:rPr>
            </w:pPr>
          </w:p>
        </w:tc>
        <w:tc>
          <w:tcPr>
            <w:tcW w:w="3800" w:type="dxa"/>
            <w:vAlign w:val="bottom"/>
            <w:tcBorders>
              <w:bottom w:val="single" w:sz="8" w:color="CCEEFF"/>
            </w:tcBorders>
          </w:tcPr>
          <w:p>
            <w:pPr>
              <w:spacing w:after="0" w:line="20" w:lineRule="exact"/>
              <w:rPr>
                <w:sz w:val="1"/>
                <w:szCs w:val="1"/>
                <w:color w:val="auto"/>
              </w:rPr>
            </w:pPr>
          </w:p>
        </w:tc>
        <w:tc>
          <w:tcPr>
            <w:tcW w:w="30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r>
        <w:trPr>
          <w:trHeight w:val="248"/>
        </w:trPr>
        <w:tc>
          <w:tcPr>
            <w:tcW w:w="80" w:type="dxa"/>
            <w:vAlign w:val="bottom"/>
          </w:tcPr>
          <w:p>
            <w:pPr>
              <w:spacing w:after="0"/>
              <w:rPr>
                <w:sz w:val="21"/>
                <w:szCs w:val="21"/>
                <w:color w:val="auto"/>
              </w:rPr>
            </w:pPr>
          </w:p>
        </w:tc>
        <w:tc>
          <w:tcPr>
            <w:tcW w:w="6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Percentage change versus 2024 period</w:t>
            </w:r>
          </w:p>
        </w:tc>
        <w:tc>
          <w:tcPr>
            <w:tcW w:w="160" w:type="dxa"/>
            <w:vAlign w:val="bottom"/>
            <w:tcBorders>
              <w:bottom w:val="single" w:sz="8" w:color="auto"/>
            </w:tcBorders>
            <w:shd w:val="clear" w:color="auto" w:fill="CCEEFF"/>
          </w:tcPr>
          <w:p>
            <w:pPr>
              <w:spacing w:after="0"/>
              <w:rPr>
                <w:sz w:val="21"/>
                <w:szCs w:val="21"/>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1 %</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9 %</w:t>
            </w:r>
          </w:p>
        </w:tc>
      </w:tr>
      <w:tr>
        <w:trPr>
          <w:trHeight w:val="20"/>
        </w:trPr>
        <w:tc>
          <w:tcPr>
            <w:tcW w:w="80" w:type="dxa"/>
            <w:vAlign w:val="bottom"/>
          </w:tcPr>
          <w:p>
            <w:pPr>
              <w:spacing w:after="0" w:line="20" w:lineRule="exact"/>
              <w:rPr>
                <w:sz w:val="1"/>
                <w:szCs w:val="1"/>
                <w:color w:val="auto"/>
              </w:rPr>
            </w:pPr>
          </w:p>
        </w:tc>
        <w:tc>
          <w:tcPr>
            <w:tcW w:w="3800" w:type="dxa"/>
            <w:vAlign w:val="bottom"/>
            <w:tcBorders>
              <w:top w:val="single" w:sz="8" w:color="CCEEFF"/>
            </w:tcBorders>
          </w:tcPr>
          <w:p>
            <w:pPr>
              <w:spacing w:after="0" w:line="20" w:lineRule="exact"/>
              <w:rPr>
                <w:sz w:val="1"/>
                <w:szCs w:val="1"/>
                <w:color w:val="auto"/>
              </w:rPr>
            </w:pPr>
          </w:p>
        </w:tc>
        <w:tc>
          <w:tcPr>
            <w:tcW w:w="3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r>
        <w:trPr>
          <w:trHeight w:val="150"/>
        </w:trPr>
        <w:tc>
          <w:tcPr>
            <w:tcW w:w="80" w:type="dxa"/>
            <w:vAlign w:val="bottom"/>
            <w:tcBorders>
              <w:bottom w:val="single" w:sz="8" w:color="auto"/>
            </w:tcBorders>
          </w:tcPr>
          <w:p>
            <w:pPr>
              <w:spacing w:after="0"/>
              <w:rPr>
                <w:sz w:val="13"/>
                <w:szCs w:val="13"/>
                <w:color w:val="auto"/>
              </w:rPr>
            </w:pPr>
          </w:p>
        </w:tc>
        <w:tc>
          <w:tcPr>
            <w:tcW w:w="3800" w:type="dxa"/>
            <w:vAlign w:val="bottom"/>
            <w:tcBorders>
              <w:bottom w:val="single" w:sz="8" w:color="auto"/>
            </w:tcBorders>
          </w:tcPr>
          <w:p>
            <w:pPr>
              <w:spacing w:after="0"/>
              <w:rPr>
                <w:sz w:val="13"/>
                <w:szCs w:val="13"/>
                <w:color w:val="auto"/>
              </w:rPr>
            </w:pPr>
          </w:p>
        </w:tc>
        <w:tc>
          <w:tcPr>
            <w:tcW w:w="3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40" w:type="dxa"/>
            <w:vAlign w:val="bottom"/>
          </w:tcPr>
          <w:p>
            <w:pPr>
              <w:spacing w:after="0"/>
              <w:rPr>
                <w:sz w:val="13"/>
                <w:szCs w:val="13"/>
                <w:color w:val="auto"/>
              </w:rPr>
            </w:pPr>
          </w:p>
        </w:tc>
      </w:tr>
    </w:tbl>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Indicates that variance as a percentage is not meaningful.</w:t>
      </w:r>
    </w:p>
    <w:p>
      <w:pPr>
        <w:spacing w:after="0" w:line="33" w:lineRule="exact"/>
        <w:rPr>
          <w:sz w:val="20"/>
          <w:szCs w:val="20"/>
          <w:color w:val="auto"/>
        </w:rPr>
      </w:pPr>
    </w:p>
    <w:p>
      <w:pPr>
        <w:ind w:left="320" w:hanging="312"/>
        <w:spacing w:after="0"/>
        <w:tabs>
          <w:tab w:leader="none" w:pos="320"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results from continuing operations and discontinued operations for all periods presented.</w:t>
      </w:r>
    </w:p>
    <w:p>
      <w:pPr>
        <w:spacing w:after="0" w:line="55" w:lineRule="exact"/>
        <w:rPr>
          <w:rFonts w:ascii="Times New Roman" w:cs="Times New Roman" w:eastAsia="Times New Roman" w:hAnsi="Times New Roman"/>
          <w:sz w:val="23"/>
          <w:szCs w:val="23"/>
          <w:color w:val="auto"/>
          <w:vertAlign w:val="superscript"/>
        </w:rPr>
      </w:pPr>
    </w:p>
    <w:p>
      <w:pPr>
        <w:jc w:val="both"/>
        <w:ind w:left="340" w:right="240" w:hanging="332"/>
        <w:spacing w:after="0" w:line="241" w:lineRule="auto"/>
        <w:tabs>
          <w:tab w:leader="none" w:pos="328"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See the section of this release entitled “Non-GAAP Financial Measures and Selected Items Impacting Comparability” and the tables attached hereto for information regarding our Non-GAAP financial measures, including their reconciliation to the most directly comparable measures as reported in accordance with GAAP, and certain selected items that PAA believes impact comparability of financial results between reporting periods.</w:t>
      </w:r>
    </w:p>
    <w:p>
      <w:pPr>
        <w:spacing w:after="0" w:line="278"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Second-quarter 2025 Adjusted EBITDA from Crude Oil was in line with comparable 2024 results. Favorable results in the 2025 period from (i) higher tariff volumes on our pipelines, (ii) tariff escalations and (iii) contributions from recently completed bolt-on acquisitions were largely offset by (iv) fewer market opportunities and (v) lower commodity prices.</w:t>
      </w:r>
    </w:p>
    <w:p>
      <w:pPr>
        <w:spacing w:after="0" w:line="203"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Second-quarter 2025 Adjusted EBITDA from NGL decreased 7% versus comparable 2024 results primarily due to lower iso-to-normal butane spread benefits in the second quarter of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GP Holdings</w:t>
      </w:r>
    </w:p>
    <w:p>
      <w:pPr>
        <w:spacing w:after="0" w:line="256"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PAGP owns an indirect non-economic controlling interest in PAA’s general partner and an indirect limited partner interest in PAA. As the control entity of PAA, PAGP consolidates PAA’s results into its financial statements, which is reflected in the condensed consolidating balance sheet and income statement tables attached hereto.</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Conference Call and Webcast Instructions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PAA and PAGP will hold a joint conference call at 9:00 a.m. CT on Friday, August 8, 2025 to discuss second-quarter performance and related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items.</w:t>
      </w:r>
    </w:p>
    <w:p>
      <w:pPr>
        <w:spacing w:after="0" w:line="2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 access the internet webcast, please go to https://edge.media-server.com/mmc/p/tcbbtc6e/</w:t>
      </w:r>
    </w:p>
    <w:p>
      <w:pPr>
        <w:spacing w:after="0" w:line="252"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Alternatively, the webcast can be accessed on our website at https://ir.plains.com/news-events/events-presentations. Following the live webcast, an audio replay will be available on our website and will be accessible for a period of 365 days. Slides will be posted prior to the call at the above referenced website.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 and Selected Items Impacting Comparability</w:t>
      </w:r>
    </w:p>
    <w:p>
      <w:pPr>
        <w:spacing w:after="0" w:line="175"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To supplement our financial information presented in accordance with GAAP, management uses additional measures known as “non-GAAP financial measures” in its evaluation of past performance and prospects for the future and to assess the amount of cash that is available for distributions, debt repayments, common equity repurchases and other general partnership purposes. The primary additional measures used by management are Adjusted EBITDA, Adjusted EBITDA attributable to PAA, Implied Distributable Cash Flow (“DCF”), Adjusted Free Cash Flow and Adjusted Free Cash Flow after Distributions.</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20"/>
          </w:cols>
          <w:pgMar w:left="320" w:top="364"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auto"/>
        </w:rPr>
        <w:t>Page 4</w:t>
      </w:r>
    </w:p>
    <w:p>
      <w:pPr>
        <w:spacing w:after="0" w:line="200" w:lineRule="exact"/>
        <w:rPr>
          <w:sz w:val="20"/>
          <w:szCs w:val="20"/>
          <w:color w:val="auto"/>
        </w:rPr>
      </w:pPr>
    </w:p>
    <w:p>
      <w:pPr>
        <w:spacing w:after="0" w:line="241" w:lineRule="exact"/>
        <w:rPr>
          <w:sz w:val="20"/>
          <w:szCs w:val="20"/>
          <w:color w:val="auto"/>
        </w:rPr>
      </w:pPr>
    </w:p>
    <w:p>
      <w:pPr>
        <w:ind w:right="160" w:firstLine="648"/>
        <w:spacing w:after="0" w:line="254" w:lineRule="auto"/>
        <w:rPr>
          <w:sz w:val="20"/>
          <w:szCs w:val="20"/>
          <w:color w:val="auto"/>
        </w:rPr>
      </w:pPr>
      <w:r>
        <w:rPr>
          <w:rFonts w:ascii="Times New Roman" w:cs="Times New Roman" w:eastAsia="Times New Roman" w:hAnsi="Times New Roman"/>
          <w:sz w:val="18"/>
          <w:szCs w:val="18"/>
          <w:color w:val="auto"/>
        </w:rPr>
        <w:t>Our definition and calculation of certain non-GAAP financial measures may not be comparable to similarly-titled measures of other companies. Adjusted EBITDA, Adjusted EBITDA attributable to PAA, Implied DCF and certain other non-GAAP financial performance measures are reconciled to Net Income, and Adjusted Free Cash Flow, Adjusted Free Cash Flow after Distributions and certain other non-GAAP financial liquidity measures are reconciled to Net Cash Provided by Operating Activities (the most directly comparable measures as reported in accordance with GAAP) for the historical periods presented in the tables attached to this release, and should be viewed in addition to, and not in lieu of, our Condensed Consolidated Financial Statements and accompanying notes. In addition, we encourage you to visit our website at www.plains.com (in particular the section under “Financial Information” entitled “Non-GAAP Reconciliations” within the Investor Relations tab), which presents a reconciliation of our commonly used non-GAAP and supplemental financial measures. We do not reconcile non-GAAP financial measures on a forward-looking basis as it is impractical to do so without unreasonable effort.</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Non-GAAP Financial Performance Measures</w:t>
      </w:r>
    </w:p>
    <w:p>
      <w:pPr>
        <w:spacing w:after="0" w:line="202"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Adjusted EBITDA is defined as earnings from continuing operations and discontinued operations before (i) interest expense, (ii) income tax (expense)/benefit from continuing operations and discontinued operations, (iii) depreciation and amortization (including our proportionate share of depreciation and amortization, including write-downs related to cancelled projects and impairments, of unconsolidated entities) from continuing operations and discontinued operations, (iv) gains and losses on asset sales, asset impairments and other, net from continuing operations and discontinued operations,</w:t>
      </w:r>
    </w:p>
    <w:p>
      <w:pPr>
        <w:spacing w:after="0" w:line="3" w:lineRule="exact"/>
        <w:rPr>
          <w:sz w:val="20"/>
          <w:szCs w:val="20"/>
          <w:color w:val="auto"/>
        </w:rPr>
      </w:pPr>
    </w:p>
    <w:p>
      <w:pPr>
        <w:ind w:right="20" w:firstLine="8"/>
        <w:spacing w:after="0" w:line="253" w:lineRule="auto"/>
        <w:tabs>
          <w:tab w:leader="none" w:pos="2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gains on investments in unconsolidated entities, net and (vi) interest income on promissory notes by and among certain Plains entities, and (vii) adjusted for certain selected items impacting comparability. Adjusted EBITDA attributable to PAA excludes the portion of Adjusted EBITDA that is attributable to noncontrolling interests. Adjusted EBITDA disaggregated by product (e.g., Adjusted EBITDA from Crude Oil and Adjusted EBITDA from NGL) exclude amounts related to Other income/(expense).</w:t>
      </w:r>
    </w:p>
    <w:p>
      <w:pPr>
        <w:spacing w:after="0" w:line="148"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Management believes that the presentation of Adjusted EBITDA, Adjusted EBITDA attributable to PAA and Implied DCF provides useful information to investors regarding our performance and results of operations because these measures, when used to supplement related GAAP financial measures, (i) provide additional information about our operating performance and ability to fund distributions to our unitholders through cash generated by our operations and (ii) provide investors with the same financial analytical framework upon which management bases financial, operational, compensation and planning/budgeting decisions. We also present these and additional non-GAAP financial measures, including adjusted net income attributable to PAA and basic and diluted adjusted net income per common unit, as they are measures that investors, rating agencies and debt holders have indicated are useful in assessing us and our results of operations. These non-GAAP financial performance measures may exclude, for example, (i) charges for obligations that are expected to be settled with the issuance of equity instruments, (ii) gains and losses on derivative instruments that are related to underlying activities in another period (or the reversal of such adjustments from a prior period), gains and losses on derivatives that are either related to investing activities (such as the purchase of linefill) or purchases of long-term inventory, and inventory valuation adjustments, as applicable, (iii) long-term inventory costing adjustments, (iv) items that are not indicative of our operating results and/or (v) other items that we believe should be excluded in understanding our operating performance. These measures may be further adjusted to include amounts related to deficiencies associated with minimum volume commitments whereby we have billed the counterparties for their deficiency obligation and such amounts are recognized as deferred revenue in “Other current liabilities” in our Condensed Consolidated Financial Statements. We also adjust for amounts billed by our equity method investees related to deficiencies under minimum volume commitments. Such amounts are presented net of applicable amounts subsequently recognized into revenue. Furthermore, the calculation of these measures contemplates tax effects as a separate reconciling item, where applicable. We have defined all such items as “selected items impacting comparability.” Due to the nature of the selected items, certain selected items impacting comparability may impact certain non-GAAP financial measures, referred to as adjusted results, but not impact other non-GAAP financial measures. We do not necessarily consider all of our selected items impacting comparability to be non-recurring, infrequent or unusual, but we believe that an understanding of these selected items impacting comparability is material to the evaluation of our operating results and prospects.</w:t>
      </w:r>
    </w:p>
    <w:p>
      <w:pPr>
        <w:spacing w:after="0" w:line="14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Although we present selected items impacting comparability that management considers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divestitures, investment capital projects and numerous other factors. These types of variations may not be separately identified in this release, but will be discussed, as applicable, in management’s discussion and analysis of operating results in our Quarterly Report on Form 10-Q.</w:t>
      </w: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auto"/>
        </w:rPr>
        <w:t>Page 5</w:t>
      </w:r>
    </w:p>
    <w:p>
      <w:pPr>
        <w:spacing w:after="0" w:line="200" w:lineRule="exact"/>
        <w:rPr>
          <w:sz w:val="20"/>
          <w:szCs w:val="20"/>
          <w:color w:val="auto"/>
        </w:rPr>
      </w:pP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Non-GAAP Financial Liquidity Measures</w:t>
      </w:r>
    </w:p>
    <w:p>
      <w:pPr>
        <w:spacing w:after="0" w:line="18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Management uses the non-GAAP financial liquidity measures Adjusted Free Cash Flow and Adjusted Free Cash Flow after Distributions to assess the amount of cash that is available for distributions, debt repayments, common equity repurchases and other general partnership purposes. Adjusted Free Cash Flow is defined as Net Cash Provided by Operating Activities, less Net Cash Provided by/(Used in) Investing Activities, which primarily includes acquisition, investment and maintenance capital expenditures, investments in unconsolidated entities and related party notes and the impact from the purchase and sale of linefill, net of proceeds from the sales of assets and further impacted by distributions to and contributions from noncontrolling interests and proceeds from the issuance of related party notes. Adjusted Free Cash Flow is further reduced by cash distributions paid to our preferred and common unitholders to arrive at Adjusted Free Cash Flow after Distributions.</w:t>
      </w:r>
    </w:p>
    <w:p>
      <w:pPr>
        <w:spacing w:after="0" w:line="162"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We also present these measures and additional non-GAAP financial liquidity measures as they are measures that investors have indicated are useful. We present Adjusted Free Cash Flow (Excluding Changes in Assets &amp; Liabilities) for use in assessing our underlying business liquidity and cash flow generating capacity excluding fluctuations caused by timing of when amounts earned or incurred were collected, received or paid from period to period. Adjusted Free Cash Flow (Excluding Changes in Assets &amp; Liabilities) is defined as Adjusted Free Cash Flow excluding the impact of “Changes in assets and liabilities, net of acquisitions” on our Condensed Consolidated Statements of Cash Flows. Adjusted Free Cash Flow (Excluding Changes in Assets &amp; Liabilities) is further reduced by cash distributions paid to our preferred and common unitholders to arrive at Adjusted Free Cash Flow after Distributions (Excluding Changes in Assets &amp; Liabilities).</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Non-GAAP Financial Measures and Discontinued Operations</w:t>
      </w:r>
    </w:p>
    <w:p>
      <w:pPr>
        <w:spacing w:after="0" w:line="189"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Management believes that the presentation of certain Non-GAAP financial performance measures, such as Adjusted EBITDA, Adjusted EBITDA attributable to PAA, Implied DCF, Adjusted Net Income attributable to PAA, Adjusted Net Income per Common Unit, Adjusted EBITDA from Crude Oil and Adjusted EBITDA from NGL, and certain Non-GAAP financial liquidity measures, such as Adjusted Free Cash Flow and Adjusted Free Cash Flow (Excluding Changes in Assets &amp; Liabilities), on a consolidated basis (e.g., the aggregate of continuing operations and discontinued operations) provides more relevant and useful information regarding our performance and results of operations than presenting such metrics only on a continuing operations or discontinued operations basis. In addition, as the potential sale of the Canadian NGL Business is not anticipated to close until the first quarter of 2026, management continues to view the Canadian NGL Business as a component of our overall company performance and ability to fund distributions to our unitholders in the near term.</w:t>
      </w:r>
    </w:p>
    <w:p>
      <w:pPr>
        <w:spacing w:after="0" w:line="2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20"/>
          </w:cols>
          <w:pgMar w:left="320" w:top="364"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auto"/>
        </w:rPr>
        <w:t>Page 6</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CONSOLIDATED STATEMENTS OF OPERATIONS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 except per unit data)</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2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2120" w:type="dxa"/>
            <w:vAlign w:val="bottom"/>
            <w:gridSpan w:val="4"/>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6"/>
        </w:trPr>
        <w:tc>
          <w:tcPr>
            <w:tcW w:w="388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Borders>
              <w:bottom w:val="single" w:sz="8" w:color="auto"/>
            </w:tcBorders>
          </w:tcPr>
          <w:p>
            <w:pPr>
              <w:spacing w:after="0"/>
              <w:rPr>
                <w:sz w:val="17"/>
                <w:szCs w:val="17"/>
                <w:color w:val="auto"/>
              </w:rPr>
            </w:pPr>
          </w:p>
        </w:tc>
      </w:tr>
      <w:tr>
        <w:trPr>
          <w:trHeight w:val="196"/>
        </w:trPr>
        <w:tc>
          <w:tcPr>
            <w:tcW w:w="3880" w:type="dxa"/>
            <w:vAlign w:val="bottom"/>
            <w:tcBorders>
              <w:bottom w:val="single" w:sz="8" w:color="CCEEFF"/>
            </w:tcBorders>
          </w:tcPr>
          <w:p>
            <w:pPr>
              <w:spacing w:after="0"/>
              <w:rPr>
                <w:sz w:val="17"/>
                <w:szCs w:val="17"/>
                <w:color w:val="auto"/>
              </w:rPr>
            </w:pPr>
          </w:p>
        </w:tc>
        <w:tc>
          <w:tcPr>
            <w:tcW w:w="25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10,642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12,757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22,119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24,396</w:t>
            </w:r>
          </w:p>
        </w:tc>
      </w:tr>
      <w:tr>
        <w:trPr>
          <w:trHeight w:val="216"/>
        </w:trPr>
        <w:tc>
          <w:tcPr>
            <w:tcW w:w="38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COSTS AND EXPENSES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3"/>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Purchases and related costs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9,758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11,838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20,277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22,543</w:t>
            </w:r>
          </w:p>
        </w:tc>
      </w:tr>
      <w:tr>
        <w:trPr>
          <w:trHeight w:val="219"/>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Field operating costs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w:t>
            </w:r>
          </w:p>
        </w:tc>
      </w:tr>
      <w:tr>
        <w:trPr>
          <w:trHeight w:val="213"/>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w:t>
            </w:r>
          </w:p>
        </w:tc>
      </w:tr>
      <w:tr>
        <w:trPr>
          <w:trHeight w:val="219"/>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w:t>
            </w:r>
          </w:p>
        </w:tc>
      </w:tr>
      <w:tr>
        <w:trPr>
          <w:trHeight w:val="213"/>
        </w:trPr>
        <w:tc>
          <w:tcPr>
            <w:tcW w:w="63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Losses on asset sales, net</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2"/>
        </w:trPr>
        <w:tc>
          <w:tcPr>
            <w:tcW w:w="6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costs and expenses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10,403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12,425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21,525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23,708</w:t>
            </w:r>
          </w:p>
        </w:tc>
      </w:tr>
      <w:tr>
        <w:trPr>
          <w:trHeight w:val="216"/>
        </w:trPr>
        <w:tc>
          <w:tcPr>
            <w:tcW w:w="38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w:t>
            </w:r>
          </w:p>
        </w:tc>
      </w:tr>
      <w:tr>
        <w:trPr>
          <w:trHeight w:val="216"/>
        </w:trPr>
        <w:tc>
          <w:tcPr>
            <w:tcW w:w="38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INCOME/(EXPENSE)</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3"/>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Equity earnings in unconsolidated entities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w:t>
            </w:r>
          </w:p>
        </w:tc>
      </w:tr>
      <w:tr>
        <w:trPr>
          <w:trHeight w:val="219"/>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 on investments in unconsolidated entities, net</w:t>
            </w: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638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Interest expense, net </w:t>
            </w:r>
            <w:r>
              <w:rPr>
                <w:rFonts w:ascii="Times New Roman" w:cs="Times New Roman" w:eastAsia="Times New Roman" w:hAnsi="Times New Roman"/>
                <w:sz w:val="21"/>
                <w:szCs w:val="21"/>
                <w:color w:val="auto"/>
                <w:vertAlign w:val="superscript"/>
              </w:rPr>
              <w:t>(1)</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w:t>
            </w:r>
          </w:p>
        </w:tc>
      </w:tr>
      <w:tr>
        <w:trPr>
          <w:trHeight w:val="216"/>
        </w:trPr>
        <w:tc>
          <w:tcPr>
            <w:tcW w:w="638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Other income, net </w:t>
            </w:r>
            <w:r>
              <w:rPr>
                <w:rFonts w:ascii="Times New Roman" w:cs="Times New Roman" w:eastAsia="Times New Roman" w:hAnsi="Times New Roman"/>
                <w:sz w:val="21"/>
                <w:szCs w:val="21"/>
                <w:color w:val="auto"/>
                <w:vertAlign w:val="superscript"/>
              </w:rPr>
              <w:t>(1)</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196"/>
        </w:trPr>
        <w:tc>
          <w:tcPr>
            <w:tcW w:w="388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16"/>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 FROM CONTINUING OPERATIONS BEFORE TAX</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w:t>
            </w:r>
          </w:p>
        </w:tc>
      </w:tr>
      <w:tr>
        <w:trPr>
          <w:trHeight w:val="213"/>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Current income tax expense from continuing operations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r>
      <w:tr>
        <w:trPr>
          <w:trHeight w:val="219"/>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 (expense)/benefit from continuing operations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07"/>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INCOME FROM CONTINUING OPERATIONS, NET OF TAX</w:t>
            </w: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298</w:t>
            </w: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607</w:t>
            </w: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639</w:t>
            </w:r>
          </w:p>
        </w:tc>
      </w:tr>
      <w:tr>
        <w:trPr>
          <w:trHeight w:val="219"/>
        </w:trPr>
        <w:tc>
          <w:tcPr>
            <w:tcW w:w="388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14"/>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INCOME FROM DISCONTINUED OPERATIONS, NET OF TAX</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218"/>
        </w:trPr>
        <w:tc>
          <w:tcPr>
            <w:tcW w:w="388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4"/>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681</w:t>
            </w:r>
          </w:p>
        </w:tc>
      </w:tr>
      <w:tr>
        <w:trPr>
          <w:trHeight w:val="215"/>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attributable to noncontrolling interests</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w:t>
            </w:r>
          </w:p>
        </w:tc>
      </w:tr>
      <w:tr>
        <w:trPr>
          <w:trHeight w:val="212"/>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ATTRIBUTABLE TO PAA</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653</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515</w:t>
            </w: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25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83"/>
        </w:trPr>
        <w:tc>
          <w:tcPr>
            <w:tcW w:w="3880" w:type="dxa"/>
            <w:vAlign w:val="bottom"/>
            <w:shd w:val="clear" w:color="auto" w:fill="CCEEFF"/>
          </w:tcPr>
          <w:p>
            <w:pPr>
              <w:spacing w:after="0"/>
              <w:rPr>
                <w:sz w:val="15"/>
                <w:szCs w:val="15"/>
                <w:color w:val="auto"/>
              </w:rPr>
            </w:pPr>
          </w:p>
        </w:tc>
        <w:tc>
          <w:tcPr>
            <w:tcW w:w="25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214"/>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PER COMMON UNIT:</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8"/>
        </w:trPr>
        <w:tc>
          <w:tcPr>
            <w:tcW w:w="6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 allocated to common unitholders — Basic and Diluted:</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3"/>
        </w:trPr>
        <w:tc>
          <w:tcPr>
            <w:tcW w:w="638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Continuing operations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w:t>
            </w:r>
          </w:p>
        </w:tc>
      </w:tr>
      <w:tr>
        <w:trPr>
          <w:trHeight w:val="216"/>
        </w:trPr>
        <w:tc>
          <w:tcPr>
            <w:tcW w:w="63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Discontinued operations</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212"/>
        </w:trPr>
        <w:tc>
          <w:tcPr>
            <w:tcW w:w="638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Net income allocated to common unitholders — Basic and Diluted</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493</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382</w:t>
            </w: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25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83"/>
        </w:trPr>
        <w:tc>
          <w:tcPr>
            <w:tcW w:w="3880" w:type="dxa"/>
            <w:vAlign w:val="bottom"/>
            <w:shd w:val="clear" w:color="auto" w:fill="CCEEFF"/>
          </w:tcPr>
          <w:p>
            <w:pPr>
              <w:spacing w:after="0"/>
              <w:rPr>
                <w:sz w:val="15"/>
                <w:szCs w:val="15"/>
                <w:color w:val="auto"/>
              </w:rPr>
            </w:pPr>
          </w:p>
        </w:tc>
        <w:tc>
          <w:tcPr>
            <w:tcW w:w="25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213"/>
        </w:trPr>
        <w:tc>
          <w:tcPr>
            <w:tcW w:w="63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Basic and diluted weighted average common units outstanding</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701</w:t>
            </w:r>
          </w:p>
        </w:tc>
      </w:tr>
      <w:tr>
        <w:trPr>
          <w:trHeight w:val="219"/>
        </w:trPr>
        <w:tc>
          <w:tcPr>
            <w:tcW w:w="388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13"/>
        </w:trPr>
        <w:tc>
          <w:tcPr>
            <w:tcW w:w="63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Basic and diluted net income per common unit:</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9"/>
        </w:trPr>
        <w:tc>
          <w:tcPr>
            <w:tcW w:w="63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Continuing operations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0.49</w:t>
            </w:r>
          </w:p>
        </w:tc>
      </w:tr>
      <w:tr>
        <w:trPr>
          <w:trHeight w:val="213"/>
        </w:trPr>
        <w:tc>
          <w:tcPr>
            <w:tcW w:w="638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6"/>
                <w:szCs w:val="16"/>
                <w:color w:val="auto"/>
              </w:rPr>
              <w:t>Discontinued operations</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0.06</w:t>
            </w:r>
          </w:p>
        </w:tc>
      </w:tr>
      <w:tr>
        <w:trPr>
          <w:trHeight w:val="237"/>
        </w:trPr>
        <w:tc>
          <w:tcPr>
            <w:tcW w:w="638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Basic and diluted net income per common unit</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0.55</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3880" w:type="dxa"/>
            <w:vAlign w:val="bottom"/>
            <w:tcBorders>
              <w:bottom w:val="single" w:sz="8" w:color="auto"/>
            </w:tcBorders>
          </w:tcPr>
          <w:p>
            <w:pPr>
              <w:spacing w:after="0"/>
              <w:rPr>
                <w:sz w:val="9"/>
                <w:szCs w:val="9"/>
                <w:color w:val="auto"/>
              </w:rPr>
            </w:pPr>
          </w:p>
        </w:tc>
        <w:tc>
          <w:tcPr>
            <w:tcW w:w="2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r>
    </w:tbl>
    <w:p>
      <w:pPr>
        <w:spacing w:after="0" w:line="131" w:lineRule="exact"/>
        <w:rPr>
          <w:sz w:val="20"/>
          <w:szCs w:val="20"/>
          <w:color w:val="auto"/>
        </w:rPr>
      </w:pPr>
    </w:p>
    <w:p>
      <w:pPr>
        <w:ind w:left="340" w:right="140" w:hanging="332"/>
        <w:spacing w:after="0" w:line="241" w:lineRule="auto"/>
        <w:tabs>
          <w:tab w:leader="none" w:pos="334" w:val="left"/>
        </w:tabs>
        <w:numPr>
          <w:ilvl w:val="0"/>
          <w:numId w:val="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Certain Plains entities have issued promissory notes by and among such entities to facilitate financing. “Interest expense, net” and “Other income, net” each include $23 million and $43 million for the three and six months ended June 30, 2025, respectively, and $15 million for the three and six months ended June 30, 2024 related to interest on such related party promissory notes. These amounts offset and do not impact Net Income or Non-GAAP metrics such as Adjusted EBITDA, Implied DCF and Adjusted Free Cash Flow.</w:t>
      </w:r>
    </w:p>
    <w:p>
      <w:pPr>
        <w:spacing w:after="0" w:line="166" w:lineRule="exact"/>
        <w:rPr>
          <w:rFonts w:ascii="Times New Roman" w:cs="Times New Roman" w:eastAsia="Times New Roman" w:hAnsi="Times New Roman"/>
          <w:sz w:val="20"/>
          <w:szCs w:val="20"/>
          <w:color w:val="auto"/>
          <w:vertAlign w:val="superscript"/>
        </w:rPr>
      </w:pPr>
    </w:p>
    <w:p>
      <w:pPr>
        <w:ind w:left="5440" w:hanging="106"/>
        <w:spacing w:after="0"/>
        <w:tabs>
          <w:tab w:leader="none" w:pos="54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auto"/>
        </w:rPr>
        <w:t>Page 7</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CONSOLIDATED BALANCE SHEET DATA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4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0" w:type="dxa"/>
            <w:vAlign w:val="bottom"/>
          </w:tcPr>
          <w:p>
            <w:pPr>
              <w:spacing w:after="0"/>
              <w:rPr>
                <w:sz w:val="13"/>
                <w:szCs w:val="13"/>
                <w:color w:val="auto"/>
              </w:rPr>
            </w:pPr>
          </w:p>
        </w:tc>
        <w:tc>
          <w:tcPr>
            <w:tcW w:w="1060" w:type="dxa"/>
            <w:vAlign w:val="bottom"/>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3880" w:type="dxa"/>
            <w:vAlign w:val="bottom"/>
            <w:tcBorders>
              <w:bottom w:val="single" w:sz="8" w:color="CCEEFF"/>
            </w:tcBorders>
          </w:tcPr>
          <w:p>
            <w:pPr>
              <w:spacing w:after="0"/>
              <w:rPr>
                <w:sz w:val="17"/>
                <w:szCs w:val="17"/>
                <w:color w:val="auto"/>
              </w:rPr>
            </w:pPr>
          </w:p>
        </w:tc>
        <w:tc>
          <w:tcPr>
            <w:tcW w:w="48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2"/>
        </w:trPr>
        <w:tc>
          <w:tcPr>
            <w:tcW w:w="8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16"/>
        </w:trPr>
        <w:tc>
          <w:tcPr>
            <w:tcW w:w="872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Current assets (including cash and cash equivalents of $459 and $348, respectively) </w:t>
            </w:r>
            <w:r>
              <w:rPr>
                <w:rFonts w:ascii="Times New Roman" w:cs="Times New Roman" w:eastAsia="Times New Roman" w:hAnsi="Times New Roman"/>
                <w:sz w:val="21"/>
                <w:szCs w:val="21"/>
                <w:color w:val="auto"/>
                <w:vertAlign w:val="superscript"/>
              </w:rPr>
              <w:t>(1)</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4,802</w:t>
            </w:r>
          </w:p>
        </w:tc>
      </w:tr>
      <w:tr>
        <w:trPr>
          <w:trHeight w:val="216"/>
        </w:trPr>
        <w:tc>
          <w:tcPr>
            <w:tcW w:w="8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14,177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13,446</w:t>
            </w:r>
          </w:p>
        </w:tc>
      </w:tr>
      <w:tr>
        <w:trPr>
          <w:trHeight w:val="213"/>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Investments in unconsolidated entities</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2,811</w:t>
            </w:r>
          </w:p>
        </w:tc>
      </w:tr>
      <w:tr>
        <w:trPr>
          <w:trHeight w:val="219"/>
        </w:trPr>
        <w:tc>
          <w:tcPr>
            <w:tcW w:w="8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1,677</w:t>
            </w:r>
          </w:p>
        </w:tc>
      </w:tr>
      <w:tr>
        <w:trPr>
          <w:trHeight w:val="213"/>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Linefill</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904</w:t>
            </w:r>
          </w:p>
        </w:tc>
      </w:tr>
      <w:tr>
        <w:trPr>
          <w:trHeight w:val="219"/>
        </w:trPr>
        <w:tc>
          <w:tcPr>
            <w:tcW w:w="8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operating lease right-of-use assets, net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w:t>
            </w:r>
          </w:p>
        </w:tc>
      </w:tr>
      <w:tr>
        <w:trPr>
          <w:trHeight w:val="213"/>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Long-term inventory</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w:t>
            </w:r>
          </w:p>
        </w:tc>
      </w:tr>
      <w:tr>
        <w:trPr>
          <w:trHeight w:val="219"/>
        </w:trPr>
        <w:tc>
          <w:tcPr>
            <w:tcW w:w="8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assets of discontinued operations</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2,349</w:t>
            </w:r>
          </w:p>
        </w:tc>
      </w:tr>
      <w:tr>
        <w:trPr>
          <w:trHeight w:val="213"/>
        </w:trPr>
        <w:tc>
          <w:tcPr>
            <w:tcW w:w="87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Other long-term assets, net</w:t>
            </w: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w:t>
            </w:r>
          </w:p>
        </w:tc>
      </w:tr>
      <w:tr>
        <w:trPr>
          <w:trHeight w:val="237"/>
        </w:trPr>
        <w:tc>
          <w:tcPr>
            <w:tcW w:w="8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27,155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26,562</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8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3880" w:type="dxa"/>
            <w:vAlign w:val="bottom"/>
          </w:tcPr>
          <w:p>
            <w:pPr>
              <w:spacing w:after="0"/>
              <w:rPr>
                <w:sz w:val="9"/>
                <w:szCs w:val="9"/>
                <w:color w:val="auto"/>
              </w:rPr>
            </w:pPr>
          </w:p>
        </w:tc>
        <w:tc>
          <w:tcPr>
            <w:tcW w:w="48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r>
      <w:tr>
        <w:trPr>
          <w:trHeight w:val="216"/>
        </w:trPr>
        <w:tc>
          <w:tcPr>
            <w:tcW w:w="8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PARTNERS’ CAPITAL</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872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Current liabilities </w:t>
            </w:r>
            <w:r>
              <w:rPr>
                <w:rFonts w:ascii="Times New Roman" w:cs="Times New Roman" w:eastAsia="Times New Roman" w:hAnsi="Times New Roman"/>
                <w:sz w:val="21"/>
                <w:szCs w:val="21"/>
                <w:color w:val="auto"/>
                <w:vertAlign w:val="superscript"/>
              </w:rPr>
              <w:t>(2)</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4,950</w:t>
            </w:r>
          </w:p>
        </w:tc>
      </w:tr>
      <w:tr>
        <w:trPr>
          <w:trHeight w:val="216"/>
        </w:trPr>
        <w:tc>
          <w:tcPr>
            <w:tcW w:w="8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notes, net</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8,133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7,141</w:t>
            </w:r>
          </w:p>
        </w:tc>
      </w:tr>
      <w:tr>
        <w:trPr>
          <w:trHeight w:val="213"/>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long-term debt, net</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r>
      <w:tr>
        <w:trPr>
          <w:trHeight w:val="219"/>
        </w:trPr>
        <w:tc>
          <w:tcPr>
            <w:tcW w:w="8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operating lease liabilities</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w:t>
            </w:r>
          </w:p>
        </w:tc>
      </w:tr>
      <w:tr>
        <w:trPr>
          <w:trHeight w:val="213"/>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Long-term liabilities of discontinued operations</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576</w:t>
            </w:r>
          </w:p>
        </w:tc>
      </w:tr>
      <w:tr>
        <w:trPr>
          <w:trHeight w:val="219"/>
        </w:trPr>
        <w:tc>
          <w:tcPr>
            <w:tcW w:w="8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long-term liabilities and deferred credits</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w:t>
            </w:r>
          </w:p>
        </w:tc>
      </w:tr>
      <w:tr>
        <w:trPr>
          <w:trHeight w:val="207"/>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liabilities</w:t>
            </w: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14,206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13,466</w:t>
            </w:r>
          </w:p>
        </w:tc>
      </w:tr>
      <w:tr>
        <w:trPr>
          <w:trHeight w:val="165"/>
        </w:trPr>
        <w:tc>
          <w:tcPr>
            <w:tcW w:w="3880" w:type="dxa"/>
            <w:vAlign w:val="bottom"/>
            <w:shd w:val="clear" w:color="auto" w:fill="CCEEFF"/>
          </w:tcPr>
          <w:p>
            <w:pPr>
              <w:spacing w:after="0"/>
              <w:rPr>
                <w:sz w:val="14"/>
                <w:szCs w:val="14"/>
                <w:color w:val="auto"/>
              </w:rPr>
            </w:pPr>
          </w:p>
        </w:tc>
        <w:tc>
          <w:tcPr>
            <w:tcW w:w="48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213"/>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Partners’ capital excluding noncontrolling interests</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9,706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9,813</w:t>
            </w:r>
          </w:p>
        </w:tc>
      </w:tr>
      <w:tr>
        <w:trPr>
          <w:trHeight w:val="219"/>
        </w:trPr>
        <w:tc>
          <w:tcPr>
            <w:tcW w:w="8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3,283</w:t>
            </w:r>
          </w:p>
        </w:tc>
      </w:tr>
      <w:tr>
        <w:trPr>
          <w:trHeight w:val="207"/>
        </w:trPr>
        <w:tc>
          <w:tcPr>
            <w:tcW w:w="87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Total partners’ capital</w:t>
            </w: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12,949</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13,096</w:t>
            </w:r>
          </w:p>
        </w:tc>
      </w:tr>
      <w:tr>
        <w:trPr>
          <w:trHeight w:val="237"/>
        </w:trPr>
        <w:tc>
          <w:tcPr>
            <w:tcW w:w="8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 and partners’ capital</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27,155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26,562</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8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136"/>
        </w:trPr>
        <w:tc>
          <w:tcPr>
            <w:tcW w:w="3880" w:type="dxa"/>
            <w:vAlign w:val="bottom"/>
            <w:tcBorders>
              <w:bottom w:val="single" w:sz="8" w:color="auto"/>
            </w:tcBorders>
          </w:tcPr>
          <w:p>
            <w:pPr>
              <w:spacing w:after="0"/>
              <w:rPr>
                <w:sz w:val="11"/>
                <w:szCs w:val="11"/>
                <w:color w:val="auto"/>
              </w:rPr>
            </w:pPr>
          </w:p>
        </w:tc>
        <w:tc>
          <w:tcPr>
            <w:tcW w:w="4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r>
    </w:tbl>
    <w:p>
      <w:pPr>
        <w:spacing w:after="0" w:line="100" w:lineRule="exact"/>
        <w:rPr>
          <w:sz w:val="20"/>
          <w:szCs w:val="20"/>
          <w:color w:val="auto"/>
        </w:rPr>
      </w:pPr>
    </w:p>
    <w:p>
      <w:pPr>
        <w:ind w:left="320" w:hanging="312"/>
        <w:spacing w:after="0"/>
        <w:tabs>
          <w:tab w:leader="none" w:pos="320" w:val="left"/>
        </w:tabs>
        <w:numPr>
          <w:ilvl w:val="0"/>
          <w:numId w:val="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Includes current assets of discontinued operations of $385 million and $415 million as of June 30, 2025 and December 31, 2024, respectively.</w:t>
      </w:r>
    </w:p>
    <w:p>
      <w:pPr>
        <w:spacing w:after="0" w:line="60" w:lineRule="exact"/>
        <w:rPr>
          <w:rFonts w:ascii="Times New Roman" w:cs="Times New Roman" w:eastAsia="Times New Roman" w:hAnsi="Times New Roman"/>
          <w:sz w:val="20"/>
          <w:szCs w:val="20"/>
          <w:color w:val="auto"/>
          <w:vertAlign w:val="superscript"/>
        </w:rPr>
      </w:pPr>
    </w:p>
    <w:p>
      <w:pPr>
        <w:ind w:left="320" w:hanging="312"/>
        <w:spacing w:after="0" w:line="190" w:lineRule="auto"/>
        <w:tabs>
          <w:tab w:leader="none" w:pos="320" w:val="left"/>
        </w:tabs>
        <w:numPr>
          <w:ilvl w:val="0"/>
          <w:numId w:val="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Includes current liabilities of discontinued operations of $313 million and $350 million as of June 30, 2025 and December 31, 2024, respectively.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DEBT CAPITALIZATION RATIOS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23"/>
          <w:szCs w:val="23"/>
          <w:b w:val="1"/>
          <w:bCs w:val="1"/>
          <w:color w:val="auto"/>
          <w:vertAlign w:val="superscript"/>
        </w:rPr>
        <w:t>(1)</w:t>
      </w:r>
    </w:p>
    <w:p>
      <w:pPr>
        <w:spacing w:after="0"/>
        <w:rPr>
          <w:sz w:val="20"/>
          <w:szCs w:val="20"/>
          <w:color w:val="auto"/>
        </w:rPr>
      </w:pPr>
      <w:r>
        <w:rPr>
          <w:rFonts w:ascii="Times New Roman" w:cs="Times New Roman" w:eastAsia="Times New Roman" w:hAnsi="Times New Roman"/>
          <w:sz w:val="18"/>
          <w:szCs w:val="18"/>
          <w:color w:val="auto"/>
        </w:rPr>
        <w:t>(in millions, except percentages)</w:t>
      </w:r>
    </w:p>
    <w:p>
      <w:pPr>
        <w:spacing w:after="0" w:line="1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0" w:type="dxa"/>
            <w:vAlign w:val="bottom"/>
          </w:tcPr>
          <w:p>
            <w:pPr>
              <w:spacing w:after="0"/>
              <w:rPr>
                <w:sz w:val="13"/>
                <w:szCs w:val="13"/>
                <w:color w:val="auto"/>
              </w:rPr>
            </w:pPr>
          </w:p>
        </w:tc>
        <w:tc>
          <w:tcPr>
            <w:tcW w:w="106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7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8"/>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debt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r>
      <w:tr>
        <w:trPr>
          <w:trHeight w:val="229"/>
        </w:trPr>
        <w:tc>
          <w:tcPr>
            <w:tcW w:w="8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7,213</w:t>
            </w:r>
          </w:p>
        </w:tc>
      </w:tr>
      <w:tr>
        <w:trPr>
          <w:trHeight w:val="248"/>
        </w:trPr>
        <w:tc>
          <w:tcPr>
            <w:tcW w:w="8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debt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7,621</w:t>
            </w: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8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r>
      <w:tr>
        <w:trPr>
          <w:trHeight w:val="230"/>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7,213</w:t>
            </w:r>
          </w:p>
        </w:tc>
      </w:tr>
      <w:tr>
        <w:trPr>
          <w:trHeight w:val="230"/>
        </w:trPr>
        <w:tc>
          <w:tcPr>
            <w:tcW w:w="8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Partners’ capital excluding noncontrolling interests</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9,813</w:t>
            </w:r>
          </w:p>
        </w:tc>
      </w:tr>
      <w:tr>
        <w:trPr>
          <w:trHeight w:val="248"/>
        </w:trPr>
        <w:tc>
          <w:tcPr>
            <w:tcW w:w="8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book capitalization excluding noncontrolling interests (“Total book capitalization”)</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17,026</w:t>
            </w: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700" w:type="dxa"/>
            <w:vAlign w:val="bottom"/>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book capitalization, including short-term debt</w:t>
            </w:r>
          </w:p>
        </w:tc>
        <w:tc>
          <w:tcPr>
            <w:tcW w:w="22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18,388</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17,434</w:t>
            </w:r>
          </w:p>
        </w:tc>
      </w:tr>
      <w:tr>
        <w:trPr>
          <w:trHeight w:val="20"/>
        </w:trPr>
        <w:tc>
          <w:tcPr>
            <w:tcW w:w="87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29"/>
        </w:trPr>
        <w:tc>
          <w:tcPr>
            <w:tcW w:w="8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r>
      <w:tr>
        <w:trPr>
          <w:trHeight w:val="229"/>
        </w:trPr>
        <w:tc>
          <w:tcPr>
            <w:tcW w:w="8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debt-to-total book capitalization</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30"/>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debt-to-total book capitalization, including short-term debt</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245999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34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0"/>
          <w:szCs w:val="10"/>
          <w:color w:val="auto"/>
        </w:rPr>
        <w:t>(1)</w:t>
      </w:r>
      <w:r>
        <w:rPr>
          <w:sz w:val="20"/>
          <w:szCs w:val="20"/>
          <w:color w:val="auto"/>
        </w:rPr>
        <w:tab/>
      </w:r>
      <w:r>
        <w:rPr>
          <w:rFonts w:ascii="Times New Roman" w:cs="Times New Roman" w:eastAsia="Times New Roman" w:hAnsi="Times New Roman"/>
          <w:sz w:val="15"/>
          <w:szCs w:val="15"/>
          <w:color w:val="auto"/>
        </w:rPr>
        <w:t>Includes results from continuing operations and discontinued operations for all periods presented.</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auto"/>
        </w:rPr>
        <w:t>Page 8</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56" w:lineRule="exact"/>
        <w:rPr>
          <w:sz w:val="20"/>
          <w:szCs w:val="20"/>
          <w:color w:val="auto"/>
        </w:rPr>
      </w:pPr>
    </w:p>
    <w:p>
      <w:pPr>
        <w:ind w:right="4640"/>
        <w:spacing w:after="0" w:line="272" w:lineRule="auto"/>
        <w:rPr>
          <w:sz w:val="20"/>
          <w:szCs w:val="20"/>
          <w:color w:val="auto"/>
        </w:rPr>
      </w:pPr>
      <w:r>
        <w:rPr>
          <w:rFonts w:ascii="Times New Roman" w:cs="Times New Roman" w:eastAsia="Times New Roman" w:hAnsi="Times New Roman"/>
          <w:sz w:val="18"/>
          <w:szCs w:val="18"/>
          <w:b w:val="1"/>
          <w:bCs w:val="1"/>
          <w:u w:val="single" w:color="auto"/>
          <w:color w:val="auto"/>
        </w:rPr>
        <w:t xml:space="preserve">COMPUTATION OF BASIC AND DILUTED NET INCOME PER COMMON UNIT </w:t>
      </w:r>
      <w:r>
        <w:rPr>
          <w:rFonts w:ascii="Times New Roman" w:cs="Times New Roman" w:eastAsia="Times New Roman" w:hAnsi="Times New Roman"/>
          <w:sz w:val="18"/>
          <w:szCs w:val="18"/>
          <w:color w:val="auto"/>
        </w:rPr>
        <w:t>(in millions, except per unit data)</w:t>
      </w:r>
    </w:p>
    <w:tbl>
      <w:tblPr>
        <w:tblLayout w:type="fixed"/>
        <w:tblInd w:w="0" w:type="dxa"/>
        <w:tblCellMar>
          <w:top w:w="0" w:type="dxa"/>
          <w:left w:w="0" w:type="dxa"/>
          <w:bottom w:w="0" w:type="dxa"/>
          <w:right w:w="0" w:type="dxa"/>
        </w:tblCellMar>
      </w:tblPr>
      <w:tr>
        <w:trPr>
          <w:trHeight w:val="147"/>
        </w:trPr>
        <w:tc>
          <w:tcPr>
            <w:tcW w:w="38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980" w:type="dxa"/>
            <w:vAlign w:val="bottom"/>
            <w:gridSpan w:val="4"/>
          </w:tcPr>
          <w:p>
            <w:pPr>
              <w:jc w:val="right"/>
              <w:ind w:right="52"/>
              <w:spacing w:after="0" w:line="147"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120" w:type="dxa"/>
            <w:vAlign w:val="bottom"/>
            <w:gridSpan w:val="4"/>
          </w:tcPr>
          <w:p>
            <w:pPr>
              <w:jc w:val="right"/>
              <w:ind w:right="531"/>
              <w:spacing w:after="0" w:line="147" w:lineRule="exact"/>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6"/>
        </w:trPr>
        <w:tc>
          <w:tcPr>
            <w:tcW w:w="388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Borders>
              <w:bottom w:val="single" w:sz="8" w:color="auto"/>
            </w:tcBorders>
          </w:tcPr>
          <w:p>
            <w:pPr>
              <w:spacing w:after="0"/>
              <w:rPr>
                <w:sz w:val="17"/>
                <w:szCs w:val="17"/>
                <w:color w:val="auto"/>
              </w:rPr>
            </w:pPr>
          </w:p>
        </w:tc>
      </w:tr>
      <w:tr>
        <w:trPr>
          <w:trHeight w:val="196"/>
        </w:trPr>
        <w:tc>
          <w:tcPr>
            <w:tcW w:w="3880" w:type="dxa"/>
            <w:vAlign w:val="bottom"/>
            <w:tcBorders>
              <w:bottom w:val="single" w:sz="8" w:color="CCEEFF"/>
            </w:tcBorders>
          </w:tcPr>
          <w:p>
            <w:pPr>
              <w:spacing w:after="0"/>
              <w:rPr>
                <w:sz w:val="17"/>
                <w:szCs w:val="17"/>
                <w:color w:val="auto"/>
              </w:rPr>
            </w:pPr>
          </w:p>
        </w:tc>
        <w:tc>
          <w:tcPr>
            <w:tcW w:w="250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and Diluted Net Income per Common Unit</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57"/>
        </w:trPr>
        <w:tc>
          <w:tcPr>
            <w:tcW w:w="388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29"/>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Continuing Operations:</w:t>
            </w:r>
          </w:p>
        </w:tc>
        <w:tc>
          <w:tcPr>
            <w:tcW w:w="7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9"/>
        </w:trPr>
        <w:tc>
          <w:tcPr>
            <w:tcW w:w="63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Income from continuing operations, net of tax</w:t>
            </w:r>
          </w:p>
        </w:tc>
        <w:tc>
          <w:tcPr>
            <w:tcW w:w="720" w:type="dxa"/>
            <w:vAlign w:val="bottom"/>
          </w:tcPr>
          <w:p>
            <w:pPr>
              <w:jc w:val="right"/>
              <w:ind w:right="534"/>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Pr>
          <w:p>
            <w:pPr>
              <w:spacing w:after="0"/>
              <w:rPr>
                <w:sz w:val="19"/>
                <w:szCs w:val="19"/>
                <w:color w:val="auto"/>
              </w:rPr>
            </w:pPr>
          </w:p>
        </w:tc>
        <w:tc>
          <w:tcPr>
            <w:tcW w:w="74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w:t>
            </w:r>
          </w:p>
        </w:tc>
      </w:tr>
      <w:tr>
        <w:trPr>
          <w:trHeight w:val="230"/>
        </w:trPr>
        <w:tc>
          <w:tcPr>
            <w:tcW w:w="6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7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23"/>
        </w:trPr>
        <w:tc>
          <w:tcPr>
            <w:tcW w:w="63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Net income from continuing operations attributable to PAA</w:t>
            </w:r>
          </w:p>
        </w:tc>
        <w:tc>
          <w:tcPr>
            <w:tcW w:w="720" w:type="dxa"/>
            <w:vAlign w:val="bottom"/>
          </w:tcPr>
          <w:p>
            <w:pPr>
              <w:jc w:val="right"/>
              <w:ind w:right="534"/>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19"/>
                <w:szCs w:val="19"/>
                <w:color w:val="auto"/>
              </w:rPr>
            </w:pPr>
          </w:p>
        </w:tc>
        <w:tc>
          <w:tcPr>
            <w:tcW w:w="74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r>
      <w:tr>
        <w:trPr>
          <w:trHeight w:val="230"/>
        </w:trPr>
        <w:tc>
          <w:tcPr>
            <w:tcW w:w="6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Distributions to Series A preferred unitholders</w:t>
            </w:r>
          </w:p>
        </w:tc>
        <w:tc>
          <w:tcPr>
            <w:tcW w:w="7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29"/>
        </w:trPr>
        <w:tc>
          <w:tcPr>
            <w:tcW w:w="6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Distributions to Series B preferred unitholders</w:t>
            </w:r>
          </w:p>
        </w:tc>
        <w:tc>
          <w:tcPr>
            <w:tcW w:w="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30"/>
        </w:trPr>
        <w:tc>
          <w:tcPr>
            <w:tcW w:w="6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Amounts allocated to participating securities</w:t>
            </w:r>
          </w:p>
        </w:tc>
        <w:tc>
          <w:tcPr>
            <w:tcW w:w="7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9"/>
        </w:trPr>
        <w:tc>
          <w:tcPr>
            <w:tcW w:w="6380" w:type="dxa"/>
            <w:vAlign w:val="bottom"/>
            <w:gridSpan w:val="2"/>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Impact from repurchase of Series A preferred units </w:t>
            </w:r>
            <w:r>
              <w:rPr>
                <w:rFonts w:ascii="Times New Roman" w:cs="Times New Roman" w:eastAsia="Times New Roman" w:hAnsi="Times New Roman"/>
                <w:sz w:val="23"/>
                <w:szCs w:val="23"/>
                <w:color w:val="auto"/>
                <w:vertAlign w:val="superscript"/>
              </w:rPr>
              <w:t>(1)</w:t>
            </w:r>
          </w:p>
        </w:tc>
        <w:tc>
          <w:tcPr>
            <w:tcW w:w="72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9"/>
                <w:szCs w:val="19"/>
                <w:color w:val="auto"/>
              </w:rPr>
            </w:pP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7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156"/>
        </w:trPr>
        <w:tc>
          <w:tcPr>
            <w:tcW w:w="6380" w:type="dxa"/>
            <w:vAlign w:val="bottom"/>
            <w:gridSpan w:val="2"/>
          </w:tcPr>
          <w:p>
            <w:pPr>
              <w:ind w:left="240"/>
              <w:spacing w:after="0" w:line="156" w:lineRule="exact"/>
              <w:rPr>
                <w:sz w:val="20"/>
                <w:szCs w:val="20"/>
                <w:color w:val="auto"/>
              </w:rPr>
            </w:pPr>
            <w:r>
              <w:rPr>
                <w:rFonts w:ascii="Times New Roman" w:cs="Times New Roman" w:eastAsia="Times New Roman" w:hAnsi="Times New Roman"/>
                <w:sz w:val="18"/>
                <w:szCs w:val="18"/>
                <w:color w:val="auto"/>
              </w:rPr>
              <w:t>Net income from continuing operations allocated to common unitholders - Basic and</w:t>
            </w: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243"/>
        </w:trPr>
        <w:tc>
          <w:tcPr>
            <w:tcW w:w="63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18"/>
                <w:szCs w:val="18"/>
                <w:color w:val="auto"/>
              </w:rPr>
              <w:t xml:space="preserve">Diluted </w:t>
            </w:r>
            <w:r>
              <w:rPr>
                <w:rFonts w:ascii="Times New Roman" w:cs="Times New Roman" w:eastAsia="Times New Roman" w:hAnsi="Times New Roman"/>
                <w:sz w:val="23"/>
                <w:szCs w:val="23"/>
                <w:color w:val="auto"/>
                <w:vertAlign w:val="superscript"/>
              </w:rPr>
              <w:t>(2)</w:t>
            </w:r>
          </w:p>
        </w:tc>
        <w:tc>
          <w:tcPr>
            <w:tcW w:w="720" w:type="dxa"/>
            <w:vAlign w:val="bottom"/>
          </w:tcPr>
          <w:p>
            <w:pPr>
              <w:jc w:val="right"/>
              <w:ind w:right="534"/>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21"/>
                <w:szCs w:val="21"/>
                <w:color w:val="auto"/>
              </w:rPr>
            </w:pPr>
          </w:p>
        </w:tc>
        <w:tc>
          <w:tcPr>
            <w:tcW w:w="74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r>
      <w:tr>
        <w:trPr>
          <w:trHeight w:val="257"/>
        </w:trPr>
        <w:tc>
          <w:tcPr>
            <w:tcW w:w="3880" w:type="dxa"/>
            <w:vAlign w:val="bottom"/>
            <w:shd w:val="clear" w:color="auto" w:fill="CCEEFF"/>
          </w:tcPr>
          <w:p>
            <w:pPr>
              <w:spacing w:after="0"/>
              <w:rPr>
                <w:sz w:val="22"/>
                <w:szCs w:val="22"/>
                <w:color w:val="auto"/>
              </w:rPr>
            </w:pPr>
          </w:p>
        </w:tc>
        <w:tc>
          <w:tcPr>
            <w:tcW w:w="25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r>
      <w:tr>
        <w:trPr>
          <w:trHeight w:val="230"/>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Discontinued Operations:</w:t>
            </w: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175"/>
        </w:trPr>
        <w:tc>
          <w:tcPr>
            <w:tcW w:w="6380" w:type="dxa"/>
            <w:vAlign w:val="bottom"/>
            <w:gridSpan w:val="2"/>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Net income from discontinued operations allocated to common unitholders - Basic</w:t>
            </w:r>
          </w:p>
        </w:tc>
        <w:tc>
          <w:tcPr>
            <w:tcW w:w="7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243"/>
        </w:trPr>
        <w:tc>
          <w:tcPr>
            <w:tcW w:w="6380" w:type="dxa"/>
            <w:vAlign w:val="bottom"/>
            <w:gridSpan w:val="2"/>
            <w:shd w:val="clear" w:color="auto" w:fill="CCEEFF"/>
          </w:tcPr>
          <w:p>
            <w:pPr>
              <w:ind w:left="300"/>
              <w:spacing w:after="0" w:line="243" w:lineRule="exact"/>
              <w:rPr>
                <w:sz w:val="20"/>
                <w:szCs w:val="20"/>
                <w:color w:val="auto"/>
              </w:rPr>
            </w:pPr>
            <w:r>
              <w:rPr>
                <w:rFonts w:ascii="Times New Roman" w:cs="Times New Roman" w:eastAsia="Times New Roman" w:hAnsi="Times New Roman"/>
                <w:sz w:val="18"/>
                <w:szCs w:val="18"/>
                <w:color w:val="auto"/>
              </w:rPr>
              <w:t xml:space="preserve">and Diluted </w:t>
            </w:r>
            <w:r>
              <w:rPr>
                <w:rFonts w:ascii="Times New Roman" w:cs="Times New Roman" w:eastAsia="Times New Roman" w:hAnsi="Times New Roman"/>
                <w:sz w:val="23"/>
                <w:szCs w:val="23"/>
                <w:color w:val="auto"/>
                <w:vertAlign w:val="superscript"/>
              </w:rPr>
              <w:t>(3)</w:t>
            </w:r>
          </w:p>
        </w:tc>
        <w:tc>
          <w:tcPr>
            <w:tcW w:w="720" w:type="dxa"/>
            <w:vAlign w:val="bottom"/>
            <w:shd w:val="clear" w:color="auto" w:fill="CCEEFF"/>
          </w:tcPr>
          <w:p>
            <w:pPr>
              <w:jc w:val="right"/>
              <w:ind w:right="534"/>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53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56"/>
        </w:trPr>
        <w:tc>
          <w:tcPr>
            <w:tcW w:w="3880" w:type="dxa"/>
            <w:vAlign w:val="bottom"/>
            <w:tcBorders>
              <w:bottom w:val="single" w:sz="8" w:color="CCEEFF"/>
            </w:tcBorders>
          </w:tcPr>
          <w:p>
            <w:pPr>
              <w:spacing w:after="0"/>
              <w:rPr>
                <w:sz w:val="22"/>
                <w:szCs w:val="22"/>
                <w:color w:val="auto"/>
              </w:rPr>
            </w:pPr>
          </w:p>
        </w:tc>
        <w:tc>
          <w:tcPr>
            <w:tcW w:w="250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r>
      <w:tr>
        <w:trPr>
          <w:trHeight w:val="248"/>
        </w:trPr>
        <w:tc>
          <w:tcPr>
            <w:tcW w:w="63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allocated to common unitholders — Basic and Diluted</w:t>
            </w:r>
          </w:p>
        </w:tc>
        <w:tc>
          <w:tcPr>
            <w:tcW w:w="720" w:type="dxa"/>
            <w:vAlign w:val="bottom"/>
            <w:tcBorders>
              <w:bottom w:val="single" w:sz="8" w:color="auto"/>
            </w:tcBorders>
            <w:shd w:val="clear" w:color="auto" w:fill="CCEEFF"/>
          </w:tcPr>
          <w:p>
            <w:pPr>
              <w:jc w:val="right"/>
              <w:ind w:right="534"/>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3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388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29"/>
        </w:trPr>
        <w:tc>
          <w:tcPr>
            <w:tcW w:w="63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Basic and diluted weighted average common units outstanding </w:t>
            </w:r>
            <w:r>
              <w:rPr>
                <w:rFonts w:ascii="Times New Roman" w:cs="Times New Roman" w:eastAsia="Times New Roman" w:hAnsi="Times New Roman"/>
                <w:sz w:val="23"/>
                <w:szCs w:val="23"/>
                <w:color w:val="auto"/>
                <w:vertAlign w:val="superscript"/>
              </w:rPr>
              <w:t>(4) (5)</w:t>
            </w:r>
          </w:p>
        </w:tc>
        <w:tc>
          <w:tcPr>
            <w:tcW w:w="7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r>
      <w:tr>
        <w:trPr>
          <w:trHeight w:val="257"/>
        </w:trPr>
        <w:tc>
          <w:tcPr>
            <w:tcW w:w="388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30"/>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 net income per common unit:</w:t>
            </w:r>
          </w:p>
        </w:tc>
        <w:tc>
          <w:tcPr>
            <w:tcW w:w="7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9"/>
        </w:trPr>
        <w:tc>
          <w:tcPr>
            <w:tcW w:w="63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Continuing operations</w:t>
            </w:r>
          </w:p>
        </w:tc>
        <w:tc>
          <w:tcPr>
            <w:tcW w:w="720" w:type="dxa"/>
            <w:vAlign w:val="bottom"/>
          </w:tcPr>
          <w:p>
            <w:pPr>
              <w:jc w:val="right"/>
              <w:ind w:right="534"/>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tcPr>
          <w:p>
            <w:pPr>
              <w:spacing w:after="0"/>
              <w:rPr>
                <w:sz w:val="19"/>
                <w:szCs w:val="19"/>
                <w:color w:val="auto"/>
              </w:rPr>
            </w:pPr>
          </w:p>
        </w:tc>
        <w:tc>
          <w:tcPr>
            <w:tcW w:w="74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0.21</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0.49</w:t>
            </w:r>
          </w:p>
        </w:tc>
      </w:tr>
      <w:tr>
        <w:trPr>
          <w:trHeight w:val="230"/>
        </w:trPr>
        <w:tc>
          <w:tcPr>
            <w:tcW w:w="6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Discontinued operations</w:t>
            </w:r>
          </w:p>
        </w:tc>
        <w:tc>
          <w:tcPr>
            <w:tcW w:w="720" w:type="dxa"/>
            <w:vAlign w:val="bottom"/>
            <w:tcBorders>
              <w:bottom w:val="single" w:sz="8" w:color="auto"/>
            </w:tcBorders>
            <w:shd w:val="clear" w:color="auto" w:fill="CCEEFF"/>
          </w:tcPr>
          <w:p>
            <w:pPr>
              <w:jc w:val="right"/>
              <w:ind w:right="534"/>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53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0.05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r>
      <w:tr>
        <w:trPr>
          <w:trHeight w:val="223"/>
        </w:trPr>
        <w:tc>
          <w:tcPr>
            <w:tcW w:w="63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Basic and diluted net income per common unit</w:t>
            </w:r>
          </w:p>
        </w:tc>
        <w:tc>
          <w:tcPr>
            <w:tcW w:w="72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00" w:type="dxa"/>
            <w:vAlign w:val="bottom"/>
          </w:tcPr>
          <w:p>
            <w:pPr>
              <w:spacing w:after="0"/>
              <w:rPr>
                <w:sz w:val="19"/>
                <w:szCs w:val="19"/>
                <w:color w:val="auto"/>
              </w:rPr>
            </w:pPr>
          </w:p>
        </w:tc>
        <w:tc>
          <w:tcPr>
            <w:tcW w:w="74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0.26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0.55</w:t>
            </w:r>
          </w:p>
        </w:tc>
      </w:tr>
      <w:tr>
        <w:trPr>
          <w:trHeight w:val="21"/>
        </w:trPr>
        <w:tc>
          <w:tcPr>
            <w:tcW w:w="38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28"/>
        </w:trPr>
        <w:tc>
          <w:tcPr>
            <w:tcW w:w="3880" w:type="dxa"/>
            <w:vAlign w:val="bottom"/>
            <w:tcBorders>
              <w:bottom w:val="single" w:sz="8" w:color="auto"/>
            </w:tcBorders>
          </w:tcPr>
          <w:p>
            <w:pPr>
              <w:spacing w:after="0"/>
              <w:rPr>
                <w:sz w:val="11"/>
                <w:szCs w:val="11"/>
                <w:color w:val="auto"/>
              </w:rPr>
            </w:pPr>
          </w:p>
        </w:tc>
        <w:tc>
          <w:tcPr>
            <w:tcW w:w="2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r>
    </w:tbl>
    <w:p>
      <w:pPr>
        <w:spacing w:after="0" w:line="127" w:lineRule="exact"/>
        <w:rPr>
          <w:sz w:val="20"/>
          <w:szCs w:val="20"/>
          <w:color w:val="auto"/>
        </w:rPr>
      </w:pPr>
    </w:p>
    <w:p>
      <w:pPr>
        <w:ind w:left="340" w:right="120" w:hanging="332"/>
        <w:spacing w:after="0" w:line="233" w:lineRule="auto"/>
        <w:tabs>
          <w:tab w:leader="none" w:pos="334" w:val="left"/>
        </w:tabs>
        <w:numPr>
          <w:ilvl w:val="0"/>
          <w:numId w:val="1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We repurchased approximately 12.7 million Series A preferred units on January 31, 2025. The difference between the cash we paid for the repurchase of such units and their carrying value on our balance sheet is considered a return to Series A preferred unitholders for the calculation of net income allocated to common unitholders.</w:t>
      </w:r>
    </w:p>
    <w:p>
      <w:pPr>
        <w:spacing w:after="0" w:line="49" w:lineRule="exact"/>
        <w:rPr>
          <w:rFonts w:ascii="Times New Roman" w:cs="Times New Roman" w:eastAsia="Times New Roman" w:hAnsi="Times New Roman"/>
          <w:sz w:val="22"/>
          <w:szCs w:val="22"/>
          <w:color w:val="auto"/>
          <w:vertAlign w:val="superscript"/>
        </w:rPr>
      </w:pPr>
    </w:p>
    <w:p>
      <w:pPr>
        <w:ind w:left="340" w:right="140" w:hanging="332"/>
        <w:spacing w:after="0" w:line="237" w:lineRule="auto"/>
        <w:tabs>
          <w:tab w:leader="none" w:pos="334" w:val="left"/>
        </w:tabs>
        <w:numPr>
          <w:ilvl w:val="0"/>
          <w:numId w:val="1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We calculate net income from continuing operations allocated to common unitholders based on the distributions pertaining to the current period’s net income. After adjusting for the appropriate period’s distributions, the remaining undistributed earnings or excess distributions over earnings, if any, are allocated to common unitholders and participating securities in accordance with the contractual terms of our partnership agreement in effect for the period and as further prescribed under the two-class method.</w:t>
      </w:r>
    </w:p>
    <w:p>
      <w:pPr>
        <w:spacing w:after="0" w:line="35" w:lineRule="exact"/>
        <w:rPr>
          <w:rFonts w:ascii="Times New Roman" w:cs="Times New Roman" w:eastAsia="Times New Roman" w:hAnsi="Times New Roman"/>
          <w:sz w:val="22"/>
          <w:szCs w:val="22"/>
          <w:color w:val="auto"/>
          <w:vertAlign w:val="superscript"/>
        </w:rPr>
      </w:pPr>
    </w:p>
    <w:p>
      <w:pPr>
        <w:ind w:left="340" w:right="140" w:hanging="332"/>
        <w:spacing w:after="0" w:line="227" w:lineRule="auto"/>
        <w:tabs>
          <w:tab w:leader="none" w:pos="334" w:val="left"/>
        </w:tabs>
        <w:numPr>
          <w:ilvl w:val="0"/>
          <w:numId w:val="1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Net income from discontinued operations allocated to common unitholders is Income from discontinued operations, net of tax as presented on our Condensed Consolidated Statements of Operations.</w:t>
      </w:r>
    </w:p>
    <w:p>
      <w:pPr>
        <w:spacing w:after="0" w:line="48" w:lineRule="exact"/>
        <w:rPr>
          <w:rFonts w:ascii="Times New Roman" w:cs="Times New Roman" w:eastAsia="Times New Roman" w:hAnsi="Times New Roman"/>
          <w:sz w:val="22"/>
          <w:szCs w:val="22"/>
          <w:color w:val="auto"/>
          <w:vertAlign w:val="superscript"/>
        </w:rPr>
      </w:pPr>
    </w:p>
    <w:p>
      <w:pPr>
        <w:ind w:left="340" w:right="80" w:hanging="332"/>
        <w:spacing w:after="0" w:line="227" w:lineRule="auto"/>
        <w:tabs>
          <w:tab w:leader="none" w:pos="334" w:val="left"/>
        </w:tabs>
        <w:numPr>
          <w:ilvl w:val="0"/>
          <w:numId w:val="1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possible conversion of our Series A preferred units was excluded from the calculation of diluted net income per common unit for each of the three and six months ended June 30, 2025 and 2024 as the effect was antidilutive.</w:t>
      </w:r>
    </w:p>
    <w:p>
      <w:pPr>
        <w:spacing w:after="0" w:line="34" w:lineRule="exact"/>
        <w:rPr>
          <w:rFonts w:ascii="Times New Roman" w:cs="Times New Roman" w:eastAsia="Times New Roman" w:hAnsi="Times New Roman"/>
          <w:sz w:val="22"/>
          <w:szCs w:val="22"/>
          <w:color w:val="auto"/>
          <w:vertAlign w:val="superscript"/>
        </w:rPr>
      </w:pPr>
    </w:p>
    <w:p>
      <w:pPr>
        <w:ind w:left="340" w:hanging="332"/>
        <w:spacing w:after="0" w:line="241" w:lineRule="auto"/>
        <w:tabs>
          <w:tab w:leader="none" w:pos="334" w:val="left"/>
        </w:tabs>
        <w:numPr>
          <w:ilvl w:val="0"/>
          <w:numId w:val="1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Our equity-indexed compensation plan awards that contemplate the issuance of common units are considered potentially dilutive unless (i) they become vested only upon the satisfaction of a performance condition and (ii) that performance condition has yet to be satisfied. Equity-indexed compensation plan awards that are deemed to be dilutive are reduced by a hypothetical common unit repurchase based on the remaining unamortized fair value, as prescribed by the treasury stock method in guidance issued by the FASB.</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4"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auto"/>
        </w:rPr>
        <w:t>Page 9</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CONSOLIDATED CASH FLOW DATA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w:t>
      </w:r>
    </w:p>
    <w:p>
      <w:pPr>
        <w:spacing w:after="0" w:line="17" w:lineRule="exact"/>
        <w:rPr>
          <w:sz w:val="20"/>
          <w:szCs w:val="20"/>
          <w:color w:val="auto"/>
        </w:rPr>
      </w:pPr>
    </w:p>
    <w:p>
      <w:pPr>
        <w:jc w:val="center"/>
        <w:ind w:left="8660"/>
        <w:spacing w:after="0"/>
        <w:rPr>
          <w:sz w:val="20"/>
          <w:szCs w:val="20"/>
          <w:color w:val="auto"/>
        </w:rPr>
      </w:pPr>
      <w:r>
        <w:rPr>
          <w:rFonts w:ascii="Times New Roman" w:cs="Times New Roman" w:eastAsia="Times New Roman" w:hAnsi="Times New Roman"/>
          <w:sz w:val="14"/>
          <w:szCs w:val="14"/>
          <w:b w:val="1"/>
          <w:bCs w:val="1"/>
          <w:color w:val="auto"/>
        </w:rPr>
        <w:t>Six Months Ended</w:t>
      </w:r>
    </w:p>
    <w:p>
      <w:pPr>
        <w:jc w:val="center"/>
        <w:ind w:left="866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880" w:type="dxa"/>
            <w:vAlign w:val="bottom"/>
            <w:tcBorders>
              <w:bottom w:val="single" w:sz="8" w:color="CCEEFF"/>
            </w:tcBorders>
          </w:tcPr>
          <w:p>
            <w:pPr>
              <w:spacing w:after="0"/>
              <w:rPr>
                <w:sz w:val="18"/>
                <w:szCs w:val="18"/>
                <w:color w:val="auto"/>
              </w:rPr>
            </w:pPr>
          </w:p>
        </w:tc>
        <w:tc>
          <w:tcPr>
            <w:tcW w:w="48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8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9"/>
        </w:trPr>
        <w:tc>
          <w:tcPr>
            <w:tcW w:w="8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w:t>
            </w:r>
          </w:p>
        </w:tc>
      </w:tr>
      <w:tr>
        <w:trPr>
          <w:trHeight w:val="230"/>
        </w:trPr>
        <w:tc>
          <w:tcPr>
            <w:tcW w:w="8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Reconciliation of net income to net cash provided by operating activities: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8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Income from discontinued operations, net of tax</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29"/>
        </w:trPr>
        <w:tc>
          <w:tcPr>
            <w:tcW w:w="8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r>
      <w:tr>
        <w:trPr>
          <w:trHeight w:val="230"/>
        </w:trPr>
        <w:tc>
          <w:tcPr>
            <w:tcW w:w="8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Losses on asset sales, net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8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income tax expense/(benefit)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8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(Gain)/loss on foreign currency revaluation</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8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Settlement of terminated interest rate hedging instruments</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29"/>
        </w:trPr>
        <w:tc>
          <w:tcPr>
            <w:tcW w:w="8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Equity earnings in unconsolidated entities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r>
      <w:tr>
        <w:trPr>
          <w:trHeight w:val="230"/>
        </w:trPr>
        <w:tc>
          <w:tcPr>
            <w:tcW w:w="8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Distributions on earnings from unconsolidated entities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29"/>
        </w:trPr>
        <w:tc>
          <w:tcPr>
            <w:tcW w:w="8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Gain on investments in unconsolidated entities, net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30"/>
        </w:trPr>
        <w:tc>
          <w:tcPr>
            <w:tcW w:w="87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Changes in assets and liabilities, net of acquisitions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w:t>
            </w:r>
          </w:p>
        </w:tc>
      </w:tr>
      <w:tr>
        <w:trPr>
          <w:trHeight w:val="223"/>
        </w:trPr>
        <w:tc>
          <w:tcPr>
            <w:tcW w:w="87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provided by operating activities - continuing operations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w:t>
            </w:r>
          </w:p>
        </w:tc>
      </w:tr>
      <w:tr>
        <w:trPr>
          <w:trHeight w:val="230"/>
        </w:trPr>
        <w:tc>
          <w:tcPr>
            <w:tcW w:w="870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Cash provided by operating activities - discontinued operations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23"/>
        </w:trPr>
        <w:tc>
          <w:tcPr>
            <w:tcW w:w="8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w:t>
            </w:r>
          </w:p>
        </w:tc>
      </w:tr>
      <w:tr>
        <w:trPr>
          <w:trHeight w:val="257"/>
        </w:trPr>
        <w:tc>
          <w:tcPr>
            <w:tcW w:w="3880" w:type="dxa"/>
            <w:vAlign w:val="bottom"/>
          </w:tcPr>
          <w:p>
            <w:pPr>
              <w:spacing w:after="0"/>
              <w:rPr>
                <w:sz w:val="22"/>
                <w:szCs w:val="22"/>
                <w:color w:val="auto"/>
              </w:rPr>
            </w:pPr>
          </w:p>
        </w:tc>
        <w:tc>
          <w:tcPr>
            <w:tcW w:w="48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30"/>
        </w:trPr>
        <w:tc>
          <w:tcPr>
            <w:tcW w:w="8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8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Cash used in investing activities - continuing operations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r>
      <w:tr>
        <w:trPr>
          <w:trHeight w:val="230"/>
        </w:trPr>
        <w:tc>
          <w:tcPr>
            <w:tcW w:w="8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used in investing activities - discontinued operations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23"/>
        </w:trPr>
        <w:tc>
          <w:tcPr>
            <w:tcW w:w="8700" w:type="dxa"/>
            <w:vAlign w:val="bottom"/>
            <w:gridSpan w:val="2"/>
          </w:tcPr>
          <w:p>
            <w:pPr>
              <w:ind w:left="240"/>
              <w:spacing w:after="0" w:line="223" w:lineRule="exact"/>
              <w:rPr>
                <w:sz w:val="20"/>
                <w:szCs w:val="20"/>
                <w:color w:val="auto"/>
              </w:rPr>
            </w:pPr>
            <w:r>
              <w:rPr>
                <w:rFonts w:ascii="Times New Roman" w:cs="Times New Roman" w:eastAsia="Times New Roman" w:hAnsi="Times New Roman"/>
                <w:sz w:val="18"/>
                <w:szCs w:val="18"/>
                <w:color w:val="auto"/>
              </w:rPr>
              <w:t xml:space="preserve">Net cash used in investing activities </w:t>
            </w:r>
            <w:r>
              <w:rPr>
                <w:rFonts w:ascii="Times New Roman" w:cs="Times New Roman" w:eastAsia="Times New Roman" w:hAnsi="Times New Roman"/>
                <w:sz w:val="23"/>
                <w:szCs w:val="23"/>
                <w:color w:val="auto"/>
                <w:vertAlign w:val="superscript"/>
              </w:rPr>
              <w:t>(1) (2)</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r>
      <w:tr>
        <w:trPr>
          <w:trHeight w:val="256"/>
        </w:trPr>
        <w:tc>
          <w:tcPr>
            <w:tcW w:w="3880" w:type="dxa"/>
            <w:vAlign w:val="bottom"/>
            <w:shd w:val="clear" w:color="auto" w:fill="CCEEFF"/>
          </w:tcPr>
          <w:p>
            <w:pPr>
              <w:spacing w:after="0"/>
              <w:rPr>
                <w:sz w:val="22"/>
                <w:szCs w:val="22"/>
                <w:color w:val="auto"/>
              </w:rPr>
            </w:pPr>
          </w:p>
        </w:tc>
        <w:tc>
          <w:tcPr>
            <w:tcW w:w="48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r>
      <w:tr>
        <w:trPr>
          <w:trHeight w:val="230"/>
        </w:trPr>
        <w:tc>
          <w:tcPr>
            <w:tcW w:w="87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8700" w:type="dxa"/>
            <w:vAlign w:val="bottom"/>
            <w:gridSpan w:val="2"/>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Net cash provided by/(used in) financing activities </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r>
      <w:tr>
        <w:trPr>
          <w:trHeight w:val="256"/>
        </w:trPr>
        <w:tc>
          <w:tcPr>
            <w:tcW w:w="3880" w:type="dxa"/>
            <w:vAlign w:val="bottom"/>
          </w:tcPr>
          <w:p>
            <w:pPr>
              <w:spacing w:after="0"/>
              <w:rPr>
                <w:sz w:val="22"/>
                <w:szCs w:val="22"/>
                <w:color w:val="auto"/>
              </w:rPr>
            </w:pPr>
          </w:p>
        </w:tc>
        <w:tc>
          <w:tcPr>
            <w:tcW w:w="48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30"/>
        </w:trPr>
        <w:tc>
          <w:tcPr>
            <w:tcW w:w="8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translation adjustment - continuing operations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8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Effect of translation adjustment - discontinued operations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56"/>
        </w:trPr>
        <w:tc>
          <w:tcPr>
            <w:tcW w:w="3880" w:type="dxa"/>
            <w:vAlign w:val="bottom"/>
            <w:shd w:val="clear" w:color="auto" w:fill="CCEEFF"/>
          </w:tcPr>
          <w:p>
            <w:pPr>
              <w:spacing w:after="0"/>
              <w:rPr>
                <w:sz w:val="22"/>
                <w:szCs w:val="22"/>
                <w:color w:val="auto"/>
              </w:rPr>
            </w:pPr>
          </w:p>
        </w:tc>
        <w:tc>
          <w:tcPr>
            <w:tcW w:w="48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r>
      <w:tr>
        <w:trPr>
          <w:trHeight w:val="230"/>
        </w:trPr>
        <w:tc>
          <w:tcPr>
            <w:tcW w:w="8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increase in cash and cash equivalents and restricted cash</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57"/>
        </w:trPr>
        <w:tc>
          <w:tcPr>
            <w:tcW w:w="3880" w:type="dxa"/>
            <w:vAlign w:val="bottom"/>
            <w:shd w:val="clear" w:color="auto" w:fill="CCEEFF"/>
          </w:tcPr>
          <w:p>
            <w:pPr>
              <w:spacing w:after="0"/>
              <w:rPr>
                <w:sz w:val="22"/>
                <w:szCs w:val="22"/>
                <w:color w:val="auto"/>
              </w:rPr>
            </w:pPr>
          </w:p>
        </w:tc>
        <w:tc>
          <w:tcPr>
            <w:tcW w:w="48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r>
      <w:tr>
        <w:trPr>
          <w:trHeight w:val="230"/>
        </w:trPr>
        <w:tc>
          <w:tcPr>
            <w:tcW w:w="87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Cash and cash equivalents and restricted cash, beginning of period</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w:t>
            </w:r>
          </w:p>
        </w:tc>
      </w:tr>
      <w:tr>
        <w:trPr>
          <w:trHeight w:val="248"/>
        </w:trPr>
        <w:tc>
          <w:tcPr>
            <w:tcW w:w="8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and restricted cash, end of period</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8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136"/>
        </w:trPr>
        <w:tc>
          <w:tcPr>
            <w:tcW w:w="3880" w:type="dxa"/>
            <w:vAlign w:val="bottom"/>
            <w:tcBorders>
              <w:bottom w:val="single" w:sz="8" w:color="auto"/>
            </w:tcBorders>
          </w:tcPr>
          <w:p>
            <w:pPr>
              <w:spacing w:after="0"/>
              <w:rPr>
                <w:sz w:val="11"/>
                <w:szCs w:val="11"/>
                <w:color w:val="auto"/>
              </w:rPr>
            </w:pPr>
          </w:p>
        </w:tc>
        <w:tc>
          <w:tcPr>
            <w:tcW w:w="4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r>
    </w:tbl>
    <w:p>
      <w:pPr>
        <w:spacing w:after="0" w:line="130" w:lineRule="exact"/>
        <w:rPr>
          <w:sz w:val="20"/>
          <w:szCs w:val="20"/>
          <w:color w:val="auto"/>
        </w:rPr>
      </w:pPr>
    </w:p>
    <w:p>
      <w:pPr>
        <w:ind w:left="340" w:right="20" w:hanging="332"/>
        <w:spacing w:after="0" w:line="251" w:lineRule="auto"/>
        <w:tabs>
          <w:tab w:leader="none" w:pos="377" w:val="left"/>
        </w:tabs>
        <w:numPr>
          <w:ilvl w:val="0"/>
          <w:numId w:val="1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Certain Plains entities have issued promissory notes by and among such entities to facilitate financing. For the six months ended June 30, 2025, “Net cash used in investing activities” includes a cash outflow of approximately $330 million associated with our investment in related party notes. An equal and offsetting cash inflow associated with our issuance of related party notes is included in “Net cash provided by/(used in) financing activities.”</w:t>
      </w:r>
    </w:p>
    <w:p>
      <w:pPr>
        <w:ind w:left="360" w:hanging="352"/>
        <w:spacing w:after="0"/>
        <w:tabs>
          <w:tab w:leader="none" w:pos="360"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2025 period includes a net cash outflow of $681 million for bolt-on acquisitions.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20"/>
          </w:cols>
          <w:pgMar w:left="320" w:top="364"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auto"/>
        </w:rPr>
        <w:t>Page 10</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CAPITAL EXPENDITURES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23"/>
          <w:szCs w:val="23"/>
          <w:b w:val="1"/>
          <w:bCs w:val="1"/>
          <w:color w:val="auto"/>
          <w:vertAlign w:val="superscript"/>
        </w:rPr>
        <w:t>(1)</w:t>
      </w:r>
    </w:p>
    <w:p>
      <w:pPr>
        <w:spacing w:after="0"/>
        <w:rPr>
          <w:sz w:val="20"/>
          <w:szCs w:val="20"/>
          <w:color w:val="auto"/>
        </w:rPr>
      </w:pPr>
      <w:r>
        <w:rPr>
          <w:rFonts w:ascii="Times New Roman" w:cs="Times New Roman" w:eastAsia="Times New Roman" w:hAnsi="Times New Roman"/>
          <w:sz w:val="18"/>
          <w:szCs w:val="18"/>
          <w:color w:val="auto"/>
        </w:rPr>
        <w:t>(in millions)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6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 xml:space="preserve">Net to PAA </w:t>
            </w:r>
            <w:r>
              <w:rPr>
                <w:rFonts w:ascii="Times New Roman" w:cs="Times New Roman" w:eastAsia="Times New Roman" w:hAnsi="Times New Roman"/>
                <w:sz w:val="18"/>
                <w:szCs w:val="18"/>
                <w:b w:val="1"/>
                <w:bCs w:val="1"/>
                <w:color w:val="auto"/>
                <w:vertAlign w:val="superscript"/>
              </w:rPr>
              <w:t>(2)</w:t>
            </w: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3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80" w:type="dxa"/>
            <w:vAlign w:val="bottom"/>
            <w:gridSpan w:val="5"/>
          </w:tcPr>
          <w:p>
            <w:pPr>
              <w:ind w:left="40"/>
              <w:spacing w:after="0" w:line="129"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1"/>
                <w:szCs w:val="11"/>
                <w:color w:val="auto"/>
              </w:rPr>
            </w:pPr>
          </w:p>
        </w:tc>
        <w:tc>
          <w:tcPr>
            <w:tcW w:w="1640" w:type="dxa"/>
            <w:vAlign w:val="bottom"/>
            <w:gridSpan w:val="4"/>
          </w:tcPr>
          <w:p>
            <w:pPr>
              <w:jc w:val="right"/>
              <w:ind w:right="273"/>
              <w:spacing w:after="0" w:line="129" w:lineRule="exact"/>
              <w:rPr>
                <w:sz w:val="20"/>
                <w:szCs w:val="20"/>
                <w:color w:val="auto"/>
              </w:rPr>
            </w:pPr>
            <w:r>
              <w:rPr>
                <w:rFonts w:ascii="Times New Roman" w:cs="Times New Roman" w:eastAsia="Times New Roman" w:hAnsi="Times New Roman"/>
                <w:sz w:val="14"/>
                <w:szCs w:val="14"/>
                <w:b w:val="1"/>
                <w:bCs w:val="1"/>
                <w:color w:val="auto"/>
              </w:rPr>
              <w:t>Six Months Ended</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40" w:type="dxa"/>
            <w:vAlign w:val="bottom"/>
            <w:gridSpan w:val="5"/>
          </w:tcPr>
          <w:p>
            <w:pPr>
              <w:ind w:left="80"/>
              <w:spacing w:after="0" w:line="129"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1"/>
                <w:szCs w:val="11"/>
                <w:color w:val="auto"/>
              </w:rPr>
            </w:pPr>
          </w:p>
        </w:tc>
        <w:tc>
          <w:tcPr>
            <w:tcW w:w="1620" w:type="dxa"/>
            <w:vAlign w:val="bottom"/>
            <w:gridSpan w:val="4"/>
          </w:tcPr>
          <w:p>
            <w:pPr>
              <w:jc w:val="right"/>
              <w:ind w:right="253"/>
              <w:spacing w:after="0" w:line="129" w:lineRule="exact"/>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96"/>
        </w:trPr>
        <w:tc>
          <w:tcPr>
            <w:tcW w:w="36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capital expenditures:</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Crude Oil</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29"/>
        </w:trPr>
        <w:tc>
          <w:tcPr>
            <w:tcW w:w="366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NGL </w:t>
            </w:r>
            <w:r>
              <w:rPr>
                <w:rFonts w:ascii="Times New Roman" w:cs="Times New Roman" w:eastAsia="Times New Roman" w:hAnsi="Times New Roman"/>
                <w:sz w:val="23"/>
                <w:szCs w:val="23"/>
                <w:color w:val="auto"/>
                <w:vertAlign w:val="superscript"/>
              </w:rPr>
              <w:t>(3)</w:t>
            </w:r>
          </w:p>
        </w:tc>
        <w:tc>
          <w:tcPr>
            <w:tcW w:w="2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23"/>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Investment capital expenditures</w:t>
            </w: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29"/>
        </w:trPr>
        <w:tc>
          <w:tcPr>
            <w:tcW w:w="36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Total Maintenance capital expenditures </w:t>
            </w:r>
            <w:r>
              <w:rPr>
                <w:rFonts w:ascii="Times New Roman" w:cs="Times New Roman" w:eastAsia="Times New Roman" w:hAnsi="Times New Roman"/>
                <w:sz w:val="23"/>
                <w:szCs w:val="23"/>
                <w:color w:val="auto"/>
                <w:vertAlign w:val="superscript"/>
              </w:rPr>
              <w:t>(4)</w:t>
            </w:r>
          </w:p>
        </w:tc>
        <w:tc>
          <w:tcPr>
            <w:tcW w:w="2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156"/>
        </w:trPr>
        <w:tc>
          <w:tcPr>
            <w:tcW w:w="366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Total Investment and Maintenance capital</w:t>
            </w:r>
          </w:p>
        </w:tc>
        <w:tc>
          <w:tcPr>
            <w:tcW w:w="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13"/>
                <w:szCs w:val="13"/>
                <w:color w:val="auto"/>
              </w:rPr>
            </w:pP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80" w:type="dxa"/>
            <w:vAlign w:val="bottom"/>
          </w:tcPr>
          <w:p>
            <w:pPr>
              <w:spacing w:after="0"/>
              <w:rPr>
                <w:sz w:val="13"/>
                <w:szCs w:val="13"/>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80" w:type="dxa"/>
            <w:vAlign w:val="bottom"/>
          </w:tcPr>
          <w:p>
            <w:pPr>
              <w:spacing w:after="0"/>
              <w:rPr>
                <w:sz w:val="13"/>
                <w:szCs w:val="13"/>
                <w:color w:val="auto"/>
              </w:rPr>
            </w:pPr>
          </w:p>
        </w:tc>
        <w:tc>
          <w:tcPr>
            <w:tcW w:w="2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tcPr>
          <w:p>
            <w:pPr>
              <w:spacing w:after="0"/>
              <w:rPr>
                <w:sz w:val="13"/>
                <w:szCs w:val="13"/>
                <w:color w:val="auto"/>
              </w:rPr>
            </w:pP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Pr>
          <w:p>
            <w:pPr>
              <w:spacing w:after="0"/>
              <w:rPr>
                <w:sz w:val="13"/>
                <w:szCs w:val="13"/>
                <w:color w:val="auto"/>
              </w:rPr>
            </w:pPr>
          </w:p>
        </w:tc>
        <w:tc>
          <w:tcPr>
            <w:tcW w:w="2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00" w:type="dxa"/>
            <w:vAlign w:val="bottom"/>
          </w:tcPr>
          <w:p>
            <w:pPr>
              <w:spacing w:after="0"/>
              <w:rPr>
                <w:sz w:val="13"/>
                <w:szCs w:val="13"/>
                <w:color w:val="auto"/>
              </w:rPr>
            </w:pP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0" w:type="dxa"/>
            <w:vAlign w:val="bottom"/>
          </w:tcPr>
          <w:p>
            <w:pPr>
              <w:spacing w:after="0"/>
              <w:rPr>
                <w:sz w:val="1"/>
                <w:szCs w:val="1"/>
                <w:color w:val="auto"/>
              </w:rPr>
            </w:pPr>
          </w:p>
        </w:tc>
      </w:tr>
      <w:tr>
        <w:trPr>
          <w:trHeight w:val="221"/>
        </w:trPr>
        <w:tc>
          <w:tcPr>
            <w:tcW w:w="3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expenditures</w:t>
            </w:r>
          </w:p>
        </w:tc>
        <w:tc>
          <w:tcPr>
            <w:tcW w:w="220" w:type="dxa"/>
            <w:vAlign w:val="bottom"/>
            <w:tcBorders>
              <w:bottom w:val="single" w:sz="8" w:color="auto"/>
            </w:tcBorders>
            <w:vMerge w:val="continue"/>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vMerge w:val="continue"/>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vMerge w:val="continue"/>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vMerge w:val="continue"/>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36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320" w:hanging="312"/>
        <w:spacing w:after="0"/>
        <w:tabs>
          <w:tab w:leader="none" w:pos="320"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results from continuing operations and discontinued operations for all periods presented.</w:t>
      </w:r>
    </w:p>
    <w:p>
      <w:pPr>
        <w:spacing w:after="0" w:line="55" w:lineRule="exact"/>
        <w:rPr>
          <w:rFonts w:ascii="Times New Roman" w:cs="Times New Roman" w:eastAsia="Times New Roman" w:hAnsi="Times New Roman"/>
          <w:sz w:val="23"/>
          <w:szCs w:val="23"/>
          <w:color w:val="auto"/>
          <w:vertAlign w:val="superscript"/>
        </w:rPr>
      </w:pPr>
    </w:p>
    <w:p>
      <w:pPr>
        <w:ind w:left="320" w:hanging="312"/>
        <w:spacing w:after="0" w:line="194" w:lineRule="auto"/>
        <w:tabs>
          <w:tab w:leader="none" w:pos="320"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Excludes expenditures attributable to noncontrolling interests.</w:t>
      </w:r>
    </w:p>
    <w:p>
      <w:pPr>
        <w:spacing w:after="0" w:line="56" w:lineRule="exact"/>
        <w:rPr>
          <w:rFonts w:ascii="Times New Roman" w:cs="Times New Roman" w:eastAsia="Times New Roman" w:hAnsi="Times New Roman"/>
          <w:sz w:val="23"/>
          <w:szCs w:val="23"/>
          <w:color w:val="auto"/>
          <w:vertAlign w:val="superscript"/>
        </w:rPr>
      </w:pPr>
    </w:p>
    <w:p>
      <w:pPr>
        <w:ind w:left="320" w:hanging="312"/>
        <w:spacing w:after="0" w:line="194" w:lineRule="auto"/>
        <w:tabs>
          <w:tab w:leader="none" w:pos="320"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See the “Discontinued Operations Detail” section for amounts attributable to discontinued operations.</w:t>
      </w:r>
    </w:p>
    <w:p>
      <w:pPr>
        <w:spacing w:after="0" w:line="56" w:lineRule="exact"/>
        <w:rPr>
          <w:rFonts w:ascii="Times New Roman" w:cs="Times New Roman" w:eastAsia="Times New Roman" w:hAnsi="Times New Roman"/>
          <w:sz w:val="23"/>
          <w:szCs w:val="23"/>
          <w:color w:val="auto"/>
          <w:vertAlign w:val="superscript"/>
        </w:rPr>
      </w:pPr>
    </w:p>
    <w:p>
      <w:pPr>
        <w:ind w:left="320" w:hanging="312"/>
        <w:spacing w:after="0" w:line="194" w:lineRule="auto"/>
        <w:tabs>
          <w:tab w:leader="none" w:pos="320"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See the “Selected Financial Data by NGL” section for amounts attributable to discontinued operations.</w:t>
      </w:r>
    </w:p>
    <w:p>
      <w:pPr>
        <w:spacing w:after="0" w:line="157" w:lineRule="exact"/>
        <w:rPr>
          <w:rFonts w:ascii="Times New Roman" w:cs="Times New Roman" w:eastAsia="Times New Roman" w:hAnsi="Times New Roman"/>
          <w:sz w:val="23"/>
          <w:szCs w:val="23"/>
          <w:color w:val="auto"/>
          <w:vertAlign w:val="superscript"/>
        </w:rPr>
      </w:pPr>
    </w:p>
    <w:p>
      <w:pPr>
        <w:ind w:left="5440" w:hanging="106"/>
        <w:spacing w:after="0"/>
        <w:tabs>
          <w:tab w:leader="none" w:pos="54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4"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auto"/>
        </w:rPr>
        <w:t>Page 11</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NON-GAAP RECONCILIATIONS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 except per unit and ratio data)</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Computation of Basic and Diluted Adjusted Net Income Per Common Unit </w:t>
      </w:r>
      <w:r>
        <w:rPr>
          <w:rFonts w:ascii="Times New Roman" w:cs="Times New Roman" w:eastAsia="Times New Roman" w:hAnsi="Times New Roman"/>
          <w:sz w:val="23"/>
          <w:szCs w:val="23"/>
          <w:b w:val="1"/>
          <w:bCs w:val="1"/>
          <w:color w:val="auto"/>
          <w:vertAlign w:val="superscript"/>
        </w:rPr>
        <w:t>(1) (2)</w:t>
      </w:r>
      <w:r>
        <w:rPr>
          <w:rFonts w:ascii="Times New Roman" w:cs="Times New Roman" w:eastAsia="Times New Roman" w:hAnsi="Times New Roman"/>
          <w:sz w:val="18"/>
          <w:szCs w:val="18"/>
          <w:b w:val="1"/>
          <w:bCs w:val="1"/>
          <w:color w:val="auto"/>
        </w:rPr>
        <w:t xml:space="preserve"> :</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960" w:type="dxa"/>
            <w:vAlign w:val="bottom"/>
            <w:gridSpan w:val="4"/>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00" w:type="dxa"/>
            <w:vAlign w:val="bottom"/>
            <w:gridSpan w:val="4"/>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6"/>
        </w:trPr>
        <w:tc>
          <w:tcPr>
            <w:tcW w:w="388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3"/>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Borders>
              <w:bottom w:val="single" w:sz="8" w:color="auto"/>
            </w:tcBorders>
          </w:tcPr>
          <w:p>
            <w:pPr>
              <w:spacing w:after="0"/>
              <w:rPr>
                <w:sz w:val="17"/>
                <w:szCs w:val="17"/>
                <w:color w:val="auto"/>
              </w:rPr>
            </w:pPr>
          </w:p>
        </w:tc>
      </w:tr>
      <w:tr>
        <w:trPr>
          <w:trHeight w:val="196"/>
        </w:trPr>
        <w:tc>
          <w:tcPr>
            <w:tcW w:w="3880" w:type="dxa"/>
            <w:vAlign w:val="bottom"/>
            <w:tcBorders>
              <w:bottom w:val="single" w:sz="8" w:color="CCEEFF"/>
            </w:tcBorders>
          </w:tcPr>
          <w:p>
            <w:pPr>
              <w:spacing w:after="0"/>
              <w:rPr>
                <w:sz w:val="17"/>
                <w:szCs w:val="17"/>
                <w:color w:val="auto"/>
              </w:rPr>
            </w:pPr>
          </w:p>
        </w:tc>
        <w:tc>
          <w:tcPr>
            <w:tcW w:w="248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6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and Diluted Adjusted Net Income per Common Unit</w:t>
            </w: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29"/>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 attributable to PAA</w:t>
            </w:r>
          </w:p>
        </w:tc>
        <w:tc>
          <w:tcPr>
            <w:tcW w:w="740" w:type="dxa"/>
            <w:vAlign w:val="bottom"/>
          </w:tcPr>
          <w:p>
            <w:pPr>
              <w:jc w:val="right"/>
              <w:ind w:right="53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Pr>
          <w:p>
            <w:pPr>
              <w:spacing w:after="0"/>
              <w:rPr>
                <w:sz w:val="19"/>
                <w:szCs w:val="19"/>
                <w:color w:val="auto"/>
              </w:rPr>
            </w:pPr>
          </w:p>
        </w:tc>
        <w:tc>
          <w:tcPr>
            <w:tcW w:w="720" w:type="dxa"/>
            <w:vAlign w:val="bottom"/>
          </w:tcPr>
          <w:p>
            <w:pPr>
              <w:jc w:val="right"/>
              <w:ind w:right="534"/>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w:t>
            </w:r>
          </w:p>
        </w:tc>
      </w:tr>
      <w:tr>
        <w:trPr>
          <w:trHeight w:val="229"/>
        </w:trPr>
        <w:tc>
          <w:tcPr>
            <w:tcW w:w="6360" w:type="dxa"/>
            <w:vAlign w:val="bottom"/>
            <w:gridSpan w:val="2"/>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w w:val="99"/>
              </w:rPr>
              <w:t xml:space="preserve">Selected items impacting comparability - Adjusted net income attributable to PAA </w:t>
            </w:r>
            <w:r>
              <w:rPr>
                <w:rFonts w:ascii="Times New Roman" w:cs="Times New Roman" w:eastAsia="Times New Roman" w:hAnsi="Times New Roman"/>
                <w:sz w:val="23"/>
                <w:szCs w:val="23"/>
                <w:color w:val="auto"/>
                <w:w w:val="99"/>
                <w:vertAlign w:val="superscript"/>
              </w:rPr>
              <w:t>(3)</w:t>
            </w:r>
          </w:p>
        </w:tc>
        <w:tc>
          <w:tcPr>
            <w:tcW w:w="7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23"/>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Adjusted net income attributable to PAA</w:t>
            </w:r>
          </w:p>
        </w:tc>
        <w:tc>
          <w:tcPr>
            <w:tcW w:w="740" w:type="dxa"/>
            <w:vAlign w:val="bottom"/>
          </w:tcPr>
          <w:p>
            <w:pPr>
              <w:jc w:val="right"/>
              <w:ind w:right="53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19"/>
                <w:szCs w:val="19"/>
                <w:color w:val="auto"/>
              </w:rPr>
            </w:pPr>
          </w:p>
        </w:tc>
        <w:tc>
          <w:tcPr>
            <w:tcW w:w="720" w:type="dxa"/>
            <w:vAlign w:val="bottom"/>
          </w:tcPr>
          <w:p>
            <w:pPr>
              <w:jc w:val="right"/>
              <w:ind w:right="534"/>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w:t>
            </w:r>
          </w:p>
        </w:tc>
      </w:tr>
      <w:tr>
        <w:trPr>
          <w:trHeight w:val="229"/>
        </w:trPr>
        <w:tc>
          <w:tcPr>
            <w:tcW w:w="6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Distributions to Series A preferred unitholders</w:t>
            </w:r>
          </w:p>
        </w:tc>
        <w:tc>
          <w:tcPr>
            <w:tcW w:w="7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30"/>
        </w:trPr>
        <w:tc>
          <w:tcPr>
            <w:tcW w:w="6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Distributions to Series B preferred unitholders</w:t>
            </w:r>
          </w:p>
        </w:tc>
        <w:tc>
          <w:tcPr>
            <w:tcW w:w="7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29"/>
        </w:trPr>
        <w:tc>
          <w:tcPr>
            <w:tcW w:w="6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Amounts allocated to participating securities</w:t>
            </w:r>
          </w:p>
        </w:tc>
        <w:tc>
          <w:tcPr>
            <w:tcW w:w="7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6360" w:type="dxa"/>
            <w:vAlign w:val="bottom"/>
            <w:gridSpan w:val="2"/>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Impact from repurchase of Series A preferred units </w:t>
            </w:r>
            <w:r>
              <w:rPr>
                <w:rFonts w:ascii="Times New Roman" w:cs="Times New Roman" w:eastAsia="Times New Roman" w:hAnsi="Times New Roman"/>
                <w:sz w:val="23"/>
                <w:szCs w:val="23"/>
                <w:color w:val="auto"/>
                <w:vertAlign w:val="superscript"/>
              </w:rPr>
              <w:t>(4)</w:t>
            </w:r>
          </w:p>
        </w:tc>
        <w:tc>
          <w:tcPr>
            <w:tcW w:w="740" w:type="dxa"/>
            <w:vAlign w:val="bottom"/>
          </w:tcPr>
          <w:p>
            <w:pPr>
              <w:spacing w:after="0"/>
              <w:rPr>
                <w:sz w:val="19"/>
                <w:szCs w:val="19"/>
                <w:color w:val="auto"/>
              </w:rPr>
            </w:pP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9"/>
                <w:szCs w:val="19"/>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7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Adjusted net income allocated to common unitholders</w:t>
            </w:r>
          </w:p>
        </w:tc>
        <w:tc>
          <w:tcPr>
            <w:tcW w:w="74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tcPr>
          <w:p>
            <w:pPr>
              <w:spacing w:after="0"/>
              <w:rPr>
                <w:sz w:val="19"/>
                <w:szCs w:val="19"/>
                <w:color w:val="auto"/>
              </w:rPr>
            </w:pPr>
          </w:p>
        </w:tc>
        <w:tc>
          <w:tcPr>
            <w:tcW w:w="72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w:t>
            </w: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24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37"/>
        </w:trPr>
        <w:tc>
          <w:tcPr>
            <w:tcW w:w="3880" w:type="dxa"/>
            <w:vAlign w:val="bottom"/>
            <w:shd w:val="clear" w:color="auto" w:fill="CCEEFF"/>
          </w:tcPr>
          <w:p>
            <w:pPr>
              <w:spacing w:after="0"/>
              <w:rPr>
                <w:sz w:val="20"/>
                <w:szCs w:val="20"/>
                <w:color w:val="auto"/>
              </w:rPr>
            </w:pPr>
          </w:p>
        </w:tc>
        <w:tc>
          <w:tcPr>
            <w:tcW w:w="24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r>
      <w:tr>
        <w:trPr>
          <w:trHeight w:val="229"/>
        </w:trPr>
        <w:tc>
          <w:tcPr>
            <w:tcW w:w="63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Basic and diluted weighted average common units outstanding </w:t>
            </w:r>
            <w:r>
              <w:rPr>
                <w:rFonts w:ascii="Times New Roman" w:cs="Times New Roman" w:eastAsia="Times New Roman" w:hAnsi="Times New Roman"/>
                <w:sz w:val="23"/>
                <w:szCs w:val="23"/>
                <w:color w:val="auto"/>
                <w:vertAlign w:val="superscript"/>
              </w:rPr>
              <w:t>(5) (6)</w:t>
            </w:r>
          </w:p>
        </w:tc>
        <w:tc>
          <w:tcPr>
            <w:tcW w:w="7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w:t>
            </w:r>
          </w:p>
        </w:tc>
      </w:tr>
      <w:tr>
        <w:trPr>
          <w:trHeight w:val="270"/>
        </w:trPr>
        <w:tc>
          <w:tcPr>
            <w:tcW w:w="3880" w:type="dxa"/>
            <w:vAlign w:val="bottom"/>
            <w:shd w:val="clear" w:color="auto" w:fill="CCEEFF"/>
          </w:tcPr>
          <w:p>
            <w:pPr>
              <w:spacing w:after="0"/>
              <w:rPr>
                <w:sz w:val="23"/>
                <w:szCs w:val="23"/>
                <w:color w:val="auto"/>
              </w:rPr>
            </w:pPr>
          </w:p>
        </w:tc>
        <w:tc>
          <w:tcPr>
            <w:tcW w:w="248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r>
      <w:tr>
        <w:trPr>
          <w:trHeight w:val="230"/>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Basic and diluted adjusted net income per common unit</w:t>
            </w:r>
          </w:p>
        </w:tc>
        <w:tc>
          <w:tcPr>
            <w:tcW w:w="74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0.36</w:t>
            </w:r>
          </w:p>
        </w:tc>
        <w:tc>
          <w:tcPr>
            <w:tcW w:w="100" w:type="dxa"/>
            <w:vAlign w:val="bottom"/>
          </w:tcPr>
          <w:p>
            <w:pPr>
              <w:spacing w:after="0"/>
              <w:rPr>
                <w:sz w:val="19"/>
                <w:szCs w:val="19"/>
                <w:color w:val="auto"/>
              </w:rPr>
            </w:pPr>
          </w:p>
        </w:tc>
        <w:tc>
          <w:tcPr>
            <w:tcW w:w="72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0.72</w:t>
            </w:r>
          </w:p>
        </w:tc>
      </w:tr>
      <w:tr>
        <w:trPr>
          <w:trHeight w:val="20"/>
        </w:trPr>
        <w:tc>
          <w:tcPr>
            <w:tcW w:w="38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29"/>
        </w:trPr>
        <w:tc>
          <w:tcPr>
            <w:tcW w:w="3880" w:type="dxa"/>
            <w:vAlign w:val="bottom"/>
            <w:tcBorders>
              <w:bottom w:val="single" w:sz="8" w:color="auto"/>
            </w:tcBorders>
          </w:tcPr>
          <w:p>
            <w:pPr>
              <w:spacing w:after="0"/>
              <w:rPr>
                <w:sz w:val="11"/>
                <w:szCs w:val="11"/>
                <w:color w:val="auto"/>
              </w:rPr>
            </w:pPr>
          </w:p>
        </w:tc>
        <w:tc>
          <w:tcPr>
            <w:tcW w:w="2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r>
    </w:tbl>
    <w:p>
      <w:pPr>
        <w:spacing w:after="0" w:line="126" w:lineRule="exact"/>
        <w:rPr>
          <w:sz w:val="20"/>
          <w:szCs w:val="20"/>
          <w:color w:val="auto"/>
        </w:rPr>
      </w:pPr>
    </w:p>
    <w:p>
      <w:pPr>
        <w:ind w:left="340" w:right="160" w:hanging="332"/>
        <w:spacing w:after="0" w:line="239" w:lineRule="auto"/>
        <w:tabs>
          <w:tab w:leader="none" w:pos="327" w:val="left"/>
        </w:tabs>
        <w:numPr>
          <w:ilvl w:val="0"/>
          <w:numId w:val="1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We calculate adjusted net income allocated to common unitholders based on the distributions pertaining to the current period’s net income. After adjusting for the appropriate period’s distributions, the remaining undistributed earnings or excess distributions over earnings, if any, are allocated to the common unitholders and participating securities in accordance with the contractual terms of our partnership agreement in effect for the period and as further prescribed under the two-class method.</w:t>
      </w:r>
    </w:p>
    <w:p>
      <w:pPr>
        <w:spacing w:after="0" w:line="28" w:lineRule="exact"/>
        <w:rPr>
          <w:rFonts w:ascii="Times New Roman" w:cs="Times New Roman" w:eastAsia="Times New Roman" w:hAnsi="Times New Roman"/>
          <w:sz w:val="19"/>
          <w:szCs w:val="19"/>
          <w:color w:val="auto"/>
          <w:vertAlign w:val="superscript"/>
        </w:rPr>
      </w:pPr>
    </w:p>
    <w:p>
      <w:pPr>
        <w:ind w:left="320" w:hanging="312"/>
        <w:spacing w:after="0"/>
        <w:tabs>
          <w:tab w:leader="none" w:pos="320" w:val="left"/>
        </w:tabs>
        <w:numPr>
          <w:ilvl w:val="0"/>
          <w:numId w:val="13"/>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Includes results from continuing operations and discontinued operations for all periods presented.</w:t>
      </w:r>
    </w:p>
    <w:p>
      <w:pPr>
        <w:spacing w:after="0" w:line="38" w:lineRule="exact"/>
        <w:rPr>
          <w:rFonts w:ascii="Times New Roman" w:cs="Times New Roman" w:eastAsia="Times New Roman" w:hAnsi="Times New Roman"/>
          <w:sz w:val="9"/>
          <w:szCs w:val="9"/>
          <w:color w:val="auto"/>
        </w:rPr>
      </w:pPr>
    </w:p>
    <w:p>
      <w:pPr>
        <w:ind w:left="320" w:hanging="312"/>
        <w:spacing w:after="0"/>
        <w:tabs>
          <w:tab w:leader="none" w:pos="320" w:val="left"/>
        </w:tabs>
        <w:numPr>
          <w:ilvl w:val="0"/>
          <w:numId w:val="1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See the “Selected Items Impacting Comparability” table for additional information.</w:t>
      </w:r>
    </w:p>
    <w:p>
      <w:pPr>
        <w:spacing w:after="0" w:line="55" w:lineRule="exact"/>
        <w:rPr>
          <w:rFonts w:ascii="Times New Roman" w:cs="Times New Roman" w:eastAsia="Times New Roman" w:hAnsi="Times New Roman"/>
          <w:sz w:val="19"/>
          <w:szCs w:val="19"/>
          <w:color w:val="auto"/>
          <w:vertAlign w:val="superscript"/>
        </w:rPr>
      </w:pPr>
    </w:p>
    <w:p>
      <w:pPr>
        <w:ind w:left="340" w:right="120" w:hanging="332"/>
        <w:spacing w:after="0" w:line="221" w:lineRule="auto"/>
        <w:tabs>
          <w:tab w:leader="none" w:pos="327" w:val="left"/>
        </w:tabs>
        <w:numPr>
          <w:ilvl w:val="0"/>
          <w:numId w:val="1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We repurchased approximately 12.7 million Series A preferred units on January 31, 2025. The difference between the cash we paid for the repurchase of such units and their carrying value on our balance sheet is considered a return to Series A preferred unitholders for the calculation of adjusted net income allocated to common unitholders.</w:t>
      </w:r>
    </w:p>
    <w:p>
      <w:pPr>
        <w:spacing w:after="0" w:line="41" w:lineRule="exact"/>
        <w:rPr>
          <w:rFonts w:ascii="Times New Roman" w:cs="Times New Roman" w:eastAsia="Times New Roman" w:hAnsi="Times New Roman"/>
          <w:sz w:val="19"/>
          <w:szCs w:val="19"/>
          <w:color w:val="auto"/>
          <w:vertAlign w:val="superscript"/>
        </w:rPr>
      </w:pPr>
    </w:p>
    <w:p>
      <w:pPr>
        <w:ind w:left="340" w:right="140" w:hanging="332"/>
        <w:spacing w:after="0" w:line="221" w:lineRule="auto"/>
        <w:tabs>
          <w:tab w:leader="none" w:pos="327" w:val="left"/>
        </w:tabs>
        <w:numPr>
          <w:ilvl w:val="0"/>
          <w:numId w:val="1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possible conversion of our Series A preferred units was excluded from the calculation of diluted adjusted net income per common unit for each of the three and six months ended June 30, 2025 and 2024 as the effect was antidilutive.</w:t>
      </w:r>
    </w:p>
    <w:p>
      <w:pPr>
        <w:spacing w:after="0" w:line="42" w:lineRule="exact"/>
        <w:rPr>
          <w:rFonts w:ascii="Times New Roman" w:cs="Times New Roman" w:eastAsia="Times New Roman" w:hAnsi="Times New Roman"/>
          <w:sz w:val="19"/>
          <w:szCs w:val="19"/>
          <w:color w:val="auto"/>
          <w:vertAlign w:val="superscript"/>
        </w:rPr>
      </w:pPr>
    </w:p>
    <w:p>
      <w:pPr>
        <w:ind w:left="340" w:right="100" w:hanging="332"/>
        <w:spacing w:after="0" w:line="239" w:lineRule="auto"/>
        <w:tabs>
          <w:tab w:leader="none" w:pos="327" w:val="left"/>
        </w:tabs>
        <w:numPr>
          <w:ilvl w:val="0"/>
          <w:numId w:val="1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Our equity-indexed compensation plan awards that contemplate the issuance of common units are considered potentially dilutive unless (i) they become vested only upon the satisfaction of a performance condition and (ii) that performance condition has yet to be satisfied. Equity-indexed compensation plan awards that are deemed to be dilutive are reduced by a hypothetical common unit repurchase based on the remaining unamortized fair value, as prescribed by the treasury stock method in guidance issued by the FASB.</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Net Income Per Common Unit to Adjusted Net Income Per Common Unit Reconciliation </w:t>
      </w:r>
      <w:r>
        <w:rPr>
          <w:rFonts w:ascii="Times New Roman" w:cs="Times New Roman" w:eastAsia="Times New Roman" w:hAnsi="Times New Roman"/>
          <w:sz w:val="23"/>
          <w:szCs w:val="23"/>
          <w:b w:val="1"/>
          <w:bCs w:val="1"/>
          <w:color w:val="auto"/>
          <w:vertAlign w:val="superscript"/>
        </w:rPr>
        <w:t>(1)</w:t>
      </w:r>
      <w:r>
        <w:rPr>
          <w:rFonts w:ascii="Times New Roman" w:cs="Times New Roman" w:eastAsia="Times New Roman" w:hAnsi="Times New Roman"/>
          <w:sz w:val="18"/>
          <w:szCs w:val="18"/>
          <w:b w:val="1"/>
          <w:bCs w:val="1"/>
          <w:color w:val="auto"/>
        </w:rPr>
        <w:t>:</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980" w:type="dxa"/>
            <w:vAlign w:val="bottom"/>
            <w:gridSpan w:val="4"/>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20" w:type="dxa"/>
            <w:vAlign w:val="bottom"/>
            <w:gridSpan w:val="4"/>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5"/>
        </w:trPr>
        <w:tc>
          <w:tcPr>
            <w:tcW w:w="38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r>
      <w:tr>
        <w:trPr>
          <w:trHeight w:val="195"/>
        </w:trPr>
        <w:tc>
          <w:tcPr>
            <w:tcW w:w="3880" w:type="dxa"/>
            <w:vAlign w:val="bottom"/>
            <w:tcBorders>
              <w:bottom w:val="single" w:sz="8" w:color="CCEEFF"/>
            </w:tcBorders>
          </w:tcPr>
          <w:p>
            <w:pPr>
              <w:spacing w:after="0"/>
              <w:rPr>
                <w:sz w:val="16"/>
                <w:szCs w:val="16"/>
                <w:color w:val="auto"/>
              </w:rPr>
            </w:pPr>
          </w:p>
        </w:tc>
        <w:tc>
          <w:tcPr>
            <w:tcW w:w="250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 net income per common unit</w:t>
            </w:r>
          </w:p>
        </w:tc>
        <w:tc>
          <w:tcPr>
            <w:tcW w:w="720" w:type="dxa"/>
            <w:vAlign w:val="bottom"/>
            <w:shd w:val="clear" w:color="auto" w:fill="CCEEFF"/>
          </w:tcPr>
          <w:p>
            <w:pPr>
              <w:jc w:val="right"/>
              <w:ind w:right="53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3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0.26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0.55</w:t>
            </w:r>
          </w:p>
        </w:tc>
      </w:tr>
      <w:tr>
        <w:trPr>
          <w:trHeight w:val="230"/>
        </w:trPr>
        <w:tc>
          <w:tcPr>
            <w:tcW w:w="6380" w:type="dxa"/>
            <w:vAlign w:val="bottom"/>
            <w:tcBorders>
              <w:bottom w:val="single" w:sz="8" w:color="CCEEFF"/>
            </w:tcBorders>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Selected items impacting comparability per common unit </w:t>
            </w:r>
            <w:r>
              <w:rPr>
                <w:rFonts w:ascii="Times New Roman" w:cs="Times New Roman" w:eastAsia="Times New Roman" w:hAnsi="Times New Roman"/>
                <w:sz w:val="23"/>
                <w:szCs w:val="23"/>
                <w:color w:val="auto"/>
                <w:vertAlign w:val="superscript"/>
              </w:rPr>
              <w:t>(2)</w:t>
            </w:r>
          </w:p>
        </w:tc>
        <w:tc>
          <w:tcPr>
            <w:tcW w:w="7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0.05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0.17</w:t>
            </w:r>
          </w:p>
        </w:tc>
      </w:tr>
      <w:tr>
        <w:trPr>
          <w:trHeight w:val="248"/>
        </w:trPr>
        <w:tc>
          <w:tcPr>
            <w:tcW w:w="6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 adjusted net income per common unit</w:t>
            </w:r>
          </w:p>
        </w:tc>
        <w:tc>
          <w:tcPr>
            <w:tcW w:w="720" w:type="dxa"/>
            <w:vAlign w:val="bottom"/>
            <w:tcBorders>
              <w:bottom w:val="single" w:sz="8" w:color="auto"/>
            </w:tcBorders>
            <w:shd w:val="clear" w:color="auto" w:fill="CCEEFF"/>
          </w:tcPr>
          <w:p>
            <w:pPr>
              <w:jc w:val="right"/>
              <w:ind w:right="53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3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0.31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0.72</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123"/>
        </w:trPr>
        <w:tc>
          <w:tcPr>
            <w:tcW w:w="3880" w:type="dxa"/>
            <w:vAlign w:val="bottom"/>
            <w:tcBorders>
              <w:bottom w:val="single" w:sz="8" w:color="auto"/>
            </w:tcBorders>
          </w:tcPr>
          <w:p>
            <w:pPr>
              <w:spacing w:after="0"/>
              <w:rPr>
                <w:sz w:val="10"/>
                <w:szCs w:val="10"/>
                <w:color w:val="auto"/>
              </w:rPr>
            </w:pPr>
          </w:p>
        </w:tc>
        <w:tc>
          <w:tcPr>
            <w:tcW w:w="25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20" w:type="dxa"/>
            <w:vAlign w:val="bottom"/>
          </w:tcPr>
          <w:p>
            <w:pPr>
              <w:spacing w:after="0"/>
              <w:rPr>
                <w:sz w:val="10"/>
                <w:szCs w:val="10"/>
                <w:color w:val="auto"/>
              </w:rPr>
            </w:pPr>
          </w:p>
        </w:tc>
      </w:tr>
    </w:tbl>
    <w:p>
      <w:pPr>
        <w:spacing w:after="0" w:line="96" w:lineRule="exact"/>
        <w:rPr>
          <w:sz w:val="20"/>
          <w:szCs w:val="20"/>
          <w:color w:val="auto"/>
        </w:rPr>
      </w:pPr>
    </w:p>
    <w:p>
      <w:pPr>
        <w:ind w:left="320" w:hanging="312"/>
        <w:spacing w:after="0"/>
        <w:tabs>
          <w:tab w:leader="none" w:pos="320" w:val="left"/>
        </w:tabs>
        <w:numPr>
          <w:ilvl w:val="0"/>
          <w:numId w:val="1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results from continuing operations and discontinued operations for all periods presented.</w:t>
      </w:r>
    </w:p>
    <w:p>
      <w:pPr>
        <w:spacing w:after="0" w:line="43" w:lineRule="exact"/>
        <w:rPr>
          <w:rFonts w:ascii="Times New Roman" w:cs="Times New Roman" w:eastAsia="Times New Roman" w:hAnsi="Times New Roman"/>
          <w:sz w:val="19"/>
          <w:szCs w:val="19"/>
          <w:color w:val="auto"/>
          <w:vertAlign w:val="superscript"/>
        </w:rPr>
      </w:pPr>
    </w:p>
    <w:p>
      <w:pPr>
        <w:ind w:left="320" w:hanging="312"/>
        <w:spacing w:after="0"/>
        <w:tabs>
          <w:tab w:leader="none" w:pos="320" w:val="left"/>
        </w:tabs>
        <w:numPr>
          <w:ilvl w:val="0"/>
          <w:numId w:val="14"/>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See the “Selected Items Impacting Comparability” and the “Computation of Basic and Diluted Adjusted Net Income Per Common Unit” tables for additional information.</w:t>
      </w:r>
    </w:p>
    <w:p>
      <w:pPr>
        <w:spacing w:after="0" w:line="178" w:lineRule="exact"/>
        <w:rPr>
          <w:rFonts w:ascii="Times New Roman" w:cs="Times New Roman" w:eastAsia="Times New Roman" w:hAnsi="Times New Roman"/>
          <w:sz w:val="9"/>
          <w:szCs w:val="9"/>
          <w:color w:val="auto"/>
        </w:rPr>
      </w:pPr>
    </w:p>
    <w:p>
      <w:pPr>
        <w:ind w:left="5440" w:hanging="106"/>
        <w:spacing w:after="0"/>
        <w:tabs>
          <w:tab w:leader="none" w:pos="54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4"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auto"/>
        </w:rPr>
        <w:t>Page 12</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to Adjusted EBITDA attributable to PAA and Implied DCF Reconciliation:</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2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2120" w:type="dxa"/>
            <w:vAlign w:val="bottom"/>
            <w:gridSpan w:val="4"/>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6"/>
        </w:trPr>
        <w:tc>
          <w:tcPr>
            <w:tcW w:w="63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Borders>
              <w:bottom w:val="single" w:sz="8" w:color="auto"/>
            </w:tcBorders>
          </w:tcPr>
          <w:p>
            <w:pPr>
              <w:spacing w:after="0"/>
              <w:rPr>
                <w:sz w:val="17"/>
                <w:szCs w:val="17"/>
                <w:color w:val="auto"/>
              </w:rPr>
            </w:pPr>
          </w:p>
        </w:tc>
      </w:tr>
      <w:tr>
        <w:trPr>
          <w:trHeight w:val="196"/>
        </w:trPr>
        <w:tc>
          <w:tcPr>
            <w:tcW w:w="63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638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Net income </w:t>
            </w:r>
            <w:r>
              <w:rPr>
                <w:rFonts w:ascii="Times New Roman" w:cs="Times New Roman" w:eastAsia="Times New Roman" w:hAnsi="Times New Roman"/>
                <w:sz w:val="21"/>
                <w:szCs w:val="21"/>
                <w:color w:val="auto"/>
                <w:vertAlign w:val="superscript"/>
              </w:rPr>
              <w:t>(1)</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w:t>
            </w:r>
          </w:p>
        </w:tc>
      </w:tr>
      <w:tr>
        <w:trPr>
          <w:trHeight w:val="216"/>
        </w:trPr>
        <w:tc>
          <w:tcPr>
            <w:tcW w:w="638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Interest expense, net of certain items </w:t>
            </w:r>
            <w:r>
              <w:rPr>
                <w:rFonts w:ascii="Times New Roman" w:cs="Times New Roman" w:eastAsia="Times New Roman" w:hAnsi="Times New Roman"/>
                <w:sz w:val="21"/>
                <w:szCs w:val="21"/>
                <w:color w:val="auto"/>
                <w:vertAlign w:val="superscript"/>
              </w:rPr>
              <w:t>(2)</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w:t>
            </w:r>
          </w:p>
        </w:tc>
      </w:tr>
      <w:tr>
        <w:trPr>
          <w:trHeight w:val="216"/>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tax expense from continuing operations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r>
      <w:tr>
        <w:trPr>
          <w:trHeight w:val="213"/>
        </w:trPr>
        <w:tc>
          <w:tcPr>
            <w:tcW w:w="6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tax expense from discontinued operations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19"/>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 from continuing operations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w:t>
            </w:r>
          </w:p>
        </w:tc>
      </w:tr>
      <w:tr>
        <w:trPr>
          <w:trHeight w:val="213"/>
        </w:trPr>
        <w:tc>
          <w:tcPr>
            <w:tcW w:w="6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 from discontinued operations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r>
      <w:tr>
        <w:trPr>
          <w:trHeight w:val="219"/>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Losses on asset sales, net from continuing operations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3"/>
        </w:trPr>
        <w:tc>
          <w:tcPr>
            <w:tcW w:w="6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(Gains)/losses on asset sales, net from discontinued operations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9"/>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Gain on investments in unconsolidated entities, net</w:t>
            </w: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638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Depreciation and amortization of unconsolidated entities </w:t>
            </w:r>
            <w:r>
              <w:rPr>
                <w:rFonts w:ascii="Times New Roman" w:cs="Times New Roman" w:eastAsia="Times New Roman" w:hAnsi="Times New Roman"/>
                <w:sz w:val="21"/>
                <w:szCs w:val="21"/>
                <w:color w:val="auto"/>
                <w:vertAlign w:val="superscript"/>
              </w:rPr>
              <w:t>(3)</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r>
      <w:tr>
        <w:trPr>
          <w:trHeight w:val="216"/>
        </w:trPr>
        <w:tc>
          <w:tcPr>
            <w:tcW w:w="638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Selected items impacting comparability - Adjusted EBITDA </w:t>
            </w:r>
            <w:r>
              <w:rPr>
                <w:rFonts w:ascii="Times New Roman" w:cs="Times New Roman" w:eastAsia="Times New Roman" w:hAnsi="Times New Roman"/>
                <w:sz w:val="21"/>
                <w:szCs w:val="21"/>
                <w:color w:val="auto"/>
                <w:vertAlign w:val="superscript"/>
              </w:rPr>
              <w:t>(1) (4)</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r>
      <w:tr>
        <w:trPr>
          <w:trHeight w:val="210"/>
        </w:trPr>
        <w:tc>
          <w:tcPr>
            <w:tcW w:w="6380" w:type="dxa"/>
            <w:vAlign w:val="bottom"/>
          </w:tcPr>
          <w:p>
            <w:pPr>
              <w:ind w:left="20"/>
              <w:spacing w:after="0" w:line="210" w:lineRule="exact"/>
              <w:rPr>
                <w:sz w:val="20"/>
                <w:szCs w:val="20"/>
                <w:color w:val="auto"/>
              </w:rPr>
            </w:pPr>
            <w:r>
              <w:rPr>
                <w:rFonts w:ascii="Times New Roman" w:cs="Times New Roman" w:eastAsia="Times New Roman" w:hAnsi="Times New Roman"/>
                <w:sz w:val="16"/>
                <w:szCs w:val="16"/>
                <w:color w:val="auto"/>
              </w:rPr>
              <w:t xml:space="preserve">Adjusted EBITDA </w:t>
            </w:r>
            <w:r>
              <w:rPr>
                <w:rFonts w:ascii="Times New Roman" w:cs="Times New Roman" w:eastAsia="Times New Roman" w:hAnsi="Times New Roman"/>
                <w:sz w:val="21"/>
                <w:szCs w:val="21"/>
                <w:color w:val="auto"/>
                <w:vertAlign w:val="superscript"/>
              </w:rPr>
              <w:t>(1)</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812</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807</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1,693</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1,654</w:t>
            </w:r>
          </w:p>
        </w:tc>
      </w:tr>
      <w:tr>
        <w:trPr>
          <w:trHeight w:val="213"/>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Adjusted EBITDA attributable to noncontrolling interests</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w:t>
            </w:r>
          </w:p>
        </w:tc>
      </w:tr>
      <w:tr>
        <w:trPr>
          <w:trHeight w:val="212"/>
        </w:trPr>
        <w:tc>
          <w:tcPr>
            <w:tcW w:w="6380" w:type="dxa"/>
            <w:vAlign w:val="bottom"/>
          </w:tcPr>
          <w:p>
            <w:pPr>
              <w:ind w:left="40"/>
              <w:spacing w:after="0" w:line="213" w:lineRule="exact"/>
              <w:rPr>
                <w:sz w:val="20"/>
                <w:szCs w:val="20"/>
                <w:color w:val="auto"/>
              </w:rPr>
            </w:pPr>
            <w:r>
              <w:rPr>
                <w:rFonts w:ascii="Times New Roman" w:cs="Times New Roman" w:eastAsia="Times New Roman" w:hAnsi="Times New Roman"/>
                <w:sz w:val="16"/>
                <w:szCs w:val="16"/>
                <w:color w:val="auto"/>
              </w:rPr>
              <w:t xml:space="preserve">Adjusted EBITDA attributable to PAA </w:t>
            </w:r>
            <w:r>
              <w:rPr>
                <w:rFonts w:ascii="Times New Roman" w:cs="Times New Roman" w:eastAsia="Times New Roman" w:hAnsi="Times New Roman"/>
                <w:sz w:val="21"/>
                <w:szCs w:val="21"/>
                <w:color w:val="auto"/>
                <w:vertAlign w:val="superscript"/>
              </w:rPr>
              <w:t>(1)</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672</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674</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1,426</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1,391</w:t>
            </w:r>
          </w:p>
        </w:tc>
      </w:tr>
      <w:tr>
        <w:trPr>
          <w:trHeight w:val="20"/>
        </w:trPr>
        <w:tc>
          <w:tcPr>
            <w:tcW w:w="63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16"/>
        </w:trPr>
        <w:tc>
          <w:tcPr>
            <w:tcW w:w="63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r>
      <w:tr>
        <w:trPr>
          <w:trHeight w:val="216"/>
        </w:trPr>
        <w:tc>
          <w:tcPr>
            <w:tcW w:w="638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Adjusted EBITDA </w:t>
            </w:r>
            <w:r>
              <w:rPr>
                <w:rFonts w:ascii="Times New Roman" w:cs="Times New Roman" w:eastAsia="Times New Roman" w:hAnsi="Times New Roman"/>
                <w:sz w:val="21"/>
                <w:szCs w:val="21"/>
                <w:color w:val="auto"/>
                <w:vertAlign w:val="superscript"/>
              </w:rPr>
              <w:t>(1)</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812</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807</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1,693</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1,654</w:t>
            </w:r>
          </w:p>
        </w:tc>
      </w:tr>
      <w:tr>
        <w:trPr>
          <w:trHeight w:val="216"/>
        </w:trPr>
        <w:tc>
          <w:tcPr>
            <w:tcW w:w="638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Interest expense, net of certain non-cash and other items </w:t>
            </w:r>
            <w:r>
              <w:rPr>
                <w:rFonts w:ascii="Times New Roman" w:cs="Times New Roman" w:eastAsia="Times New Roman" w:hAnsi="Times New Roman"/>
                <w:sz w:val="21"/>
                <w:szCs w:val="21"/>
                <w:color w:val="auto"/>
                <w:vertAlign w:val="superscript"/>
              </w:rPr>
              <w:t>(5)</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w:t>
            </w:r>
          </w:p>
        </w:tc>
      </w:tr>
      <w:tr>
        <w:trPr>
          <w:trHeight w:val="213"/>
        </w:trPr>
        <w:tc>
          <w:tcPr>
            <w:tcW w:w="6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Maintenance capital from continuing operations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r>
      <w:tr>
        <w:trPr>
          <w:trHeight w:val="219"/>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Maintenance capital from discontinued operations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16"/>
        </w:trPr>
        <w:tc>
          <w:tcPr>
            <w:tcW w:w="638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Investment capital of noncontrolling interests </w:t>
            </w:r>
            <w:r>
              <w:rPr>
                <w:rFonts w:ascii="Times New Roman" w:cs="Times New Roman" w:eastAsia="Times New Roman" w:hAnsi="Times New Roman"/>
                <w:sz w:val="21"/>
                <w:szCs w:val="21"/>
                <w:color w:val="auto"/>
                <w:vertAlign w:val="superscript"/>
              </w:rPr>
              <w:t>(6)</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r>
      <w:tr>
        <w:trPr>
          <w:trHeight w:val="216"/>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Current income tax expense from continuing operations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r>
      <w:tr>
        <w:trPr>
          <w:trHeight w:val="213"/>
        </w:trPr>
        <w:tc>
          <w:tcPr>
            <w:tcW w:w="6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 income tax expense from discontinued operations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r>
      <w:tr>
        <w:trPr>
          <w:trHeight w:val="219"/>
        </w:trPr>
        <w:tc>
          <w:tcPr>
            <w:tcW w:w="6380" w:type="dxa"/>
            <w:vAlign w:val="bottom"/>
            <w:shd w:val="clear" w:color="auto" w:fill="CCEEFF"/>
          </w:tcPr>
          <w:p>
            <w:pPr>
              <w:ind w:left="140"/>
              <w:spacing w:after="0" w:line="219" w:lineRule="exact"/>
              <w:rPr>
                <w:sz w:val="20"/>
                <w:szCs w:val="20"/>
                <w:color w:val="auto"/>
              </w:rPr>
            </w:pPr>
            <w:r>
              <w:rPr>
                <w:rFonts w:ascii="Times New Roman" w:cs="Times New Roman" w:eastAsia="Times New Roman" w:hAnsi="Times New Roman"/>
                <w:sz w:val="16"/>
                <w:szCs w:val="16"/>
                <w:color w:val="auto"/>
              </w:rPr>
              <w:t xml:space="preserve">Distributions from unconsolidated entities in excess of/(less than) adjusted equity earnings </w:t>
            </w:r>
            <w:r>
              <w:rPr>
                <w:rFonts w:ascii="Times New Roman" w:cs="Times New Roman" w:eastAsia="Times New Roman" w:hAnsi="Times New Roman"/>
                <w:sz w:val="21"/>
                <w:szCs w:val="21"/>
                <w:color w:val="auto"/>
                <w:vertAlign w:val="superscript"/>
              </w:rPr>
              <w:t>(7)</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16"/>
        </w:trPr>
        <w:tc>
          <w:tcPr>
            <w:tcW w:w="6380" w:type="dxa"/>
            <w:vAlign w:val="bottom"/>
            <w:tcBorders>
              <w:bottom w:val="single" w:sz="8" w:color="CCEEFF"/>
            </w:tcBorders>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Distributions to noncontrolling interests </w:t>
            </w:r>
            <w:r>
              <w:rPr>
                <w:rFonts w:ascii="Times New Roman" w:cs="Times New Roman" w:eastAsia="Times New Roman" w:hAnsi="Times New Roman"/>
                <w:sz w:val="21"/>
                <w:szCs w:val="21"/>
                <w:color w:val="auto"/>
                <w:vertAlign w:val="superscript"/>
              </w:rPr>
              <w:t>(8)</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w:t>
            </w:r>
          </w:p>
        </w:tc>
      </w:tr>
      <w:tr>
        <w:trPr>
          <w:trHeight w:val="210"/>
        </w:trPr>
        <w:tc>
          <w:tcPr>
            <w:tcW w:w="638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6"/>
                <w:szCs w:val="16"/>
                <w:color w:val="auto"/>
              </w:rPr>
              <w:t xml:space="preserve">Implied DCF </w:t>
            </w:r>
            <w:r>
              <w:rPr>
                <w:rFonts w:ascii="Times New Roman" w:cs="Times New Roman" w:eastAsia="Times New Roman" w:hAnsi="Times New Roman"/>
                <w:sz w:val="21"/>
                <w:szCs w:val="21"/>
                <w:color w:val="auto"/>
                <w:vertAlign w:val="superscript"/>
              </w:rPr>
              <w:t>(1)</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1,001</w:t>
            </w:r>
          </w:p>
        </w:tc>
      </w:tr>
      <w:tr>
        <w:trPr>
          <w:trHeight w:val="216"/>
        </w:trPr>
        <w:tc>
          <w:tcPr>
            <w:tcW w:w="6380" w:type="dxa"/>
            <w:vAlign w:val="bottom"/>
            <w:tcBorders>
              <w:bottom w:val="single" w:sz="8" w:color="CCEEFF"/>
            </w:tcBorders>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Preferred unit distributions paid </w:t>
            </w:r>
            <w:r>
              <w:rPr>
                <w:rFonts w:ascii="Times New Roman" w:cs="Times New Roman" w:eastAsia="Times New Roman" w:hAnsi="Times New Roman"/>
                <w:sz w:val="21"/>
                <w:szCs w:val="21"/>
                <w:color w:val="auto"/>
                <w:vertAlign w:val="superscript"/>
              </w:rPr>
              <w:t>(8)</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w:t>
            </w:r>
          </w:p>
        </w:tc>
      </w:tr>
      <w:tr>
        <w:trPr>
          <w:trHeight w:val="235"/>
        </w:trPr>
        <w:tc>
          <w:tcPr>
            <w:tcW w:w="6380" w:type="dxa"/>
            <w:vAlign w:val="bottom"/>
            <w:tcBorders>
              <w:bottom w:val="single" w:sz="8" w:color="CCEEFF"/>
            </w:tcBorders>
            <w:shd w:val="clear" w:color="auto" w:fill="CCEEFF"/>
          </w:tcPr>
          <w:p>
            <w:pPr>
              <w:ind w:left="20"/>
              <w:spacing w:after="0" w:line="210" w:lineRule="exact"/>
              <w:rPr>
                <w:sz w:val="20"/>
                <w:szCs w:val="20"/>
                <w:color w:val="auto"/>
              </w:rPr>
            </w:pPr>
            <w:r>
              <w:rPr>
                <w:rFonts w:ascii="Times New Roman" w:cs="Times New Roman" w:eastAsia="Times New Roman" w:hAnsi="Times New Roman"/>
                <w:sz w:val="16"/>
                <w:szCs w:val="16"/>
                <w:color w:val="auto"/>
              </w:rPr>
              <w:t xml:space="preserve">Implied DCF Available to Common Unitholders </w:t>
            </w:r>
            <w:r>
              <w:rPr>
                <w:rFonts w:ascii="Times New Roman" w:cs="Times New Roman" w:eastAsia="Times New Roman" w:hAnsi="Times New Roman"/>
                <w:sz w:val="21"/>
                <w:szCs w:val="21"/>
                <w:color w:val="auto"/>
                <w:vertAlign w:val="superscript"/>
              </w:rPr>
              <w:t>(1)</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926</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874</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95"/>
        </w:trPr>
        <w:tc>
          <w:tcPr>
            <w:tcW w:w="6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20" w:type="dxa"/>
            <w:vAlign w:val="bottom"/>
          </w:tcPr>
          <w:p>
            <w:pPr>
              <w:spacing w:after="0"/>
              <w:rPr>
                <w:sz w:val="8"/>
                <w:szCs w:val="8"/>
                <w:color w:val="auto"/>
              </w:rPr>
            </w:pPr>
          </w:p>
        </w:tc>
      </w:tr>
      <w:tr>
        <w:trPr>
          <w:trHeight w:val="216"/>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Common Units Outstanding</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701</w:t>
            </w:r>
          </w:p>
        </w:tc>
      </w:tr>
      <w:tr>
        <w:trPr>
          <w:trHeight w:val="213"/>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Common Units and Common Unit Equivalents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772</w:t>
            </w:r>
          </w:p>
        </w:tc>
      </w:tr>
      <w:tr>
        <w:trPr>
          <w:trHeight w:val="219"/>
        </w:trPr>
        <w:tc>
          <w:tcPr>
            <w:tcW w:w="638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Implied DCF per Common Unit </w:t>
            </w:r>
            <w:r>
              <w:rPr>
                <w:rFonts w:ascii="Times New Roman" w:cs="Times New Roman" w:eastAsia="Times New Roman" w:hAnsi="Times New Roman"/>
                <w:sz w:val="21"/>
                <w:szCs w:val="21"/>
                <w:color w:val="auto"/>
                <w:vertAlign w:val="superscript"/>
              </w:rPr>
              <w:t>(1) (9)</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r>
      <w:tr>
        <w:trPr>
          <w:trHeight w:val="216"/>
        </w:trPr>
        <w:tc>
          <w:tcPr>
            <w:tcW w:w="638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Implied DCF per Common Unit and Common Unit Equivalent </w:t>
            </w:r>
            <w:r>
              <w:rPr>
                <w:rFonts w:ascii="Times New Roman" w:cs="Times New Roman" w:eastAsia="Times New Roman" w:hAnsi="Times New Roman"/>
                <w:sz w:val="21"/>
                <w:szCs w:val="21"/>
                <w:color w:val="auto"/>
                <w:vertAlign w:val="superscript"/>
              </w:rPr>
              <w:t>(1) (10)</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0.66</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0.58</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w:t>
            </w:r>
          </w:p>
        </w:tc>
      </w:tr>
      <w:tr>
        <w:trPr>
          <w:trHeight w:val="216"/>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Distribution Paid per Common Unit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0.3800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0.3175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0.7600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0.6350</w:t>
            </w:r>
          </w:p>
        </w:tc>
      </w:tr>
      <w:tr>
        <w:trPr>
          <w:trHeight w:val="216"/>
        </w:trPr>
        <w:tc>
          <w:tcPr>
            <w:tcW w:w="638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Common Unit Cash Distributions </w:t>
            </w:r>
            <w:r>
              <w:rPr>
                <w:rFonts w:ascii="Times New Roman" w:cs="Times New Roman" w:eastAsia="Times New Roman" w:hAnsi="Times New Roman"/>
                <w:sz w:val="21"/>
                <w:szCs w:val="21"/>
                <w:color w:val="auto"/>
                <w:vertAlign w:val="superscript"/>
              </w:rPr>
              <w:t>(8)</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535</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w:t>
            </w:r>
          </w:p>
        </w:tc>
      </w:tr>
      <w:tr>
        <w:trPr>
          <w:trHeight w:val="216"/>
        </w:trPr>
        <w:tc>
          <w:tcPr>
            <w:tcW w:w="638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Common Unit Distribution Coverage Ratio </w:t>
            </w:r>
            <w:r>
              <w:rPr>
                <w:rFonts w:ascii="Times New Roman" w:cs="Times New Roman" w:eastAsia="Times New Roman" w:hAnsi="Times New Roman"/>
                <w:sz w:val="21"/>
                <w:szCs w:val="21"/>
                <w:color w:val="auto"/>
                <w:vertAlign w:val="superscript"/>
              </w:rPr>
              <w:t>(1)</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1.74x</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1.81x</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1.73x</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1.96x</w:t>
            </w:r>
          </w:p>
        </w:tc>
      </w:tr>
      <w:tr>
        <w:trPr>
          <w:trHeight w:val="279"/>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Implied DCF Excess </w:t>
            </w:r>
            <w:r>
              <w:rPr>
                <w:rFonts w:ascii="Times New Roman" w:cs="Times New Roman" w:eastAsia="Times New Roman" w:hAnsi="Times New Roman"/>
                <w:sz w:val="21"/>
                <w:szCs w:val="21"/>
                <w:color w:val="auto"/>
                <w:vertAlign w:val="superscript"/>
              </w:rPr>
              <w:t>(1)</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100" w:type="dxa"/>
            <w:vAlign w:val="bottom"/>
          </w:tcPr>
          <w:p>
            <w:pPr>
              <w:spacing w:after="0"/>
              <w:rPr>
                <w:sz w:val="24"/>
                <w:szCs w:val="24"/>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100" w:type="dxa"/>
            <w:vAlign w:val="bottom"/>
          </w:tcPr>
          <w:p>
            <w:pPr>
              <w:spacing w:after="0"/>
              <w:rPr>
                <w:sz w:val="24"/>
                <w:szCs w:val="24"/>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w:t>
            </w:r>
          </w:p>
        </w:tc>
        <w:tc>
          <w:tcPr>
            <w:tcW w:w="100" w:type="dxa"/>
            <w:vAlign w:val="bottom"/>
          </w:tcPr>
          <w:p>
            <w:pPr>
              <w:spacing w:after="0"/>
              <w:rPr>
                <w:sz w:val="24"/>
                <w:szCs w:val="24"/>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245999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151" w:lineRule="exact"/>
        <w:rPr>
          <w:sz w:val="20"/>
          <w:szCs w:val="20"/>
          <w:color w:val="auto"/>
        </w:rPr>
      </w:pPr>
    </w:p>
    <w:p>
      <w:pPr>
        <w:ind w:left="320" w:hanging="312"/>
        <w:spacing w:after="0"/>
        <w:tabs>
          <w:tab w:leader="none" w:pos="320" w:val="left"/>
        </w:tabs>
        <w:numPr>
          <w:ilvl w:val="0"/>
          <w:numId w:val="1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Includes results from continuing operations and discontinued operations for all periods presented.</w:t>
      </w:r>
    </w:p>
    <w:p>
      <w:pPr>
        <w:spacing w:after="0" w:line="34" w:lineRule="exact"/>
        <w:rPr>
          <w:rFonts w:ascii="Times New Roman" w:cs="Times New Roman" w:eastAsia="Times New Roman" w:hAnsi="Times New Roman"/>
          <w:sz w:val="17"/>
          <w:szCs w:val="17"/>
          <w:color w:val="auto"/>
          <w:vertAlign w:val="superscript"/>
        </w:rPr>
      </w:pPr>
    </w:p>
    <w:p>
      <w:pPr>
        <w:ind w:left="320" w:hanging="312"/>
        <w:spacing w:after="0" w:line="189" w:lineRule="auto"/>
        <w:tabs>
          <w:tab w:leader="none" w:pos="320" w:val="left"/>
        </w:tabs>
        <w:numPr>
          <w:ilvl w:val="0"/>
          <w:numId w:val="1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Represents “Interest expense, net” as reported on our Condensed Consolidated Statements of Operations, net of interest income associated with promissory notes by and among certain Plains entities.</w:t>
      </w:r>
    </w:p>
    <w:p>
      <w:pPr>
        <w:spacing w:after="0" w:line="35" w:lineRule="exact"/>
        <w:rPr>
          <w:rFonts w:ascii="Times New Roman" w:cs="Times New Roman" w:eastAsia="Times New Roman" w:hAnsi="Times New Roman"/>
          <w:sz w:val="17"/>
          <w:szCs w:val="17"/>
          <w:color w:val="auto"/>
          <w:vertAlign w:val="superscript"/>
        </w:rPr>
      </w:pPr>
    </w:p>
    <w:p>
      <w:pPr>
        <w:ind w:left="320" w:hanging="312"/>
        <w:spacing w:after="0" w:line="189" w:lineRule="auto"/>
        <w:tabs>
          <w:tab w:leader="none" w:pos="320" w:val="left"/>
        </w:tabs>
        <w:numPr>
          <w:ilvl w:val="0"/>
          <w:numId w:val="1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Adjustment to exclude our proportionate share of depreciation and amortization expense (including write-downs related to cancelled projects and impairments) of unconsolidated entities.</w:t>
      </w:r>
    </w:p>
    <w:p>
      <w:pPr>
        <w:spacing w:after="0" w:line="48" w:lineRule="exact"/>
        <w:rPr>
          <w:rFonts w:ascii="Times New Roman" w:cs="Times New Roman" w:eastAsia="Times New Roman" w:hAnsi="Times New Roman"/>
          <w:sz w:val="17"/>
          <w:szCs w:val="17"/>
          <w:color w:val="auto"/>
          <w:vertAlign w:val="superscript"/>
        </w:rPr>
      </w:pPr>
    </w:p>
    <w:p>
      <w:pPr>
        <w:ind w:left="320" w:hanging="312"/>
        <w:spacing w:after="0" w:line="189" w:lineRule="auto"/>
        <w:tabs>
          <w:tab w:leader="none" w:pos="320" w:val="left"/>
        </w:tabs>
        <w:numPr>
          <w:ilvl w:val="0"/>
          <w:numId w:val="1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See the “Selected Items Impacting Comparability” table for additional information.</w:t>
      </w:r>
    </w:p>
    <w:p>
      <w:pPr>
        <w:spacing w:after="0" w:line="35" w:lineRule="exact"/>
        <w:rPr>
          <w:rFonts w:ascii="Times New Roman" w:cs="Times New Roman" w:eastAsia="Times New Roman" w:hAnsi="Times New Roman"/>
          <w:sz w:val="17"/>
          <w:szCs w:val="17"/>
          <w:color w:val="auto"/>
          <w:vertAlign w:val="superscript"/>
        </w:rPr>
      </w:pPr>
    </w:p>
    <w:p>
      <w:pPr>
        <w:ind w:left="340" w:right="40" w:hanging="332"/>
        <w:spacing w:after="0" w:line="219" w:lineRule="auto"/>
        <w:tabs>
          <w:tab w:leader="none" w:pos="331" w:val="left"/>
        </w:tabs>
        <w:numPr>
          <w:ilvl w:val="0"/>
          <w:numId w:val="1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Amount excludes certain non-cash items impacting interest expense such as amortization of debt issuance costs and terminated interest rate swaps and is net of interest income associated with promissory notes by and among certain Plains entities.</w:t>
      </w:r>
    </w:p>
    <w:p>
      <w:pPr>
        <w:spacing w:after="0" w:line="1" w:lineRule="exact"/>
        <w:rPr>
          <w:rFonts w:ascii="Times New Roman" w:cs="Times New Roman" w:eastAsia="Times New Roman" w:hAnsi="Times New Roman"/>
          <w:sz w:val="17"/>
          <w:szCs w:val="17"/>
          <w:color w:val="auto"/>
          <w:vertAlign w:val="superscript"/>
        </w:rPr>
      </w:pPr>
    </w:p>
    <w:p>
      <w:pPr>
        <w:ind w:left="320" w:hanging="312"/>
        <w:spacing w:after="0" w:line="232" w:lineRule="auto"/>
        <w:tabs>
          <w:tab w:leader="none" w:pos="320" w:val="left"/>
        </w:tabs>
        <w:numPr>
          <w:ilvl w:val="0"/>
          <w:numId w:val="1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Investment capital expenditures attributable to noncontrolling interests that reduce Implied DCF available to PAA common unitholders.</w:t>
      </w:r>
    </w:p>
    <w:p>
      <w:pPr>
        <w:spacing w:after="0" w:line="34" w:lineRule="exact"/>
        <w:rPr>
          <w:rFonts w:ascii="Times New Roman" w:cs="Times New Roman" w:eastAsia="Times New Roman" w:hAnsi="Times New Roman"/>
          <w:sz w:val="17"/>
          <w:szCs w:val="17"/>
          <w:color w:val="auto"/>
          <w:vertAlign w:val="superscript"/>
        </w:rPr>
      </w:pPr>
    </w:p>
    <w:p>
      <w:pPr>
        <w:ind w:left="340" w:right="260" w:hanging="332"/>
        <w:spacing w:after="0" w:line="219" w:lineRule="auto"/>
        <w:tabs>
          <w:tab w:leader="none" w:pos="331" w:val="left"/>
        </w:tabs>
        <w:numPr>
          <w:ilvl w:val="0"/>
          <w:numId w:val="1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Comprised of cash distributions received from unconsolidated entities less equity earnings in unconsolidated entities (adjusted for our proportionate share of depreciation and amortization, including write-downs related to cancelled projects and impairments, and selected items impacting comparability of unconsolidated entities).</w:t>
      </w:r>
    </w:p>
    <w:p>
      <w:pPr>
        <w:spacing w:after="0" w:line="1" w:lineRule="exact"/>
        <w:rPr>
          <w:rFonts w:ascii="Times New Roman" w:cs="Times New Roman" w:eastAsia="Times New Roman" w:hAnsi="Times New Roman"/>
          <w:sz w:val="17"/>
          <w:szCs w:val="17"/>
          <w:color w:val="auto"/>
          <w:vertAlign w:val="superscript"/>
        </w:rPr>
      </w:pPr>
    </w:p>
    <w:p>
      <w:pPr>
        <w:ind w:left="320" w:hanging="312"/>
        <w:spacing w:after="0" w:line="232" w:lineRule="auto"/>
        <w:tabs>
          <w:tab w:leader="none" w:pos="320" w:val="left"/>
        </w:tabs>
        <w:numPr>
          <w:ilvl w:val="0"/>
          <w:numId w:val="1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Cash distributions paid during the period presented.</w:t>
      </w:r>
    </w:p>
    <w:p>
      <w:pPr>
        <w:spacing w:after="0" w:line="34" w:lineRule="exact"/>
        <w:rPr>
          <w:rFonts w:ascii="Times New Roman" w:cs="Times New Roman" w:eastAsia="Times New Roman" w:hAnsi="Times New Roman"/>
          <w:sz w:val="17"/>
          <w:szCs w:val="17"/>
          <w:color w:val="auto"/>
          <w:vertAlign w:val="superscript"/>
        </w:rPr>
      </w:pPr>
    </w:p>
    <w:p>
      <w:pPr>
        <w:ind w:left="320" w:hanging="312"/>
        <w:spacing w:after="0" w:line="189" w:lineRule="auto"/>
        <w:tabs>
          <w:tab w:leader="none" w:pos="320" w:val="left"/>
        </w:tabs>
        <w:numPr>
          <w:ilvl w:val="0"/>
          <w:numId w:val="1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Implied DCF Available to Common Unitholders for the period divided by the weighted average common units outstanding for the period.</w:t>
      </w:r>
    </w:p>
    <w:p>
      <w:pPr>
        <w:spacing w:after="0" w:line="35" w:lineRule="exact"/>
        <w:rPr>
          <w:rFonts w:ascii="Times New Roman" w:cs="Times New Roman" w:eastAsia="Times New Roman" w:hAnsi="Times New Roman"/>
          <w:sz w:val="17"/>
          <w:szCs w:val="17"/>
          <w:color w:val="auto"/>
          <w:vertAlign w:val="superscript"/>
        </w:rPr>
      </w:pPr>
    </w:p>
    <w:p>
      <w:pPr>
        <w:ind w:left="340" w:right="200" w:hanging="332"/>
        <w:spacing w:after="0" w:line="232" w:lineRule="auto"/>
        <w:tabs>
          <w:tab w:leader="none" w:pos="332" w:val="left"/>
        </w:tabs>
        <w:numPr>
          <w:ilvl w:val="0"/>
          <w:numId w:val="1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Implied DCF Available to Common Unitholders for the period, adjusted for Series A preferred unit cash distributions paid, divided by the weighted average common units and common unit equivalents outstanding for the period. Our Series A preferred units are convertible into common units, generally on a one-for-one basis and subject to customary anti-dilution adjustments, in whole or in part, subject to certain minimum conversion amounts.</w:t>
      </w:r>
    </w:p>
    <w:p>
      <w:pPr>
        <w:spacing w:after="0" w:line="159" w:lineRule="exact"/>
        <w:rPr>
          <w:rFonts w:ascii="Times New Roman" w:cs="Times New Roman" w:eastAsia="Times New Roman" w:hAnsi="Times New Roman"/>
          <w:sz w:val="17"/>
          <w:szCs w:val="17"/>
          <w:color w:val="auto"/>
          <w:vertAlign w:val="superscript"/>
        </w:rPr>
      </w:pPr>
    </w:p>
    <w:p>
      <w:pPr>
        <w:ind w:left="5440" w:hanging="106"/>
        <w:spacing w:after="0"/>
        <w:tabs>
          <w:tab w:leader="none" w:pos="54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4"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auto"/>
        </w:rPr>
        <w:t>Page 13</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Net Income Per Common Unit to Implied DCF Per Common Unit and Common Unit Equivalent Reconciliation </w:t>
      </w:r>
      <w:r>
        <w:rPr>
          <w:rFonts w:ascii="Times New Roman" w:cs="Times New Roman" w:eastAsia="Times New Roman" w:hAnsi="Times New Roman"/>
          <w:sz w:val="23"/>
          <w:szCs w:val="23"/>
          <w:b w:val="1"/>
          <w:bCs w:val="1"/>
          <w:color w:val="auto"/>
          <w:vertAlign w:val="superscript"/>
        </w:rPr>
        <w:t>(1)</w:t>
      </w:r>
      <w:r>
        <w:rPr>
          <w:rFonts w:ascii="Times New Roman" w:cs="Times New Roman" w:eastAsia="Times New Roman" w:hAnsi="Times New Roman"/>
          <w:sz w:val="18"/>
          <w:szCs w:val="18"/>
          <w:b w:val="1"/>
          <w:bCs w:val="1"/>
          <w:color w:val="auto"/>
        </w:rPr>
        <w:t>:</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940" w:type="dxa"/>
            <w:vAlign w:val="bottom"/>
            <w:gridSpan w:val="4"/>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40" w:type="dxa"/>
            <w:vAlign w:val="bottom"/>
            <w:gridSpan w:val="4"/>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6"/>
        </w:trPr>
        <w:tc>
          <w:tcPr>
            <w:tcW w:w="388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3"/>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Borders>
              <w:bottom w:val="single" w:sz="8" w:color="auto"/>
            </w:tcBorders>
          </w:tcPr>
          <w:p>
            <w:pPr>
              <w:spacing w:after="0"/>
              <w:rPr>
                <w:sz w:val="17"/>
                <w:szCs w:val="17"/>
                <w:color w:val="auto"/>
              </w:rPr>
            </w:pPr>
          </w:p>
        </w:tc>
      </w:tr>
      <w:tr>
        <w:trPr>
          <w:trHeight w:val="196"/>
        </w:trPr>
        <w:tc>
          <w:tcPr>
            <w:tcW w:w="3880" w:type="dxa"/>
            <w:vAlign w:val="bottom"/>
            <w:tcBorders>
              <w:bottom w:val="single" w:sz="8" w:color="CCEEFF"/>
            </w:tcBorders>
          </w:tcPr>
          <w:p>
            <w:pPr>
              <w:spacing w:after="0"/>
              <w:rPr>
                <w:sz w:val="17"/>
                <w:szCs w:val="17"/>
                <w:color w:val="auto"/>
              </w:rPr>
            </w:pPr>
          </w:p>
        </w:tc>
        <w:tc>
          <w:tcPr>
            <w:tcW w:w="234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6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net income per common unit</w:t>
            </w:r>
          </w:p>
        </w:tc>
        <w:tc>
          <w:tcPr>
            <w:tcW w:w="720" w:type="dxa"/>
            <w:vAlign w:val="bottom"/>
            <w:shd w:val="clear" w:color="auto" w:fill="CCEEFF"/>
          </w:tcPr>
          <w:p>
            <w:pPr>
              <w:jc w:val="right"/>
              <w:ind w:right="53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0.21</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14"/>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0.55</w:t>
            </w:r>
          </w:p>
        </w:tc>
      </w:tr>
      <w:tr>
        <w:trPr>
          <w:trHeight w:val="230"/>
        </w:trPr>
        <w:tc>
          <w:tcPr>
            <w:tcW w:w="6220" w:type="dxa"/>
            <w:vAlign w:val="bottom"/>
            <w:tcBorders>
              <w:bottom w:val="single" w:sz="8" w:color="CCEEFF"/>
            </w:tcBorders>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Reconciling items per common unit </w:t>
            </w:r>
            <w:r>
              <w:rPr>
                <w:rFonts w:ascii="Times New Roman" w:cs="Times New Roman" w:eastAsia="Times New Roman" w:hAnsi="Times New Roman"/>
                <w:sz w:val="23"/>
                <w:szCs w:val="23"/>
                <w:color w:val="auto"/>
                <w:vertAlign w:val="superscript"/>
              </w:rPr>
              <w:t>(2) (3)</w:t>
            </w:r>
          </w:p>
        </w:tc>
        <w:tc>
          <w:tcPr>
            <w:tcW w:w="7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0.45</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0.70</w:t>
            </w:r>
          </w:p>
        </w:tc>
      </w:tr>
      <w:tr>
        <w:trPr>
          <w:trHeight w:val="248"/>
        </w:trPr>
        <w:tc>
          <w:tcPr>
            <w:tcW w:w="6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Implied DCF per common unit</w:t>
            </w:r>
          </w:p>
        </w:tc>
        <w:tc>
          <w:tcPr>
            <w:tcW w:w="720" w:type="dxa"/>
            <w:vAlign w:val="bottom"/>
            <w:tcBorders>
              <w:bottom w:val="single" w:sz="8" w:color="auto"/>
            </w:tcBorders>
            <w:shd w:val="clear" w:color="auto" w:fill="CCEEFF"/>
          </w:tcPr>
          <w:p>
            <w:pPr>
              <w:jc w:val="right"/>
              <w:ind w:right="53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0.66</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514"/>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38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29"/>
        </w:trPr>
        <w:tc>
          <w:tcPr>
            <w:tcW w:w="6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net income per common unit</w:t>
            </w:r>
          </w:p>
        </w:tc>
        <w:tc>
          <w:tcPr>
            <w:tcW w:w="720" w:type="dxa"/>
            <w:vAlign w:val="bottom"/>
            <w:shd w:val="clear" w:color="auto" w:fill="CCEEFF"/>
          </w:tcPr>
          <w:p>
            <w:pPr>
              <w:jc w:val="right"/>
              <w:ind w:right="53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0.21</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14"/>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0.55</w:t>
            </w:r>
          </w:p>
        </w:tc>
      </w:tr>
      <w:tr>
        <w:trPr>
          <w:trHeight w:val="229"/>
        </w:trPr>
        <w:tc>
          <w:tcPr>
            <w:tcW w:w="6220" w:type="dxa"/>
            <w:vAlign w:val="bottom"/>
            <w:tcBorders>
              <w:bottom w:val="single" w:sz="8" w:color="CCEEFF"/>
            </w:tcBorders>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Reconciling items per common unit and common unit equivalent </w:t>
            </w:r>
            <w:r>
              <w:rPr>
                <w:rFonts w:ascii="Times New Roman" w:cs="Times New Roman" w:eastAsia="Times New Roman" w:hAnsi="Times New Roman"/>
                <w:sz w:val="23"/>
                <w:szCs w:val="23"/>
                <w:color w:val="auto"/>
                <w:vertAlign w:val="superscript"/>
              </w:rPr>
              <w:t>(2) (4)</w:t>
            </w:r>
          </w:p>
        </w:tc>
        <w:tc>
          <w:tcPr>
            <w:tcW w:w="7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0.45</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0.70</w:t>
            </w:r>
          </w:p>
        </w:tc>
      </w:tr>
      <w:tr>
        <w:trPr>
          <w:trHeight w:val="248"/>
        </w:trPr>
        <w:tc>
          <w:tcPr>
            <w:tcW w:w="6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Implied DCF per common unit and common unit equivalent</w:t>
            </w:r>
          </w:p>
        </w:tc>
        <w:tc>
          <w:tcPr>
            <w:tcW w:w="720" w:type="dxa"/>
            <w:vAlign w:val="bottom"/>
            <w:tcBorders>
              <w:bottom w:val="single" w:sz="8" w:color="auto"/>
            </w:tcBorders>
            <w:shd w:val="clear" w:color="auto" w:fill="CCEEFF"/>
          </w:tcPr>
          <w:p>
            <w:pPr>
              <w:jc w:val="right"/>
              <w:ind w:right="53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0.66</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514"/>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3880" w:type="dxa"/>
            <w:vAlign w:val="bottom"/>
            <w:tcBorders>
              <w:bottom w:val="single" w:sz="8" w:color="auto"/>
            </w:tcBorders>
          </w:tcPr>
          <w:p>
            <w:pPr>
              <w:spacing w:after="0"/>
              <w:rPr>
                <w:sz w:val="16"/>
                <w:szCs w:val="16"/>
                <w:color w:val="auto"/>
              </w:rPr>
            </w:pPr>
          </w:p>
        </w:tc>
        <w:tc>
          <w:tcPr>
            <w:tcW w:w="23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r>
    </w:tbl>
    <w:p>
      <w:pPr>
        <w:spacing w:after="0" w:line="100" w:lineRule="exact"/>
        <w:rPr>
          <w:sz w:val="20"/>
          <w:szCs w:val="20"/>
          <w:color w:val="auto"/>
        </w:rPr>
      </w:pPr>
    </w:p>
    <w:p>
      <w:pPr>
        <w:ind w:left="320" w:hanging="312"/>
        <w:spacing w:after="0"/>
        <w:tabs>
          <w:tab w:leader="none" w:pos="320"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results from continuing operations and discontinued operations for all periods presented.</w:t>
      </w:r>
    </w:p>
    <w:p>
      <w:pPr>
        <w:spacing w:after="0" w:line="55" w:lineRule="exact"/>
        <w:rPr>
          <w:rFonts w:ascii="Times New Roman" w:cs="Times New Roman" w:eastAsia="Times New Roman" w:hAnsi="Times New Roman"/>
          <w:sz w:val="23"/>
          <w:szCs w:val="23"/>
          <w:color w:val="auto"/>
          <w:vertAlign w:val="superscript"/>
        </w:rPr>
      </w:pPr>
    </w:p>
    <w:p>
      <w:pPr>
        <w:ind w:left="340" w:right="480" w:hanging="332"/>
        <w:spacing w:after="0" w:line="219" w:lineRule="auto"/>
        <w:tabs>
          <w:tab w:leader="none" w:pos="328"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adjustments to Net Income to calculate Implied DCF Available to Common Unitholders. See the “Net Income to Adjusted EBITDA attributable to PAA and Implied DCF Reconciliation” table for additional information.</w:t>
      </w:r>
    </w:p>
    <w:p>
      <w:pPr>
        <w:spacing w:after="0" w:line="5" w:lineRule="exact"/>
        <w:rPr>
          <w:rFonts w:ascii="Times New Roman" w:cs="Times New Roman" w:eastAsia="Times New Roman" w:hAnsi="Times New Roman"/>
          <w:sz w:val="23"/>
          <w:szCs w:val="23"/>
          <w:color w:val="auto"/>
          <w:vertAlign w:val="superscript"/>
        </w:rPr>
      </w:pPr>
    </w:p>
    <w:p>
      <w:pPr>
        <w:ind w:left="320" w:hanging="312"/>
        <w:spacing w:after="0"/>
        <w:tabs>
          <w:tab w:leader="none" w:pos="320"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Based on weighted average common units outstanding for the periods of 703 million, 701 million, 704 million and 701 million, respectively.</w:t>
      </w:r>
    </w:p>
    <w:p>
      <w:pPr>
        <w:spacing w:after="0" w:line="55" w:lineRule="exact"/>
        <w:rPr>
          <w:rFonts w:ascii="Times New Roman" w:cs="Times New Roman" w:eastAsia="Times New Roman" w:hAnsi="Times New Roman"/>
          <w:sz w:val="23"/>
          <w:szCs w:val="23"/>
          <w:color w:val="auto"/>
          <w:vertAlign w:val="superscript"/>
        </w:rPr>
      </w:pPr>
    </w:p>
    <w:p>
      <w:pPr>
        <w:ind w:left="340" w:hanging="332"/>
        <w:spacing w:after="0" w:line="219" w:lineRule="auto"/>
        <w:tabs>
          <w:tab w:leader="none" w:pos="328"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Based on weighted average common units outstanding for the periods, as well as weighted average Series A preferred units outstanding of 58 million, 71 million, 60 million and 71 million for the periods presented, respectively.</w:t>
      </w:r>
    </w:p>
    <w:p>
      <w:pPr>
        <w:spacing w:after="0" w:line="157" w:lineRule="exact"/>
        <w:rPr>
          <w:rFonts w:ascii="Times New Roman" w:cs="Times New Roman" w:eastAsia="Times New Roman" w:hAnsi="Times New Roman"/>
          <w:sz w:val="23"/>
          <w:szCs w:val="23"/>
          <w:color w:val="auto"/>
          <w:vertAlign w:val="superscript"/>
        </w:rPr>
      </w:pPr>
    </w:p>
    <w:p>
      <w:pPr>
        <w:ind w:left="5440" w:hanging="106"/>
        <w:spacing w:after="0"/>
        <w:tabs>
          <w:tab w:leader="none" w:pos="54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120"/>
          </w:cols>
          <w:pgMar w:left="320" w:top="364"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auto"/>
        </w:rPr>
        <w:t>Page 14</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 to Non-GAAP Financial Liquidity Measures Reconciliation:</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2000" w:type="dxa"/>
            <w:vAlign w:val="bottom"/>
            <w:gridSpan w:val="4"/>
          </w:tcPr>
          <w:p>
            <w:pPr>
              <w:jc w:val="center"/>
              <w:ind w:left="33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160" w:type="dxa"/>
            <w:vAlign w:val="bottom"/>
            <w:gridSpan w:val="4"/>
          </w:tcPr>
          <w:p>
            <w:pPr>
              <w:jc w:val="center"/>
              <w:ind w:right="172"/>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96"/>
        </w:trPr>
        <w:tc>
          <w:tcPr>
            <w:tcW w:w="388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jc w:val="center"/>
              <w:ind w:left="47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80" w:type="dxa"/>
            <w:vAlign w:val="bottom"/>
            <w:tcBorders>
              <w:bottom w:val="single" w:sz="8" w:color="CCEEFF"/>
            </w:tcBorders>
          </w:tcPr>
          <w:p>
            <w:pPr>
              <w:spacing w:after="0"/>
              <w:rPr>
                <w:sz w:val="17"/>
                <w:szCs w:val="17"/>
                <w:color w:val="auto"/>
              </w:rPr>
            </w:pPr>
          </w:p>
        </w:tc>
        <w:tc>
          <w:tcPr>
            <w:tcW w:w="240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6280" w:type="dxa"/>
            <w:vAlign w:val="bottom"/>
            <w:gridSpan w:val="2"/>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Net cash provided by operating activities </w:t>
            </w:r>
            <w:r>
              <w:rPr>
                <w:rFonts w:ascii="Times New Roman" w:cs="Times New Roman" w:eastAsia="Times New Roman" w:hAnsi="Times New Roman"/>
                <w:sz w:val="23"/>
                <w:szCs w:val="23"/>
                <w:color w:val="auto"/>
                <w:vertAlign w:val="superscript"/>
              </w:rPr>
              <w:t>(1)</w:t>
            </w:r>
          </w:p>
        </w:tc>
        <w:tc>
          <w:tcPr>
            <w:tcW w:w="720" w:type="dxa"/>
            <w:vAlign w:val="bottom"/>
            <w:shd w:val="clear" w:color="auto" w:fill="CCEEFF"/>
          </w:tcPr>
          <w:p>
            <w:pPr>
              <w:jc w:val="right"/>
              <w:ind w:right="517"/>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0" w:type="dxa"/>
            <w:vAlign w:val="bottom"/>
          </w:tcPr>
          <w:p>
            <w:pPr>
              <w:spacing w:after="0"/>
              <w:rPr>
                <w:sz w:val="1"/>
                <w:szCs w:val="1"/>
                <w:color w:val="auto"/>
              </w:rPr>
            </w:pPr>
          </w:p>
        </w:tc>
      </w:tr>
      <w:tr>
        <w:trPr>
          <w:trHeight w:val="176"/>
        </w:trPr>
        <w:tc>
          <w:tcPr>
            <w:tcW w:w="62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Adjustments to reconcile Net cash provided by operating activities to Adjusted Free</w:t>
            </w: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6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Cash Flow:</w:t>
            </w: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6280" w:type="dxa"/>
            <w:vAlign w:val="bottom"/>
            <w:gridSpan w:val="2"/>
            <w:shd w:val="clear" w:color="auto" w:fill="CCEEFF"/>
          </w:tcPr>
          <w:p>
            <w:pPr>
              <w:ind w:left="140"/>
              <w:spacing w:after="0" w:line="234" w:lineRule="exact"/>
              <w:rPr>
                <w:sz w:val="20"/>
                <w:szCs w:val="20"/>
                <w:color w:val="auto"/>
              </w:rPr>
            </w:pPr>
            <w:r>
              <w:rPr>
                <w:rFonts w:ascii="Times New Roman" w:cs="Times New Roman" w:eastAsia="Times New Roman" w:hAnsi="Times New Roman"/>
                <w:sz w:val="18"/>
                <w:szCs w:val="18"/>
                <w:color w:val="auto"/>
              </w:rPr>
              <w:t xml:space="preserve">Net cash used in investing activities </w:t>
            </w:r>
            <w:r>
              <w:rPr>
                <w:rFonts w:ascii="Times New Roman" w:cs="Times New Roman" w:eastAsia="Times New Roman" w:hAnsi="Times New Roman"/>
                <w:sz w:val="23"/>
                <w:szCs w:val="23"/>
                <w:color w:val="auto"/>
                <w:vertAlign w:val="superscript"/>
              </w:rPr>
              <w:t>(1) (2) (3)</w:t>
            </w:r>
          </w:p>
        </w:tc>
        <w:tc>
          <w:tcPr>
            <w:tcW w:w="72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(274)</w:t>
            </w: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(157)</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0" w:type="dxa"/>
            <w:vAlign w:val="bottom"/>
          </w:tcPr>
          <w:p>
            <w:pPr>
              <w:spacing w:after="0"/>
              <w:rPr>
                <w:sz w:val="1"/>
                <w:szCs w:val="1"/>
                <w:color w:val="auto"/>
              </w:rPr>
            </w:pPr>
          </w:p>
        </w:tc>
      </w:tr>
      <w:tr>
        <w:trPr>
          <w:trHeight w:val="229"/>
        </w:trPr>
        <w:tc>
          <w:tcPr>
            <w:tcW w:w="6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Cash contributions from noncontrolling interests</w:t>
            </w:r>
          </w:p>
        </w:tc>
        <w:tc>
          <w:tcPr>
            <w:tcW w:w="7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0"/>
        </w:trPr>
        <w:tc>
          <w:tcPr>
            <w:tcW w:w="628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Cash distributions paid to noncontrolling interests </w:t>
            </w:r>
            <w:r>
              <w:rPr>
                <w:rFonts w:ascii="Times New Roman" w:cs="Times New Roman" w:eastAsia="Times New Roman" w:hAnsi="Times New Roman"/>
                <w:sz w:val="23"/>
                <w:szCs w:val="23"/>
                <w:color w:val="auto"/>
                <w:vertAlign w:val="superscript"/>
              </w:rPr>
              <w:t>(4)</w:t>
            </w:r>
          </w:p>
        </w:tc>
        <w:tc>
          <w:tcPr>
            <w:tcW w:w="7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29"/>
        </w:trPr>
        <w:tc>
          <w:tcPr>
            <w:tcW w:w="6280" w:type="dxa"/>
            <w:vAlign w:val="bottom"/>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Proceeds from the issuance of related party notes </w:t>
            </w:r>
            <w:r>
              <w:rPr>
                <w:rFonts w:ascii="Times New Roman" w:cs="Times New Roman" w:eastAsia="Times New Roman" w:hAnsi="Times New Roman"/>
                <w:sz w:val="23"/>
                <w:szCs w:val="23"/>
                <w:color w:val="auto"/>
                <w:vertAlign w:val="superscript"/>
              </w:rPr>
              <w:t>(2)</w:t>
            </w:r>
          </w:p>
        </w:tc>
        <w:tc>
          <w:tcPr>
            <w:tcW w:w="72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9"/>
                <w:szCs w:val="19"/>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280" w:type="dxa"/>
            <w:vAlign w:val="bottom"/>
            <w:tcBorders>
              <w:top w:val="single" w:sz="8" w:color="CCEEFF"/>
            </w:tcBorders>
            <w:gridSpan w:val="2"/>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Adjusted Free Cash Flow </w:t>
            </w:r>
            <w:r>
              <w:rPr>
                <w:rFonts w:ascii="Times New Roman" w:cs="Times New Roman" w:eastAsia="Times New Roman" w:hAnsi="Times New Roman"/>
                <w:sz w:val="23"/>
                <w:szCs w:val="23"/>
                <w:color w:val="auto"/>
                <w:vertAlign w:val="superscript"/>
              </w:rPr>
              <w:t>(1) (5)</w:t>
            </w:r>
          </w:p>
        </w:tc>
        <w:tc>
          <w:tcPr>
            <w:tcW w:w="720" w:type="dxa"/>
            <w:vAlign w:val="bottom"/>
            <w:tcBorders>
              <w:top w:val="single" w:sz="8" w:color="auto"/>
            </w:tcBorders>
            <w:shd w:val="clear" w:color="auto" w:fill="CCEEFF"/>
          </w:tcPr>
          <w:p>
            <w:pPr>
              <w:jc w:val="right"/>
              <w:ind w:right="517"/>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ind w:right="55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0" w:type="dxa"/>
            <w:vAlign w:val="bottom"/>
          </w:tcPr>
          <w:p>
            <w:pPr>
              <w:spacing w:after="0"/>
              <w:rPr>
                <w:sz w:val="1"/>
                <w:szCs w:val="1"/>
                <w:color w:val="auto"/>
              </w:rPr>
            </w:pPr>
          </w:p>
        </w:tc>
      </w:tr>
      <w:tr>
        <w:trPr>
          <w:trHeight w:val="229"/>
        </w:trPr>
        <w:tc>
          <w:tcPr>
            <w:tcW w:w="6280" w:type="dxa"/>
            <w:vAlign w:val="bottom"/>
            <w:tcBorders>
              <w:bottom w:val="single" w:sz="8" w:color="CCEEFF"/>
            </w:tcBorders>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Cash distributions </w:t>
            </w:r>
            <w:r>
              <w:rPr>
                <w:rFonts w:ascii="Times New Roman" w:cs="Times New Roman" w:eastAsia="Times New Roman" w:hAnsi="Times New Roman"/>
                <w:sz w:val="23"/>
                <w:szCs w:val="23"/>
                <w:color w:val="auto"/>
                <w:vertAlign w:val="superscript"/>
              </w:rPr>
              <w:t>(6)</w:t>
            </w:r>
          </w:p>
        </w:tc>
        <w:tc>
          <w:tcPr>
            <w:tcW w:w="7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(320)</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(286)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0" w:type="dxa"/>
            <w:vAlign w:val="bottom"/>
          </w:tcPr>
          <w:p>
            <w:pPr>
              <w:spacing w:after="0"/>
              <w:rPr>
                <w:sz w:val="1"/>
                <w:szCs w:val="1"/>
                <w:color w:val="auto"/>
              </w:rPr>
            </w:pPr>
          </w:p>
        </w:tc>
      </w:tr>
      <w:tr>
        <w:trPr>
          <w:trHeight w:val="248"/>
        </w:trPr>
        <w:tc>
          <w:tcPr>
            <w:tcW w:w="6280" w:type="dxa"/>
            <w:vAlign w:val="bottom"/>
            <w:tcBorders>
              <w:bottom w:val="single" w:sz="8" w:color="CCEEFF"/>
            </w:tcBorders>
            <w:gridSpan w:val="2"/>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Adjusted Free Cash Flow after Distributions </w:t>
            </w:r>
            <w:r>
              <w:rPr>
                <w:rFonts w:ascii="Times New Roman" w:cs="Times New Roman" w:eastAsia="Times New Roman" w:hAnsi="Times New Roman"/>
                <w:sz w:val="23"/>
                <w:szCs w:val="23"/>
                <w:color w:val="auto"/>
                <w:vertAlign w:val="superscript"/>
              </w:rPr>
              <w:t>(1) (5) (7)</w:t>
            </w:r>
          </w:p>
        </w:tc>
        <w:tc>
          <w:tcPr>
            <w:tcW w:w="720" w:type="dxa"/>
            <w:vAlign w:val="bottom"/>
            <w:tcBorders>
              <w:bottom w:val="single" w:sz="8" w:color="auto"/>
            </w:tcBorders>
            <w:shd w:val="clear" w:color="auto" w:fill="CCEEFF"/>
          </w:tcPr>
          <w:p>
            <w:pPr>
              <w:jc w:val="right"/>
              <w:ind w:right="517"/>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5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38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000" w:type="dxa"/>
            <w:vAlign w:val="bottom"/>
            <w:gridSpan w:val="4"/>
          </w:tcPr>
          <w:p>
            <w:pPr>
              <w:jc w:val="center"/>
              <w:ind w:left="33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60" w:type="dxa"/>
            <w:vAlign w:val="bottom"/>
            <w:gridSpan w:val="4"/>
          </w:tcPr>
          <w:p>
            <w:pPr>
              <w:jc w:val="center"/>
              <w:ind w:right="172"/>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96"/>
        </w:trPr>
        <w:tc>
          <w:tcPr>
            <w:tcW w:w="388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jc w:val="center"/>
              <w:ind w:left="47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80" w:type="dxa"/>
            <w:vAlign w:val="bottom"/>
            <w:tcBorders>
              <w:bottom w:val="single" w:sz="8" w:color="CCEEFF"/>
            </w:tcBorders>
          </w:tcPr>
          <w:p>
            <w:pPr>
              <w:spacing w:after="0"/>
              <w:rPr>
                <w:sz w:val="17"/>
                <w:szCs w:val="17"/>
                <w:color w:val="auto"/>
              </w:rPr>
            </w:pPr>
          </w:p>
        </w:tc>
        <w:tc>
          <w:tcPr>
            <w:tcW w:w="240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6280" w:type="dxa"/>
            <w:vAlign w:val="bottom"/>
            <w:gridSpan w:val="2"/>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Adjusted Free Cash Flow </w:t>
            </w:r>
            <w:r>
              <w:rPr>
                <w:rFonts w:ascii="Times New Roman" w:cs="Times New Roman" w:eastAsia="Times New Roman" w:hAnsi="Times New Roman"/>
                <w:sz w:val="23"/>
                <w:szCs w:val="23"/>
                <w:color w:val="auto"/>
                <w:vertAlign w:val="superscript"/>
              </w:rPr>
              <w:t>(1) (5)</w:t>
            </w:r>
          </w:p>
        </w:tc>
        <w:tc>
          <w:tcPr>
            <w:tcW w:w="720" w:type="dxa"/>
            <w:vAlign w:val="bottom"/>
            <w:shd w:val="clear" w:color="auto" w:fill="CCEEFF"/>
          </w:tcPr>
          <w:p>
            <w:pPr>
              <w:jc w:val="right"/>
              <w:ind w:right="517"/>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0" w:type="dxa"/>
            <w:vAlign w:val="bottom"/>
          </w:tcPr>
          <w:p>
            <w:pPr>
              <w:spacing w:after="0"/>
              <w:rPr>
                <w:sz w:val="1"/>
                <w:szCs w:val="1"/>
                <w:color w:val="auto"/>
              </w:rPr>
            </w:pPr>
          </w:p>
        </w:tc>
      </w:tr>
      <w:tr>
        <w:trPr>
          <w:trHeight w:val="229"/>
        </w:trPr>
        <w:tc>
          <w:tcPr>
            <w:tcW w:w="6280" w:type="dxa"/>
            <w:vAlign w:val="bottom"/>
            <w:tcBorders>
              <w:bottom w:val="single" w:sz="8" w:color="CCEEFF"/>
            </w:tcBorders>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Changes in assets and liabilities, net of acquisitions </w:t>
            </w:r>
            <w:r>
              <w:rPr>
                <w:rFonts w:ascii="Times New Roman" w:cs="Times New Roman" w:eastAsia="Times New Roman" w:hAnsi="Times New Roman"/>
                <w:sz w:val="23"/>
                <w:szCs w:val="23"/>
                <w:color w:val="auto"/>
                <w:vertAlign w:val="superscript"/>
              </w:rPr>
              <w:t>(1) (8)</w:t>
            </w:r>
          </w:p>
        </w:tc>
        <w:tc>
          <w:tcPr>
            <w:tcW w:w="7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23"/>
        </w:trPr>
        <w:tc>
          <w:tcPr>
            <w:tcW w:w="6280" w:type="dxa"/>
            <w:vAlign w:val="bottom"/>
            <w:gridSpan w:val="2"/>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Adjusted Free Cash Flow (Excluding Changes in Assets &amp; Liabilities) </w:t>
            </w:r>
            <w:r>
              <w:rPr>
                <w:rFonts w:ascii="Times New Roman" w:cs="Times New Roman" w:eastAsia="Times New Roman" w:hAnsi="Times New Roman"/>
                <w:sz w:val="23"/>
                <w:szCs w:val="23"/>
                <w:color w:val="auto"/>
                <w:vertAlign w:val="superscript"/>
              </w:rPr>
              <w:t>(1) (9)</w:t>
            </w:r>
          </w:p>
        </w:tc>
        <w:tc>
          <w:tcPr>
            <w:tcW w:w="720" w:type="dxa"/>
            <w:vAlign w:val="bottom"/>
            <w:shd w:val="clear" w:color="auto" w:fill="CCEEFF"/>
          </w:tcPr>
          <w:p>
            <w:pPr>
              <w:jc w:val="right"/>
              <w:ind w:right="517"/>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0" w:type="dxa"/>
            <w:vAlign w:val="bottom"/>
          </w:tcPr>
          <w:p>
            <w:pPr>
              <w:spacing w:after="0"/>
              <w:rPr>
                <w:sz w:val="1"/>
                <w:szCs w:val="1"/>
                <w:color w:val="auto"/>
              </w:rPr>
            </w:pPr>
          </w:p>
        </w:tc>
      </w:tr>
      <w:tr>
        <w:trPr>
          <w:trHeight w:val="230"/>
        </w:trPr>
        <w:tc>
          <w:tcPr>
            <w:tcW w:w="6280" w:type="dxa"/>
            <w:vAlign w:val="bottom"/>
            <w:tcBorders>
              <w:bottom w:val="single" w:sz="8" w:color="CCEEFF"/>
            </w:tcBorders>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Cash distributions </w:t>
            </w:r>
            <w:r>
              <w:rPr>
                <w:rFonts w:ascii="Times New Roman" w:cs="Times New Roman" w:eastAsia="Times New Roman" w:hAnsi="Times New Roman"/>
                <w:sz w:val="23"/>
                <w:szCs w:val="23"/>
                <w:color w:val="auto"/>
                <w:vertAlign w:val="superscript"/>
              </w:rPr>
              <w:t>(6)</w:t>
            </w:r>
          </w:p>
        </w:tc>
        <w:tc>
          <w:tcPr>
            <w:tcW w:w="7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(320)</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(286)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0" w:type="dxa"/>
            <w:vAlign w:val="bottom"/>
          </w:tcPr>
          <w:p>
            <w:pPr>
              <w:spacing w:after="0"/>
              <w:rPr>
                <w:sz w:val="1"/>
                <w:szCs w:val="1"/>
                <w:color w:val="auto"/>
              </w:rPr>
            </w:pPr>
          </w:p>
        </w:tc>
      </w:tr>
      <w:tr>
        <w:trPr>
          <w:trHeight w:val="155"/>
        </w:trPr>
        <w:tc>
          <w:tcPr>
            <w:tcW w:w="6280" w:type="dxa"/>
            <w:vAlign w:val="bottom"/>
            <w:gridSpan w:val="2"/>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Adjusted Free Cash Flow after Distributions (Excluding Changes in Assets &amp;</w:t>
            </w:r>
          </w:p>
        </w:tc>
        <w:tc>
          <w:tcPr>
            <w:tcW w:w="720" w:type="dxa"/>
            <w:vAlign w:val="bottom"/>
            <w:vMerge w:val="restart"/>
            <w:shd w:val="clear" w:color="auto" w:fill="CCEEFF"/>
          </w:tcPr>
          <w:p>
            <w:pPr>
              <w:jc w:val="right"/>
              <w:ind w:right="517"/>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ind w:right="55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shd w:val="clear" w:color="auto" w:fill="CCEEFF"/>
          </w:tcPr>
          <w:p>
            <w:pPr>
              <w:spacing w:after="0"/>
              <w:rPr>
                <w:sz w:val="13"/>
                <w:szCs w:val="13"/>
                <w:color w:val="auto"/>
              </w:rPr>
            </w:pPr>
          </w:p>
        </w:tc>
        <w:tc>
          <w:tcPr>
            <w:tcW w:w="28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shd w:val="clear" w:color="auto" w:fill="CCEEFF"/>
          </w:tcPr>
          <w:p>
            <w:pPr>
              <w:spacing w:after="0"/>
              <w:rPr>
                <w:sz w:val="13"/>
                <w:szCs w:val="13"/>
                <w:color w:val="auto"/>
              </w:rPr>
            </w:pPr>
          </w:p>
        </w:tc>
        <w:tc>
          <w:tcPr>
            <w:tcW w:w="32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36"/>
        </w:trPr>
        <w:tc>
          <w:tcPr>
            <w:tcW w:w="6280" w:type="dxa"/>
            <w:vAlign w:val="bottom"/>
            <w:tcBorders>
              <w:bottom w:val="single" w:sz="8" w:color="CCEEFF"/>
            </w:tcBorders>
            <w:gridSpan w:val="2"/>
            <w:shd w:val="clear" w:color="auto" w:fill="CCEEFF"/>
          </w:tcPr>
          <w:p>
            <w:pPr>
              <w:ind w:left="180"/>
              <w:spacing w:after="0" w:line="216" w:lineRule="exact"/>
              <w:rPr>
                <w:sz w:val="20"/>
                <w:szCs w:val="20"/>
                <w:color w:val="auto"/>
              </w:rPr>
            </w:pPr>
            <w:r>
              <w:rPr>
                <w:rFonts w:ascii="Times New Roman" w:cs="Times New Roman" w:eastAsia="Times New Roman" w:hAnsi="Times New Roman"/>
                <w:sz w:val="18"/>
                <w:szCs w:val="18"/>
                <w:color w:val="auto"/>
              </w:rPr>
              <w:t xml:space="preserve">Liabilities) </w:t>
            </w:r>
            <w:r>
              <w:rPr>
                <w:rFonts w:ascii="Times New Roman" w:cs="Times New Roman" w:eastAsia="Times New Roman" w:hAnsi="Times New Roman"/>
                <w:sz w:val="23"/>
                <w:szCs w:val="23"/>
                <w:color w:val="auto"/>
                <w:vertAlign w:val="superscript"/>
              </w:rPr>
              <w:t>(1) (9)</w:t>
            </w:r>
          </w:p>
        </w:tc>
        <w:tc>
          <w:tcPr>
            <w:tcW w:w="720" w:type="dxa"/>
            <w:vAlign w:val="bottom"/>
            <w:tcBorders>
              <w:bottom w:val="single" w:sz="8" w:color="auto"/>
            </w:tcBorders>
            <w:vMerge w:val="continue"/>
            <w:shd w:val="clear" w:color="auto" w:fill="CCEEFF"/>
          </w:tcPr>
          <w:p>
            <w:pPr>
              <w:spacing w:after="0"/>
              <w:rPr>
                <w:sz w:val="20"/>
                <w:szCs w:val="20"/>
                <w:color w:val="auto"/>
              </w:rPr>
            </w:pPr>
          </w:p>
        </w:tc>
        <w:tc>
          <w:tcPr>
            <w:tcW w:w="4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4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880" w:type="dxa"/>
            <w:vAlign w:val="bottom"/>
            <w:tcBorders>
              <w:bottom w:val="single" w:sz="8" w:color="auto"/>
            </w:tcBorders>
          </w:tcPr>
          <w:p>
            <w:pPr>
              <w:spacing w:after="0"/>
              <w:rPr>
                <w:sz w:val="16"/>
                <w:szCs w:val="16"/>
                <w:color w:val="auto"/>
              </w:rPr>
            </w:pPr>
          </w:p>
        </w:tc>
        <w:tc>
          <w:tcPr>
            <w:tcW w:w="2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04" w:lineRule="exact"/>
        <w:rPr>
          <w:sz w:val="20"/>
          <w:szCs w:val="20"/>
          <w:color w:val="auto"/>
        </w:rPr>
      </w:pPr>
    </w:p>
    <w:p>
      <w:pPr>
        <w:ind w:left="320" w:hanging="312"/>
        <w:spacing w:after="0"/>
        <w:tabs>
          <w:tab w:leader="none" w:pos="320" w:val="left"/>
        </w:tabs>
        <w:numPr>
          <w:ilvl w:val="0"/>
          <w:numId w:val="1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results from continuing operations and discontinued operations for all periods presented.</w:t>
      </w:r>
    </w:p>
    <w:p>
      <w:pPr>
        <w:spacing w:after="0" w:line="50" w:lineRule="exact"/>
        <w:rPr>
          <w:rFonts w:ascii="Times New Roman" w:cs="Times New Roman" w:eastAsia="Times New Roman" w:hAnsi="Times New Roman"/>
          <w:sz w:val="21"/>
          <w:szCs w:val="21"/>
          <w:color w:val="auto"/>
          <w:vertAlign w:val="superscript"/>
        </w:rPr>
      </w:pPr>
    </w:p>
    <w:p>
      <w:pPr>
        <w:ind w:left="340" w:right="80" w:hanging="332"/>
        <w:spacing w:after="0" w:line="222" w:lineRule="auto"/>
        <w:tabs>
          <w:tab w:leader="none" w:pos="328" w:val="left"/>
        </w:tabs>
        <w:numPr>
          <w:ilvl w:val="0"/>
          <w:numId w:val="1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Certain Plains entities have issued promissory notes by and among such entities to facilitate financing. “Proceeds from the issuance of related party notes” has an equal and offsetting cash outflow associated with our investment in related party notes, which is included as a component of “Net cash used in investing activities.”</w:t>
      </w:r>
    </w:p>
    <w:p>
      <w:pPr>
        <w:spacing w:after="0" w:line="2" w:lineRule="exact"/>
        <w:rPr>
          <w:rFonts w:ascii="Times New Roman" w:cs="Times New Roman" w:eastAsia="Times New Roman" w:hAnsi="Times New Roman"/>
          <w:sz w:val="21"/>
          <w:szCs w:val="21"/>
          <w:color w:val="auto"/>
          <w:vertAlign w:val="superscript"/>
        </w:rPr>
      </w:pPr>
    </w:p>
    <w:p>
      <w:pPr>
        <w:ind w:left="320" w:hanging="312"/>
        <w:spacing w:after="0"/>
        <w:tabs>
          <w:tab w:leader="none" w:pos="320" w:val="left"/>
        </w:tabs>
        <w:numPr>
          <w:ilvl w:val="0"/>
          <w:numId w:val="1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six months ended June 30, 2025 includes a net cash outflow of $681 million for bolt-on acquisitions.</w:t>
      </w:r>
    </w:p>
    <w:p>
      <w:pPr>
        <w:spacing w:after="0" w:line="64" w:lineRule="exact"/>
        <w:rPr>
          <w:rFonts w:ascii="Times New Roman" w:cs="Times New Roman" w:eastAsia="Times New Roman" w:hAnsi="Times New Roman"/>
          <w:sz w:val="21"/>
          <w:szCs w:val="21"/>
          <w:color w:val="auto"/>
          <w:vertAlign w:val="superscript"/>
        </w:rPr>
      </w:pPr>
    </w:p>
    <w:p>
      <w:pPr>
        <w:ind w:left="320" w:hanging="312"/>
        <w:spacing w:after="0" w:line="191" w:lineRule="auto"/>
        <w:tabs>
          <w:tab w:leader="none" w:pos="320" w:val="left"/>
        </w:tabs>
        <w:numPr>
          <w:ilvl w:val="0"/>
          <w:numId w:val="1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Cash distributions paid during the period presented.</w:t>
      </w:r>
    </w:p>
    <w:p>
      <w:pPr>
        <w:spacing w:after="0" w:line="50" w:lineRule="exact"/>
        <w:rPr>
          <w:rFonts w:ascii="Times New Roman" w:cs="Times New Roman" w:eastAsia="Times New Roman" w:hAnsi="Times New Roman"/>
          <w:sz w:val="21"/>
          <w:szCs w:val="21"/>
          <w:color w:val="auto"/>
          <w:vertAlign w:val="superscript"/>
        </w:rPr>
      </w:pPr>
    </w:p>
    <w:p>
      <w:pPr>
        <w:ind w:left="340" w:right="140" w:hanging="332"/>
        <w:spacing w:after="0" w:line="229" w:lineRule="auto"/>
        <w:tabs>
          <w:tab w:leader="none" w:pos="328" w:val="left"/>
        </w:tabs>
        <w:numPr>
          <w:ilvl w:val="0"/>
          <w:numId w:val="1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Management uses the non-GAAP financial liquidity measures Adjusted Free Cash Flow and Adjusted Free Cash Flow after Distributions to assess the amount of cash that is available for distributions, debt repayments, common equity repurchases and other general partnership purposes. Adjusted Free Cash Flow after Distributions shortages, if any, may be funded from previously established reserves, cash on hand or from borrowings under our credit facilities or commercial paper program.</w:t>
      </w:r>
    </w:p>
    <w:p>
      <w:pPr>
        <w:spacing w:after="0" w:line="3" w:lineRule="exact"/>
        <w:rPr>
          <w:rFonts w:ascii="Times New Roman" w:cs="Times New Roman" w:eastAsia="Times New Roman" w:hAnsi="Times New Roman"/>
          <w:sz w:val="21"/>
          <w:szCs w:val="21"/>
          <w:color w:val="auto"/>
          <w:vertAlign w:val="superscript"/>
        </w:rPr>
      </w:pPr>
    </w:p>
    <w:p>
      <w:pPr>
        <w:ind w:left="320" w:hanging="312"/>
        <w:spacing w:after="0"/>
        <w:tabs>
          <w:tab w:leader="none" w:pos="320" w:val="left"/>
        </w:tabs>
        <w:numPr>
          <w:ilvl w:val="0"/>
          <w:numId w:val="1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Cash distributions paid to preferred and common unitholders during the period.</w:t>
      </w:r>
    </w:p>
    <w:p>
      <w:pPr>
        <w:spacing w:after="0" w:line="50" w:lineRule="exact"/>
        <w:rPr>
          <w:rFonts w:ascii="Times New Roman" w:cs="Times New Roman" w:eastAsia="Times New Roman" w:hAnsi="Times New Roman"/>
          <w:sz w:val="21"/>
          <w:szCs w:val="21"/>
          <w:color w:val="auto"/>
          <w:vertAlign w:val="superscript"/>
        </w:rPr>
      </w:pPr>
    </w:p>
    <w:p>
      <w:pPr>
        <w:ind w:left="340" w:right="180" w:hanging="332"/>
        <w:spacing w:after="0" w:line="229" w:lineRule="auto"/>
        <w:tabs>
          <w:tab w:leader="none" w:pos="328" w:val="left"/>
        </w:tabs>
        <w:numPr>
          <w:ilvl w:val="0"/>
          <w:numId w:val="1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Excess Adjusted Free Cash Flow after Distributions is retained to establish reserves for future distributions, capital expenditures, debt reduction and other partnership purposes. Adjusted Free Cash Flow after Distributions shortages may be funded from previously established reserves, cash on hand or from borrowings under our credit facilities or commercial paper program.</w:t>
      </w:r>
    </w:p>
    <w:p>
      <w:pPr>
        <w:spacing w:after="0" w:line="17" w:lineRule="exact"/>
        <w:rPr>
          <w:rFonts w:ascii="Times New Roman" w:cs="Times New Roman" w:eastAsia="Times New Roman" w:hAnsi="Times New Roman"/>
          <w:sz w:val="21"/>
          <w:szCs w:val="21"/>
          <w:color w:val="auto"/>
          <w:vertAlign w:val="superscript"/>
        </w:rPr>
      </w:pPr>
    </w:p>
    <w:p>
      <w:pPr>
        <w:ind w:left="320" w:hanging="312"/>
        <w:spacing w:after="0"/>
        <w:tabs>
          <w:tab w:leader="none" w:pos="320" w:val="left"/>
        </w:tabs>
        <w:numPr>
          <w:ilvl w:val="0"/>
          <w:numId w:val="1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See the “Condensed Consolidated Cash Flow Data” table.</w:t>
      </w:r>
    </w:p>
    <w:p>
      <w:pPr>
        <w:spacing w:after="0" w:line="50" w:lineRule="exact"/>
        <w:rPr>
          <w:rFonts w:ascii="Times New Roman" w:cs="Times New Roman" w:eastAsia="Times New Roman" w:hAnsi="Times New Roman"/>
          <w:sz w:val="21"/>
          <w:szCs w:val="21"/>
          <w:color w:val="auto"/>
          <w:vertAlign w:val="superscript"/>
        </w:rPr>
      </w:pPr>
    </w:p>
    <w:p>
      <w:pPr>
        <w:jc w:val="both"/>
        <w:ind w:left="340" w:right="320" w:hanging="332"/>
        <w:spacing w:after="0" w:line="229" w:lineRule="auto"/>
        <w:tabs>
          <w:tab w:leader="none" w:pos="328" w:val="left"/>
        </w:tabs>
        <w:numPr>
          <w:ilvl w:val="0"/>
          <w:numId w:val="1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Management uses the non-GAAP financial liquidity measures Adjusted Free Cash Flow (Excluding Changes in Assets &amp; Liabilities) and Adjusted Free Cash Flow after Distributions (Excluding Changes in Assets &amp; Liabilities) to assess the underlying business liquidity and cash flow generating capacity excluding fluctuations caused by timing of when amounts earned or incurred were collected, received or paid from period to period.</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4"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auto"/>
        </w:rPr>
        <w:t>Page 15</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SELECTED ITEMS IMPACTING COMPARABILITY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2000" w:type="dxa"/>
            <w:vAlign w:val="bottom"/>
            <w:gridSpan w:val="4"/>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140" w:type="dxa"/>
            <w:vAlign w:val="bottom"/>
            <w:gridSpan w:val="4"/>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6"/>
        </w:trPr>
        <w:tc>
          <w:tcPr>
            <w:tcW w:w="38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3"/>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Borders>
              <w:bottom w:val="single" w:sz="8" w:color="auto"/>
            </w:tcBorders>
          </w:tcPr>
          <w:p>
            <w:pPr>
              <w:spacing w:after="0"/>
              <w:rPr>
                <w:sz w:val="17"/>
                <w:szCs w:val="17"/>
                <w:color w:val="auto"/>
              </w:rPr>
            </w:pPr>
          </w:p>
        </w:tc>
      </w:tr>
      <w:tr>
        <w:trPr>
          <w:trHeight w:val="196"/>
        </w:trPr>
        <w:tc>
          <w:tcPr>
            <w:tcW w:w="3880" w:type="dxa"/>
            <w:vAlign w:val="bottom"/>
            <w:tcBorders>
              <w:bottom w:val="single" w:sz="8" w:color="CCEEFF"/>
            </w:tcBorders>
          </w:tcPr>
          <w:p>
            <w:pPr>
              <w:spacing w:after="0"/>
              <w:rPr>
                <w:sz w:val="17"/>
                <w:szCs w:val="17"/>
                <w:color w:val="auto"/>
              </w:rPr>
            </w:pPr>
          </w:p>
        </w:tc>
        <w:tc>
          <w:tcPr>
            <w:tcW w:w="246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634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b w:val="1"/>
                <w:bCs w:val="1"/>
                <w:color w:val="auto"/>
              </w:rPr>
              <w:t xml:space="preserve">Selected Items Impacting Comparability: </w:t>
            </w:r>
            <w:r>
              <w:rPr>
                <w:rFonts w:ascii="Times New Roman" w:cs="Times New Roman" w:eastAsia="Times New Roman" w:hAnsi="Times New Roman"/>
                <w:sz w:val="22"/>
                <w:szCs w:val="22"/>
                <w:b w:val="1"/>
                <w:bCs w:val="1"/>
                <w:color w:val="auto"/>
                <w:vertAlign w:val="superscript"/>
              </w:rPr>
              <w:t>(1) (2)</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29"/>
        </w:trPr>
        <w:tc>
          <w:tcPr>
            <w:tcW w:w="6340" w:type="dxa"/>
            <w:vAlign w:val="bottom"/>
            <w:gridSpan w:val="2"/>
          </w:tcPr>
          <w:p>
            <w:pPr>
              <w:ind w:left="20"/>
              <w:spacing w:after="0" w:line="229" w:lineRule="exact"/>
              <w:rPr>
                <w:sz w:val="20"/>
                <w:szCs w:val="20"/>
                <w:color w:val="auto"/>
              </w:rPr>
            </w:pPr>
            <w:r>
              <w:rPr>
                <w:rFonts w:ascii="Times New Roman" w:cs="Times New Roman" w:eastAsia="Times New Roman" w:hAnsi="Times New Roman"/>
                <w:sz w:val="17"/>
                <w:szCs w:val="17"/>
                <w:color w:val="auto"/>
              </w:rPr>
              <w:t xml:space="preserve">Derivative activities and inventory valuation adjustments </w:t>
            </w:r>
            <w:r>
              <w:rPr>
                <w:rFonts w:ascii="Times New Roman" w:cs="Times New Roman" w:eastAsia="Times New Roman" w:hAnsi="Times New Roman"/>
                <w:sz w:val="22"/>
                <w:szCs w:val="22"/>
                <w:color w:val="auto"/>
                <w:vertAlign w:val="superscript"/>
              </w:rPr>
              <w:t>(3)</w:t>
            </w:r>
          </w:p>
        </w:tc>
        <w:tc>
          <w:tcPr>
            <w:tcW w:w="720" w:type="dxa"/>
            <w:vAlign w:val="bottom"/>
          </w:tcPr>
          <w:p>
            <w:pPr>
              <w:jc w:val="right"/>
              <w:ind w:right="540"/>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tcPr>
          <w:p>
            <w:pPr>
              <w:spacing w:after="0"/>
              <w:rPr>
                <w:sz w:val="19"/>
                <w:szCs w:val="19"/>
                <w:color w:val="auto"/>
              </w:rPr>
            </w:pPr>
          </w:p>
        </w:tc>
        <w:tc>
          <w:tcPr>
            <w:tcW w:w="760" w:type="dxa"/>
            <w:vAlign w:val="bottom"/>
          </w:tcPr>
          <w:p>
            <w:pPr>
              <w:jc w:val="right"/>
              <w:ind w:right="578"/>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00" w:type="dxa"/>
            <w:vAlign w:val="bottom"/>
          </w:tcPr>
          <w:p>
            <w:pPr>
              <w:spacing w:after="0"/>
              <w:rPr>
                <w:sz w:val="19"/>
                <w:szCs w:val="19"/>
                <w:color w:val="auto"/>
              </w:rPr>
            </w:pPr>
          </w:p>
        </w:tc>
        <w:tc>
          <w:tcPr>
            <w:tcW w:w="2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20" w:type="dxa"/>
            <w:vAlign w:val="bottom"/>
          </w:tcPr>
          <w:p>
            <w:pPr>
              <w:spacing w:after="0"/>
              <w:rPr>
                <w:sz w:val="19"/>
                <w:szCs w:val="19"/>
                <w:color w:val="auto"/>
              </w:rPr>
            </w:pP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w:t>
            </w:r>
          </w:p>
        </w:tc>
      </w:tr>
      <w:tr>
        <w:trPr>
          <w:trHeight w:val="230"/>
        </w:trPr>
        <w:tc>
          <w:tcPr>
            <w:tcW w:w="6340" w:type="dxa"/>
            <w:vAlign w:val="bottom"/>
            <w:gridSpan w:val="2"/>
            <w:shd w:val="clear" w:color="auto" w:fill="CCEEFF"/>
          </w:tcPr>
          <w:p>
            <w:pPr>
              <w:ind w:left="20"/>
              <w:spacing w:after="0" w:line="229" w:lineRule="exact"/>
              <w:rPr>
                <w:sz w:val="20"/>
                <w:szCs w:val="20"/>
                <w:color w:val="auto"/>
              </w:rPr>
            </w:pPr>
            <w:r>
              <w:rPr>
                <w:rFonts w:ascii="Times New Roman" w:cs="Times New Roman" w:eastAsia="Times New Roman" w:hAnsi="Times New Roman"/>
                <w:sz w:val="17"/>
                <w:szCs w:val="17"/>
                <w:color w:val="auto"/>
              </w:rPr>
              <w:t xml:space="preserve">Long-term inventory costing adjustments </w:t>
            </w:r>
            <w:r>
              <w:rPr>
                <w:rFonts w:ascii="Times New Roman" w:cs="Times New Roman" w:eastAsia="Times New Roman" w:hAnsi="Times New Roman"/>
                <w:sz w:val="22"/>
                <w:szCs w:val="22"/>
                <w:color w:val="auto"/>
                <w:vertAlign w:val="superscript"/>
              </w:rPr>
              <w:t>(4)</w:t>
            </w:r>
          </w:p>
        </w:tc>
        <w:tc>
          <w:tcPr>
            <w:tcW w:w="7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r>
      <w:tr>
        <w:trPr>
          <w:trHeight w:val="229"/>
        </w:trPr>
        <w:tc>
          <w:tcPr>
            <w:tcW w:w="6340" w:type="dxa"/>
            <w:vAlign w:val="bottom"/>
            <w:gridSpan w:val="2"/>
          </w:tcPr>
          <w:p>
            <w:pPr>
              <w:ind w:left="20"/>
              <w:spacing w:after="0" w:line="229" w:lineRule="exact"/>
              <w:rPr>
                <w:sz w:val="20"/>
                <w:szCs w:val="20"/>
                <w:color w:val="auto"/>
              </w:rPr>
            </w:pPr>
            <w:r>
              <w:rPr>
                <w:rFonts w:ascii="Times New Roman" w:cs="Times New Roman" w:eastAsia="Times New Roman" w:hAnsi="Times New Roman"/>
                <w:sz w:val="17"/>
                <w:szCs w:val="17"/>
                <w:color w:val="auto"/>
              </w:rPr>
              <w:t xml:space="preserve">Deficiencies under minimum volume commitments, net </w:t>
            </w:r>
            <w:r>
              <w:rPr>
                <w:rFonts w:ascii="Times New Roman" w:cs="Times New Roman" w:eastAsia="Times New Roman" w:hAnsi="Times New Roman"/>
                <w:sz w:val="22"/>
                <w:szCs w:val="22"/>
                <w:color w:val="auto"/>
                <w:vertAlign w:val="superscript"/>
              </w:rPr>
              <w:t>(5)</w:t>
            </w:r>
          </w:p>
        </w:tc>
        <w:tc>
          <w:tcPr>
            <w:tcW w:w="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29"/>
        </w:trPr>
        <w:tc>
          <w:tcPr>
            <w:tcW w:w="6340" w:type="dxa"/>
            <w:vAlign w:val="bottom"/>
            <w:gridSpan w:val="2"/>
            <w:shd w:val="clear" w:color="auto" w:fill="CCEEFF"/>
          </w:tcPr>
          <w:p>
            <w:pPr>
              <w:ind w:left="20"/>
              <w:spacing w:after="0" w:line="229" w:lineRule="exact"/>
              <w:rPr>
                <w:sz w:val="20"/>
                <w:szCs w:val="20"/>
                <w:color w:val="auto"/>
              </w:rPr>
            </w:pPr>
            <w:r>
              <w:rPr>
                <w:rFonts w:ascii="Times New Roman" w:cs="Times New Roman" w:eastAsia="Times New Roman" w:hAnsi="Times New Roman"/>
                <w:sz w:val="17"/>
                <w:szCs w:val="17"/>
                <w:color w:val="auto"/>
              </w:rPr>
              <w:t xml:space="preserve">Equity-indexed compensation expense </w:t>
            </w:r>
            <w:r>
              <w:rPr>
                <w:rFonts w:ascii="Times New Roman" w:cs="Times New Roman" w:eastAsia="Times New Roman" w:hAnsi="Times New Roman"/>
                <w:sz w:val="22"/>
                <w:szCs w:val="22"/>
                <w:color w:val="auto"/>
                <w:vertAlign w:val="superscript"/>
              </w:rPr>
              <w:t>(6)</w:t>
            </w:r>
          </w:p>
        </w:tc>
        <w:tc>
          <w:tcPr>
            <w:tcW w:w="7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r>
      <w:tr>
        <w:trPr>
          <w:trHeight w:val="230"/>
        </w:trPr>
        <w:tc>
          <w:tcPr>
            <w:tcW w:w="6340" w:type="dxa"/>
            <w:vAlign w:val="bottom"/>
            <w:gridSpan w:val="2"/>
          </w:tcPr>
          <w:p>
            <w:pPr>
              <w:ind w:left="20"/>
              <w:spacing w:after="0" w:line="229" w:lineRule="exact"/>
              <w:rPr>
                <w:sz w:val="20"/>
                <w:szCs w:val="20"/>
                <w:color w:val="auto"/>
              </w:rPr>
            </w:pPr>
            <w:r>
              <w:rPr>
                <w:rFonts w:ascii="Times New Roman" w:cs="Times New Roman" w:eastAsia="Times New Roman" w:hAnsi="Times New Roman"/>
                <w:sz w:val="17"/>
                <w:szCs w:val="17"/>
                <w:color w:val="auto"/>
              </w:rPr>
              <w:t xml:space="preserve">Foreign currency revaluation </w:t>
            </w:r>
            <w:r>
              <w:rPr>
                <w:rFonts w:ascii="Times New Roman" w:cs="Times New Roman" w:eastAsia="Times New Roman" w:hAnsi="Times New Roman"/>
                <w:sz w:val="22"/>
                <w:szCs w:val="22"/>
                <w:color w:val="auto"/>
                <w:vertAlign w:val="superscript"/>
              </w:rPr>
              <w:t>(7)</w:t>
            </w:r>
          </w:p>
        </w:tc>
        <w:tc>
          <w:tcPr>
            <w:tcW w:w="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r>
      <w:tr>
        <w:trPr>
          <w:trHeight w:val="229"/>
        </w:trPr>
        <w:tc>
          <w:tcPr>
            <w:tcW w:w="6340" w:type="dxa"/>
            <w:vAlign w:val="bottom"/>
            <w:gridSpan w:val="2"/>
            <w:shd w:val="clear" w:color="auto" w:fill="CCEEFF"/>
          </w:tcPr>
          <w:p>
            <w:pPr>
              <w:ind w:left="20"/>
              <w:spacing w:after="0" w:line="229" w:lineRule="exact"/>
              <w:rPr>
                <w:sz w:val="20"/>
                <w:szCs w:val="20"/>
                <w:color w:val="auto"/>
              </w:rPr>
            </w:pPr>
            <w:r>
              <w:rPr>
                <w:rFonts w:ascii="Times New Roman" w:cs="Times New Roman" w:eastAsia="Times New Roman" w:hAnsi="Times New Roman"/>
                <w:sz w:val="17"/>
                <w:szCs w:val="17"/>
                <w:color w:val="auto"/>
              </w:rPr>
              <w:t xml:space="preserve">Transaction-related expenses </w:t>
            </w:r>
            <w:r>
              <w:rPr>
                <w:rFonts w:ascii="Times New Roman" w:cs="Times New Roman" w:eastAsia="Times New Roman" w:hAnsi="Times New Roman"/>
                <w:sz w:val="22"/>
                <w:szCs w:val="22"/>
                <w:color w:val="auto"/>
                <w:vertAlign w:val="superscript"/>
              </w:rPr>
              <w:t>(8)</w:t>
            </w:r>
          </w:p>
        </w:tc>
        <w:tc>
          <w:tcPr>
            <w:tcW w:w="7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9"/>
        </w:trPr>
        <w:tc>
          <w:tcPr>
            <w:tcW w:w="63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Selected items impacting comparability - Adjusted EBITDA</w:t>
            </w:r>
          </w:p>
        </w:tc>
        <w:tc>
          <w:tcPr>
            <w:tcW w:w="720" w:type="dxa"/>
            <w:vAlign w:val="bottom"/>
            <w:tcBorders>
              <w:top w:val="single" w:sz="8" w:color="auto"/>
            </w:tcBorders>
          </w:tcPr>
          <w:p>
            <w:pPr>
              <w:jc w:val="right"/>
              <w:ind w:right="540"/>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100" w:type="dxa"/>
            <w:vAlign w:val="bottom"/>
          </w:tcPr>
          <w:p>
            <w:pPr>
              <w:spacing w:after="0"/>
              <w:rPr>
                <w:sz w:val="19"/>
                <w:szCs w:val="19"/>
                <w:color w:val="auto"/>
              </w:rPr>
            </w:pPr>
          </w:p>
        </w:tc>
        <w:tc>
          <w:tcPr>
            <w:tcW w:w="760" w:type="dxa"/>
            <w:vAlign w:val="bottom"/>
            <w:tcBorders>
              <w:top w:val="single" w:sz="8" w:color="auto"/>
            </w:tcBorders>
          </w:tcPr>
          <w:p>
            <w:pPr>
              <w:jc w:val="right"/>
              <w:ind w:right="578"/>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100" w:type="dxa"/>
            <w:vAlign w:val="bottom"/>
          </w:tcPr>
          <w:p>
            <w:pPr>
              <w:spacing w:after="0"/>
              <w:rPr>
                <w:sz w:val="19"/>
                <w:szCs w:val="19"/>
                <w:color w:val="auto"/>
              </w:rPr>
            </w:pPr>
          </w:p>
        </w:tc>
        <w:tc>
          <w:tcPr>
            <w:tcW w:w="280" w:type="dxa"/>
            <w:vAlign w:val="bottom"/>
            <w:tcBorders>
              <w:top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20" w:type="dxa"/>
            <w:vAlign w:val="bottom"/>
          </w:tcPr>
          <w:p>
            <w:pPr>
              <w:spacing w:after="0"/>
              <w:rPr>
                <w:sz w:val="19"/>
                <w:szCs w:val="19"/>
                <w:color w:val="auto"/>
              </w:rPr>
            </w:pPr>
          </w:p>
        </w:tc>
        <w:tc>
          <w:tcPr>
            <w:tcW w:w="300" w:type="dxa"/>
            <w:vAlign w:val="bottom"/>
            <w:tcBorders>
              <w:top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(157)</w:t>
            </w:r>
          </w:p>
        </w:tc>
      </w:tr>
      <w:tr>
        <w:trPr>
          <w:trHeight w:val="233"/>
        </w:trPr>
        <w:tc>
          <w:tcPr>
            <w:tcW w:w="6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Gain on investments in unconsolidated entities, net</w:t>
            </w:r>
          </w:p>
        </w:tc>
        <w:tc>
          <w:tcPr>
            <w:tcW w:w="72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3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Losses on asset sales, net</w:t>
            </w:r>
          </w:p>
        </w:tc>
        <w:tc>
          <w:tcPr>
            <w:tcW w:w="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6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Tax effect on selected items impacting comparability</w:t>
            </w:r>
          </w:p>
        </w:tc>
        <w:tc>
          <w:tcPr>
            <w:tcW w:w="7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r>
      <w:tr>
        <w:trPr>
          <w:trHeight w:val="226"/>
        </w:trPr>
        <w:tc>
          <w:tcPr>
            <w:tcW w:w="63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Aggregate selected items impacting noncontrolling interests</w:t>
            </w:r>
          </w:p>
        </w:tc>
        <w:tc>
          <w:tcPr>
            <w:tcW w:w="72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r>
      <w:tr>
        <w:trPr>
          <w:trHeight w:val="252"/>
        </w:trPr>
        <w:tc>
          <w:tcPr>
            <w:tcW w:w="634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Selected items impacting comparability - Adjusted net income attributable to PAA</w:t>
            </w:r>
          </w:p>
        </w:tc>
        <w:tc>
          <w:tcPr>
            <w:tcW w:w="720" w:type="dxa"/>
            <w:vAlign w:val="bottom"/>
            <w:tcBorders>
              <w:top w:val="single" w:sz="8" w:color="auto"/>
              <w:bottom w:val="single" w:sz="8" w:color="auto"/>
            </w:tcBorders>
            <w:shd w:val="clear" w:color="auto" w:fill="CCEEFF"/>
          </w:tcPr>
          <w:p>
            <w:pPr>
              <w:jc w:val="right"/>
              <w:ind w:right="540"/>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(102)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jc w:val="right"/>
              <w:ind w:right="578"/>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136"/>
        </w:trPr>
        <w:tc>
          <w:tcPr>
            <w:tcW w:w="3880" w:type="dxa"/>
            <w:vAlign w:val="bottom"/>
            <w:tcBorders>
              <w:bottom w:val="single" w:sz="8" w:color="auto"/>
            </w:tcBorders>
          </w:tcPr>
          <w:p>
            <w:pPr>
              <w:spacing w:after="0"/>
              <w:rPr>
                <w:sz w:val="11"/>
                <w:szCs w:val="11"/>
                <w:color w:val="auto"/>
              </w:rPr>
            </w:pPr>
          </w:p>
        </w:tc>
        <w:tc>
          <w:tcPr>
            <w:tcW w:w="2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r>
    </w:tbl>
    <w:p>
      <w:pPr>
        <w:spacing w:after="0" w:line="72" w:lineRule="exact"/>
        <w:rPr>
          <w:sz w:val="20"/>
          <w:szCs w:val="20"/>
          <w:color w:val="auto"/>
        </w:rPr>
      </w:pPr>
    </w:p>
    <w:p>
      <w:pPr>
        <w:ind w:left="340" w:right="20" w:hanging="332"/>
        <w:spacing w:after="0" w:line="234" w:lineRule="auto"/>
        <w:tabs>
          <w:tab w:leader="none" w:pos="327" w:val="left"/>
        </w:tabs>
        <w:numPr>
          <w:ilvl w:val="0"/>
          <w:numId w:val="1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Certain of our non-GAAP financial measures may not be impacted by each of the selected items impacting comparability. See the “Net Income to Adjusted EBITDA attributable to PAA and Implied DCF Reconciliation” and “Computation of Basic and Diluted Adjusted Net Income Per Common Unit” tables for additional details on how these selected items impacting comparability affect such measures.</w:t>
      </w:r>
    </w:p>
    <w:p>
      <w:pPr>
        <w:spacing w:after="0" w:line="2" w:lineRule="exact"/>
        <w:rPr>
          <w:rFonts w:ascii="Times New Roman" w:cs="Times New Roman" w:eastAsia="Times New Roman" w:hAnsi="Times New Roman"/>
          <w:sz w:val="19"/>
          <w:szCs w:val="19"/>
          <w:color w:val="auto"/>
          <w:vertAlign w:val="superscript"/>
        </w:rPr>
      </w:pPr>
    </w:p>
    <w:p>
      <w:pPr>
        <w:ind w:left="320" w:hanging="312"/>
        <w:spacing w:after="0"/>
        <w:tabs>
          <w:tab w:leader="none" w:pos="320" w:val="left"/>
        </w:tabs>
        <w:numPr>
          <w:ilvl w:val="0"/>
          <w:numId w:val="1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Includes results from continuing operations and discontinued operations for all periods presented.</w:t>
      </w:r>
    </w:p>
    <w:p>
      <w:pPr>
        <w:spacing w:after="0" w:line="39" w:lineRule="exact"/>
        <w:rPr>
          <w:rFonts w:ascii="Times New Roman" w:cs="Times New Roman" w:eastAsia="Times New Roman" w:hAnsi="Times New Roman"/>
          <w:sz w:val="9"/>
          <w:szCs w:val="9"/>
          <w:color w:val="auto"/>
        </w:rPr>
      </w:pPr>
    </w:p>
    <w:p>
      <w:pPr>
        <w:ind w:left="340" w:right="40" w:hanging="332"/>
        <w:spacing w:after="0" w:line="250" w:lineRule="auto"/>
        <w:tabs>
          <w:tab w:leader="none" w:pos="327" w:val="left"/>
        </w:tabs>
        <w:numPr>
          <w:ilvl w:val="0"/>
          <w:numId w:val="1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we identify differences in the timing of earnings from the derivative instruments and the underlying transactions and exclude the related gains and losses in determining adjusted results such that the earnings from the derivative instruments and the underlying transactions impact adjusted results in the same period. In addition, we exclude gains and losses on derivatives that are related to (i) investing activities, such as the purchase of linefill, and (ii) purchases of long-term inventory. We also exclude the impact of corresponding inventory valuation adjustments, as applicable. For applicable periods, we excluded gains and losses from the mark-to-market of the embedded derivative associated with the Preferred Distribution Rate Reset Option of our Series A preferred units.</w:t>
      </w:r>
    </w:p>
    <w:p>
      <w:pPr>
        <w:spacing w:after="0" w:line="8" w:lineRule="exact"/>
        <w:rPr>
          <w:rFonts w:ascii="Times New Roman" w:cs="Times New Roman" w:eastAsia="Times New Roman" w:hAnsi="Times New Roman"/>
          <w:sz w:val="19"/>
          <w:szCs w:val="19"/>
          <w:color w:val="auto"/>
          <w:vertAlign w:val="superscript"/>
        </w:rPr>
      </w:pPr>
    </w:p>
    <w:p>
      <w:pPr>
        <w:ind w:left="340" w:right="20" w:hanging="332"/>
        <w:spacing w:after="0" w:line="239" w:lineRule="auto"/>
        <w:tabs>
          <w:tab w:leader="none" w:pos="327" w:val="left"/>
        </w:tabs>
        <w:numPr>
          <w:ilvl w:val="0"/>
          <w:numId w:val="1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treat the impact of changes in the average cost of the long-term inventory (that result from fluctuations in market prices) and write-downs of such inventory that result from price declines as a selected item impacting comparability.</w:t>
      </w:r>
    </w:p>
    <w:p>
      <w:pPr>
        <w:spacing w:after="0" w:line="30" w:lineRule="exact"/>
        <w:rPr>
          <w:rFonts w:ascii="Times New Roman" w:cs="Times New Roman" w:eastAsia="Times New Roman" w:hAnsi="Times New Roman"/>
          <w:sz w:val="19"/>
          <w:szCs w:val="19"/>
          <w:color w:val="auto"/>
          <w:vertAlign w:val="superscript"/>
        </w:rPr>
      </w:pPr>
    </w:p>
    <w:p>
      <w:pPr>
        <w:ind w:left="340" w:right="80" w:hanging="332"/>
        <w:spacing w:after="0" w:line="250" w:lineRule="auto"/>
        <w:tabs>
          <w:tab w:leader="none" w:pos="327" w:val="left"/>
        </w:tabs>
        <w:numPr>
          <w:ilvl w:val="0"/>
          <w:numId w:val="1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We, and certain of our equity method investees, have certain agreements that require counterparties to deliver, transport or throughput a minimum volume over an agreed upon period. Substantially all of such agreements were entered into with counterparties to economically support the return on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or equity earnings, as a selected item impacting comparability. We believe the inclusion of the contractually committed revenues associated with that period is meaningful to investors as the related asset has been constructed, is standing ready to provide the committed service and the fixed operating costs are included in the current period results.</w:t>
      </w:r>
    </w:p>
    <w:p>
      <w:pPr>
        <w:spacing w:after="0" w:line="23" w:lineRule="exact"/>
        <w:rPr>
          <w:rFonts w:ascii="Times New Roman" w:cs="Times New Roman" w:eastAsia="Times New Roman" w:hAnsi="Times New Roman"/>
          <w:sz w:val="19"/>
          <w:szCs w:val="19"/>
          <w:color w:val="auto"/>
          <w:vertAlign w:val="superscript"/>
        </w:rPr>
      </w:pPr>
    </w:p>
    <w:p>
      <w:pPr>
        <w:ind w:left="340" w:right="40" w:hanging="332"/>
        <w:spacing w:after="0" w:line="239" w:lineRule="auto"/>
        <w:tabs>
          <w:tab w:leader="none" w:pos="327" w:val="left"/>
        </w:tabs>
        <w:numPr>
          <w:ilvl w:val="0"/>
          <w:numId w:val="1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Our total equity-indexed compensation expense includes expense associated with awards that will be settled in units and awards that will be settled in cash. The awards that will be settled in units are included in our diluted net income per unit calculation when the applicable performance criteria have been met. We consider the compensation expense associated with these awards as a selected item impacting comparability as the dilutive impact of the outstanding awards is included in our diluted net income per unit calculation, as applicable. The portion of compensation expense associated with awards that will be settled in cash is not considered a selected item impacting comparability.</w:t>
      </w:r>
    </w:p>
    <w:p>
      <w:pPr>
        <w:spacing w:after="0" w:line="30" w:lineRule="exact"/>
        <w:rPr>
          <w:rFonts w:ascii="Times New Roman" w:cs="Times New Roman" w:eastAsia="Times New Roman" w:hAnsi="Times New Roman"/>
          <w:sz w:val="19"/>
          <w:szCs w:val="19"/>
          <w:color w:val="auto"/>
          <w:vertAlign w:val="superscript"/>
        </w:rPr>
      </w:pPr>
    </w:p>
    <w:p>
      <w:pPr>
        <w:jc w:val="both"/>
        <w:ind w:left="340" w:right="80" w:hanging="332"/>
        <w:spacing w:after="0" w:line="233" w:lineRule="auto"/>
        <w:tabs>
          <w:tab w:leader="none" w:pos="327" w:val="left"/>
        </w:tabs>
        <w:numPr>
          <w:ilvl w:val="0"/>
          <w:numId w:val="1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During the periods presented, there were fluctuations in the value of the Canadian dollar to the U.S. dollar, resulting in the realization of foreign exchange gains and losses on the settlement of foreign currency transactions as well as the revaluation of monetary assets and liabilities denominated in a foreign currency. The associated gains and losses are not integral to our results and were thus classified as a selected item impacting comparability.</w:t>
      </w:r>
    </w:p>
    <w:p>
      <w:pPr>
        <w:spacing w:after="0" w:line="1" w:lineRule="exact"/>
        <w:rPr>
          <w:rFonts w:ascii="Times New Roman" w:cs="Times New Roman" w:eastAsia="Times New Roman" w:hAnsi="Times New Roman"/>
          <w:sz w:val="19"/>
          <w:szCs w:val="19"/>
          <w:color w:val="auto"/>
          <w:vertAlign w:val="superscript"/>
        </w:rPr>
      </w:pPr>
    </w:p>
    <w:p>
      <w:pPr>
        <w:ind w:left="320" w:hanging="312"/>
        <w:spacing w:after="0" w:line="237" w:lineRule="auto"/>
        <w:tabs>
          <w:tab w:leader="none" w:pos="320" w:val="left"/>
        </w:tabs>
        <w:numPr>
          <w:ilvl w:val="0"/>
          <w:numId w:val="1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Primarily related to acquisitions completed during the first half of 2025.</w:t>
      </w:r>
    </w:p>
    <w:p>
      <w:pPr>
        <w:spacing w:after="0" w:line="167" w:lineRule="exact"/>
        <w:rPr>
          <w:rFonts w:ascii="Times New Roman" w:cs="Times New Roman" w:eastAsia="Times New Roman" w:hAnsi="Times New Roman"/>
          <w:sz w:val="19"/>
          <w:szCs w:val="19"/>
          <w:color w:val="auto"/>
          <w:vertAlign w:val="superscript"/>
        </w:rPr>
      </w:pPr>
    </w:p>
    <w:p>
      <w:pPr>
        <w:ind w:left="5440" w:hanging="106"/>
        <w:spacing w:after="0"/>
        <w:tabs>
          <w:tab w:leader="none" w:pos="54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4"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auto"/>
        </w:rPr>
        <w:t>Page 16</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SELECTED FINANCIAL DATA BY CRUDE OIL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380" w:type="dxa"/>
            <w:vAlign w:val="bottom"/>
            <w:gridSpan w:val="6"/>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3"/>
                <w:szCs w:val="13"/>
                <w:color w:val="auto"/>
              </w:rPr>
            </w:pPr>
          </w:p>
        </w:tc>
        <w:tc>
          <w:tcPr>
            <w:tcW w:w="2180" w:type="dxa"/>
            <w:vAlign w:val="bottom"/>
            <w:gridSpan w:val="4"/>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6"/>
        </w:trPr>
        <w:tc>
          <w:tcPr>
            <w:tcW w:w="388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Borders>
              <w:bottom w:val="single" w:sz="8" w:color="auto"/>
            </w:tcBorders>
          </w:tcPr>
          <w:p>
            <w:pPr>
              <w:spacing w:after="0"/>
              <w:rPr>
                <w:sz w:val="17"/>
                <w:szCs w:val="17"/>
                <w:color w:val="auto"/>
              </w:rPr>
            </w:pPr>
          </w:p>
        </w:tc>
      </w:tr>
      <w:tr>
        <w:trPr>
          <w:trHeight w:val="196"/>
        </w:trPr>
        <w:tc>
          <w:tcPr>
            <w:tcW w:w="3880" w:type="dxa"/>
            <w:vAlign w:val="bottom"/>
            <w:tcBorders>
              <w:bottom w:val="single" w:sz="8" w:color="CCEEFF"/>
            </w:tcBorders>
          </w:tcPr>
          <w:p>
            <w:pPr>
              <w:spacing w:after="0"/>
              <w:rPr>
                <w:sz w:val="17"/>
                <w:szCs w:val="17"/>
                <w:color w:val="auto"/>
              </w:rPr>
            </w:pPr>
          </w:p>
        </w:tc>
        <w:tc>
          <w:tcPr>
            <w:tcW w:w="22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6120" w:type="dxa"/>
            <w:vAlign w:val="bottom"/>
            <w:gridSpan w:val="2"/>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Revenues </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12,735</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24,317</w:t>
            </w:r>
          </w:p>
        </w:tc>
      </w:tr>
      <w:tr>
        <w:trPr>
          <w:trHeight w:val="230"/>
        </w:trPr>
        <w:tc>
          <w:tcPr>
            <w:tcW w:w="61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Purchases and related costs </w:t>
            </w:r>
            <w:r>
              <w:rPr>
                <w:rFonts w:ascii="Times New Roman" w:cs="Times New Roman" w:eastAsia="Times New Roman" w:hAnsi="Times New Roman"/>
                <w:sz w:val="23"/>
                <w:szCs w:val="23"/>
                <w:color w:val="auto"/>
                <w:vertAlign w:val="superscript"/>
              </w:rPr>
              <w:t>(1)</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(11,820)</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(22,484)</w:t>
            </w:r>
          </w:p>
        </w:tc>
      </w:tr>
      <w:tr>
        <w:trPr>
          <w:trHeight w:val="229"/>
        </w:trPr>
        <w:tc>
          <w:tcPr>
            <w:tcW w:w="612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Field operating costs </w:t>
            </w:r>
            <w:r>
              <w:rPr>
                <w:rFonts w:ascii="Times New Roman" w:cs="Times New Roman" w:eastAsia="Times New Roman" w:hAnsi="Times New Roman"/>
                <w:sz w:val="23"/>
                <w:szCs w:val="23"/>
                <w:color w:val="auto"/>
                <w:vertAlign w:val="superscript"/>
              </w:rPr>
              <w:t>(2)</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r>
      <w:tr>
        <w:trPr>
          <w:trHeight w:val="229"/>
        </w:trPr>
        <w:tc>
          <w:tcPr>
            <w:tcW w:w="61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Segment general and administrative expenses </w:t>
            </w:r>
            <w:r>
              <w:rPr>
                <w:rFonts w:ascii="Times New Roman" w:cs="Times New Roman" w:eastAsia="Times New Roman" w:hAnsi="Times New Roman"/>
                <w:sz w:val="23"/>
                <w:szCs w:val="23"/>
                <w:color w:val="auto"/>
                <w:vertAlign w:val="superscript"/>
              </w:rPr>
              <w:t>(2) (3)</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30"/>
        </w:trPr>
        <w:tc>
          <w:tcPr>
            <w:tcW w:w="6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earnings in unconsolidated entities</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r>
      <w:tr>
        <w:trPr>
          <w:trHeight w:val="270"/>
        </w:trPr>
        <w:tc>
          <w:tcPr>
            <w:tcW w:w="388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4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29"/>
        </w:trPr>
        <w:tc>
          <w:tcPr>
            <w:tcW w:w="612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Adjustments: </w:t>
            </w:r>
            <w:r>
              <w:rPr>
                <w:rFonts w:ascii="Times New Roman" w:cs="Times New Roman" w:eastAsia="Times New Roman" w:hAnsi="Times New Roman"/>
                <w:sz w:val="23"/>
                <w:szCs w:val="23"/>
                <w:color w:val="auto"/>
                <w:vertAlign w:val="superscript"/>
              </w:rPr>
              <w:t>(4)</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6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 of unconsolidated entities</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30"/>
        </w:trPr>
        <w:tc>
          <w:tcPr>
            <w:tcW w:w="61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Derivative activities and inventory valuation adjustments</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9"/>
        </w:trPr>
        <w:tc>
          <w:tcPr>
            <w:tcW w:w="6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Long-term inventory costing adjustments</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0"/>
        </w:trPr>
        <w:tc>
          <w:tcPr>
            <w:tcW w:w="61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Deficiencies under minimum volume commitments, net</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6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Equity-indexed compensation expense</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9"/>
        </w:trPr>
        <w:tc>
          <w:tcPr>
            <w:tcW w:w="61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revaluation</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0"/>
        </w:trPr>
        <w:tc>
          <w:tcPr>
            <w:tcW w:w="6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Transaction-related expenses</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120" w:type="dxa"/>
            <w:vAlign w:val="bottom"/>
            <w:gridSpan w:val="2"/>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Segment amounts attributable to noncontrolling interests </w:t>
            </w:r>
            <w:r>
              <w:rPr>
                <w:rFonts w:ascii="Times New Roman" w:cs="Times New Roman" w:eastAsia="Times New Roman" w:hAnsi="Times New Roman"/>
                <w:sz w:val="23"/>
                <w:szCs w:val="23"/>
                <w:color w:val="auto"/>
                <w:vertAlign w:val="superscript"/>
              </w:rPr>
              <w:t>(5)</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r>
      <w:tr>
        <w:trPr>
          <w:trHeight w:val="223"/>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Crude Oil Segment Adjusted EBITDA / Adjusted EBITDA from Crude Oil</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1,130</w:t>
            </w: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2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37"/>
        </w:trPr>
        <w:tc>
          <w:tcPr>
            <w:tcW w:w="3880" w:type="dxa"/>
            <w:vAlign w:val="bottom"/>
            <w:shd w:val="clear" w:color="auto" w:fill="CCEEFF"/>
          </w:tcPr>
          <w:p>
            <w:pPr>
              <w:spacing w:after="0"/>
              <w:rPr>
                <w:sz w:val="20"/>
                <w:szCs w:val="20"/>
                <w:color w:val="auto"/>
              </w:rPr>
            </w:pPr>
          </w:p>
        </w:tc>
        <w:tc>
          <w:tcPr>
            <w:tcW w:w="22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4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70"/>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Crude Oil maintenance capital expenditures</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23"/>
                <w:szCs w:val="23"/>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23"/>
                <w:szCs w:val="23"/>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156"/>
        </w:trPr>
        <w:tc>
          <w:tcPr>
            <w:tcW w:w="3880" w:type="dxa"/>
            <w:vAlign w:val="bottom"/>
            <w:tcBorders>
              <w:bottom w:val="single" w:sz="8" w:color="auto"/>
            </w:tcBorders>
          </w:tcPr>
          <w:p>
            <w:pPr>
              <w:spacing w:after="0"/>
              <w:rPr>
                <w:sz w:val="13"/>
                <w:szCs w:val="13"/>
                <w:color w:val="auto"/>
              </w:rPr>
            </w:pPr>
          </w:p>
        </w:tc>
        <w:tc>
          <w:tcPr>
            <w:tcW w:w="2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60" w:type="dxa"/>
            <w:vAlign w:val="bottom"/>
          </w:tcPr>
          <w:p>
            <w:pPr>
              <w:spacing w:after="0"/>
              <w:rPr>
                <w:sz w:val="13"/>
                <w:szCs w:val="13"/>
                <w:color w:val="auto"/>
              </w:rPr>
            </w:pPr>
          </w:p>
        </w:tc>
      </w:tr>
    </w:tbl>
    <w:p>
      <w:pPr>
        <w:spacing w:after="0" w:line="127" w:lineRule="exact"/>
        <w:rPr>
          <w:sz w:val="20"/>
          <w:szCs w:val="20"/>
          <w:color w:val="auto"/>
        </w:rPr>
      </w:pPr>
    </w:p>
    <w:p>
      <w:pPr>
        <w:sectPr>
          <w:pgSz w:w="11900" w:h="16838" w:orient="portrait"/>
          <w:cols w:equalWidth="0" w:num="1">
            <w:col w:w="11240"/>
          </w:cols>
          <w:pgMar w:left="320" w:top="364" w:right="339" w:bottom="1440" w:gutter="0" w:footer="0" w:header="0"/>
        </w:sect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Includes intersegment amounts.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Field operating costs and Segment general and administrative expenses include equity-indexed compensation expense.</w:t>
      </w:r>
    </w:p>
    <w:p>
      <w:pPr>
        <w:spacing w:after="0" w:line="75" w:lineRule="exact"/>
        <w:rPr>
          <w:sz w:val="20"/>
          <w:szCs w:val="20"/>
          <w:color w:val="auto"/>
        </w:rPr>
      </w:pPr>
    </w:p>
    <w:p>
      <w:pPr>
        <w:sectPr>
          <w:pgSz w:w="11900" w:h="16838" w:orient="portrait"/>
          <w:cols w:equalWidth="0" w:num="2">
            <w:col w:w="140" w:space="180"/>
            <w:col w:w="10920"/>
          </w:cols>
          <w:pgMar w:left="320" w:top="364" w:right="339" w:bottom="1440" w:gutter="0" w:footer="0" w:header="0"/>
          <w:type w:val="continuous"/>
        </w:sectPr>
      </w:pPr>
    </w:p>
    <w:p>
      <w:pPr>
        <w:ind w:left="340" w:right="100" w:hanging="332"/>
        <w:spacing w:after="0" w:line="229" w:lineRule="auto"/>
        <w:tabs>
          <w:tab w:leader="none" w:pos="328"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36" w:lineRule="exact"/>
        <w:rPr>
          <w:rFonts w:ascii="Times New Roman" w:cs="Times New Roman" w:eastAsia="Times New Roman" w:hAnsi="Times New Roman"/>
          <w:sz w:val="23"/>
          <w:szCs w:val="23"/>
          <w:color w:val="auto"/>
          <w:vertAlign w:val="superscript"/>
        </w:rPr>
      </w:pPr>
    </w:p>
    <w:p>
      <w:pPr>
        <w:ind w:left="340" w:right="140" w:hanging="332"/>
        <w:spacing w:after="0" w:line="235" w:lineRule="auto"/>
        <w:tabs>
          <w:tab w:leader="none" w:pos="328"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adjustments utilized by our CODM in the evaluation of segment results. Many of these adjustments are also considered selected items impacting comparability when calculating consolidated non-GAAP financial measures such as Adjusted EBITDA. See the “Selected Items Impacting Comparability” table for additional discussion.</w:t>
      </w:r>
    </w:p>
    <w:p>
      <w:pPr>
        <w:spacing w:after="0" w:line="7" w:lineRule="exact"/>
        <w:rPr>
          <w:rFonts w:ascii="Times New Roman" w:cs="Times New Roman" w:eastAsia="Times New Roman" w:hAnsi="Times New Roman"/>
          <w:sz w:val="23"/>
          <w:szCs w:val="23"/>
          <w:color w:val="auto"/>
          <w:vertAlign w:val="superscript"/>
        </w:rPr>
      </w:pPr>
    </w:p>
    <w:p>
      <w:pPr>
        <w:ind w:left="320" w:hanging="312"/>
        <w:spacing w:after="0"/>
        <w:tabs>
          <w:tab w:leader="none" w:pos="320"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Reflects amounts attributable to noncontrolling interests in the Permian JV, Cactus II Pipeline LLC and Red River Pipeline LLC.</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4"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auto"/>
        </w:rPr>
        <w:t>Page 17</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SELECTED FINANCIAL DATA BY NGL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2040" w:type="dxa"/>
            <w:vAlign w:val="bottom"/>
            <w:gridSpan w:val="4"/>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80" w:type="dxa"/>
            <w:vAlign w:val="bottom"/>
            <w:gridSpan w:val="4"/>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6"/>
        </w:trPr>
        <w:tc>
          <w:tcPr>
            <w:tcW w:w="388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Borders>
              <w:bottom w:val="single" w:sz="8" w:color="auto"/>
            </w:tcBorders>
          </w:tcPr>
          <w:p>
            <w:pPr>
              <w:spacing w:after="0"/>
              <w:rPr>
                <w:sz w:val="17"/>
                <w:szCs w:val="17"/>
                <w:color w:val="auto"/>
              </w:rPr>
            </w:pPr>
          </w:p>
        </w:tc>
      </w:tr>
      <w:tr>
        <w:trPr>
          <w:trHeight w:val="196"/>
        </w:trPr>
        <w:tc>
          <w:tcPr>
            <w:tcW w:w="3880" w:type="dxa"/>
            <w:vAlign w:val="bottom"/>
            <w:tcBorders>
              <w:bottom w:val="single" w:sz="8" w:color="CCEEFF"/>
            </w:tcBorders>
          </w:tcPr>
          <w:p>
            <w:pPr>
              <w:spacing w:after="0"/>
              <w:rPr>
                <w:sz w:val="17"/>
                <w:szCs w:val="17"/>
                <w:color w:val="auto"/>
              </w:rPr>
            </w:pPr>
          </w:p>
        </w:tc>
        <w:tc>
          <w:tcPr>
            <w:tcW w:w="228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6160" w:type="dxa"/>
            <w:vAlign w:val="bottom"/>
            <w:gridSpan w:val="2"/>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Revenues </w:t>
            </w:r>
            <w:r>
              <w:rPr>
                <w:rFonts w:ascii="Times New Roman" w:cs="Times New Roman" w:eastAsia="Times New Roman" w:hAnsi="Times New Roman"/>
                <w:sz w:val="23"/>
                <w:szCs w:val="23"/>
                <w:color w:val="auto"/>
                <w:vertAlign w:val="superscript"/>
              </w:rPr>
              <w:t>(1)</w:t>
            </w:r>
          </w:p>
        </w:tc>
        <w:tc>
          <w:tcPr>
            <w:tcW w:w="760" w:type="dxa"/>
            <w:vAlign w:val="bottom"/>
            <w:shd w:val="clear" w:color="auto" w:fill="CCEEFF"/>
          </w:tcPr>
          <w:p>
            <w:pPr>
              <w:jc w:val="right"/>
              <w:ind w:right="575"/>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3"/>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30"/>
        </w:trPr>
        <w:tc>
          <w:tcPr>
            <w:tcW w:w="61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Purchases and related costs </w:t>
            </w:r>
            <w:r>
              <w:rPr>
                <w:rFonts w:ascii="Times New Roman" w:cs="Times New Roman" w:eastAsia="Times New Roman" w:hAnsi="Times New Roman"/>
                <w:sz w:val="23"/>
                <w:szCs w:val="23"/>
                <w:color w:val="auto"/>
                <w:vertAlign w:val="superscript"/>
              </w:rPr>
              <w:t>(1)</w:t>
            </w:r>
          </w:p>
        </w:tc>
        <w:tc>
          <w:tcPr>
            <w:tcW w:w="7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29"/>
        </w:trPr>
        <w:tc>
          <w:tcPr>
            <w:tcW w:w="61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Field operating costs </w:t>
            </w:r>
            <w:r>
              <w:rPr>
                <w:rFonts w:ascii="Times New Roman" w:cs="Times New Roman" w:eastAsia="Times New Roman" w:hAnsi="Times New Roman"/>
                <w:sz w:val="23"/>
                <w:szCs w:val="23"/>
                <w:color w:val="auto"/>
                <w:vertAlign w:val="superscript"/>
              </w:rPr>
              <w:t>(2)</w:t>
            </w:r>
          </w:p>
        </w:tc>
        <w:tc>
          <w:tcPr>
            <w:tcW w:w="7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6160" w:type="dxa"/>
            <w:vAlign w:val="bottom"/>
            <w:tcBorders>
              <w:bottom w:val="single" w:sz="8" w:color="CCEEFF"/>
            </w:tcBorders>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Segment general and administrative expenses </w:t>
            </w:r>
            <w:r>
              <w:rPr>
                <w:rFonts w:ascii="Times New Roman" w:cs="Times New Roman" w:eastAsia="Times New Roman" w:hAnsi="Times New Roman"/>
                <w:sz w:val="23"/>
                <w:szCs w:val="23"/>
                <w:color w:val="auto"/>
                <w:vertAlign w:val="superscript"/>
              </w:rPr>
              <w:t>(2) (3)</w:t>
            </w:r>
          </w:p>
        </w:tc>
        <w:tc>
          <w:tcPr>
            <w:tcW w:w="7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CEEFF"/>
              <w:right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3"/>
        </w:trPr>
        <w:tc>
          <w:tcPr>
            <w:tcW w:w="6160" w:type="dxa"/>
            <w:vAlign w:val="bottom"/>
            <w:gridSpan w:val="2"/>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NGL Segment Adjusted EBITDA </w:t>
            </w:r>
            <w:r>
              <w:rPr>
                <w:rFonts w:ascii="Times New Roman" w:cs="Times New Roman" w:eastAsia="Times New Roman" w:hAnsi="Times New Roman"/>
                <w:sz w:val="23"/>
                <w:szCs w:val="23"/>
                <w:color w:val="auto"/>
                <w:vertAlign w:val="superscript"/>
              </w:rPr>
              <w:t>(4)</w:t>
            </w:r>
          </w:p>
        </w:tc>
        <w:tc>
          <w:tcPr>
            <w:tcW w:w="760" w:type="dxa"/>
            <w:vAlign w:val="bottom"/>
            <w:shd w:val="clear" w:color="auto" w:fill="CCEEFF"/>
          </w:tcPr>
          <w:p>
            <w:pPr>
              <w:jc w:val="right"/>
              <w:ind w:right="575"/>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3"/>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9"/>
        </w:trPr>
        <w:tc>
          <w:tcPr>
            <w:tcW w:w="6160" w:type="dxa"/>
            <w:vAlign w:val="bottom"/>
            <w:tcBorders>
              <w:bottom w:val="single" w:sz="8" w:color="CCEEFF"/>
            </w:tcBorders>
            <w:gridSpan w:val="2"/>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Adjusted EBITDA from NGL Discontinued Operations </w:t>
            </w:r>
            <w:r>
              <w:rPr>
                <w:rFonts w:ascii="Times New Roman" w:cs="Times New Roman" w:eastAsia="Times New Roman" w:hAnsi="Times New Roman"/>
                <w:sz w:val="23"/>
                <w:szCs w:val="23"/>
                <w:color w:val="auto"/>
                <w:vertAlign w:val="superscript"/>
              </w:rPr>
              <w:t>(5)</w:t>
            </w:r>
          </w:p>
        </w:tc>
        <w:tc>
          <w:tcPr>
            <w:tcW w:w="7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Borders>
              <w:bottom w:val="single" w:sz="8" w:color="CCEEFF"/>
              <w:right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w:t>
            </w:r>
          </w:p>
        </w:tc>
      </w:tr>
      <w:tr>
        <w:trPr>
          <w:trHeight w:val="248"/>
        </w:trPr>
        <w:tc>
          <w:tcPr>
            <w:tcW w:w="6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 from NGL</w:t>
            </w:r>
          </w:p>
        </w:tc>
        <w:tc>
          <w:tcPr>
            <w:tcW w:w="760" w:type="dxa"/>
            <w:vAlign w:val="bottom"/>
            <w:tcBorders>
              <w:bottom w:val="single" w:sz="8" w:color="auto"/>
            </w:tcBorders>
            <w:shd w:val="clear" w:color="auto" w:fill="CCEEFF"/>
          </w:tcPr>
          <w:p>
            <w:pPr>
              <w:jc w:val="right"/>
              <w:ind w:right="575"/>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593"/>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38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0"/>
        </w:trPr>
        <w:tc>
          <w:tcPr>
            <w:tcW w:w="6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Maintenance capital expenditures from NGL continuing operations</w:t>
            </w:r>
          </w:p>
        </w:tc>
        <w:tc>
          <w:tcPr>
            <w:tcW w:w="760" w:type="dxa"/>
            <w:vAlign w:val="bottom"/>
            <w:shd w:val="clear" w:color="auto" w:fill="CCEEFF"/>
          </w:tcPr>
          <w:p>
            <w:pPr>
              <w:jc w:val="right"/>
              <w:ind w:right="575"/>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3"/>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61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Maintenance capital expenditures from NGL discontinued operations</w:t>
            </w:r>
          </w:p>
        </w:tc>
        <w:tc>
          <w:tcPr>
            <w:tcW w:w="7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bottom w:val="single" w:sz="8" w:color="CCEEFF"/>
              <w:right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48"/>
        </w:trPr>
        <w:tc>
          <w:tcPr>
            <w:tcW w:w="61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NGL maintenance capital expenditures</w:t>
            </w:r>
          </w:p>
        </w:tc>
        <w:tc>
          <w:tcPr>
            <w:tcW w:w="760" w:type="dxa"/>
            <w:vAlign w:val="bottom"/>
            <w:tcBorders>
              <w:bottom w:val="single" w:sz="8" w:color="auto"/>
            </w:tcBorders>
            <w:shd w:val="clear" w:color="auto" w:fill="CCEEFF"/>
          </w:tcPr>
          <w:p>
            <w:pPr>
              <w:jc w:val="right"/>
              <w:ind w:right="575"/>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593"/>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136"/>
        </w:trPr>
        <w:tc>
          <w:tcPr>
            <w:tcW w:w="3880" w:type="dxa"/>
            <w:vAlign w:val="bottom"/>
            <w:tcBorders>
              <w:bottom w:val="single" w:sz="8" w:color="auto"/>
            </w:tcBorders>
          </w:tcPr>
          <w:p>
            <w:pPr>
              <w:spacing w:after="0"/>
              <w:rPr>
                <w:sz w:val="11"/>
                <w:szCs w:val="11"/>
                <w:color w:val="auto"/>
              </w:rPr>
            </w:pPr>
          </w:p>
        </w:tc>
        <w:tc>
          <w:tcPr>
            <w:tcW w:w="2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r>
    </w:tbl>
    <w:p>
      <w:pPr>
        <w:spacing w:after="0" w:line="100" w:lineRule="exact"/>
        <w:rPr>
          <w:sz w:val="20"/>
          <w:szCs w:val="20"/>
          <w:color w:val="auto"/>
        </w:rPr>
      </w:pPr>
    </w:p>
    <w:p>
      <w:pPr>
        <w:ind w:left="320" w:hanging="312"/>
        <w:spacing w:after="0"/>
        <w:tabs>
          <w:tab w:leader="none" w:pos="320" w:val="left"/>
        </w:tabs>
        <w:numPr>
          <w:ilvl w:val="0"/>
          <w:numId w:val="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intersegment amounts.</w:t>
      </w:r>
    </w:p>
    <w:p>
      <w:pPr>
        <w:spacing w:after="0" w:line="55" w:lineRule="exact"/>
        <w:rPr>
          <w:rFonts w:ascii="Times New Roman" w:cs="Times New Roman" w:eastAsia="Times New Roman" w:hAnsi="Times New Roman"/>
          <w:sz w:val="23"/>
          <w:szCs w:val="23"/>
          <w:color w:val="auto"/>
          <w:vertAlign w:val="superscript"/>
        </w:rPr>
      </w:pPr>
    </w:p>
    <w:p>
      <w:pPr>
        <w:ind w:left="340" w:right="400" w:hanging="332"/>
        <w:spacing w:after="0" w:line="219" w:lineRule="auto"/>
        <w:tabs>
          <w:tab w:leader="none" w:pos="328" w:val="left"/>
        </w:tabs>
        <w:numPr>
          <w:ilvl w:val="0"/>
          <w:numId w:val="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Field operating costs and segment general and administrative expenses include certain costs that are part of the overhead of continuing operations, including information technology, insurance and other shared services costs.</w:t>
      </w:r>
    </w:p>
    <w:p>
      <w:pPr>
        <w:spacing w:after="0" w:line="35" w:lineRule="exact"/>
        <w:rPr>
          <w:rFonts w:ascii="Times New Roman" w:cs="Times New Roman" w:eastAsia="Times New Roman" w:hAnsi="Times New Roman"/>
          <w:sz w:val="23"/>
          <w:szCs w:val="23"/>
          <w:color w:val="auto"/>
          <w:vertAlign w:val="superscript"/>
        </w:rPr>
      </w:pPr>
    </w:p>
    <w:p>
      <w:pPr>
        <w:ind w:left="340" w:right="100" w:hanging="332"/>
        <w:spacing w:after="0" w:line="229" w:lineRule="auto"/>
        <w:tabs>
          <w:tab w:leader="none" w:pos="328" w:val="left"/>
        </w:tabs>
        <w:numPr>
          <w:ilvl w:val="0"/>
          <w:numId w:val="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6" w:lineRule="exact"/>
        <w:rPr>
          <w:rFonts w:ascii="Times New Roman" w:cs="Times New Roman" w:eastAsia="Times New Roman" w:hAnsi="Times New Roman"/>
          <w:sz w:val="23"/>
          <w:szCs w:val="23"/>
          <w:color w:val="auto"/>
          <w:vertAlign w:val="superscript"/>
        </w:rPr>
      </w:pPr>
    </w:p>
    <w:p>
      <w:pPr>
        <w:ind w:left="320" w:hanging="312"/>
        <w:spacing w:after="0"/>
        <w:tabs>
          <w:tab w:leader="none" w:pos="320" w:val="left"/>
        </w:tabs>
        <w:numPr>
          <w:ilvl w:val="0"/>
          <w:numId w:val="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results from continuing operations and excludes amounts related to discontinued operations for all periods presented.</w:t>
      </w:r>
    </w:p>
    <w:p>
      <w:pPr>
        <w:spacing w:after="0" w:line="55" w:lineRule="exact"/>
        <w:rPr>
          <w:rFonts w:ascii="Times New Roman" w:cs="Times New Roman" w:eastAsia="Times New Roman" w:hAnsi="Times New Roman"/>
          <w:sz w:val="23"/>
          <w:szCs w:val="23"/>
          <w:color w:val="auto"/>
          <w:vertAlign w:val="superscript"/>
        </w:rPr>
      </w:pPr>
    </w:p>
    <w:p>
      <w:pPr>
        <w:ind w:left="340" w:right="120" w:hanging="332"/>
        <w:spacing w:after="0" w:line="219" w:lineRule="auto"/>
        <w:tabs>
          <w:tab w:leader="none" w:pos="328" w:val="left"/>
        </w:tabs>
        <w:numPr>
          <w:ilvl w:val="0"/>
          <w:numId w:val="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See the “Reconciliation of Adjusted EBITDA from NGL Discontinued Operations” table for a reconciliation to the most directly comparable measure as reported in accordance with GAAP.</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4"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auto"/>
        </w:rPr>
        <w:t>Page 18</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DISCONTINUED OPERATIONS DETAIL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Income from Discontinued Operations, Net of Tax:</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60" w:type="dxa"/>
            <w:vAlign w:val="bottom"/>
            <w:gridSpan w:val="8"/>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80" w:type="dxa"/>
            <w:vAlign w:val="bottom"/>
            <w:gridSpan w:val="8"/>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96"/>
        </w:trPr>
        <w:tc>
          <w:tcPr>
            <w:tcW w:w="388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5"/>
          </w:tcPr>
          <w:p>
            <w:pPr>
              <w:ind w:left="6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6"/>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4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80" w:type="dxa"/>
            <w:vAlign w:val="bottom"/>
            <w:tcBorders>
              <w:bottom w:val="single" w:sz="8" w:color="CCEEFF"/>
            </w:tcBorders>
          </w:tcPr>
          <w:p>
            <w:pPr>
              <w:spacing w:after="0"/>
              <w:rPr>
                <w:sz w:val="17"/>
                <w:szCs w:val="17"/>
                <w:color w:val="auto"/>
              </w:rPr>
            </w:pPr>
          </w:p>
        </w:tc>
        <w:tc>
          <w:tcPr>
            <w:tcW w:w="24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and Expenses:</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Purchases and related costs</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Field operating costs</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(Gains)/losses on asset sales, net</w:t>
            </w: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8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discontinued operations before tax</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(expense)/benefit</w:t>
            </w: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Income from discontinued operations, net of tax</w:t>
            </w:r>
          </w:p>
        </w:tc>
        <w:tc>
          <w:tcPr>
            <w:tcW w:w="30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9"/>
                <w:szCs w:val="19"/>
                <w:color w:val="auto"/>
              </w:rPr>
            </w:pPr>
          </w:p>
        </w:tc>
        <w:tc>
          <w:tcPr>
            <w:tcW w:w="1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2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Reconciliation of Adjusted EBITDA from NGL Discontinued Operations:</w:t>
            </w: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77"/>
        </w:trPr>
        <w:tc>
          <w:tcPr>
            <w:tcW w:w="62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3880" w:type="dxa"/>
            <w:vAlign w:val="bottom"/>
          </w:tcPr>
          <w:p>
            <w:pPr>
              <w:spacing w:after="0"/>
              <w:rPr>
                <w:sz w:val="23"/>
                <w:szCs w:val="23"/>
                <w:color w:val="auto"/>
              </w:rPr>
            </w:pPr>
          </w:p>
        </w:tc>
        <w:tc>
          <w:tcPr>
            <w:tcW w:w="2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160" w:type="dxa"/>
            <w:vAlign w:val="bottom"/>
            <w:gridSpan w:val="8"/>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180" w:type="dxa"/>
            <w:vAlign w:val="bottom"/>
            <w:gridSpan w:val="8"/>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95"/>
        </w:trPr>
        <w:tc>
          <w:tcPr>
            <w:tcW w:w="38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5"/>
          </w:tcPr>
          <w:p>
            <w:pPr>
              <w:jc w:val="center"/>
              <w:ind w:left="59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880" w:type="dxa"/>
            <w:vAlign w:val="bottom"/>
            <w:tcBorders>
              <w:bottom w:val="single" w:sz="8" w:color="CCEEFF"/>
            </w:tcBorders>
          </w:tcPr>
          <w:p>
            <w:pPr>
              <w:spacing w:after="0"/>
              <w:rPr>
                <w:sz w:val="16"/>
                <w:szCs w:val="16"/>
                <w:color w:val="auto"/>
              </w:rPr>
            </w:pPr>
          </w:p>
        </w:tc>
        <w:tc>
          <w:tcPr>
            <w:tcW w:w="24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discontinued operations, net of tax</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206</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30"/>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tax expense from discontinued operations</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9"/>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from discontinued operations</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30"/>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(Gains)/losses on asset sales, net from discontinued operations</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62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Adjustments attributable to discontinued operations </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Derivative activities and inventory valuation adjustments</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w w:val="99"/>
              </w:rPr>
              <w:t>(44)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29"/>
        </w:trPr>
        <w:tc>
          <w:tcPr>
            <w:tcW w:w="6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Long-term inventory costing adjustments</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62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Foreign currency revaluation</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48"/>
        </w:trPr>
        <w:tc>
          <w:tcPr>
            <w:tcW w:w="628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Adjusted EBITDA from NGL Discontinued Operations</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97</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105</w:t>
            </w:r>
          </w:p>
        </w:tc>
        <w:tc>
          <w:tcPr>
            <w:tcW w:w="2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291</w:t>
            </w:r>
          </w:p>
        </w:tc>
        <w:tc>
          <w:tcPr>
            <w:tcW w:w="2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880" w:type="dxa"/>
            <w:vAlign w:val="bottom"/>
            <w:tcBorders>
              <w:bottom w:val="single" w:sz="8" w:color="auto"/>
            </w:tcBorders>
          </w:tcPr>
          <w:p>
            <w:pPr>
              <w:spacing w:after="0"/>
              <w:rPr>
                <w:sz w:val="17"/>
                <w:szCs w:val="17"/>
                <w:color w:val="auto"/>
              </w:rPr>
            </w:pPr>
          </w:p>
        </w:tc>
        <w:tc>
          <w:tcPr>
            <w:tcW w:w="2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320" w:hanging="312"/>
        <w:spacing w:after="0"/>
        <w:tabs>
          <w:tab w:leader="none" w:pos="320" w:val="left"/>
        </w:tabs>
        <w:numPr>
          <w:ilvl w:val="0"/>
          <w:numId w:val="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See the “Selected Items Impacting Comparability” table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Capital from NGL Discontinued Operations: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40" w:type="dxa"/>
            <w:vAlign w:val="bottom"/>
            <w:gridSpan w:val="5"/>
          </w:tcPr>
          <w:p>
            <w:pPr>
              <w:jc w:val="center"/>
              <w:ind w:left="26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2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6"/>
        </w:trPr>
        <w:tc>
          <w:tcPr>
            <w:tcW w:w="2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4"/>
          </w:tcPr>
          <w:p>
            <w:pPr>
              <w:jc w:val="center"/>
              <w:ind w:right="3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3"/>
          </w:tcPr>
          <w:p>
            <w:pPr>
              <w:jc w:val="center"/>
              <w:ind w:left="48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0" w:type="dxa"/>
            <w:vAlign w:val="bottom"/>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7"/>
                <w:szCs w:val="17"/>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7"/>
                <w:szCs w:val="17"/>
                <w:color w:val="auto"/>
              </w:rPr>
            </w:pPr>
          </w:p>
        </w:tc>
      </w:tr>
      <w:tr>
        <w:trPr>
          <w:trHeight w:val="229"/>
        </w:trPr>
        <w:tc>
          <w:tcPr>
            <w:tcW w:w="20" w:type="dxa"/>
            <w:vAlign w:val="bottom"/>
            <w:tcBorders>
              <w:top w:val="single" w:sz="8" w:color="CCEEFF"/>
            </w:tcBorders>
            <w:shd w:val="clear" w:color="auto" w:fill="CCEEFF"/>
          </w:tcPr>
          <w:p>
            <w:pPr>
              <w:spacing w:after="0"/>
              <w:rPr>
                <w:sz w:val="19"/>
                <w:szCs w:val="19"/>
                <w:color w:val="auto"/>
              </w:rPr>
            </w:pPr>
          </w:p>
        </w:tc>
        <w:tc>
          <w:tcPr>
            <w:tcW w:w="50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NGL investment capital expenditures from discontinued operations</w:t>
            </w:r>
          </w:p>
        </w:tc>
        <w:tc>
          <w:tcPr>
            <w:tcW w:w="128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ind w:right="622"/>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Borders>
              <w:top w:val="single" w:sz="8" w:color="auto"/>
            </w:tcBorders>
            <w:shd w:val="clear" w:color="auto" w:fill="CCEEFF"/>
          </w:tcPr>
          <w:p>
            <w:pPr>
              <w:spacing w:after="0"/>
              <w:rPr>
                <w:sz w:val="19"/>
                <w:szCs w:val="19"/>
                <w:color w:val="auto"/>
              </w:rPr>
            </w:pPr>
          </w:p>
        </w:tc>
      </w:tr>
      <w:tr>
        <w:trPr>
          <w:trHeight w:val="486"/>
        </w:trPr>
        <w:tc>
          <w:tcPr>
            <w:tcW w:w="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80" w:type="dxa"/>
            <w:vAlign w:val="bottom"/>
            <w:gridSpan w:val="2"/>
          </w:tcPr>
          <w:p>
            <w:pPr>
              <w:jc w:val="center"/>
              <w:ind w:right="942"/>
              <w:spacing w:after="0"/>
              <w:rPr>
                <w:sz w:val="20"/>
                <w:szCs w:val="20"/>
                <w:color w:val="auto"/>
              </w:rPr>
            </w:pPr>
            <w:r>
              <w:rPr>
                <w:rFonts w:ascii="Times New Roman" w:cs="Times New Roman" w:eastAsia="Times New Roman" w:hAnsi="Times New Roman"/>
                <w:sz w:val="18"/>
                <w:szCs w:val="18"/>
                <w:color w:val="auto"/>
                <w:w w:val="99"/>
              </w:rPr>
              <w:t>- more -</w:t>
            </w: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35"/>
        </w:trPr>
        <w:tc>
          <w:tcPr>
            <w:tcW w:w="20" w:type="dxa"/>
            <w:vAlign w:val="bottom"/>
          </w:tcPr>
          <w:p>
            <w:pPr>
              <w:spacing w:after="0"/>
              <w:rPr>
                <w:sz w:val="11"/>
                <w:szCs w:val="11"/>
                <w:color w:val="auto"/>
              </w:rPr>
            </w:pPr>
          </w:p>
        </w:tc>
        <w:tc>
          <w:tcPr>
            <w:tcW w:w="4240" w:type="dxa"/>
            <w:vAlign w:val="bottom"/>
            <w:tcBorders>
              <w:bottom w:val="single" w:sz="8" w:color="auto"/>
            </w:tcBorders>
          </w:tcPr>
          <w:p>
            <w:pPr>
              <w:spacing w:after="0"/>
              <w:rPr>
                <w:sz w:val="11"/>
                <w:szCs w:val="11"/>
                <w:color w:val="auto"/>
              </w:rPr>
            </w:pPr>
          </w:p>
        </w:tc>
        <w:tc>
          <w:tcPr>
            <w:tcW w:w="2920" w:type="dxa"/>
            <w:vAlign w:val="bottom"/>
            <w:tcBorders>
              <w:bottom w:val="single" w:sz="8" w:color="auto"/>
            </w:tcBorders>
            <w:gridSpan w:val="3"/>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520" w:type="dxa"/>
            <w:vAlign w:val="bottom"/>
            <w:tcBorders>
              <w:bottom w:val="single" w:sz="8" w:color="auto"/>
            </w:tcBorders>
            <w:gridSpan w:val="7"/>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331"/>
        </w:trPr>
        <w:tc>
          <w:tcPr>
            <w:tcW w:w="20" w:type="dxa"/>
            <w:vAlign w:val="bottom"/>
          </w:tcPr>
          <w:p>
            <w:pPr>
              <w:spacing w:after="0"/>
              <w:rPr>
                <w:sz w:val="24"/>
                <w:szCs w:val="24"/>
                <w:color w:val="auto"/>
              </w:rPr>
            </w:pPr>
          </w:p>
        </w:tc>
        <w:tc>
          <w:tcPr>
            <w:tcW w:w="4240" w:type="dxa"/>
            <w:vAlign w:val="bottom"/>
          </w:tcPr>
          <w:p>
            <w:pPr>
              <w:ind w:left="1640"/>
              <w:spacing w:after="0"/>
              <w:rPr>
                <w:sz w:val="20"/>
                <w:szCs w:val="20"/>
                <w:color w:val="auto"/>
              </w:rPr>
            </w:pPr>
            <w:r>
              <w:rPr>
                <w:rFonts w:ascii="Times New Roman" w:cs="Times New Roman" w:eastAsia="Times New Roman" w:hAnsi="Times New Roman"/>
                <w:sz w:val="18"/>
                <w:szCs w:val="18"/>
                <w:b w:val="1"/>
                <w:bCs w:val="1"/>
                <w:color w:val="auto"/>
              </w:rPr>
              <w:t>333 Clay Street, Suite 1600</w:t>
            </w:r>
          </w:p>
        </w:tc>
        <w:tc>
          <w:tcPr>
            <w:tcW w:w="2920" w:type="dxa"/>
            <w:vAlign w:val="bottom"/>
            <w:gridSpan w:val="3"/>
          </w:tcPr>
          <w:p>
            <w:pPr>
              <w:jc w:val="center"/>
              <w:ind w:right="122"/>
              <w:spacing w:after="0"/>
              <w:rPr>
                <w:sz w:val="20"/>
                <w:szCs w:val="20"/>
                <w:color w:val="auto"/>
              </w:rPr>
            </w:pPr>
            <w:r>
              <w:rPr>
                <w:rFonts w:ascii="Times New Roman" w:cs="Times New Roman" w:eastAsia="Times New Roman" w:hAnsi="Times New Roman"/>
                <w:sz w:val="18"/>
                <w:szCs w:val="18"/>
                <w:b w:val="1"/>
                <w:bCs w:val="1"/>
                <w:color w:val="auto"/>
                <w:w w:val="99"/>
              </w:rPr>
              <w:t>Houston, Texas 77002</w:t>
            </w:r>
          </w:p>
        </w:tc>
        <w:tc>
          <w:tcPr>
            <w:tcW w:w="300" w:type="dxa"/>
            <w:vAlign w:val="bottom"/>
          </w:tcPr>
          <w:p>
            <w:pPr>
              <w:spacing w:after="0"/>
              <w:rPr>
                <w:sz w:val="24"/>
                <w:szCs w:val="24"/>
                <w:color w:val="auto"/>
              </w:rPr>
            </w:pPr>
          </w:p>
        </w:tc>
        <w:tc>
          <w:tcPr>
            <w:tcW w:w="2520" w:type="dxa"/>
            <w:vAlign w:val="bottom"/>
            <w:gridSpan w:val="7"/>
          </w:tcPr>
          <w:p>
            <w:pPr>
              <w:jc w:val="right"/>
              <w:ind w:right="244"/>
              <w:spacing w:after="0"/>
              <w:rPr>
                <w:sz w:val="20"/>
                <w:szCs w:val="20"/>
                <w:color w:val="auto"/>
              </w:rPr>
            </w:pPr>
            <w:r>
              <w:rPr>
                <w:rFonts w:ascii="Times New Roman" w:cs="Times New Roman" w:eastAsia="Times New Roman" w:hAnsi="Times New Roman"/>
                <w:sz w:val="18"/>
                <w:szCs w:val="18"/>
                <w:b w:val="1"/>
                <w:bCs w:val="1"/>
                <w:color w:val="auto"/>
                <w:w w:val="99"/>
              </w:rPr>
              <w:t>713-646-4100 / 866-809-1291</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240"/>
          </w:cols>
          <w:pgMar w:left="320" w:top="364"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auto"/>
        </w:rPr>
        <w:t>Page 19</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OPERATING DATA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23"/>
          <w:szCs w:val="23"/>
          <w:b w:val="1"/>
          <w:bCs w:val="1"/>
          <w:color w:val="auto"/>
          <w:vertAlign w:val="superscript"/>
        </w:rPr>
        <w:t>(1)</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242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6"/>
        </w:trPr>
        <w:tc>
          <w:tcPr>
            <w:tcW w:w="388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1520" w:type="dxa"/>
            <w:vAlign w:val="bottom"/>
            <w:tcBorders>
              <w:bottom w:val="single" w:sz="8" w:color="auto"/>
            </w:tcBorders>
            <w:gridSpan w:val="3"/>
          </w:tcPr>
          <w:p>
            <w:pPr>
              <w:jc w:val="center"/>
              <w:ind w:left="71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Borders>
              <w:bottom w:val="single" w:sz="8" w:color="auto"/>
            </w:tcBorders>
            <w:gridSpan w:val="3"/>
          </w:tcPr>
          <w:p>
            <w:pPr>
              <w:jc w:val="center"/>
              <w:ind w:left="81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Borders>
              <w:bottom w:val="single" w:sz="8" w:color="auto"/>
            </w:tcBorders>
          </w:tcPr>
          <w:p>
            <w:pPr>
              <w:spacing w:after="0"/>
              <w:rPr>
                <w:sz w:val="17"/>
                <w:szCs w:val="17"/>
                <w:color w:val="auto"/>
              </w:rPr>
            </w:pPr>
          </w:p>
        </w:tc>
      </w:tr>
      <w:tr>
        <w:trPr>
          <w:trHeight w:val="196"/>
        </w:trPr>
        <w:tc>
          <w:tcPr>
            <w:tcW w:w="3880" w:type="dxa"/>
            <w:vAlign w:val="bottom"/>
            <w:tcBorders>
              <w:bottom w:val="single" w:sz="8" w:color="CCEEFF"/>
            </w:tcBorders>
          </w:tcPr>
          <w:p>
            <w:pPr>
              <w:spacing w:after="0"/>
              <w:rPr>
                <w:sz w:val="17"/>
                <w:szCs w:val="17"/>
                <w:color w:val="auto"/>
              </w:rPr>
            </w:pPr>
          </w:p>
        </w:tc>
        <w:tc>
          <w:tcPr>
            <w:tcW w:w="234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6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Crude Oil Volumes</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29"/>
        </w:trPr>
        <w:tc>
          <w:tcPr>
            <w:tcW w:w="62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Crude oil pipeline tariff (by region)</w:t>
            </w: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6220" w:type="dxa"/>
            <w:vAlign w:val="bottom"/>
            <w:gridSpan w:val="2"/>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Permian Basin </w:t>
            </w:r>
            <w:r>
              <w:rPr>
                <w:rFonts w:ascii="Times New Roman" w:cs="Times New Roman" w:eastAsia="Times New Roman" w:hAnsi="Times New Roman"/>
                <w:sz w:val="23"/>
                <w:szCs w:val="23"/>
                <w:color w:val="auto"/>
                <w:vertAlign w:val="superscript"/>
              </w:rPr>
              <w:t>(2)</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6,701</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6,565</w:t>
            </w:r>
          </w:p>
        </w:tc>
      </w:tr>
      <w:tr>
        <w:trPr>
          <w:trHeight w:val="229"/>
        </w:trPr>
        <w:tc>
          <w:tcPr>
            <w:tcW w:w="6220" w:type="dxa"/>
            <w:vAlign w:val="bottom"/>
            <w:gridSpan w:val="2"/>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South Texas / Eagle Ford </w:t>
            </w:r>
            <w:r>
              <w:rPr>
                <w:rFonts w:ascii="Times New Roman" w:cs="Times New Roman" w:eastAsia="Times New Roman" w:hAnsi="Times New Roman"/>
                <w:sz w:val="23"/>
                <w:szCs w:val="23"/>
                <w:color w:val="auto"/>
                <w:vertAlign w:val="superscript"/>
              </w:rPr>
              <w:t>(2)</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r>
      <w:tr>
        <w:trPr>
          <w:trHeight w:val="229"/>
        </w:trPr>
        <w:tc>
          <w:tcPr>
            <w:tcW w:w="6220" w:type="dxa"/>
            <w:vAlign w:val="bottom"/>
            <w:gridSpan w:val="2"/>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Mid-Continent </w:t>
            </w:r>
            <w:r>
              <w:rPr>
                <w:rFonts w:ascii="Times New Roman" w:cs="Times New Roman" w:eastAsia="Times New Roman" w:hAnsi="Times New Roman"/>
                <w:sz w:val="23"/>
                <w:szCs w:val="23"/>
                <w:color w:val="auto"/>
                <w:vertAlign w:val="superscript"/>
              </w:rPr>
              <w:t>(2)</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r>
      <w:tr>
        <w:trPr>
          <w:trHeight w:val="230"/>
        </w:trPr>
        <w:tc>
          <w:tcPr>
            <w:tcW w:w="6220" w:type="dxa"/>
            <w:vAlign w:val="bottom"/>
            <w:gridSpan w:val="2"/>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Gulf Coast </w:t>
            </w:r>
            <w:r>
              <w:rPr>
                <w:rFonts w:ascii="Times New Roman" w:cs="Times New Roman" w:eastAsia="Times New Roman" w:hAnsi="Times New Roman"/>
                <w:sz w:val="23"/>
                <w:szCs w:val="23"/>
                <w:color w:val="auto"/>
                <w:vertAlign w:val="superscript"/>
              </w:rPr>
              <w:t>(2)</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r>
      <w:tr>
        <w:trPr>
          <w:trHeight w:val="229"/>
        </w:trPr>
        <w:tc>
          <w:tcPr>
            <w:tcW w:w="6220" w:type="dxa"/>
            <w:vAlign w:val="bottom"/>
            <w:gridSpan w:val="2"/>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Rocky Mountain </w:t>
            </w:r>
            <w:r>
              <w:rPr>
                <w:rFonts w:ascii="Times New Roman" w:cs="Times New Roman" w:eastAsia="Times New Roman" w:hAnsi="Times New Roman"/>
                <w:sz w:val="23"/>
                <w:szCs w:val="23"/>
                <w:color w:val="auto"/>
                <w:vertAlign w:val="superscript"/>
              </w:rPr>
              <w:t>(2)</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r>
      <w:tr>
        <w:trPr>
          <w:trHeight w:val="230"/>
        </w:trPr>
        <w:tc>
          <w:tcPr>
            <w:tcW w:w="62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Western</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r>
      <w:tr>
        <w:trPr>
          <w:trHeight w:val="229"/>
        </w:trPr>
        <w:tc>
          <w:tcPr>
            <w:tcW w:w="62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Canada</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r>
      <w:tr>
        <w:trPr>
          <w:trHeight w:val="223"/>
        </w:trPr>
        <w:tc>
          <w:tcPr>
            <w:tcW w:w="6220" w:type="dxa"/>
            <w:vAlign w:val="bottom"/>
            <w:gridSpan w:val="2"/>
          </w:tcPr>
          <w:p>
            <w:pPr>
              <w:ind w:left="140"/>
              <w:spacing w:after="0" w:line="223" w:lineRule="exact"/>
              <w:rPr>
                <w:sz w:val="20"/>
                <w:szCs w:val="20"/>
                <w:color w:val="auto"/>
              </w:rPr>
            </w:pPr>
            <w:r>
              <w:rPr>
                <w:rFonts w:ascii="Times New Roman" w:cs="Times New Roman" w:eastAsia="Times New Roman" w:hAnsi="Times New Roman"/>
                <w:sz w:val="18"/>
                <w:szCs w:val="18"/>
                <w:color w:val="auto"/>
              </w:rPr>
              <w:t xml:space="preserve">Total crude oil pipeline tariff </w:t>
            </w:r>
            <w:r>
              <w:rPr>
                <w:rFonts w:ascii="Times New Roman" w:cs="Times New Roman" w:eastAsia="Times New Roman" w:hAnsi="Times New Roman"/>
                <w:sz w:val="23"/>
                <w:szCs w:val="23"/>
                <w:color w:val="auto"/>
                <w:vertAlign w:val="superscript"/>
              </w:rPr>
              <w:t>(2)</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8,938</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8,769</w:t>
            </w:r>
          </w:p>
        </w:tc>
      </w:tr>
      <w:tr>
        <w:trPr>
          <w:trHeight w:val="257"/>
        </w:trPr>
        <w:tc>
          <w:tcPr>
            <w:tcW w:w="3880" w:type="dxa"/>
            <w:vAlign w:val="bottom"/>
            <w:shd w:val="clear" w:color="auto" w:fill="CCEEFF"/>
          </w:tcPr>
          <w:p>
            <w:pPr>
              <w:spacing w:after="0"/>
              <w:rPr>
                <w:sz w:val="22"/>
                <w:szCs w:val="22"/>
                <w:color w:val="auto"/>
              </w:rPr>
            </w:pPr>
          </w:p>
        </w:tc>
        <w:tc>
          <w:tcPr>
            <w:tcW w:w="23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r>
      <w:tr>
        <w:trPr>
          <w:trHeight w:val="230"/>
        </w:trPr>
        <w:tc>
          <w:tcPr>
            <w:tcW w:w="62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 xml:space="preserve">NGL Volumes </w:t>
            </w:r>
            <w:r>
              <w:rPr>
                <w:rFonts w:ascii="Times New Roman" w:cs="Times New Roman" w:eastAsia="Times New Roman" w:hAnsi="Times New Roman"/>
                <w:sz w:val="23"/>
                <w:szCs w:val="23"/>
                <w:color w:val="auto"/>
                <w:vertAlign w:val="superscript"/>
              </w:rPr>
              <w:t>(3)</w:t>
            </w: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62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NGL fractionation</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29"/>
        </w:trPr>
        <w:tc>
          <w:tcPr>
            <w:tcW w:w="62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NGL pipeline tariff</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r>
      <w:tr>
        <w:trPr>
          <w:trHeight w:val="230"/>
        </w:trPr>
        <w:tc>
          <w:tcPr>
            <w:tcW w:w="62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Propane and butane sales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162"/>
        </w:trPr>
        <w:tc>
          <w:tcPr>
            <w:tcW w:w="3880" w:type="dxa"/>
            <w:vAlign w:val="bottom"/>
            <w:tcBorders>
              <w:bottom w:val="single" w:sz="8" w:color="auto"/>
            </w:tcBorders>
          </w:tcPr>
          <w:p>
            <w:pPr>
              <w:spacing w:after="0"/>
              <w:rPr>
                <w:sz w:val="14"/>
                <w:szCs w:val="14"/>
                <w:color w:val="auto"/>
              </w:rPr>
            </w:pPr>
          </w:p>
        </w:tc>
        <w:tc>
          <w:tcPr>
            <w:tcW w:w="2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r>
    </w:tbl>
    <w:p>
      <w:pPr>
        <w:spacing w:after="0" w:line="130" w:lineRule="exact"/>
        <w:rPr>
          <w:sz w:val="20"/>
          <w:szCs w:val="20"/>
          <w:color w:val="auto"/>
        </w:rPr>
      </w:pPr>
    </w:p>
    <w:p>
      <w:pPr>
        <w:ind w:left="340" w:right="20" w:hanging="332"/>
        <w:spacing w:after="0" w:line="235" w:lineRule="auto"/>
        <w:tabs>
          <w:tab w:leader="none" w:pos="328" w:val="left"/>
        </w:tabs>
        <w:numPr>
          <w:ilvl w:val="0"/>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Average volumes in thousands of barrels per day calculated as the total volumes (attributable to our interest for assets owned by unconsolidated entities or through undivided joint interests) for the period divided by the number of days in the period. Volumes associated with assets acquired during the period represent total volumes for the number of days we actually owned the assets divided by the number of days in the period.</w:t>
      </w:r>
    </w:p>
    <w:p>
      <w:pPr>
        <w:spacing w:after="0" w:line="7" w:lineRule="exact"/>
        <w:rPr>
          <w:rFonts w:ascii="Times New Roman" w:cs="Times New Roman" w:eastAsia="Times New Roman" w:hAnsi="Times New Roman"/>
          <w:sz w:val="23"/>
          <w:szCs w:val="23"/>
          <w:color w:val="auto"/>
          <w:vertAlign w:val="superscript"/>
        </w:rPr>
      </w:pPr>
    </w:p>
    <w:p>
      <w:pPr>
        <w:ind w:left="320" w:hanging="312"/>
        <w:spacing w:after="0"/>
        <w:tabs>
          <w:tab w:leader="none" w:pos="320" w:val="left"/>
        </w:tabs>
        <w:numPr>
          <w:ilvl w:val="0"/>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volumes (attributable to our interest) from assets owned by unconsolidated entities.</w:t>
      </w:r>
    </w:p>
    <w:p>
      <w:pPr>
        <w:spacing w:after="0" w:line="55" w:lineRule="exact"/>
        <w:rPr>
          <w:rFonts w:ascii="Times New Roman" w:cs="Times New Roman" w:eastAsia="Times New Roman" w:hAnsi="Times New Roman"/>
          <w:sz w:val="23"/>
          <w:szCs w:val="23"/>
          <w:color w:val="auto"/>
          <w:vertAlign w:val="superscript"/>
        </w:rPr>
      </w:pPr>
    </w:p>
    <w:p>
      <w:pPr>
        <w:ind w:left="320" w:hanging="312"/>
        <w:spacing w:after="0" w:line="194" w:lineRule="auto"/>
        <w:tabs>
          <w:tab w:leader="none" w:pos="320" w:val="left"/>
        </w:tabs>
        <w:numPr>
          <w:ilvl w:val="0"/>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volumes from assets associated with continuing operations and discontinued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4"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auto"/>
        </w:rPr>
        <w:t>Page 20</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SUPPLEMENTAL NON-GAAP RECONCILIATIONS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Adjusted EBITDA attributable to PAA Reconciliation:</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960" w:type="dxa"/>
            <w:vAlign w:val="bottom"/>
            <w:gridSpan w:val="4"/>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80" w:type="dxa"/>
            <w:vAlign w:val="bottom"/>
            <w:gridSpan w:val="4"/>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6"/>
        </w:trPr>
        <w:tc>
          <w:tcPr>
            <w:tcW w:w="388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3"/>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Borders>
              <w:bottom w:val="single" w:sz="8" w:color="auto"/>
            </w:tcBorders>
          </w:tcPr>
          <w:p>
            <w:pPr>
              <w:spacing w:after="0"/>
              <w:rPr>
                <w:sz w:val="17"/>
                <w:szCs w:val="17"/>
                <w:color w:val="auto"/>
              </w:rPr>
            </w:pPr>
          </w:p>
        </w:tc>
      </w:tr>
      <w:tr>
        <w:trPr>
          <w:trHeight w:val="196"/>
        </w:trPr>
        <w:tc>
          <w:tcPr>
            <w:tcW w:w="3880" w:type="dxa"/>
            <w:vAlign w:val="bottom"/>
            <w:tcBorders>
              <w:bottom w:val="single" w:sz="8" w:color="CCEEFF"/>
            </w:tcBorders>
          </w:tcPr>
          <w:p>
            <w:pPr>
              <w:spacing w:after="0"/>
              <w:rPr>
                <w:sz w:val="17"/>
                <w:szCs w:val="17"/>
                <w:color w:val="auto"/>
              </w:rPr>
            </w:pPr>
          </w:p>
        </w:tc>
        <w:tc>
          <w:tcPr>
            <w:tcW w:w="240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Crude Oil Segment Adjusted EBITDA</w:t>
            </w:r>
          </w:p>
        </w:tc>
        <w:tc>
          <w:tcPr>
            <w:tcW w:w="740" w:type="dxa"/>
            <w:vAlign w:val="bottom"/>
            <w:shd w:val="clear" w:color="auto" w:fill="CCEEFF"/>
          </w:tcPr>
          <w:p>
            <w:pPr>
              <w:jc w:val="right"/>
              <w:ind w:right="559"/>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6"/>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w:t>
            </w:r>
          </w:p>
        </w:tc>
      </w:tr>
      <w:tr>
        <w:trPr>
          <w:trHeight w:val="229"/>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NGL Segment Adjusted EBITDA</w:t>
            </w:r>
          </w:p>
        </w:tc>
        <w:tc>
          <w:tcPr>
            <w:tcW w:w="7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9"/>
        </w:trPr>
        <w:tc>
          <w:tcPr>
            <w:tcW w:w="62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Adjusted EBITDA from NGL Discontinued Operations </w:t>
            </w:r>
            <w:r>
              <w:rPr>
                <w:rFonts w:ascii="Times New Roman" w:cs="Times New Roman" w:eastAsia="Times New Roman" w:hAnsi="Times New Roman"/>
                <w:sz w:val="23"/>
                <w:szCs w:val="23"/>
                <w:color w:val="auto"/>
                <w:vertAlign w:val="superscript"/>
              </w:rPr>
              <w:t>(1)</w:t>
            </w:r>
          </w:p>
        </w:tc>
        <w:tc>
          <w:tcPr>
            <w:tcW w:w="7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r>
      <w:tr>
        <w:trPr>
          <w:trHeight w:val="230"/>
        </w:trPr>
        <w:tc>
          <w:tcPr>
            <w:tcW w:w="6280" w:type="dxa"/>
            <w:vAlign w:val="bottom"/>
            <w:tcBorders>
              <w:bottom w:val="single" w:sz="8" w:color="CCEEFF"/>
            </w:tcBorders>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Adjusted other income, net </w:t>
            </w:r>
            <w:r>
              <w:rPr>
                <w:rFonts w:ascii="Times New Roman" w:cs="Times New Roman" w:eastAsia="Times New Roman" w:hAnsi="Times New Roman"/>
                <w:sz w:val="23"/>
                <w:szCs w:val="23"/>
                <w:color w:val="auto"/>
                <w:vertAlign w:val="superscript"/>
              </w:rPr>
              <w:t>(2)</w:t>
            </w:r>
          </w:p>
        </w:tc>
        <w:tc>
          <w:tcPr>
            <w:tcW w:w="7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48"/>
        </w:trPr>
        <w:tc>
          <w:tcPr>
            <w:tcW w:w="6280" w:type="dxa"/>
            <w:vAlign w:val="bottom"/>
            <w:tcBorders>
              <w:bottom w:val="single" w:sz="8" w:color="CCEEFF"/>
            </w:tcBorders>
            <w:gridSpan w:val="2"/>
            <w:shd w:val="clear" w:color="auto" w:fill="CCEEFF"/>
          </w:tcPr>
          <w:p>
            <w:pPr>
              <w:ind w:left="140"/>
              <w:spacing w:after="0" w:line="223" w:lineRule="exact"/>
              <w:rPr>
                <w:sz w:val="20"/>
                <w:szCs w:val="20"/>
                <w:color w:val="auto"/>
              </w:rPr>
            </w:pPr>
            <w:r>
              <w:rPr>
                <w:rFonts w:ascii="Times New Roman" w:cs="Times New Roman" w:eastAsia="Times New Roman" w:hAnsi="Times New Roman"/>
                <w:sz w:val="18"/>
                <w:szCs w:val="18"/>
                <w:color w:val="auto"/>
              </w:rPr>
              <w:t xml:space="preserve">Adjusted EBITDA attributable to PAA </w:t>
            </w:r>
            <w:r>
              <w:rPr>
                <w:rFonts w:ascii="Times New Roman" w:cs="Times New Roman" w:eastAsia="Times New Roman" w:hAnsi="Times New Roman"/>
                <w:sz w:val="23"/>
                <w:szCs w:val="23"/>
                <w:color w:val="auto"/>
                <w:vertAlign w:val="superscript"/>
              </w:rPr>
              <w:t>(3)</w:t>
            </w:r>
          </w:p>
        </w:tc>
        <w:tc>
          <w:tcPr>
            <w:tcW w:w="740" w:type="dxa"/>
            <w:vAlign w:val="bottom"/>
            <w:tcBorders>
              <w:bottom w:val="single" w:sz="8" w:color="auto"/>
            </w:tcBorders>
            <w:shd w:val="clear" w:color="auto" w:fill="CCEEFF"/>
          </w:tcPr>
          <w:p>
            <w:pPr>
              <w:jc w:val="right"/>
              <w:ind w:right="559"/>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56"/>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3880" w:type="dxa"/>
            <w:vAlign w:val="bottom"/>
            <w:tcBorders>
              <w:bottom w:val="single" w:sz="8" w:color="auto"/>
            </w:tcBorders>
          </w:tcPr>
          <w:p>
            <w:pPr>
              <w:spacing w:after="0"/>
              <w:rPr>
                <w:sz w:val="16"/>
                <w:szCs w:val="16"/>
                <w:color w:val="auto"/>
              </w:rPr>
            </w:pPr>
          </w:p>
        </w:tc>
        <w:tc>
          <w:tcPr>
            <w:tcW w:w="2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r>
    </w:tbl>
    <w:p>
      <w:pPr>
        <w:spacing w:after="0" w:line="130" w:lineRule="exact"/>
        <w:rPr>
          <w:sz w:val="20"/>
          <w:szCs w:val="20"/>
          <w:color w:val="auto"/>
        </w:rPr>
      </w:pPr>
    </w:p>
    <w:p>
      <w:pPr>
        <w:ind w:left="340" w:right="440" w:hanging="332"/>
        <w:spacing w:after="0" w:line="229" w:lineRule="auto"/>
        <w:tabs>
          <w:tab w:leader="none" w:pos="328" w:val="left"/>
        </w:tabs>
        <w:numPr>
          <w:ilvl w:val="0"/>
          <w:numId w:val="2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See the “Reconciliation of Adjusted EBITDA from NGL Discontinued Operations Reconciliation” table for a reconciliation to the most directly comparable measure as reported in accordance with GAAP.</w:t>
      </w:r>
    </w:p>
    <w:p>
      <w:pPr>
        <w:spacing w:after="0" w:line="36" w:lineRule="exact"/>
        <w:rPr>
          <w:rFonts w:ascii="Times New Roman" w:cs="Times New Roman" w:eastAsia="Times New Roman" w:hAnsi="Times New Roman"/>
          <w:sz w:val="23"/>
          <w:szCs w:val="23"/>
          <w:color w:val="auto"/>
          <w:vertAlign w:val="superscript"/>
        </w:rPr>
      </w:pPr>
    </w:p>
    <w:p>
      <w:pPr>
        <w:ind w:left="340" w:hanging="332"/>
        <w:spacing w:after="0" w:line="235" w:lineRule="auto"/>
        <w:tabs>
          <w:tab w:leader="none" w:pos="328" w:val="left"/>
        </w:tabs>
        <w:numPr>
          <w:ilvl w:val="0"/>
          <w:numId w:val="2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“Other income, net” as reported on our Condensed Consolidated Statements of Operations, excluding interest income on promissory notes by and among certain Plains entities, as well as other income, net attributable to noncontrolling interests, adjusted for selected items impacting comparability. See the “Selected Items Impacting Comparability” table for additional information.</w:t>
      </w:r>
    </w:p>
    <w:p>
      <w:pPr>
        <w:spacing w:after="0" w:line="7" w:lineRule="exact"/>
        <w:rPr>
          <w:rFonts w:ascii="Times New Roman" w:cs="Times New Roman" w:eastAsia="Times New Roman" w:hAnsi="Times New Roman"/>
          <w:sz w:val="23"/>
          <w:szCs w:val="23"/>
          <w:color w:val="auto"/>
          <w:vertAlign w:val="superscript"/>
        </w:rPr>
      </w:pPr>
    </w:p>
    <w:p>
      <w:pPr>
        <w:ind w:left="320" w:hanging="312"/>
        <w:spacing w:after="0"/>
        <w:tabs>
          <w:tab w:leader="none" w:pos="320" w:val="left"/>
        </w:tabs>
        <w:numPr>
          <w:ilvl w:val="0"/>
          <w:numId w:val="2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See the “Net Income to Adjusted EBITDA attributable to PAA and Implied DCF Reconciliation” table for reconciliation to Net Income.</w:t>
      </w:r>
    </w:p>
    <w:p>
      <w:pPr>
        <w:spacing w:after="0" w:line="200" w:lineRule="exact"/>
        <w:rPr>
          <w:sz w:val="20"/>
          <w:szCs w:val="20"/>
          <w:color w:val="auto"/>
        </w:rPr>
      </w:pPr>
    </w:p>
    <w:p>
      <w:pPr>
        <w:spacing w:after="0" w:line="25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120"/>
          </w:cols>
          <w:pgMar w:left="320" w:top="364"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auto"/>
        </w:rPr>
        <w:t>Page 21</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GP HOLDINGS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CONSOLIDATING STATEMENTS OF OPERATIONS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3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Consolidating</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Consolidating</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PAA</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 xml:space="preserve">Adjustments </w:t>
            </w:r>
            <w:r>
              <w:rPr>
                <w:rFonts w:ascii="Times New Roman" w:cs="Times New Roman" w:eastAsia="Times New Roman" w:hAnsi="Times New Roman"/>
                <w:sz w:val="18"/>
                <w:szCs w:val="18"/>
                <w:b w:val="1"/>
                <w:bCs w:val="1"/>
                <w:color w:val="auto"/>
                <w:w w:val="98"/>
                <w:vertAlign w:val="superscript"/>
              </w:rPr>
              <w:t>(1)</w:t>
            </w:r>
          </w:p>
        </w:tc>
        <w:tc>
          <w:tcPr>
            <w:tcW w:w="200" w:type="dxa"/>
            <w:vAlign w:val="bottom"/>
          </w:tcPr>
          <w:p>
            <w:pPr>
              <w:spacing w:after="0"/>
              <w:rPr>
                <w:sz w:val="18"/>
                <w:szCs w:val="18"/>
                <w:color w:val="auto"/>
              </w:rPr>
            </w:pPr>
          </w:p>
        </w:tc>
        <w:tc>
          <w:tcPr>
            <w:tcW w:w="82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PAGP</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PAA</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 xml:space="preserve">Adjustments </w:t>
            </w:r>
            <w:r>
              <w:rPr>
                <w:rFonts w:ascii="Times New Roman" w:cs="Times New Roman" w:eastAsia="Times New Roman" w:hAnsi="Times New Roman"/>
                <w:sz w:val="18"/>
                <w:szCs w:val="18"/>
                <w:b w:val="1"/>
                <w:bCs w:val="1"/>
                <w:color w:val="auto"/>
                <w:w w:val="98"/>
                <w:vertAlign w:val="superscript"/>
              </w:rPr>
              <w:t>(1)</w:t>
            </w:r>
          </w:p>
        </w:tc>
        <w:tc>
          <w:tcPr>
            <w:tcW w:w="200" w:type="dxa"/>
            <w:vAlign w:val="bottom"/>
          </w:tcPr>
          <w:p>
            <w:pPr>
              <w:spacing w:after="0"/>
              <w:rPr>
                <w:sz w:val="18"/>
                <w:szCs w:val="18"/>
                <w:color w:val="auto"/>
              </w:rPr>
            </w:pPr>
          </w:p>
        </w:tc>
        <w:tc>
          <w:tcPr>
            <w:tcW w:w="82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PAGP</w:t>
            </w:r>
          </w:p>
        </w:tc>
        <w:tc>
          <w:tcPr>
            <w:tcW w:w="0" w:type="dxa"/>
            <w:vAlign w:val="bottom"/>
          </w:tcPr>
          <w:p>
            <w:pPr>
              <w:spacing w:after="0"/>
              <w:rPr>
                <w:sz w:val="1"/>
                <w:szCs w:val="1"/>
                <w:color w:val="auto"/>
              </w:rPr>
            </w:pPr>
          </w:p>
        </w:tc>
      </w:tr>
      <w:tr>
        <w:trPr>
          <w:trHeight w:val="210"/>
        </w:trPr>
        <w:tc>
          <w:tcPr>
            <w:tcW w:w="40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22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10,642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10,642</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12,757</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12,757</w:t>
            </w:r>
          </w:p>
        </w:tc>
        <w:tc>
          <w:tcPr>
            <w:tcW w:w="0" w:type="dxa"/>
            <w:vAlign w:val="bottom"/>
          </w:tcPr>
          <w:p>
            <w:pPr>
              <w:spacing w:after="0"/>
              <w:rPr>
                <w:sz w:val="1"/>
                <w:szCs w:val="1"/>
                <w:color w:val="auto"/>
              </w:rPr>
            </w:pPr>
          </w:p>
        </w:tc>
      </w:tr>
      <w:tr>
        <w:trPr>
          <w:trHeight w:val="214"/>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COSTS AND EXPENSES</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0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Purchases and related costs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9,758</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11,838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11,838</w:t>
            </w:r>
          </w:p>
        </w:tc>
        <w:tc>
          <w:tcPr>
            <w:tcW w:w="0" w:type="dxa"/>
            <w:vAlign w:val="bottom"/>
          </w:tcPr>
          <w:p>
            <w:pPr>
              <w:spacing w:after="0"/>
              <w:rPr>
                <w:sz w:val="1"/>
                <w:szCs w:val="1"/>
                <w:color w:val="auto"/>
              </w:rPr>
            </w:pPr>
          </w:p>
        </w:tc>
      </w:tr>
      <w:tr>
        <w:trPr>
          <w:trHeight w:val="213"/>
        </w:trPr>
        <w:tc>
          <w:tcPr>
            <w:tcW w:w="40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Field operating costs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w:t>
            </w:r>
          </w:p>
        </w:tc>
        <w:tc>
          <w:tcPr>
            <w:tcW w:w="0" w:type="dxa"/>
            <w:vAlign w:val="bottom"/>
          </w:tcPr>
          <w:p>
            <w:pPr>
              <w:spacing w:after="0"/>
              <w:rPr>
                <w:sz w:val="1"/>
                <w:szCs w:val="1"/>
                <w:color w:val="auto"/>
              </w:rPr>
            </w:pPr>
          </w:p>
        </w:tc>
      </w:tr>
      <w:tr>
        <w:trPr>
          <w:trHeight w:val="219"/>
        </w:trPr>
        <w:tc>
          <w:tcPr>
            <w:tcW w:w="40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0" w:type="dxa"/>
            <w:vAlign w:val="bottom"/>
          </w:tcPr>
          <w:p>
            <w:pPr>
              <w:spacing w:after="0"/>
              <w:rPr>
                <w:sz w:val="1"/>
                <w:szCs w:val="1"/>
                <w:color w:val="auto"/>
              </w:rPr>
            </w:pPr>
          </w:p>
        </w:tc>
      </w:tr>
      <w:tr>
        <w:trPr>
          <w:trHeight w:val="213"/>
        </w:trPr>
        <w:tc>
          <w:tcPr>
            <w:tcW w:w="40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0" w:type="dxa"/>
            <w:vAlign w:val="bottom"/>
          </w:tcPr>
          <w:p>
            <w:pPr>
              <w:spacing w:after="0"/>
              <w:rPr>
                <w:sz w:val="1"/>
                <w:szCs w:val="1"/>
                <w:color w:val="auto"/>
              </w:rPr>
            </w:pPr>
          </w:p>
        </w:tc>
      </w:tr>
      <w:tr>
        <w:trPr>
          <w:trHeight w:val="219"/>
        </w:trPr>
        <w:tc>
          <w:tcPr>
            <w:tcW w:w="40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Losses on asset sales, net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7"/>
        </w:trPr>
        <w:tc>
          <w:tcPr>
            <w:tcW w:w="40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Total costs and expenses</w:t>
            </w: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10,403</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10,405</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12,425</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12,427</w:t>
            </w:r>
          </w:p>
        </w:tc>
        <w:tc>
          <w:tcPr>
            <w:tcW w:w="0" w:type="dxa"/>
            <w:vAlign w:val="bottom"/>
          </w:tcPr>
          <w:p>
            <w:pPr>
              <w:spacing w:after="0"/>
              <w:rPr>
                <w:sz w:val="1"/>
                <w:szCs w:val="1"/>
                <w:color w:val="auto"/>
              </w:rPr>
            </w:pPr>
          </w:p>
        </w:tc>
      </w:tr>
      <w:tr>
        <w:trPr>
          <w:trHeight w:val="259"/>
        </w:trPr>
        <w:tc>
          <w:tcPr>
            <w:tcW w:w="3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2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0" w:type="dxa"/>
            <w:vAlign w:val="bottom"/>
          </w:tcPr>
          <w:p>
            <w:pPr>
              <w:spacing w:after="0"/>
              <w:rPr>
                <w:sz w:val="1"/>
                <w:szCs w:val="1"/>
                <w:color w:val="auto"/>
              </w:rPr>
            </w:pPr>
          </w:p>
        </w:tc>
      </w:tr>
      <w:tr>
        <w:trPr>
          <w:trHeight w:val="258"/>
        </w:trPr>
        <w:tc>
          <w:tcPr>
            <w:tcW w:w="3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2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OTHER INCOME/(EXPENSE)</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0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Equity earnings in unconsolidated entities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0" w:type="dxa"/>
            <w:vAlign w:val="bottom"/>
          </w:tcPr>
          <w:p>
            <w:pPr>
              <w:spacing w:after="0"/>
              <w:rPr>
                <w:sz w:val="1"/>
                <w:szCs w:val="1"/>
                <w:color w:val="auto"/>
              </w:rPr>
            </w:pPr>
          </w:p>
        </w:tc>
      </w:tr>
      <w:tr>
        <w:trPr>
          <w:trHeight w:val="213"/>
        </w:trPr>
        <w:tc>
          <w:tcPr>
            <w:tcW w:w="40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Interest expense, net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0" w:type="dxa"/>
            <w:vAlign w:val="bottom"/>
          </w:tcPr>
          <w:p>
            <w:pPr>
              <w:spacing w:after="0"/>
              <w:rPr>
                <w:sz w:val="1"/>
                <w:szCs w:val="1"/>
                <w:color w:val="auto"/>
              </w:rPr>
            </w:pPr>
          </w:p>
        </w:tc>
      </w:tr>
      <w:tr>
        <w:trPr>
          <w:trHeight w:val="219"/>
        </w:trPr>
        <w:tc>
          <w:tcPr>
            <w:tcW w:w="40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Other income, net</w:t>
            </w: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142"/>
        </w:trPr>
        <w:tc>
          <w:tcPr>
            <w:tcW w:w="400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INCOME FROM CONTINUING OPERATIONS</w:t>
            </w:r>
          </w:p>
        </w:tc>
        <w:tc>
          <w:tcPr>
            <w:tcW w:w="2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348</w:t>
            </w:r>
          </w:p>
        </w:tc>
        <w:tc>
          <w:tcPr>
            <w:tcW w:w="0" w:type="dxa"/>
            <w:vAlign w:val="bottom"/>
          </w:tcPr>
          <w:p>
            <w:pPr>
              <w:spacing w:after="0"/>
              <w:rPr>
                <w:sz w:val="1"/>
                <w:szCs w:val="1"/>
                <w:color w:val="auto"/>
              </w:rPr>
            </w:pPr>
          </w:p>
        </w:tc>
      </w:tr>
      <w:tr>
        <w:trPr>
          <w:trHeight w:val="214"/>
        </w:trPr>
        <w:tc>
          <w:tcPr>
            <w:tcW w:w="40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BEFORE TAX</w:t>
            </w:r>
          </w:p>
        </w:tc>
        <w:tc>
          <w:tcPr>
            <w:tcW w:w="2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0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Current income tax expense from continuing operations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213"/>
        </w:trPr>
        <w:tc>
          <w:tcPr>
            <w:tcW w:w="4000" w:type="dxa"/>
            <w:vAlign w:val="bottom"/>
            <w:tcBorders>
              <w:bottom w:val="single" w:sz="8" w:color="CCEEFF"/>
            </w:tcBorders>
            <w:gridSpan w:val="2"/>
          </w:tcPr>
          <w:p>
            <w:pPr>
              <w:ind w:left="80"/>
              <w:spacing w:after="0"/>
              <w:rPr>
                <w:sz w:val="20"/>
                <w:szCs w:val="20"/>
                <w:color w:val="auto"/>
              </w:rPr>
            </w:pPr>
            <w:r>
              <w:rPr>
                <w:rFonts w:ascii="Times New Roman" w:cs="Times New Roman" w:eastAsia="Times New Roman" w:hAnsi="Times New Roman"/>
                <w:sz w:val="16"/>
                <w:szCs w:val="16"/>
                <w:color w:val="auto"/>
              </w:rPr>
              <w:t>Deferred income tax expense from continuing operations</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Borders>
              <w:bottom w:val="single" w:sz="8" w:color="CCEEFF"/>
              <w:right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145"/>
        </w:trPr>
        <w:tc>
          <w:tcPr>
            <w:tcW w:w="4000" w:type="dxa"/>
            <w:vAlign w:val="bottom"/>
            <w:gridSpan w:val="2"/>
            <w:shd w:val="clear" w:color="auto" w:fill="CCEEFF"/>
          </w:tcPr>
          <w:p>
            <w:pPr>
              <w:ind w:left="20"/>
              <w:spacing w:after="0" w:line="145" w:lineRule="exact"/>
              <w:rPr>
                <w:sz w:val="20"/>
                <w:szCs w:val="20"/>
                <w:color w:val="auto"/>
              </w:rPr>
            </w:pPr>
            <w:r>
              <w:rPr>
                <w:rFonts w:ascii="Times New Roman" w:cs="Times New Roman" w:eastAsia="Times New Roman" w:hAnsi="Times New Roman"/>
                <w:sz w:val="16"/>
                <w:szCs w:val="16"/>
                <w:b w:val="1"/>
                <w:bCs w:val="1"/>
                <w:color w:val="auto"/>
              </w:rPr>
              <w:t>INCOME FROM CONTINUING OPERATIONS, NET</w:t>
            </w:r>
          </w:p>
        </w:tc>
        <w:tc>
          <w:tcPr>
            <w:tcW w:w="2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w:t>
            </w: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OF TAX</w:t>
            </w:r>
          </w:p>
        </w:tc>
        <w:tc>
          <w:tcPr>
            <w:tcW w:w="2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00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INCOME FROM DISCONTINUED OPERATIONS,</w:t>
            </w:r>
          </w:p>
        </w:tc>
        <w:tc>
          <w:tcPr>
            <w:tcW w:w="2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214"/>
        </w:trPr>
        <w:tc>
          <w:tcPr>
            <w:tcW w:w="40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NET OF TAX</w:t>
            </w:r>
          </w:p>
        </w:tc>
        <w:tc>
          <w:tcPr>
            <w:tcW w:w="2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0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0" w:type="dxa"/>
            <w:vAlign w:val="bottom"/>
          </w:tcPr>
          <w:p>
            <w:pPr>
              <w:spacing w:after="0"/>
              <w:rPr>
                <w:sz w:val="1"/>
                <w:szCs w:val="1"/>
                <w:color w:val="auto"/>
              </w:rPr>
            </w:pPr>
          </w:p>
        </w:tc>
      </w:tr>
      <w:tr>
        <w:trPr>
          <w:trHeight w:val="213"/>
        </w:trPr>
        <w:tc>
          <w:tcPr>
            <w:tcW w:w="400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6"/>
                <w:szCs w:val="16"/>
                <w:color w:val="auto"/>
              </w:rPr>
              <w:t>Net income attributable to noncontrolling interests</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120" w:type="dxa"/>
            <w:vAlign w:val="bottom"/>
            <w:tcBorders>
              <w:bottom w:val="single" w:sz="8" w:color="CCEEFF"/>
              <w:right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0" w:type="dxa"/>
            <w:vAlign w:val="bottom"/>
          </w:tcPr>
          <w:p>
            <w:pPr>
              <w:spacing w:after="0"/>
              <w:rPr>
                <w:sz w:val="1"/>
                <w:szCs w:val="1"/>
                <w:color w:val="auto"/>
              </w:rPr>
            </w:pPr>
          </w:p>
        </w:tc>
      </w:tr>
      <w:tr>
        <w:trPr>
          <w:trHeight w:val="237"/>
        </w:trPr>
        <w:tc>
          <w:tcPr>
            <w:tcW w:w="4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ATTRIBUTABLE TO PAGP</w:t>
            </w:r>
          </w:p>
        </w:tc>
        <w:tc>
          <w:tcPr>
            <w:tcW w:w="2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Basic net income per Class A share </w:t>
            </w:r>
            <w:r>
              <w:rPr>
                <w:rFonts w:ascii="Times New Roman" w:cs="Times New Roman" w:eastAsia="Times New Roman" w:hAnsi="Times New Roman"/>
                <w:sz w:val="21"/>
                <w:szCs w:val="21"/>
                <w:color w:val="auto"/>
                <w:vertAlign w:val="superscript"/>
              </w:rPr>
              <w:t>(2)</w:t>
            </w: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Continuing operations</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0.15</w:t>
            </w: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Discontinued operations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0" w:type="dxa"/>
            <w:vAlign w:val="bottom"/>
          </w:tcPr>
          <w:p>
            <w:pPr>
              <w:spacing w:after="0"/>
              <w:rPr>
                <w:sz w:val="1"/>
                <w:szCs w:val="1"/>
                <w:color w:val="auto"/>
              </w:rPr>
            </w:pPr>
          </w:p>
        </w:tc>
      </w:tr>
      <w:tr>
        <w:trPr>
          <w:trHeight w:val="212"/>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Basic net income per Class A share</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0.15</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0.20</w:t>
            </w:r>
          </w:p>
        </w:tc>
        <w:tc>
          <w:tcPr>
            <w:tcW w:w="0" w:type="dxa"/>
            <w:vAlign w:val="bottom"/>
          </w:tcPr>
          <w:p>
            <w:pPr>
              <w:spacing w:after="0"/>
              <w:rPr>
                <w:sz w:val="1"/>
                <w:szCs w:val="1"/>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Diluted net income per Class A share </w:t>
            </w:r>
            <w:r>
              <w:rPr>
                <w:rFonts w:ascii="Times New Roman" w:cs="Times New Roman" w:eastAsia="Times New Roman" w:hAnsi="Times New Roman"/>
                <w:sz w:val="21"/>
                <w:szCs w:val="21"/>
                <w:color w:val="auto"/>
                <w:vertAlign w:val="superscript"/>
              </w:rPr>
              <w:t>(2)</w:t>
            </w: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Continuing operations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0.15</w:t>
            </w:r>
          </w:p>
        </w:tc>
        <w:tc>
          <w:tcPr>
            <w:tcW w:w="0" w:type="dxa"/>
            <w:vAlign w:val="bottom"/>
          </w:tcPr>
          <w:p>
            <w:pPr>
              <w:spacing w:after="0"/>
              <w:rPr>
                <w:sz w:val="1"/>
                <w:szCs w:val="1"/>
                <w:color w:val="auto"/>
              </w:rPr>
            </w:pPr>
          </w:p>
        </w:tc>
      </w:tr>
      <w:tr>
        <w:trPr>
          <w:trHeight w:val="213"/>
        </w:trPr>
        <w:tc>
          <w:tcPr>
            <w:tcW w:w="40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Discontinued operations</w:t>
            </w:r>
          </w:p>
        </w:tc>
        <w:tc>
          <w:tcPr>
            <w:tcW w:w="22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120" w:type="dxa"/>
            <w:vAlign w:val="bottom"/>
            <w:tcBorders>
              <w:bottom w:val="single" w:sz="8" w:color="CCEEFF"/>
              <w:right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0" w:type="dxa"/>
            <w:vAlign w:val="bottom"/>
          </w:tcPr>
          <w:p>
            <w:pPr>
              <w:spacing w:after="0"/>
              <w:rPr>
                <w:sz w:val="1"/>
                <w:szCs w:val="1"/>
                <w:color w:val="auto"/>
              </w:rPr>
            </w:pPr>
          </w:p>
        </w:tc>
      </w:tr>
      <w:tr>
        <w:trPr>
          <w:trHeight w:val="237"/>
        </w:trPr>
        <w:tc>
          <w:tcPr>
            <w:tcW w:w="4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net income per Class A share</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0.15</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0.19</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38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04" w:lineRule="exact"/>
        <w:rPr>
          <w:sz w:val="20"/>
          <w:szCs w:val="20"/>
          <w:color w:val="auto"/>
        </w:rPr>
      </w:pPr>
    </w:p>
    <w:p>
      <w:pPr>
        <w:ind w:left="320" w:hanging="312"/>
        <w:spacing w:after="0"/>
        <w:tabs>
          <w:tab w:leader="none" w:pos="320" w:val="left"/>
        </w:tabs>
        <w:numPr>
          <w:ilvl w:val="0"/>
          <w:numId w:val="2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the aggregate consolidating adjustments necessary to produce consolidated financial statements for PAGP.</w:t>
      </w:r>
    </w:p>
    <w:p>
      <w:pPr>
        <w:spacing w:after="0" w:line="50" w:lineRule="exact"/>
        <w:rPr>
          <w:rFonts w:ascii="Times New Roman" w:cs="Times New Roman" w:eastAsia="Times New Roman" w:hAnsi="Times New Roman"/>
          <w:sz w:val="21"/>
          <w:szCs w:val="21"/>
          <w:color w:val="auto"/>
          <w:vertAlign w:val="superscript"/>
        </w:rPr>
      </w:pPr>
    </w:p>
    <w:p>
      <w:pPr>
        <w:ind w:left="320" w:hanging="312"/>
        <w:spacing w:after="0" w:line="191" w:lineRule="auto"/>
        <w:tabs>
          <w:tab w:leader="none" w:pos="320" w:val="left"/>
        </w:tabs>
        <w:numPr>
          <w:ilvl w:val="0"/>
          <w:numId w:val="2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See the “Computation of Basic and Diluted Net Income Per Class A Share” table for additional information.</w:t>
      </w:r>
    </w:p>
    <w:p>
      <w:pPr>
        <w:spacing w:after="0" w:line="163" w:lineRule="exact"/>
        <w:rPr>
          <w:rFonts w:ascii="Times New Roman" w:cs="Times New Roman" w:eastAsia="Times New Roman" w:hAnsi="Times New Roman"/>
          <w:sz w:val="21"/>
          <w:szCs w:val="21"/>
          <w:color w:val="auto"/>
          <w:vertAlign w:val="superscript"/>
        </w:rPr>
      </w:pPr>
    </w:p>
    <w:p>
      <w:pPr>
        <w:ind w:left="5440" w:hanging="106"/>
        <w:spacing w:after="0"/>
        <w:tabs>
          <w:tab w:leader="none" w:pos="54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4"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auto"/>
        </w:rPr>
        <w:t>Page 22</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GP HOLDINGS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CONSOLIDATING STATEMENTS OF OPERATIONS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8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Consolidating</w:t>
            </w: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Consolidating</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8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PAA</w:t>
            </w:r>
          </w:p>
        </w:tc>
        <w:tc>
          <w:tcPr>
            <w:tcW w:w="14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Adjustments </w:t>
            </w:r>
            <w:r>
              <w:rPr>
                <w:rFonts w:ascii="Times New Roman" w:cs="Times New Roman" w:eastAsia="Times New Roman" w:hAnsi="Times New Roman"/>
                <w:sz w:val="18"/>
                <w:szCs w:val="18"/>
                <w:b w:val="1"/>
                <w:bCs w:val="1"/>
                <w:color w:val="auto"/>
                <w:vertAlign w:val="superscript"/>
              </w:rPr>
              <w:t>(1)</w:t>
            </w:r>
          </w:p>
        </w:tc>
        <w:tc>
          <w:tcPr>
            <w:tcW w:w="200" w:type="dxa"/>
            <w:vAlign w:val="bottom"/>
          </w:tcPr>
          <w:p>
            <w:pPr>
              <w:spacing w:after="0"/>
              <w:rPr>
                <w:sz w:val="18"/>
                <w:szCs w:val="18"/>
                <w:color w:val="auto"/>
              </w:rPr>
            </w:pPr>
          </w:p>
        </w:tc>
        <w:tc>
          <w:tcPr>
            <w:tcW w:w="800" w:type="dxa"/>
            <w:vAlign w:val="bottom"/>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PAGP</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PAA</w:t>
            </w:r>
          </w:p>
        </w:tc>
        <w:tc>
          <w:tcPr>
            <w:tcW w:w="1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 xml:space="preserve">Adjustments </w:t>
            </w:r>
            <w:r>
              <w:rPr>
                <w:rFonts w:ascii="Times New Roman" w:cs="Times New Roman" w:eastAsia="Times New Roman" w:hAnsi="Times New Roman"/>
                <w:sz w:val="18"/>
                <w:szCs w:val="18"/>
                <w:b w:val="1"/>
                <w:bCs w:val="1"/>
                <w:color w:val="auto"/>
                <w:w w:val="98"/>
                <w:vertAlign w:val="superscript"/>
              </w:rPr>
              <w:t>(1)</w:t>
            </w:r>
          </w:p>
        </w:tc>
        <w:tc>
          <w:tcPr>
            <w:tcW w:w="220" w:type="dxa"/>
            <w:vAlign w:val="bottom"/>
          </w:tcPr>
          <w:p>
            <w:pPr>
              <w:spacing w:after="0"/>
              <w:rPr>
                <w:sz w:val="18"/>
                <w:szCs w:val="18"/>
                <w:color w:val="auto"/>
              </w:rPr>
            </w:pPr>
          </w:p>
        </w:tc>
        <w:tc>
          <w:tcPr>
            <w:tcW w:w="82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PAGP</w:t>
            </w: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3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22,119</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22,119</w:t>
            </w: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24,396</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24,396</w:t>
            </w:r>
          </w:p>
        </w:tc>
        <w:tc>
          <w:tcPr>
            <w:tcW w:w="0" w:type="dxa"/>
            <w:vAlign w:val="bottom"/>
          </w:tcPr>
          <w:p>
            <w:pPr>
              <w:spacing w:after="0"/>
              <w:rPr>
                <w:sz w:val="1"/>
                <w:szCs w:val="1"/>
                <w:color w:val="auto"/>
              </w:rPr>
            </w:pPr>
          </w:p>
        </w:tc>
      </w:tr>
      <w:tr>
        <w:trPr>
          <w:trHeight w:val="214"/>
        </w:trPr>
        <w:tc>
          <w:tcPr>
            <w:tcW w:w="80" w:type="dxa"/>
            <w:vAlign w:val="bottom"/>
          </w:tcPr>
          <w:p>
            <w:pPr>
              <w:spacing w:after="0"/>
              <w:rPr>
                <w:sz w:val="18"/>
                <w:szCs w:val="18"/>
                <w:color w:val="auto"/>
              </w:rPr>
            </w:pPr>
          </w:p>
        </w:tc>
        <w:tc>
          <w:tcPr>
            <w:tcW w:w="38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COSTS AND EXPENSES</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Purchases and related costs</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20,277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20,277</w:t>
            </w: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22,543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22,543</w:t>
            </w:r>
          </w:p>
        </w:tc>
        <w:tc>
          <w:tcPr>
            <w:tcW w:w="0" w:type="dxa"/>
            <w:vAlign w:val="bottom"/>
          </w:tcPr>
          <w:p>
            <w:pPr>
              <w:spacing w:after="0"/>
              <w:rPr>
                <w:sz w:val="1"/>
                <w:szCs w:val="1"/>
                <w:color w:val="auto"/>
              </w:rPr>
            </w:pPr>
          </w:p>
        </w:tc>
      </w:tr>
      <w:tr>
        <w:trPr>
          <w:trHeight w:val="213"/>
        </w:trPr>
        <w:tc>
          <w:tcPr>
            <w:tcW w:w="80" w:type="dxa"/>
            <w:vAlign w:val="bottom"/>
          </w:tcPr>
          <w:p>
            <w:pPr>
              <w:spacing w:after="0"/>
              <w:rPr>
                <w:sz w:val="18"/>
                <w:szCs w:val="18"/>
                <w:color w:val="auto"/>
              </w:rPr>
            </w:pPr>
          </w:p>
        </w:tc>
        <w:tc>
          <w:tcPr>
            <w:tcW w:w="38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Field operating costs</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585</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553</w:t>
            </w:r>
          </w:p>
        </w:tc>
        <w:tc>
          <w:tcPr>
            <w:tcW w:w="0" w:type="dxa"/>
            <w:vAlign w:val="bottom"/>
          </w:tcPr>
          <w:p>
            <w:pPr>
              <w:spacing w:after="0"/>
              <w:rPr>
                <w:sz w:val="1"/>
                <w:szCs w:val="1"/>
                <w:color w:val="auto"/>
              </w:rPr>
            </w:pPr>
          </w:p>
        </w:tc>
      </w:tr>
      <w:tr>
        <w:trPr>
          <w:trHeight w:val="219"/>
        </w:trPr>
        <w:tc>
          <w:tcPr>
            <w:tcW w:w="80" w:type="dxa"/>
            <w:vAlign w:val="bottom"/>
          </w:tcPr>
          <w:p>
            <w:pPr>
              <w:spacing w:after="0"/>
              <w:rPr>
                <w:sz w:val="19"/>
                <w:szCs w:val="19"/>
                <w:color w:val="auto"/>
              </w:rPr>
            </w:pPr>
          </w:p>
        </w:tc>
        <w:tc>
          <w:tcPr>
            <w:tcW w:w="3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0" w:type="dxa"/>
            <w:vAlign w:val="bottom"/>
          </w:tcPr>
          <w:p>
            <w:pPr>
              <w:spacing w:after="0"/>
              <w:rPr>
                <w:sz w:val="1"/>
                <w:szCs w:val="1"/>
                <w:color w:val="auto"/>
              </w:rPr>
            </w:pPr>
          </w:p>
        </w:tc>
      </w:tr>
      <w:tr>
        <w:trPr>
          <w:trHeight w:val="213"/>
        </w:trPr>
        <w:tc>
          <w:tcPr>
            <w:tcW w:w="80" w:type="dxa"/>
            <w:vAlign w:val="bottom"/>
          </w:tcPr>
          <w:p>
            <w:pPr>
              <w:spacing w:after="0"/>
              <w:rPr>
                <w:sz w:val="18"/>
                <w:szCs w:val="18"/>
                <w:color w:val="auto"/>
              </w:rPr>
            </w:pPr>
          </w:p>
        </w:tc>
        <w:tc>
          <w:tcPr>
            <w:tcW w:w="38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w:t>
            </w:r>
          </w:p>
        </w:tc>
        <w:tc>
          <w:tcPr>
            <w:tcW w:w="0" w:type="dxa"/>
            <w:vAlign w:val="bottom"/>
          </w:tcPr>
          <w:p>
            <w:pPr>
              <w:spacing w:after="0"/>
              <w:rPr>
                <w:sz w:val="1"/>
                <w:szCs w:val="1"/>
                <w:color w:val="auto"/>
              </w:rPr>
            </w:pPr>
          </w:p>
        </w:tc>
      </w:tr>
      <w:tr>
        <w:trPr>
          <w:trHeight w:val="219"/>
        </w:trPr>
        <w:tc>
          <w:tcPr>
            <w:tcW w:w="80" w:type="dxa"/>
            <w:vAlign w:val="bottom"/>
          </w:tcPr>
          <w:p>
            <w:pPr>
              <w:spacing w:after="0"/>
              <w:rPr>
                <w:sz w:val="19"/>
                <w:szCs w:val="19"/>
                <w:color w:val="auto"/>
              </w:rPr>
            </w:pPr>
          </w:p>
        </w:tc>
        <w:tc>
          <w:tcPr>
            <w:tcW w:w="3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Losses on asset sales, net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07"/>
        </w:trPr>
        <w:tc>
          <w:tcPr>
            <w:tcW w:w="80" w:type="dxa"/>
            <w:vAlign w:val="bottom"/>
          </w:tcPr>
          <w:p>
            <w:pPr>
              <w:spacing w:after="0"/>
              <w:rPr>
                <w:sz w:val="17"/>
                <w:szCs w:val="17"/>
                <w:color w:val="auto"/>
              </w:rPr>
            </w:pPr>
          </w:p>
        </w:tc>
        <w:tc>
          <w:tcPr>
            <w:tcW w:w="38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costs and expenses</w:t>
            </w:r>
          </w:p>
        </w:tc>
        <w:tc>
          <w:tcPr>
            <w:tcW w:w="2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21,525</w:t>
            </w:r>
          </w:p>
        </w:tc>
        <w:tc>
          <w:tcPr>
            <w:tcW w:w="1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21,528</w:t>
            </w: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23,708</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23,711</w:t>
            </w:r>
          </w:p>
        </w:tc>
        <w:tc>
          <w:tcPr>
            <w:tcW w:w="0" w:type="dxa"/>
            <w:vAlign w:val="bottom"/>
          </w:tcPr>
          <w:p>
            <w:pPr>
              <w:spacing w:after="0"/>
              <w:rPr>
                <w:sz w:val="1"/>
                <w:szCs w:val="1"/>
                <w:color w:val="auto"/>
              </w:rPr>
            </w:pPr>
          </w:p>
        </w:tc>
      </w:tr>
      <w:tr>
        <w:trPr>
          <w:trHeight w:val="219"/>
        </w:trPr>
        <w:tc>
          <w:tcPr>
            <w:tcW w:w="80" w:type="dxa"/>
            <w:vAlign w:val="bottom"/>
          </w:tcPr>
          <w:p>
            <w:pPr>
              <w:spacing w:after="0"/>
              <w:rPr>
                <w:sz w:val="19"/>
                <w:szCs w:val="19"/>
                <w:color w:val="auto"/>
              </w:rPr>
            </w:pPr>
          </w:p>
        </w:tc>
        <w:tc>
          <w:tcPr>
            <w:tcW w:w="38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80" w:type="dxa"/>
            <w:vAlign w:val="bottom"/>
          </w:tcPr>
          <w:p>
            <w:pPr>
              <w:spacing w:after="0"/>
              <w:rPr>
                <w:sz w:val="18"/>
                <w:szCs w:val="18"/>
                <w:color w:val="auto"/>
              </w:rPr>
            </w:pPr>
          </w:p>
        </w:tc>
        <w:tc>
          <w:tcPr>
            <w:tcW w:w="38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591</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685</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0" w:type="dxa"/>
            <w:vAlign w:val="bottom"/>
          </w:tcPr>
          <w:p>
            <w:pPr>
              <w:spacing w:after="0"/>
              <w:rPr>
                <w:sz w:val="18"/>
                <w:szCs w:val="18"/>
                <w:color w:val="auto"/>
              </w:rPr>
            </w:pPr>
          </w:p>
        </w:tc>
        <w:tc>
          <w:tcPr>
            <w:tcW w:w="38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INCOME/(EXPENSE)</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Equity earnings in unconsolidated entities</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0" w:type="dxa"/>
            <w:vAlign w:val="bottom"/>
          </w:tcPr>
          <w:p>
            <w:pPr>
              <w:spacing w:after="0"/>
              <w:rPr>
                <w:sz w:val="1"/>
                <w:szCs w:val="1"/>
                <w:color w:val="auto"/>
              </w:rPr>
            </w:pPr>
          </w:p>
        </w:tc>
      </w:tr>
      <w:tr>
        <w:trPr>
          <w:trHeight w:val="213"/>
        </w:trPr>
        <w:tc>
          <w:tcPr>
            <w:tcW w:w="80" w:type="dxa"/>
            <w:vAlign w:val="bottom"/>
          </w:tcPr>
          <w:p>
            <w:pPr>
              <w:spacing w:after="0"/>
              <w:rPr>
                <w:sz w:val="18"/>
                <w:szCs w:val="18"/>
                <w:color w:val="auto"/>
              </w:rPr>
            </w:pPr>
          </w:p>
        </w:tc>
        <w:tc>
          <w:tcPr>
            <w:tcW w:w="3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Gain on investments in unconsolidated entities, net</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80" w:type="dxa"/>
            <w:vAlign w:val="bottom"/>
          </w:tcPr>
          <w:p>
            <w:pPr>
              <w:spacing w:after="0"/>
              <w:rPr>
                <w:sz w:val="19"/>
                <w:szCs w:val="19"/>
                <w:color w:val="auto"/>
              </w:rPr>
            </w:pPr>
          </w:p>
        </w:tc>
        <w:tc>
          <w:tcPr>
            <w:tcW w:w="3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Interest expense, net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0" w:type="dxa"/>
            <w:vAlign w:val="bottom"/>
          </w:tcPr>
          <w:p>
            <w:pPr>
              <w:spacing w:after="0"/>
              <w:rPr>
                <w:sz w:val="1"/>
                <w:szCs w:val="1"/>
                <w:color w:val="auto"/>
              </w:rPr>
            </w:pPr>
          </w:p>
        </w:tc>
      </w:tr>
      <w:tr>
        <w:trPr>
          <w:trHeight w:val="213"/>
        </w:trPr>
        <w:tc>
          <w:tcPr>
            <w:tcW w:w="80" w:type="dxa"/>
            <w:vAlign w:val="bottom"/>
          </w:tcPr>
          <w:p>
            <w:pPr>
              <w:spacing w:after="0"/>
              <w:rPr>
                <w:sz w:val="18"/>
                <w:szCs w:val="18"/>
                <w:color w:val="auto"/>
              </w:rPr>
            </w:pPr>
          </w:p>
        </w:tc>
        <w:tc>
          <w:tcPr>
            <w:tcW w:w="38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Other income, net</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40" w:type="dxa"/>
            <w:vAlign w:val="bottom"/>
            <w:tcBorders>
              <w:bottom w:val="single" w:sz="8" w:color="CCEEFF"/>
              <w:right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145"/>
        </w:trPr>
        <w:tc>
          <w:tcPr>
            <w:tcW w:w="80" w:type="dxa"/>
            <w:vAlign w:val="bottom"/>
          </w:tcPr>
          <w:p>
            <w:pPr>
              <w:spacing w:after="0"/>
              <w:rPr>
                <w:sz w:val="12"/>
                <w:szCs w:val="12"/>
                <w:color w:val="auto"/>
              </w:rPr>
            </w:pPr>
          </w:p>
        </w:tc>
        <w:tc>
          <w:tcPr>
            <w:tcW w:w="380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6"/>
                <w:szCs w:val="16"/>
                <w:b w:val="1"/>
                <w:bCs w:val="1"/>
                <w:color w:val="auto"/>
              </w:rPr>
              <w:t>INCOME FROM CONTINUING OPERATIONS</w:t>
            </w:r>
          </w:p>
        </w:tc>
        <w:tc>
          <w:tcPr>
            <w:tcW w:w="24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w:t>
            </w:r>
          </w:p>
        </w:tc>
        <w:tc>
          <w:tcPr>
            <w:tcW w:w="14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699</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3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BEFORE TAX</w:t>
            </w:r>
          </w:p>
        </w:tc>
        <w:tc>
          <w:tcPr>
            <w:tcW w:w="24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 w:type="dxa"/>
            <w:vAlign w:val="bottom"/>
          </w:tcPr>
          <w:p>
            <w:pPr>
              <w:spacing w:after="0"/>
              <w:rPr>
                <w:sz w:val="18"/>
                <w:szCs w:val="18"/>
                <w:color w:val="auto"/>
              </w:rPr>
            </w:pPr>
          </w:p>
        </w:tc>
        <w:tc>
          <w:tcPr>
            <w:tcW w:w="3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income tax expense from continuing operations</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0" w:type="dxa"/>
            <w:vAlign w:val="bottom"/>
          </w:tcPr>
          <w:p>
            <w:pPr>
              <w:spacing w:after="0"/>
              <w:rPr>
                <w:sz w:val="1"/>
                <w:szCs w:val="1"/>
                <w:color w:val="auto"/>
              </w:rPr>
            </w:pPr>
          </w:p>
        </w:tc>
      </w:tr>
      <w:tr>
        <w:trPr>
          <w:trHeight w:val="165"/>
        </w:trPr>
        <w:tc>
          <w:tcPr>
            <w:tcW w:w="80" w:type="dxa"/>
            <w:vAlign w:val="bottom"/>
          </w:tcPr>
          <w:p>
            <w:pPr>
              <w:spacing w:after="0"/>
              <w:rPr>
                <w:sz w:val="14"/>
                <w:szCs w:val="14"/>
                <w:color w:val="auto"/>
              </w:rPr>
            </w:pPr>
          </w:p>
        </w:tc>
        <w:tc>
          <w:tcPr>
            <w:tcW w:w="380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Deferred income tax (expense)/benefit from continuing</w:t>
            </w:r>
          </w:p>
        </w:tc>
        <w:tc>
          <w:tcPr>
            <w:tcW w:w="24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4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3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operations</w:t>
            </w: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80" w:type="dxa"/>
            <w:vAlign w:val="bottom"/>
          </w:tcPr>
          <w:p>
            <w:pPr>
              <w:spacing w:after="0"/>
              <w:rPr>
                <w:sz w:val="12"/>
                <w:szCs w:val="12"/>
                <w:color w:val="auto"/>
              </w:rPr>
            </w:pPr>
          </w:p>
        </w:tc>
        <w:tc>
          <w:tcPr>
            <w:tcW w:w="380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INCOME FROM CONTINUING OPERATIONS,</w:t>
            </w:r>
          </w:p>
        </w:tc>
        <w:tc>
          <w:tcPr>
            <w:tcW w:w="24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607</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569</w:t>
            </w:r>
          </w:p>
        </w:tc>
        <w:tc>
          <w:tcPr>
            <w:tcW w:w="1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639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611</w:t>
            </w:r>
          </w:p>
        </w:tc>
        <w:tc>
          <w:tcPr>
            <w:tcW w:w="0" w:type="dxa"/>
            <w:vAlign w:val="bottom"/>
          </w:tcPr>
          <w:p>
            <w:pPr>
              <w:spacing w:after="0"/>
              <w:rPr>
                <w:sz w:val="1"/>
                <w:szCs w:val="1"/>
                <w:color w:val="auto"/>
              </w:rPr>
            </w:pPr>
          </w:p>
        </w:tc>
      </w:tr>
      <w:tr>
        <w:trPr>
          <w:trHeight w:val="214"/>
        </w:trPr>
        <w:tc>
          <w:tcPr>
            <w:tcW w:w="80" w:type="dxa"/>
            <w:vAlign w:val="bottom"/>
          </w:tcPr>
          <w:p>
            <w:pPr>
              <w:spacing w:after="0"/>
              <w:rPr>
                <w:sz w:val="18"/>
                <w:szCs w:val="18"/>
                <w:color w:val="auto"/>
              </w:rPr>
            </w:pPr>
          </w:p>
        </w:tc>
        <w:tc>
          <w:tcPr>
            <w:tcW w:w="380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NET OF TAX</w:t>
            </w:r>
          </w:p>
        </w:tc>
        <w:tc>
          <w:tcPr>
            <w:tcW w:w="2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80" w:type="dxa"/>
            <w:vAlign w:val="bottom"/>
          </w:tcPr>
          <w:p>
            <w:pPr>
              <w:spacing w:after="0"/>
              <w:rPr>
                <w:sz w:val="14"/>
                <w:szCs w:val="14"/>
                <w:color w:val="auto"/>
              </w:rPr>
            </w:pPr>
          </w:p>
        </w:tc>
        <w:tc>
          <w:tcPr>
            <w:tcW w:w="3800" w:type="dxa"/>
            <w:vAlign w:val="bottom"/>
            <w:shd w:val="clear" w:color="auto" w:fill="CCEEFF"/>
          </w:tcPr>
          <w:p>
            <w:pPr>
              <w:ind w:left="20"/>
              <w:spacing w:after="0" w:line="164" w:lineRule="exact"/>
              <w:rPr>
                <w:sz w:val="20"/>
                <w:szCs w:val="20"/>
                <w:color w:val="auto"/>
              </w:rPr>
            </w:pPr>
            <w:r>
              <w:rPr>
                <w:rFonts w:ascii="Times New Roman" w:cs="Times New Roman" w:eastAsia="Times New Roman" w:hAnsi="Times New Roman"/>
                <w:sz w:val="16"/>
                <w:szCs w:val="16"/>
                <w:b w:val="1"/>
                <w:bCs w:val="1"/>
                <w:color w:val="auto"/>
              </w:rPr>
              <w:t>INCOME FROM DISCONTINUED OPERATIONS,</w:t>
            </w:r>
          </w:p>
        </w:tc>
        <w:tc>
          <w:tcPr>
            <w:tcW w:w="24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14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3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NET OF TAX</w:t>
            </w:r>
          </w:p>
        </w:tc>
        <w:tc>
          <w:tcPr>
            <w:tcW w:w="24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0" w:type="dxa"/>
            <w:vAlign w:val="bottom"/>
          </w:tcPr>
          <w:p>
            <w:pPr>
              <w:spacing w:after="0"/>
              <w:rPr>
                <w:sz w:val="17"/>
                <w:szCs w:val="17"/>
                <w:color w:val="auto"/>
              </w:rPr>
            </w:pPr>
          </w:p>
        </w:tc>
        <w:tc>
          <w:tcPr>
            <w:tcW w:w="38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2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813</w:t>
            </w:r>
          </w:p>
        </w:tc>
        <w:tc>
          <w:tcPr>
            <w:tcW w:w="1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775</w:t>
            </w: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681</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653</w:t>
            </w:r>
          </w:p>
        </w:tc>
        <w:tc>
          <w:tcPr>
            <w:tcW w:w="0" w:type="dxa"/>
            <w:vAlign w:val="bottom"/>
          </w:tcPr>
          <w:p>
            <w:pPr>
              <w:spacing w:after="0"/>
              <w:rPr>
                <w:sz w:val="1"/>
                <w:szCs w:val="1"/>
                <w:color w:val="auto"/>
              </w:rPr>
            </w:pPr>
          </w:p>
        </w:tc>
      </w:tr>
      <w:tr>
        <w:trPr>
          <w:trHeight w:val="219"/>
        </w:trPr>
        <w:tc>
          <w:tcPr>
            <w:tcW w:w="80" w:type="dxa"/>
            <w:vAlign w:val="bottom"/>
          </w:tcPr>
          <w:p>
            <w:pPr>
              <w:spacing w:after="0"/>
              <w:rPr>
                <w:sz w:val="19"/>
                <w:szCs w:val="19"/>
                <w:color w:val="auto"/>
              </w:rPr>
            </w:pPr>
          </w:p>
        </w:tc>
        <w:tc>
          <w:tcPr>
            <w:tcW w:w="3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Net income attributable to noncontrolling interests</w:t>
            </w: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(661)</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w:t>
            </w: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38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ATTRIBUTABLE TO PAGP</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653</w:t>
            </w:r>
          </w:p>
        </w:tc>
        <w:tc>
          <w:tcPr>
            <w:tcW w:w="180" w:type="dxa"/>
            <w:vAlign w:val="bottom"/>
          </w:tcPr>
          <w:p>
            <w:pPr>
              <w:spacing w:after="0"/>
              <w:rPr>
                <w:sz w:val="18"/>
                <w:szCs w:val="18"/>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(539)</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515</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(434)</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8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 w:type="dxa"/>
            <w:vAlign w:val="bottom"/>
          </w:tcPr>
          <w:p>
            <w:pPr>
              <w:spacing w:after="0"/>
              <w:rPr>
                <w:sz w:val="15"/>
                <w:szCs w:val="15"/>
                <w:color w:val="auto"/>
              </w:rPr>
            </w:pPr>
          </w:p>
        </w:tc>
        <w:tc>
          <w:tcPr>
            <w:tcW w:w="38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380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Basic net income per Class A share </w:t>
            </w:r>
            <w:r>
              <w:rPr>
                <w:rFonts w:ascii="Times New Roman" w:cs="Times New Roman" w:eastAsia="Times New Roman" w:hAnsi="Times New Roman"/>
                <w:sz w:val="21"/>
                <w:szCs w:val="21"/>
                <w:color w:val="auto"/>
                <w:vertAlign w:val="superscript"/>
              </w:rPr>
              <w:t>(2)</w:t>
            </w: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3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Continuing operations</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0.29</w:t>
            </w: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0.35</w:t>
            </w:r>
          </w:p>
        </w:tc>
        <w:tc>
          <w:tcPr>
            <w:tcW w:w="0" w:type="dxa"/>
            <w:vAlign w:val="bottom"/>
          </w:tcPr>
          <w:p>
            <w:pPr>
              <w:spacing w:after="0"/>
              <w:rPr>
                <w:sz w:val="1"/>
                <w:szCs w:val="1"/>
                <w:color w:val="auto"/>
              </w:rPr>
            </w:pPr>
          </w:p>
        </w:tc>
      </w:tr>
      <w:tr>
        <w:trPr>
          <w:trHeight w:val="213"/>
        </w:trPr>
        <w:tc>
          <w:tcPr>
            <w:tcW w:w="80" w:type="dxa"/>
            <w:vAlign w:val="bottom"/>
          </w:tcPr>
          <w:p>
            <w:pPr>
              <w:spacing w:after="0"/>
              <w:rPr>
                <w:sz w:val="18"/>
                <w:szCs w:val="18"/>
                <w:color w:val="auto"/>
              </w:rPr>
            </w:pPr>
          </w:p>
        </w:tc>
        <w:tc>
          <w:tcPr>
            <w:tcW w:w="38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Discontinued operations</w:t>
            </w:r>
          </w:p>
        </w:tc>
        <w:tc>
          <w:tcPr>
            <w:tcW w:w="24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0.29</w:t>
            </w:r>
          </w:p>
        </w:tc>
        <w:tc>
          <w:tcPr>
            <w:tcW w:w="140" w:type="dxa"/>
            <w:vAlign w:val="bottom"/>
            <w:tcBorders>
              <w:bottom w:val="single" w:sz="8" w:color="CCEEFF"/>
              <w:right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3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net income per Class A share</w:t>
            </w: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0.58</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0.41</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8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380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Diluted net income per Class A share </w:t>
            </w:r>
            <w:r>
              <w:rPr>
                <w:rFonts w:ascii="Times New Roman" w:cs="Times New Roman" w:eastAsia="Times New Roman" w:hAnsi="Times New Roman"/>
                <w:sz w:val="21"/>
                <w:szCs w:val="21"/>
                <w:color w:val="auto"/>
                <w:vertAlign w:val="superscript"/>
              </w:rPr>
              <w:t>(2)</w:t>
            </w: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 w:type="dxa"/>
            <w:vAlign w:val="bottom"/>
          </w:tcPr>
          <w:p>
            <w:pPr>
              <w:spacing w:after="0"/>
              <w:rPr>
                <w:sz w:val="18"/>
                <w:szCs w:val="18"/>
                <w:color w:val="auto"/>
              </w:rPr>
            </w:pPr>
          </w:p>
        </w:tc>
        <w:tc>
          <w:tcPr>
            <w:tcW w:w="3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Continuing operations</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0.29</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0.35</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3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Discontinued operations</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0.28</w:t>
            </w: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0" w:type="dxa"/>
            <w:vAlign w:val="bottom"/>
          </w:tcPr>
          <w:p>
            <w:pPr>
              <w:spacing w:after="0"/>
              <w:rPr>
                <w:sz w:val="1"/>
                <w:szCs w:val="1"/>
                <w:color w:val="auto"/>
              </w:rPr>
            </w:pPr>
          </w:p>
        </w:tc>
      </w:tr>
      <w:tr>
        <w:trPr>
          <w:trHeight w:val="212"/>
        </w:trPr>
        <w:tc>
          <w:tcPr>
            <w:tcW w:w="80" w:type="dxa"/>
            <w:vAlign w:val="bottom"/>
          </w:tcPr>
          <w:p>
            <w:pPr>
              <w:spacing w:after="0"/>
              <w:rPr>
                <w:sz w:val="18"/>
                <w:szCs w:val="18"/>
                <w:color w:val="auto"/>
              </w:rPr>
            </w:pPr>
          </w:p>
        </w:tc>
        <w:tc>
          <w:tcPr>
            <w:tcW w:w="3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net income per Class A share</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0.41</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80" w:type="dxa"/>
            <w:vAlign w:val="bottom"/>
            <w:tcBorders>
              <w:bottom w:val="single" w:sz="8" w:color="auto"/>
            </w:tcBorders>
          </w:tcPr>
          <w:p>
            <w:pPr>
              <w:spacing w:after="0"/>
              <w:rPr>
                <w:sz w:val="13"/>
                <w:szCs w:val="13"/>
                <w:color w:val="auto"/>
              </w:rPr>
            </w:pPr>
          </w:p>
        </w:tc>
        <w:tc>
          <w:tcPr>
            <w:tcW w:w="380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04" w:lineRule="exact"/>
        <w:rPr>
          <w:sz w:val="20"/>
          <w:szCs w:val="20"/>
          <w:color w:val="auto"/>
        </w:rPr>
      </w:pPr>
    </w:p>
    <w:p>
      <w:pPr>
        <w:ind w:left="320" w:hanging="312"/>
        <w:spacing w:after="0"/>
        <w:tabs>
          <w:tab w:leader="none" w:pos="320" w:val="left"/>
        </w:tabs>
        <w:numPr>
          <w:ilvl w:val="0"/>
          <w:numId w:val="2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the aggregate consolidating adjustments necessary to produce consolidated financial statements for PAGP.</w:t>
      </w:r>
    </w:p>
    <w:p>
      <w:pPr>
        <w:spacing w:after="0" w:line="50" w:lineRule="exact"/>
        <w:rPr>
          <w:rFonts w:ascii="Times New Roman" w:cs="Times New Roman" w:eastAsia="Times New Roman" w:hAnsi="Times New Roman"/>
          <w:sz w:val="21"/>
          <w:szCs w:val="21"/>
          <w:color w:val="auto"/>
          <w:vertAlign w:val="superscript"/>
        </w:rPr>
      </w:pPr>
    </w:p>
    <w:p>
      <w:pPr>
        <w:ind w:left="320" w:hanging="312"/>
        <w:spacing w:after="0" w:line="191" w:lineRule="auto"/>
        <w:tabs>
          <w:tab w:leader="none" w:pos="320" w:val="left"/>
        </w:tabs>
        <w:numPr>
          <w:ilvl w:val="0"/>
          <w:numId w:val="2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See the “Computation of Basic and Diluted Net Income Per Class A Share” table for additional information.</w:t>
      </w:r>
    </w:p>
    <w:p>
      <w:pPr>
        <w:spacing w:after="0" w:line="163" w:lineRule="exact"/>
        <w:rPr>
          <w:rFonts w:ascii="Times New Roman" w:cs="Times New Roman" w:eastAsia="Times New Roman" w:hAnsi="Times New Roman"/>
          <w:sz w:val="21"/>
          <w:szCs w:val="21"/>
          <w:color w:val="auto"/>
          <w:vertAlign w:val="superscript"/>
        </w:rPr>
      </w:pPr>
    </w:p>
    <w:p>
      <w:pPr>
        <w:ind w:left="5440" w:hanging="106"/>
        <w:spacing w:after="0"/>
        <w:tabs>
          <w:tab w:leader="none" w:pos="54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180"/>
          </w:cols>
          <w:pgMar w:left="320" w:top="364" w:right="3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auto"/>
        </w:rPr>
        <w:t>Page 23</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GP HOLDINGS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CONSOLIDATING BALANCE SHEET DATA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3"/>
        </w:trPr>
        <w:tc>
          <w:tcPr>
            <w:tcW w:w="3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2"/>
        </w:trPr>
        <w:tc>
          <w:tcPr>
            <w:tcW w:w="3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Consolidating</w:t>
            </w: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Consolidating</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17"/>
        </w:trPr>
        <w:tc>
          <w:tcPr>
            <w:tcW w:w="3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PAA</w:t>
            </w: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 xml:space="preserve">Adjustments </w:t>
            </w:r>
            <w:r>
              <w:rPr>
                <w:rFonts w:ascii="Times New Roman" w:cs="Times New Roman" w:eastAsia="Times New Roman" w:hAnsi="Times New Roman"/>
                <w:sz w:val="18"/>
                <w:szCs w:val="18"/>
                <w:b w:val="1"/>
                <w:bCs w:val="1"/>
                <w:color w:val="auto"/>
                <w:w w:val="98"/>
                <w:vertAlign w:val="superscript"/>
              </w:rPr>
              <w:t>(1)</w:t>
            </w:r>
          </w:p>
        </w:tc>
        <w:tc>
          <w:tcPr>
            <w:tcW w:w="260" w:type="dxa"/>
            <w:vAlign w:val="bottom"/>
          </w:tcPr>
          <w:p>
            <w:pPr>
              <w:spacing w:after="0"/>
              <w:rPr>
                <w:sz w:val="18"/>
                <w:szCs w:val="18"/>
                <w:color w:val="auto"/>
              </w:rPr>
            </w:pPr>
          </w:p>
        </w:tc>
        <w:tc>
          <w:tcPr>
            <w:tcW w:w="116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PAGP</w:t>
            </w:r>
          </w:p>
        </w:tc>
        <w:tc>
          <w:tcPr>
            <w:tcW w:w="280" w:type="dxa"/>
            <w:vAlign w:val="bottom"/>
          </w:tcPr>
          <w:p>
            <w:pPr>
              <w:spacing w:after="0"/>
              <w:rPr>
                <w:sz w:val="18"/>
                <w:szCs w:val="18"/>
                <w:color w:val="auto"/>
              </w:rPr>
            </w:pPr>
          </w:p>
        </w:tc>
        <w:tc>
          <w:tcPr>
            <w:tcW w:w="10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PAA</w:t>
            </w:r>
          </w:p>
        </w:tc>
        <w:tc>
          <w:tcPr>
            <w:tcW w:w="14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 xml:space="preserve">Adjustments </w:t>
            </w:r>
            <w:r>
              <w:rPr>
                <w:rFonts w:ascii="Times New Roman" w:cs="Times New Roman" w:eastAsia="Times New Roman" w:hAnsi="Times New Roman"/>
                <w:sz w:val="18"/>
                <w:szCs w:val="18"/>
                <w:b w:val="1"/>
                <w:bCs w:val="1"/>
                <w:color w:val="auto"/>
                <w:w w:val="98"/>
                <w:vertAlign w:val="superscript"/>
              </w:rPr>
              <w:t>(1)</w:t>
            </w:r>
          </w:p>
        </w:tc>
        <w:tc>
          <w:tcPr>
            <w:tcW w:w="240" w:type="dxa"/>
            <w:vAlign w:val="bottom"/>
          </w:tcPr>
          <w:p>
            <w:pPr>
              <w:spacing w:after="0"/>
              <w:rPr>
                <w:sz w:val="18"/>
                <w:szCs w:val="18"/>
                <w:color w:val="auto"/>
              </w:rPr>
            </w:pPr>
          </w:p>
        </w:tc>
        <w:tc>
          <w:tcPr>
            <w:tcW w:w="940" w:type="dxa"/>
            <w:vAlign w:val="bottom"/>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PAGP</w:t>
            </w:r>
          </w:p>
        </w:tc>
      </w:tr>
      <w:tr>
        <w:trPr>
          <w:trHeight w:val="210"/>
        </w:trPr>
        <w:tc>
          <w:tcPr>
            <w:tcW w:w="3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r>
      <w:tr>
        <w:trPr>
          <w:trHeight w:val="229"/>
        </w:trPr>
        <w:tc>
          <w:tcPr>
            <w:tcW w:w="33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Current assets </w:t>
            </w:r>
            <w:r>
              <w:rPr>
                <w:rFonts w:ascii="Times New Roman" w:cs="Times New Roman" w:eastAsia="Times New Roman" w:hAnsi="Times New Roman"/>
                <w:sz w:val="23"/>
                <w:szCs w:val="23"/>
                <w:color w:val="auto"/>
                <w:vertAlign w:val="superscript"/>
              </w:rPr>
              <w:t>(2)</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4,688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4,658</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4,776</w:t>
            </w:r>
          </w:p>
        </w:tc>
      </w:tr>
      <w:tr>
        <w:trPr>
          <w:trHeight w:val="229"/>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14,177</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13,446</w:t>
            </w:r>
          </w:p>
        </w:tc>
      </w:tr>
      <w:tr>
        <w:trPr>
          <w:trHeight w:val="230"/>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in unconsolidated entities</w:t>
            </w:r>
          </w:p>
        </w:tc>
        <w:tc>
          <w:tcPr>
            <w:tcW w:w="2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2,709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2,709</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2,811</w:t>
            </w:r>
          </w:p>
        </w:tc>
      </w:tr>
      <w:tr>
        <w:trPr>
          <w:trHeight w:val="229"/>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w:t>
            </w:r>
          </w:p>
        </w:tc>
      </w:tr>
      <w:tr>
        <w:trPr>
          <w:trHeight w:val="229"/>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w:t>
            </w:r>
          </w:p>
        </w:tc>
      </w:tr>
      <w:tr>
        <w:trPr>
          <w:trHeight w:val="230"/>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Linefill</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w:t>
            </w:r>
          </w:p>
        </w:tc>
      </w:tr>
      <w:tr>
        <w:trPr>
          <w:trHeight w:val="175"/>
        </w:trPr>
        <w:tc>
          <w:tcPr>
            <w:tcW w:w="33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Long-term operating lease right-of-use</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43"/>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assets, net</w:t>
            </w:r>
          </w:p>
        </w:tc>
        <w:tc>
          <w:tcPr>
            <w:tcW w:w="2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r>
      <w:tr>
        <w:trPr>
          <w:trHeight w:val="229"/>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inventory</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r>
      <w:tr>
        <w:trPr>
          <w:trHeight w:val="230"/>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assets of discontinued operations</w:t>
            </w:r>
          </w:p>
        </w:tc>
        <w:tc>
          <w:tcPr>
            <w:tcW w:w="2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2,482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2,482</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2,349</w:t>
            </w:r>
          </w:p>
        </w:tc>
      </w:tr>
      <w:tr>
        <w:trPr>
          <w:trHeight w:val="229"/>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assets, net</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23"/>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27,155</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28,300</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26,562</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27,756</w:t>
            </w:r>
          </w:p>
        </w:tc>
      </w:tr>
      <w:tr>
        <w:trPr>
          <w:trHeight w:val="20"/>
        </w:trPr>
        <w:tc>
          <w:tcPr>
            <w:tcW w:w="33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37"/>
        </w:trPr>
        <w:tc>
          <w:tcPr>
            <w:tcW w:w="3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r>
        <w:trPr>
          <w:trHeight w:val="175"/>
        </w:trPr>
        <w:tc>
          <w:tcPr>
            <w:tcW w:w="33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LIABILITIES AND PARTNERS’</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41"/>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2"/>
        </w:trPr>
        <w:tc>
          <w:tcPr>
            <w:tcW w:w="3340" w:type="dxa"/>
            <w:vAlign w:val="bottom"/>
            <w:shd w:val="clear" w:color="auto" w:fill="CCEEFF"/>
          </w:tcPr>
          <w:p>
            <w:pPr>
              <w:ind w:left="20"/>
              <w:spacing w:after="0" w:line="232" w:lineRule="exact"/>
              <w:rPr>
                <w:sz w:val="20"/>
                <w:szCs w:val="20"/>
                <w:color w:val="auto"/>
              </w:rPr>
            </w:pPr>
            <w:r>
              <w:rPr>
                <w:rFonts w:ascii="Times New Roman" w:cs="Times New Roman" w:eastAsia="Times New Roman" w:hAnsi="Times New Roman"/>
                <w:sz w:val="18"/>
                <w:szCs w:val="18"/>
                <w:color w:val="auto"/>
              </w:rPr>
              <w:t xml:space="preserve">Current liabilities </w:t>
            </w:r>
            <w:r>
              <w:rPr>
                <w:rFonts w:ascii="Times New Roman" w:cs="Times New Roman" w:eastAsia="Times New Roman" w:hAnsi="Times New Roman"/>
                <w:sz w:val="23"/>
                <w:szCs w:val="23"/>
                <w:color w:val="auto"/>
                <w:vertAlign w:val="superscript"/>
              </w:rPr>
              <w:t>(3)</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4,648</w:t>
            </w:r>
          </w:p>
        </w:tc>
        <w:tc>
          <w:tcPr>
            <w:tcW w:w="12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4,924</w:t>
            </w:r>
          </w:p>
        </w:tc>
      </w:tr>
      <w:tr>
        <w:trPr>
          <w:trHeight w:val="230"/>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net</w:t>
            </w:r>
          </w:p>
        </w:tc>
        <w:tc>
          <w:tcPr>
            <w:tcW w:w="2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8,133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8,133</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7,141</w:t>
            </w:r>
          </w:p>
        </w:tc>
      </w:tr>
      <w:tr>
        <w:trPr>
          <w:trHeight w:val="230"/>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debt, net</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30"/>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2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175"/>
        </w:trPr>
        <w:tc>
          <w:tcPr>
            <w:tcW w:w="33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Long-term liabilities of discontinued</w:t>
            </w: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43"/>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operations</w:t>
            </w:r>
          </w:p>
        </w:tc>
        <w:tc>
          <w:tcPr>
            <w:tcW w:w="2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120" w:type="dxa"/>
            <w:vAlign w:val="bottom"/>
            <w:tcBorders>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r>
      <w:tr>
        <w:trPr>
          <w:trHeight w:val="175"/>
        </w:trPr>
        <w:tc>
          <w:tcPr>
            <w:tcW w:w="33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long-term liabilities and deferred</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43"/>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credits</w:t>
            </w:r>
          </w:p>
        </w:tc>
        <w:tc>
          <w:tcPr>
            <w:tcW w:w="2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w:t>
            </w:r>
          </w:p>
        </w:tc>
      </w:tr>
      <w:tr>
        <w:trPr>
          <w:trHeight w:val="223"/>
        </w:trPr>
        <w:tc>
          <w:tcPr>
            <w:tcW w:w="33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14,175</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13,440</w:t>
            </w:r>
          </w:p>
        </w:tc>
      </w:tr>
      <w:tr>
        <w:trPr>
          <w:trHeight w:val="270"/>
        </w:trPr>
        <w:tc>
          <w:tcPr>
            <w:tcW w:w="3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175"/>
        </w:trPr>
        <w:tc>
          <w:tcPr>
            <w:tcW w:w="33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Partners’ capital excluding noncontrolling</w:t>
            </w: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43"/>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interests</w:t>
            </w:r>
          </w:p>
        </w:tc>
        <w:tc>
          <w:tcPr>
            <w:tcW w:w="2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120" w:type="dxa"/>
            <w:vAlign w:val="bottom"/>
            <w:tcBorders>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(8,462)</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w:t>
            </w:r>
          </w:p>
        </w:tc>
      </w:tr>
      <w:tr>
        <w:trPr>
          <w:trHeight w:val="229"/>
        </w:trPr>
        <w:tc>
          <w:tcPr>
            <w:tcW w:w="3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3,243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12,771</w:t>
            </w:r>
          </w:p>
        </w:tc>
        <w:tc>
          <w:tcPr>
            <w:tcW w:w="120" w:type="dxa"/>
            <w:vAlign w:val="bottom"/>
            <w:tcBorders>
              <w:bottom w:val="single" w:sz="8" w:color="CCEEFF"/>
              <w:right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9,682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12,965</w:t>
            </w:r>
          </w:p>
        </w:tc>
      </w:tr>
      <w:tr>
        <w:trPr>
          <w:trHeight w:val="223"/>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partners’ capital</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14,125</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14,316</w:t>
            </w:r>
          </w:p>
        </w:tc>
      </w:tr>
      <w:tr>
        <w:trPr>
          <w:trHeight w:val="263"/>
        </w:trPr>
        <w:tc>
          <w:tcPr>
            <w:tcW w:w="3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 and partners’ capital</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27,155</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28,300</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26,562</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27,756</w:t>
            </w:r>
          </w:p>
        </w:tc>
      </w:tr>
      <w:tr>
        <w:trPr>
          <w:trHeight w:val="156"/>
        </w:trPr>
        <w:tc>
          <w:tcPr>
            <w:tcW w:w="33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r>
    </w:tbl>
    <w:p>
      <w:pPr>
        <w:spacing w:after="0" w:line="100" w:lineRule="exact"/>
        <w:rPr>
          <w:sz w:val="20"/>
          <w:szCs w:val="20"/>
          <w:color w:val="auto"/>
        </w:rPr>
      </w:pPr>
    </w:p>
    <w:p>
      <w:pPr>
        <w:ind w:left="320" w:hanging="312"/>
        <w:spacing w:after="0"/>
        <w:tabs>
          <w:tab w:leader="none" w:pos="320" w:val="left"/>
        </w:tabs>
        <w:numPr>
          <w:ilvl w:val="0"/>
          <w:numId w:val="2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the aggregate consolidating adjustments necessary to produce consolidated financial statements for PAGP.</w:t>
      </w:r>
    </w:p>
    <w:p>
      <w:pPr>
        <w:spacing w:after="0" w:line="55" w:lineRule="exact"/>
        <w:rPr>
          <w:rFonts w:ascii="Times New Roman" w:cs="Times New Roman" w:eastAsia="Times New Roman" w:hAnsi="Times New Roman"/>
          <w:sz w:val="23"/>
          <w:szCs w:val="23"/>
          <w:color w:val="auto"/>
          <w:vertAlign w:val="superscript"/>
        </w:rPr>
      </w:pPr>
    </w:p>
    <w:p>
      <w:pPr>
        <w:ind w:left="320" w:hanging="312"/>
        <w:spacing w:after="0" w:line="194" w:lineRule="auto"/>
        <w:tabs>
          <w:tab w:leader="none" w:pos="320" w:val="left"/>
        </w:tabs>
        <w:numPr>
          <w:ilvl w:val="0"/>
          <w:numId w:val="2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current assets of discontinued operations of $385 million and $</w:t>
      </w:r>
      <w:r>
        <w:rPr>
          <w:rFonts w:ascii="Times New Roman" w:cs="Times New Roman" w:eastAsia="Times New Roman" w:hAnsi="Times New Roman"/>
          <w:sz w:val="16"/>
          <w:szCs w:val="16"/>
          <w:color w:val="auto"/>
        </w:rPr>
        <w:t>415</w:t>
      </w:r>
      <w:r>
        <w:rPr>
          <w:rFonts w:ascii="Times New Roman" w:cs="Times New Roman" w:eastAsia="Times New Roman" w:hAnsi="Times New Roman"/>
          <w:sz w:val="18"/>
          <w:szCs w:val="18"/>
          <w:color w:val="auto"/>
        </w:rPr>
        <w:t xml:space="preserve"> million as of June 30, 2025 and December 31, 2024, respectively.</w:t>
      </w:r>
    </w:p>
    <w:p>
      <w:pPr>
        <w:spacing w:after="0" w:line="56" w:lineRule="exact"/>
        <w:rPr>
          <w:rFonts w:ascii="Times New Roman" w:cs="Times New Roman" w:eastAsia="Times New Roman" w:hAnsi="Times New Roman"/>
          <w:sz w:val="23"/>
          <w:szCs w:val="23"/>
          <w:color w:val="auto"/>
          <w:vertAlign w:val="superscript"/>
        </w:rPr>
      </w:pPr>
    </w:p>
    <w:p>
      <w:pPr>
        <w:ind w:left="320" w:hanging="312"/>
        <w:spacing w:after="0" w:line="194" w:lineRule="auto"/>
        <w:tabs>
          <w:tab w:leader="none" w:pos="320" w:val="left"/>
        </w:tabs>
        <w:numPr>
          <w:ilvl w:val="0"/>
          <w:numId w:val="2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current liabilities of discontinued operations of $313 million and $350 million as of June 30, 2025 and December 31, 2024, respectively.</w:t>
      </w:r>
    </w:p>
    <w:p>
      <w:pPr>
        <w:spacing w:after="0" w:line="157" w:lineRule="exact"/>
        <w:rPr>
          <w:rFonts w:ascii="Times New Roman" w:cs="Times New Roman" w:eastAsia="Times New Roman" w:hAnsi="Times New Roman"/>
          <w:sz w:val="23"/>
          <w:szCs w:val="23"/>
          <w:color w:val="auto"/>
          <w:vertAlign w:val="superscript"/>
        </w:rPr>
      </w:pPr>
    </w:p>
    <w:p>
      <w:pPr>
        <w:ind w:left="5440" w:hanging="106"/>
        <w:spacing w:after="0"/>
        <w:tabs>
          <w:tab w:leader="none" w:pos="54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4"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auto"/>
        </w:rPr>
        <w:t>Page 24</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GP HOLDINGS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99" w:lineRule="exact"/>
        <w:rPr>
          <w:sz w:val="20"/>
          <w:szCs w:val="20"/>
          <w:color w:val="auto"/>
        </w:rPr>
      </w:pPr>
    </w:p>
    <w:p>
      <w:pPr>
        <w:ind w:right="4600"/>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 xml:space="preserve">COMPUTATION OF BASIC AND DILUTED NET INCOME PER CLASS A SHARE </w:t>
      </w:r>
      <w:r>
        <w:rPr>
          <w:rFonts w:ascii="Times New Roman" w:cs="Times New Roman" w:eastAsia="Times New Roman" w:hAnsi="Times New Roman"/>
          <w:sz w:val="18"/>
          <w:szCs w:val="18"/>
          <w:color w:val="auto"/>
        </w:rPr>
        <w:t>(in millions, except per share data)</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980" w:type="dxa"/>
            <w:vAlign w:val="bottom"/>
            <w:gridSpan w:val="5"/>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2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4"/>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Pr>
          <w:p>
            <w:pPr>
              <w:spacing w:after="0"/>
              <w:rPr>
                <w:sz w:val="17"/>
                <w:szCs w:val="17"/>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CCEEFF"/>
            </w:tcBorders>
            <w:shd w:val="clear" w:color="auto" w:fill="CCEEFF"/>
          </w:tcPr>
          <w:p>
            <w:pPr>
              <w:spacing w:after="0"/>
              <w:rPr>
                <w:sz w:val="18"/>
                <w:szCs w:val="18"/>
                <w:color w:val="auto"/>
              </w:rPr>
            </w:pPr>
          </w:p>
        </w:tc>
        <w:tc>
          <w:tcPr>
            <w:tcW w:w="4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Net Income per Class A Share</w:t>
            </w:r>
          </w:p>
        </w:tc>
        <w:tc>
          <w:tcPr>
            <w:tcW w:w="16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PAGP from continuing operations</w:t>
            </w:r>
          </w:p>
        </w:tc>
        <w:tc>
          <w:tcPr>
            <w:tcW w:w="1660" w:type="dxa"/>
            <w:vAlign w:val="bottom"/>
          </w:tcPr>
          <w:p>
            <w:pPr>
              <w:spacing w:after="0"/>
              <w:rPr>
                <w:sz w:val="19"/>
                <w:szCs w:val="19"/>
                <w:color w:val="auto"/>
              </w:rPr>
            </w:pPr>
          </w:p>
        </w:tc>
        <w:tc>
          <w:tcPr>
            <w:tcW w:w="720" w:type="dxa"/>
            <w:vAlign w:val="bottom"/>
          </w:tcPr>
          <w:p>
            <w:pPr>
              <w:jc w:val="right"/>
              <w:ind w:right="533"/>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80" w:type="dxa"/>
            <w:vAlign w:val="bottom"/>
            <w:gridSpan w:val="3"/>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4700" w:type="dxa"/>
            <w:vAlign w:val="bottom"/>
            <w:shd w:val="clear" w:color="auto" w:fill="CCEEFF"/>
          </w:tcPr>
          <w:p>
            <w:pPr>
              <w:spacing w:after="0"/>
              <w:rPr>
                <w:sz w:val="22"/>
                <w:szCs w:val="22"/>
                <w:color w:val="auto"/>
              </w:rPr>
            </w:pPr>
          </w:p>
        </w:tc>
        <w:tc>
          <w:tcPr>
            <w:tcW w:w="166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PAGP from discontinued operations</w:t>
            </w:r>
          </w:p>
        </w:tc>
        <w:tc>
          <w:tcPr>
            <w:tcW w:w="1660" w:type="dxa"/>
            <w:vAlign w:val="bottom"/>
          </w:tcPr>
          <w:p>
            <w:pPr>
              <w:spacing w:after="0"/>
              <w:rPr>
                <w:sz w:val="19"/>
                <w:szCs w:val="19"/>
                <w:color w:val="auto"/>
              </w:rPr>
            </w:pPr>
          </w:p>
        </w:tc>
        <w:tc>
          <w:tcPr>
            <w:tcW w:w="720" w:type="dxa"/>
            <w:vAlign w:val="bottom"/>
          </w:tcPr>
          <w:p>
            <w:pPr>
              <w:jc w:val="right"/>
              <w:ind w:right="533"/>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80" w:type="dxa"/>
            <w:vAlign w:val="bottom"/>
            <w:gridSpan w:val="3"/>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4700" w:type="dxa"/>
            <w:vAlign w:val="bottom"/>
            <w:shd w:val="clear" w:color="auto" w:fill="CCEEFF"/>
          </w:tcPr>
          <w:p>
            <w:pPr>
              <w:spacing w:after="0"/>
              <w:rPr>
                <w:sz w:val="22"/>
                <w:szCs w:val="22"/>
                <w:color w:val="auto"/>
              </w:rPr>
            </w:pPr>
          </w:p>
        </w:tc>
        <w:tc>
          <w:tcPr>
            <w:tcW w:w="166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weighted average Class A shares outstanding</w:t>
            </w:r>
          </w:p>
        </w:tc>
        <w:tc>
          <w:tcPr>
            <w:tcW w:w="16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4700" w:type="dxa"/>
            <w:vAlign w:val="bottom"/>
            <w:shd w:val="clear" w:color="auto" w:fill="CCEEFF"/>
          </w:tcPr>
          <w:p>
            <w:pPr>
              <w:spacing w:after="0"/>
              <w:rPr>
                <w:sz w:val="22"/>
                <w:szCs w:val="22"/>
                <w:color w:val="auto"/>
              </w:rPr>
            </w:pPr>
          </w:p>
        </w:tc>
        <w:tc>
          <w:tcPr>
            <w:tcW w:w="166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Net Income per Class A Share:</w:t>
            </w:r>
          </w:p>
        </w:tc>
        <w:tc>
          <w:tcPr>
            <w:tcW w:w="16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Continuing operations</w:t>
            </w:r>
          </w:p>
        </w:tc>
        <w:tc>
          <w:tcPr>
            <w:tcW w:w="16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33"/>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880" w:type="dxa"/>
            <w:vAlign w:val="bottom"/>
            <w:gridSpan w:val="3"/>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0.15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Discontinued operations</w:t>
            </w:r>
          </w:p>
        </w:tc>
        <w:tc>
          <w:tcPr>
            <w:tcW w:w="1660" w:type="dxa"/>
            <w:vAlign w:val="bottom"/>
          </w:tcPr>
          <w:p>
            <w:pPr>
              <w:spacing w:after="0"/>
              <w:rPr>
                <w:sz w:val="19"/>
                <w:szCs w:val="19"/>
                <w:color w:val="auto"/>
              </w:rPr>
            </w:pPr>
          </w:p>
        </w:tc>
        <w:tc>
          <w:tcPr>
            <w:tcW w:w="720" w:type="dxa"/>
            <w:vAlign w:val="bottom"/>
          </w:tcPr>
          <w:p>
            <w:pPr>
              <w:jc w:val="right"/>
              <w:ind w:right="533"/>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880" w:type="dxa"/>
            <w:vAlign w:val="bottom"/>
            <w:gridSpan w:val="3"/>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0.05</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net income per Class A share</w:t>
            </w:r>
          </w:p>
        </w:tc>
        <w:tc>
          <w:tcPr>
            <w:tcW w:w="1660" w:type="dxa"/>
            <w:vAlign w:val="bottom"/>
            <w:tcBorders>
              <w:top w:val="single" w:sz="8" w:color="CCEEFF"/>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auto"/>
            </w:tcBorders>
            <w:shd w:val="clear" w:color="auto" w:fill="CCEEFF"/>
          </w:tcPr>
          <w:p>
            <w:pPr>
              <w:jc w:val="right"/>
              <w:ind w:right="533"/>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0.20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7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Diluted Net Income per Class A Share</w:t>
            </w:r>
          </w:p>
        </w:tc>
        <w:tc>
          <w:tcPr>
            <w:tcW w:w="16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 attributable to PAGP from continuing operations</w:t>
            </w:r>
          </w:p>
        </w:tc>
        <w:tc>
          <w:tcPr>
            <w:tcW w:w="1660" w:type="dxa"/>
            <w:vAlign w:val="bottom"/>
          </w:tcPr>
          <w:p>
            <w:pPr>
              <w:spacing w:after="0"/>
              <w:rPr>
                <w:sz w:val="19"/>
                <w:szCs w:val="19"/>
                <w:color w:val="auto"/>
              </w:rPr>
            </w:pPr>
          </w:p>
        </w:tc>
        <w:tc>
          <w:tcPr>
            <w:tcW w:w="720" w:type="dxa"/>
            <w:vAlign w:val="bottom"/>
          </w:tcPr>
          <w:p>
            <w:pPr>
              <w:jc w:val="right"/>
              <w:ind w:right="533"/>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80" w:type="dxa"/>
            <w:vAlign w:val="bottom"/>
            <w:gridSpan w:val="3"/>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20" w:type="dxa"/>
            <w:vAlign w:val="bottom"/>
            <w:shd w:val="clear" w:color="auto" w:fill="CCEEFF"/>
          </w:tcPr>
          <w:p>
            <w:pPr>
              <w:spacing w:after="0"/>
              <w:rPr>
                <w:sz w:val="22"/>
                <w:szCs w:val="22"/>
                <w:color w:val="auto"/>
              </w:rPr>
            </w:pPr>
          </w:p>
        </w:tc>
        <w:tc>
          <w:tcPr>
            <w:tcW w:w="4700" w:type="dxa"/>
            <w:vAlign w:val="bottom"/>
            <w:shd w:val="clear" w:color="auto" w:fill="CCEEFF"/>
          </w:tcPr>
          <w:p>
            <w:pPr>
              <w:spacing w:after="0"/>
              <w:rPr>
                <w:sz w:val="22"/>
                <w:szCs w:val="22"/>
                <w:color w:val="auto"/>
              </w:rPr>
            </w:pPr>
          </w:p>
        </w:tc>
        <w:tc>
          <w:tcPr>
            <w:tcW w:w="166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 attributable to PAGP from discontinued operations</w:t>
            </w:r>
          </w:p>
        </w:tc>
        <w:tc>
          <w:tcPr>
            <w:tcW w:w="1660" w:type="dxa"/>
            <w:vAlign w:val="bottom"/>
          </w:tcPr>
          <w:p>
            <w:pPr>
              <w:spacing w:after="0"/>
              <w:rPr>
                <w:sz w:val="19"/>
                <w:szCs w:val="19"/>
                <w:color w:val="auto"/>
              </w:rPr>
            </w:pPr>
          </w:p>
        </w:tc>
        <w:tc>
          <w:tcPr>
            <w:tcW w:w="720" w:type="dxa"/>
            <w:vAlign w:val="bottom"/>
          </w:tcPr>
          <w:p>
            <w:pPr>
              <w:jc w:val="right"/>
              <w:ind w:right="533"/>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80" w:type="dxa"/>
            <w:vAlign w:val="bottom"/>
            <w:gridSpan w:val="3"/>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6360" w:type="dxa"/>
            <w:vAlign w:val="bottom"/>
            <w:gridSpan w:val="2"/>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Incremental net income attributable to PAGP resulting from assumed exchange of</w:t>
            </w:r>
          </w:p>
        </w:tc>
        <w:tc>
          <w:tcPr>
            <w:tcW w:w="7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7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AAP Management Units</w:t>
            </w:r>
          </w:p>
        </w:tc>
        <w:tc>
          <w:tcPr>
            <w:tcW w:w="1660" w:type="dxa"/>
            <w:vAlign w:val="bottom"/>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360" w:type="dxa"/>
            <w:vAlign w:val="bottom"/>
            <w:gridSpan w:val="2"/>
          </w:tcPr>
          <w:p>
            <w:pPr>
              <w:ind w:left="120"/>
              <w:spacing w:after="0" w:line="156" w:lineRule="exact"/>
              <w:rPr>
                <w:sz w:val="20"/>
                <w:szCs w:val="20"/>
                <w:color w:val="auto"/>
              </w:rPr>
            </w:pPr>
            <w:r>
              <w:rPr>
                <w:rFonts w:ascii="Times New Roman" w:cs="Times New Roman" w:eastAsia="Times New Roman" w:hAnsi="Times New Roman"/>
                <w:sz w:val="18"/>
                <w:szCs w:val="18"/>
                <w:color w:val="auto"/>
              </w:rPr>
              <w:t>Net income attributable to PAGP from discontinued operations including incremental</w:t>
            </w:r>
          </w:p>
        </w:tc>
        <w:tc>
          <w:tcPr>
            <w:tcW w:w="720" w:type="dxa"/>
            <w:vAlign w:val="bottom"/>
            <w:vMerge w:val="restart"/>
          </w:tcPr>
          <w:p>
            <w:pPr>
              <w:jc w:val="right"/>
              <w:ind w:right="533"/>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80" w:type="dxa"/>
            <w:vAlign w:val="bottom"/>
            <w:gridSpan w:val="3"/>
            <w:vMerge w:val="restart"/>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3"/>
                <w:szCs w:val="13"/>
                <w:color w:val="auto"/>
              </w:rPr>
            </w:pPr>
          </w:p>
        </w:tc>
        <w:tc>
          <w:tcPr>
            <w:tcW w:w="2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3"/>
                <w:szCs w:val="13"/>
                <w:color w:val="auto"/>
              </w:rPr>
            </w:pPr>
          </w:p>
        </w:tc>
        <w:tc>
          <w:tcPr>
            <w:tcW w:w="32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net income from assumed exchange of AAP Management Units</w:t>
            </w:r>
          </w:p>
        </w:tc>
        <w:tc>
          <w:tcPr>
            <w:tcW w:w="720" w:type="dxa"/>
            <w:vAlign w:val="bottom"/>
            <w:vMerge w:val="continue"/>
          </w:tcPr>
          <w:p>
            <w:pPr>
              <w:spacing w:after="0"/>
              <w:rPr>
                <w:sz w:val="18"/>
                <w:szCs w:val="18"/>
                <w:color w:val="auto"/>
              </w:rPr>
            </w:pPr>
          </w:p>
        </w:tc>
        <w:tc>
          <w:tcPr>
            <w:tcW w:w="380" w:type="dxa"/>
            <w:vAlign w:val="bottom"/>
            <w:vMerge w:val="continue"/>
          </w:tcPr>
          <w:p>
            <w:pPr>
              <w:spacing w:after="0"/>
              <w:rPr>
                <w:sz w:val="18"/>
                <w:szCs w:val="18"/>
                <w:color w:val="auto"/>
              </w:rPr>
            </w:pPr>
          </w:p>
        </w:tc>
        <w:tc>
          <w:tcPr>
            <w:tcW w:w="880" w:type="dxa"/>
            <w:vAlign w:val="bottom"/>
            <w:gridSpan w:val="3"/>
            <w:vMerge w:val="continue"/>
          </w:tcPr>
          <w:p>
            <w:pPr>
              <w:spacing w:after="0"/>
              <w:rPr>
                <w:sz w:val="18"/>
                <w:szCs w:val="18"/>
                <w:color w:val="auto"/>
              </w:rPr>
            </w:pPr>
          </w:p>
        </w:tc>
        <w:tc>
          <w:tcPr>
            <w:tcW w:w="4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70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7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 weighted average Class A shares outstanding</w:t>
            </w:r>
          </w:p>
        </w:tc>
        <w:tc>
          <w:tcPr>
            <w:tcW w:w="16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Dilutive shares resulting from assumed exchange of AAP Management Units</w:t>
            </w:r>
          </w:p>
        </w:tc>
        <w:tc>
          <w:tcPr>
            <w:tcW w:w="7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 weighted average Class A shares outstanding</w:t>
            </w:r>
          </w:p>
        </w:tc>
        <w:tc>
          <w:tcPr>
            <w:tcW w:w="166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70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7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 Net Income per Class A Share:</w:t>
            </w:r>
          </w:p>
        </w:tc>
        <w:tc>
          <w:tcPr>
            <w:tcW w:w="16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Continuing operations</w:t>
            </w:r>
          </w:p>
        </w:tc>
        <w:tc>
          <w:tcPr>
            <w:tcW w:w="16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33"/>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880" w:type="dxa"/>
            <w:vAlign w:val="bottom"/>
            <w:gridSpan w:val="3"/>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0.15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Discontinued operations</w:t>
            </w:r>
          </w:p>
        </w:tc>
        <w:tc>
          <w:tcPr>
            <w:tcW w:w="1660" w:type="dxa"/>
            <w:vAlign w:val="bottom"/>
          </w:tcPr>
          <w:p>
            <w:pPr>
              <w:spacing w:after="0"/>
              <w:rPr>
                <w:sz w:val="19"/>
                <w:szCs w:val="19"/>
                <w:color w:val="auto"/>
              </w:rPr>
            </w:pPr>
          </w:p>
        </w:tc>
        <w:tc>
          <w:tcPr>
            <w:tcW w:w="720" w:type="dxa"/>
            <w:vAlign w:val="bottom"/>
          </w:tcPr>
          <w:p>
            <w:pPr>
              <w:jc w:val="right"/>
              <w:ind w:right="533"/>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880" w:type="dxa"/>
            <w:vAlign w:val="bottom"/>
            <w:gridSpan w:val="3"/>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0.04</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70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Diluted net income per Class A share</w:t>
            </w:r>
          </w:p>
        </w:tc>
        <w:tc>
          <w:tcPr>
            <w:tcW w:w="1660" w:type="dxa"/>
            <w:vAlign w:val="bottom"/>
            <w:tcBorders>
              <w:top w:val="single" w:sz="8" w:color="CCEEFF"/>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auto"/>
            </w:tcBorders>
            <w:shd w:val="clear" w:color="auto" w:fill="CCEEFF"/>
          </w:tcPr>
          <w:p>
            <w:pPr>
              <w:jc w:val="right"/>
              <w:ind w:right="533"/>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0.19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7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CCEEFF"/>
            </w:tcBorders>
            <w:vMerge w:val="restart"/>
          </w:tcPr>
          <w:p>
            <w:pPr>
              <w:ind w:left="620"/>
              <w:spacing w:after="0"/>
              <w:rPr>
                <w:sz w:val="20"/>
                <w:szCs w:val="20"/>
                <w:color w:val="auto"/>
              </w:rPr>
            </w:pPr>
            <w:r>
              <w:rPr>
                <w:rFonts w:ascii="Times New Roman" w:cs="Times New Roman" w:eastAsia="Times New Roman" w:hAnsi="Times New Roman"/>
                <w:sz w:val="18"/>
                <w:szCs w:val="18"/>
                <w:color w:val="auto"/>
              </w:rPr>
              <w:t>- more -</w:t>
            </w: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3"/>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66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700" w:type="dxa"/>
            <w:vAlign w:val="bottom"/>
            <w:tcBorders>
              <w:bottom w:val="single" w:sz="8" w:color="auto"/>
            </w:tcBorders>
          </w:tcPr>
          <w:p>
            <w:pPr>
              <w:spacing w:after="0"/>
              <w:rPr>
                <w:sz w:val="11"/>
                <w:szCs w:val="11"/>
                <w:color w:val="auto"/>
              </w:rPr>
            </w:pPr>
          </w:p>
        </w:tc>
        <w:tc>
          <w:tcPr>
            <w:tcW w:w="2380" w:type="dxa"/>
            <w:vAlign w:val="bottom"/>
            <w:tcBorders>
              <w:bottom w:val="single" w:sz="8" w:color="auto"/>
            </w:tcBorders>
            <w:gridSpan w:val="2"/>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520" w:type="dxa"/>
            <w:vAlign w:val="bottom"/>
            <w:tcBorders>
              <w:bottom w:val="single" w:sz="8" w:color="auto"/>
            </w:tcBorders>
            <w:gridSpan w:val="7"/>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4700" w:type="dxa"/>
            <w:vAlign w:val="bottom"/>
          </w:tcPr>
          <w:p>
            <w:pPr>
              <w:ind w:left="1640"/>
              <w:spacing w:after="0"/>
              <w:rPr>
                <w:sz w:val="20"/>
                <w:szCs w:val="20"/>
                <w:color w:val="auto"/>
              </w:rPr>
            </w:pPr>
            <w:r>
              <w:rPr>
                <w:rFonts w:ascii="Times New Roman" w:cs="Times New Roman" w:eastAsia="Times New Roman" w:hAnsi="Times New Roman"/>
                <w:sz w:val="18"/>
                <w:szCs w:val="18"/>
                <w:b w:val="1"/>
                <w:bCs w:val="1"/>
                <w:color w:val="auto"/>
              </w:rPr>
              <w:t>333 Clay Street, Suite 1600</w:t>
            </w:r>
          </w:p>
        </w:tc>
        <w:tc>
          <w:tcPr>
            <w:tcW w:w="2380" w:type="dxa"/>
            <w:vAlign w:val="bottom"/>
            <w:gridSpan w:val="2"/>
          </w:tcPr>
          <w:p>
            <w:pPr>
              <w:jc w:val="right"/>
              <w:ind w:right="553"/>
              <w:spacing w:after="0"/>
              <w:rPr>
                <w:sz w:val="20"/>
                <w:szCs w:val="20"/>
                <w:color w:val="auto"/>
              </w:rPr>
            </w:pPr>
            <w:r>
              <w:rPr>
                <w:rFonts w:ascii="Times New Roman" w:cs="Times New Roman" w:eastAsia="Times New Roman" w:hAnsi="Times New Roman"/>
                <w:sz w:val="18"/>
                <w:szCs w:val="18"/>
                <w:b w:val="1"/>
                <w:bCs w:val="1"/>
                <w:color w:val="auto"/>
              </w:rPr>
              <w:t>Houston, Texas 77002</w:t>
            </w:r>
          </w:p>
        </w:tc>
        <w:tc>
          <w:tcPr>
            <w:tcW w:w="380" w:type="dxa"/>
            <w:vAlign w:val="bottom"/>
          </w:tcPr>
          <w:p>
            <w:pPr>
              <w:spacing w:after="0"/>
              <w:rPr>
                <w:sz w:val="24"/>
                <w:szCs w:val="24"/>
                <w:color w:val="auto"/>
              </w:rPr>
            </w:pPr>
          </w:p>
        </w:tc>
        <w:tc>
          <w:tcPr>
            <w:tcW w:w="2520" w:type="dxa"/>
            <w:vAlign w:val="bottom"/>
            <w:gridSpan w:val="7"/>
          </w:tcPr>
          <w:p>
            <w:pPr>
              <w:jc w:val="right"/>
              <w:ind w:right="233"/>
              <w:spacing w:after="0"/>
              <w:rPr>
                <w:sz w:val="20"/>
                <w:szCs w:val="20"/>
                <w:color w:val="auto"/>
              </w:rPr>
            </w:pPr>
            <w:r>
              <w:rPr>
                <w:rFonts w:ascii="Times New Roman" w:cs="Times New Roman" w:eastAsia="Times New Roman" w:hAnsi="Times New Roman"/>
                <w:sz w:val="18"/>
                <w:szCs w:val="18"/>
                <w:b w:val="1"/>
                <w:bCs w:val="1"/>
                <w:color w:val="auto"/>
                <w:w w:val="99"/>
              </w:rPr>
              <w:t>713-646-4100 / 866-809-1291</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64"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auto"/>
        </w:rPr>
        <w:t>Page 25</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310"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Except for the historical information contained herein, the matters discussed in this release consist of forward-looking statements that involve certain risks and uncertainties that could cause actual results or outcomes to differ materially from results or outcomes anticipated in the forward-looking statements. These risks and uncertainties include, among other things, the following:</w:t>
      </w:r>
    </w:p>
    <w:p>
      <w:pPr>
        <w:spacing w:after="0" w:line="108" w:lineRule="exact"/>
        <w:rPr>
          <w:sz w:val="20"/>
          <w:szCs w:val="20"/>
          <w:color w:val="auto"/>
        </w:rPr>
      </w:pPr>
    </w:p>
    <w:p>
      <w:pPr>
        <w:ind w:left="660" w:right="240" w:hanging="328"/>
        <w:spacing w:after="0" w:line="260" w:lineRule="auto"/>
        <w:tabs>
          <w:tab w:leader="none" w:pos="655" w:val="left"/>
        </w:tabs>
        <w:numPr>
          <w:ilvl w:val="0"/>
          <w:numId w:val="27"/>
        </w:numPr>
        <w:rPr>
          <w:rFonts w:ascii="Arial" w:cs="Arial" w:eastAsia="Arial" w:hAnsi="Arial"/>
          <w:sz w:val="21"/>
          <w:szCs w:val="21"/>
          <w:color w:val="auto"/>
        </w:rPr>
      </w:pPr>
      <w:r>
        <w:rPr>
          <w:rFonts w:ascii="Times New Roman" w:cs="Times New Roman" w:eastAsia="Times New Roman" w:hAnsi="Times New Roman"/>
          <w:sz w:val="17"/>
          <w:szCs w:val="17"/>
          <w:color w:val="auto"/>
        </w:rPr>
        <w:t>general economic, market or business conditions in the United States and elsewhere (including the potential for a recession or significant slowdown in economic activity levels, the risk of persistently high inflation and supply chain issues, the impact of global public health events, such as pandemics, on demand and growth, and the timing, pace and extent of economic recovery) that impact (i) demand for crude oil, drilling and production activities and therefore the demand for the midstream services we provide and (ii) commercial opportunities available to us;</w:t>
      </w:r>
    </w:p>
    <w:p>
      <w:pPr>
        <w:spacing w:after="0" w:line="115" w:lineRule="exact"/>
        <w:rPr>
          <w:rFonts w:ascii="Arial" w:cs="Arial" w:eastAsia="Arial" w:hAnsi="Arial"/>
          <w:sz w:val="21"/>
          <w:szCs w:val="21"/>
          <w:color w:val="auto"/>
        </w:rPr>
      </w:pPr>
    </w:p>
    <w:p>
      <w:pPr>
        <w:ind w:left="660" w:right="40" w:hanging="328"/>
        <w:spacing w:after="0" w:line="245" w:lineRule="auto"/>
        <w:tabs>
          <w:tab w:leader="none" w:pos="655" w:val="left"/>
        </w:tabs>
        <w:numPr>
          <w:ilvl w:val="0"/>
          <w:numId w:val="27"/>
        </w:numPr>
        <w:rPr>
          <w:rFonts w:ascii="Arial" w:cs="Arial" w:eastAsia="Arial" w:hAnsi="Arial"/>
          <w:sz w:val="22"/>
          <w:szCs w:val="22"/>
          <w:color w:val="auto"/>
        </w:rPr>
      </w:pPr>
      <w:r>
        <w:rPr>
          <w:rFonts w:ascii="Times New Roman" w:cs="Times New Roman" w:eastAsia="Times New Roman" w:hAnsi="Times New Roman"/>
          <w:sz w:val="18"/>
          <w:szCs w:val="18"/>
          <w:color w:val="auto"/>
        </w:rPr>
        <w:t>declines in global crude oil demand and/or crude oil prices or other factors that correspondingly lead to a significant reduction of North American crude oil and NGL production (whether due to reduced producer cash flow to fund drilling activities or the inability of producers to access capital, or both, the unavailability of pipeline and/or storage capacity, the shutting-in of production by producers, government-mandated pro-ration orders, or other factors), which in turn could result in significant declines in the actual or expected volume of crude oil and NGL shipped, processed, purchased, stored, fractionated and/or gathered at or through the use of our assets and/or the reduction of the margins we can earn or the commercial opportunities that might otherwise be available to us;</w:t>
      </w:r>
    </w:p>
    <w:p>
      <w:pPr>
        <w:spacing w:after="0" w:line="129" w:lineRule="exact"/>
        <w:rPr>
          <w:rFonts w:ascii="Arial" w:cs="Arial" w:eastAsia="Arial" w:hAnsi="Arial"/>
          <w:sz w:val="22"/>
          <w:szCs w:val="22"/>
          <w:color w:val="auto"/>
        </w:rPr>
      </w:pPr>
    </w:p>
    <w:p>
      <w:pPr>
        <w:ind w:left="660" w:right="440" w:hanging="328"/>
        <w:spacing w:after="0" w:line="244" w:lineRule="auto"/>
        <w:tabs>
          <w:tab w:leader="none" w:pos="655" w:val="left"/>
        </w:tabs>
        <w:numPr>
          <w:ilvl w:val="0"/>
          <w:numId w:val="27"/>
        </w:numPr>
        <w:rPr>
          <w:rFonts w:ascii="Arial" w:cs="Arial" w:eastAsia="Arial" w:hAnsi="Arial"/>
          <w:sz w:val="22"/>
          <w:szCs w:val="22"/>
          <w:color w:val="auto"/>
        </w:rPr>
      </w:pPr>
      <w:r>
        <w:rPr>
          <w:rFonts w:ascii="Times New Roman" w:cs="Times New Roman" w:eastAsia="Times New Roman" w:hAnsi="Times New Roman"/>
          <w:sz w:val="18"/>
          <w:szCs w:val="18"/>
          <w:color w:val="auto"/>
        </w:rPr>
        <w:t>fluctuations in refinery capacity and other factors affecting demand for various grades of crude oil and NGL and resulting changes in pricing conditions or transportation throughput requirements;</w:t>
      </w:r>
    </w:p>
    <w:p>
      <w:pPr>
        <w:spacing w:after="0" w:line="107" w:lineRule="exact"/>
        <w:rPr>
          <w:rFonts w:ascii="Arial" w:cs="Arial" w:eastAsia="Arial" w:hAnsi="Arial"/>
          <w:sz w:val="22"/>
          <w:szCs w:val="22"/>
          <w:color w:val="auto"/>
        </w:rPr>
      </w:pPr>
    </w:p>
    <w:p>
      <w:pPr>
        <w:ind w:left="660" w:hanging="328"/>
        <w:spacing w:after="0"/>
        <w:tabs>
          <w:tab w:leader="none" w:pos="660" w:val="left"/>
        </w:tabs>
        <w:numPr>
          <w:ilvl w:val="0"/>
          <w:numId w:val="27"/>
        </w:numPr>
        <w:rPr>
          <w:rFonts w:ascii="Arial" w:cs="Arial" w:eastAsia="Arial" w:hAnsi="Arial"/>
          <w:sz w:val="22"/>
          <w:szCs w:val="22"/>
          <w:color w:val="auto"/>
        </w:rPr>
      </w:pPr>
      <w:r>
        <w:rPr>
          <w:rFonts w:ascii="Times New Roman" w:cs="Times New Roman" w:eastAsia="Times New Roman" w:hAnsi="Times New Roman"/>
          <w:sz w:val="18"/>
          <w:szCs w:val="18"/>
          <w:color w:val="auto"/>
        </w:rPr>
        <w:t>unanticipated changes in crude oil and NGL market structure, grade differentials and volatility (or lack thereof);</w:t>
      </w:r>
    </w:p>
    <w:p>
      <w:pPr>
        <w:spacing w:after="0" w:line="130" w:lineRule="exact"/>
        <w:rPr>
          <w:rFonts w:ascii="Arial" w:cs="Arial" w:eastAsia="Arial" w:hAnsi="Arial"/>
          <w:sz w:val="22"/>
          <w:szCs w:val="22"/>
          <w:color w:val="auto"/>
        </w:rPr>
      </w:pPr>
    </w:p>
    <w:p>
      <w:pPr>
        <w:ind w:left="660" w:hanging="328"/>
        <w:spacing w:after="0" w:line="239" w:lineRule="auto"/>
        <w:tabs>
          <w:tab w:leader="none" w:pos="655" w:val="left"/>
        </w:tabs>
        <w:numPr>
          <w:ilvl w:val="0"/>
          <w:numId w:val="27"/>
        </w:numPr>
        <w:rPr>
          <w:rFonts w:ascii="Arial" w:cs="Arial" w:eastAsia="Arial" w:hAnsi="Arial"/>
          <w:sz w:val="22"/>
          <w:szCs w:val="22"/>
          <w:color w:val="auto"/>
        </w:rPr>
      </w:pPr>
      <w:r>
        <w:rPr>
          <w:rFonts w:ascii="Times New Roman" w:cs="Times New Roman" w:eastAsia="Times New Roman" w:hAnsi="Times New Roman"/>
          <w:sz w:val="18"/>
          <w:szCs w:val="18"/>
          <w:color w:val="auto"/>
        </w:rPr>
        <w:t>the effects of competition and capacity overbuild in areas where we operate, including downward pressure on rates, volumes and margins, contract renewal risk and the risk of loss of business to other midstream operators who are willing or under pressure to aggressively reduce transportation rates in order to capture or preserve customers;</w:t>
      </w:r>
    </w:p>
    <w:p>
      <w:pPr>
        <w:spacing w:after="0" w:line="132" w:lineRule="exact"/>
        <w:rPr>
          <w:rFonts w:ascii="Arial" w:cs="Arial" w:eastAsia="Arial" w:hAnsi="Arial"/>
          <w:sz w:val="22"/>
          <w:szCs w:val="22"/>
          <w:color w:val="auto"/>
        </w:rPr>
      </w:pPr>
    </w:p>
    <w:p>
      <w:pPr>
        <w:ind w:left="660" w:right="260" w:hanging="328"/>
        <w:spacing w:after="0" w:line="234" w:lineRule="auto"/>
        <w:tabs>
          <w:tab w:leader="none" w:pos="655" w:val="left"/>
        </w:tabs>
        <w:numPr>
          <w:ilvl w:val="0"/>
          <w:numId w:val="27"/>
        </w:numPr>
        <w:rPr>
          <w:rFonts w:ascii="Arial" w:cs="Arial" w:eastAsia="Arial" w:hAnsi="Arial"/>
          <w:sz w:val="22"/>
          <w:szCs w:val="22"/>
          <w:color w:val="auto"/>
        </w:rPr>
      </w:pPr>
      <w:r>
        <w:rPr>
          <w:rFonts w:ascii="Times New Roman" w:cs="Times New Roman" w:eastAsia="Times New Roman" w:hAnsi="Times New Roman"/>
          <w:sz w:val="18"/>
          <w:szCs w:val="18"/>
          <w:color w:val="auto"/>
        </w:rPr>
        <w:t>the availability of, and our ability to consummate, acquisitions, divestitures (including the pending divestiture of our Canadian NGL Business), joint ventures or other strategic opportunities and realize benefits therefrom;</w:t>
      </w:r>
    </w:p>
    <w:p>
      <w:pPr>
        <w:spacing w:after="0" w:line="132" w:lineRule="exact"/>
        <w:rPr>
          <w:rFonts w:ascii="Arial" w:cs="Arial" w:eastAsia="Arial" w:hAnsi="Arial"/>
          <w:sz w:val="22"/>
          <w:szCs w:val="22"/>
          <w:color w:val="auto"/>
        </w:rPr>
      </w:pPr>
    </w:p>
    <w:p>
      <w:pPr>
        <w:ind w:left="660" w:right="100" w:hanging="328"/>
        <w:spacing w:after="0" w:line="234" w:lineRule="auto"/>
        <w:tabs>
          <w:tab w:leader="none" w:pos="655" w:val="left"/>
        </w:tabs>
        <w:numPr>
          <w:ilvl w:val="0"/>
          <w:numId w:val="27"/>
        </w:numPr>
        <w:rPr>
          <w:rFonts w:ascii="Arial" w:cs="Arial" w:eastAsia="Arial" w:hAnsi="Arial"/>
          <w:sz w:val="22"/>
          <w:szCs w:val="22"/>
          <w:color w:val="auto"/>
        </w:rPr>
      </w:pPr>
      <w:r>
        <w:rPr>
          <w:rFonts w:ascii="Times New Roman" w:cs="Times New Roman" w:eastAsia="Times New Roman" w:hAnsi="Times New Roman"/>
          <w:sz w:val="18"/>
          <w:szCs w:val="18"/>
          <w:color w:val="auto"/>
        </w:rPr>
        <w:t>the successful operation of joint ventures and joint operating arrangements we enter into from time to time, whether relating to assets operated by us or by third parties, and the successful integration and future performance of acquired assets or businesses;</w:t>
      </w:r>
    </w:p>
    <w:p>
      <w:pPr>
        <w:spacing w:after="0" w:line="113" w:lineRule="exact"/>
        <w:rPr>
          <w:rFonts w:ascii="Arial" w:cs="Arial" w:eastAsia="Arial" w:hAnsi="Arial"/>
          <w:sz w:val="22"/>
          <w:szCs w:val="22"/>
          <w:color w:val="auto"/>
        </w:rPr>
      </w:pPr>
    </w:p>
    <w:p>
      <w:pPr>
        <w:ind w:left="660" w:hanging="328"/>
        <w:spacing w:after="0"/>
        <w:tabs>
          <w:tab w:leader="none" w:pos="660" w:val="left"/>
        </w:tabs>
        <w:numPr>
          <w:ilvl w:val="0"/>
          <w:numId w:val="27"/>
        </w:numPr>
        <w:rPr>
          <w:rFonts w:ascii="Arial" w:cs="Arial" w:eastAsia="Arial" w:hAnsi="Arial"/>
          <w:sz w:val="22"/>
          <w:szCs w:val="22"/>
          <w:color w:val="auto"/>
        </w:rPr>
      </w:pPr>
      <w:r>
        <w:rPr>
          <w:rFonts w:ascii="Times New Roman" w:cs="Times New Roman" w:eastAsia="Times New Roman" w:hAnsi="Times New Roman"/>
          <w:sz w:val="18"/>
          <w:szCs w:val="18"/>
          <w:color w:val="auto"/>
        </w:rPr>
        <w:t>environmental liabilities, litigation or other events that are not covered by an indemnity, insurance or existing reserves;</w:t>
      </w:r>
    </w:p>
    <w:p>
      <w:pPr>
        <w:spacing w:after="0" w:line="143" w:lineRule="exact"/>
        <w:rPr>
          <w:rFonts w:ascii="Arial" w:cs="Arial" w:eastAsia="Arial" w:hAnsi="Arial"/>
          <w:sz w:val="22"/>
          <w:szCs w:val="22"/>
          <w:color w:val="auto"/>
        </w:rPr>
      </w:pPr>
    </w:p>
    <w:p>
      <w:pPr>
        <w:ind w:left="660" w:right="160" w:hanging="328"/>
        <w:spacing w:after="0" w:line="234" w:lineRule="auto"/>
        <w:tabs>
          <w:tab w:leader="none" w:pos="655" w:val="left"/>
        </w:tabs>
        <w:numPr>
          <w:ilvl w:val="0"/>
          <w:numId w:val="27"/>
        </w:numPr>
        <w:rPr>
          <w:rFonts w:ascii="Arial" w:cs="Arial" w:eastAsia="Arial" w:hAnsi="Arial"/>
          <w:sz w:val="22"/>
          <w:szCs w:val="22"/>
          <w:color w:val="auto"/>
        </w:rPr>
      </w:pPr>
      <w:r>
        <w:rPr>
          <w:rFonts w:ascii="Times New Roman" w:cs="Times New Roman" w:eastAsia="Times New Roman" w:hAnsi="Times New Roman"/>
          <w:sz w:val="18"/>
          <w:szCs w:val="18"/>
          <w:color w:val="auto"/>
        </w:rPr>
        <w:t>negative societal sentiment regarding the hydrocarbon energy industry and the continued development and consumption of hydrocarbons, which could influence consumer preferences and governmental or regulatory actions that adversely impact our business;</w:t>
      </w:r>
    </w:p>
    <w:p>
      <w:pPr>
        <w:spacing w:after="0" w:line="132" w:lineRule="exact"/>
        <w:rPr>
          <w:rFonts w:ascii="Arial" w:cs="Arial" w:eastAsia="Arial" w:hAnsi="Arial"/>
          <w:sz w:val="22"/>
          <w:szCs w:val="22"/>
          <w:color w:val="auto"/>
        </w:rPr>
      </w:pPr>
    </w:p>
    <w:p>
      <w:pPr>
        <w:ind w:left="660" w:right="680" w:hanging="328"/>
        <w:spacing w:after="0" w:line="234" w:lineRule="auto"/>
        <w:tabs>
          <w:tab w:leader="none" w:pos="655" w:val="left"/>
        </w:tabs>
        <w:numPr>
          <w:ilvl w:val="0"/>
          <w:numId w:val="27"/>
        </w:numPr>
        <w:rPr>
          <w:rFonts w:ascii="Arial" w:cs="Arial" w:eastAsia="Arial" w:hAnsi="Arial"/>
          <w:sz w:val="22"/>
          <w:szCs w:val="22"/>
          <w:color w:val="auto"/>
        </w:rPr>
      </w:pPr>
      <w:r>
        <w:rPr>
          <w:rFonts w:ascii="Times New Roman" w:cs="Times New Roman" w:eastAsia="Times New Roman" w:hAnsi="Times New Roman"/>
          <w:sz w:val="18"/>
          <w:szCs w:val="18"/>
          <w:color w:val="auto"/>
        </w:rPr>
        <w:t>the occurrence of a natural disaster, catastrophe, terrorist attack (including eco-terrorist attacks) or other event that materially impacts our operations, including cyber or other attacks on our or our service providers’ electronic and computer systems;</w:t>
      </w:r>
    </w:p>
    <w:p>
      <w:pPr>
        <w:spacing w:after="0" w:line="132" w:lineRule="exact"/>
        <w:rPr>
          <w:rFonts w:ascii="Arial" w:cs="Arial" w:eastAsia="Arial" w:hAnsi="Arial"/>
          <w:sz w:val="22"/>
          <w:szCs w:val="22"/>
          <w:color w:val="auto"/>
        </w:rPr>
      </w:pPr>
    </w:p>
    <w:p>
      <w:pPr>
        <w:ind w:left="660" w:right="320" w:hanging="328"/>
        <w:spacing w:after="0" w:line="234" w:lineRule="auto"/>
        <w:tabs>
          <w:tab w:leader="none" w:pos="655" w:val="left"/>
        </w:tabs>
        <w:numPr>
          <w:ilvl w:val="0"/>
          <w:numId w:val="27"/>
        </w:numPr>
        <w:rPr>
          <w:rFonts w:ascii="Arial" w:cs="Arial" w:eastAsia="Arial" w:hAnsi="Arial"/>
          <w:sz w:val="22"/>
          <w:szCs w:val="22"/>
          <w:color w:val="auto"/>
        </w:rPr>
      </w:pPr>
      <w:r>
        <w:rPr>
          <w:rFonts w:ascii="Times New Roman" w:cs="Times New Roman" w:eastAsia="Times New Roman" w:hAnsi="Times New Roman"/>
          <w:sz w:val="18"/>
          <w:szCs w:val="18"/>
          <w:color w:val="auto"/>
        </w:rPr>
        <w:t>weather interference with business operations or project construction, including the impact of extreme weather events or conditions (including hurricanes, floods, wildfires and drought);</w:t>
      </w:r>
    </w:p>
    <w:p>
      <w:pPr>
        <w:spacing w:after="0" w:line="132" w:lineRule="exact"/>
        <w:rPr>
          <w:rFonts w:ascii="Arial" w:cs="Arial" w:eastAsia="Arial" w:hAnsi="Arial"/>
          <w:sz w:val="22"/>
          <w:szCs w:val="22"/>
          <w:color w:val="auto"/>
        </w:rPr>
      </w:pPr>
    </w:p>
    <w:p>
      <w:pPr>
        <w:ind w:left="660" w:right="140" w:hanging="328"/>
        <w:spacing w:after="0" w:line="243" w:lineRule="auto"/>
        <w:tabs>
          <w:tab w:leader="none" w:pos="655" w:val="left"/>
        </w:tabs>
        <w:numPr>
          <w:ilvl w:val="0"/>
          <w:numId w:val="27"/>
        </w:numPr>
        <w:rPr>
          <w:rFonts w:ascii="Arial" w:cs="Arial" w:eastAsia="Arial" w:hAnsi="Arial"/>
          <w:sz w:val="22"/>
          <w:szCs w:val="22"/>
          <w:color w:val="auto"/>
        </w:rPr>
      </w:pPr>
      <w:r>
        <w:rPr>
          <w:rFonts w:ascii="Times New Roman" w:cs="Times New Roman" w:eastAsia="Times New Roman" w:hAnsi="Times New Roman"/>
          <w:sz w:val="18"/>
          <w:szCs w:val="18"/>
          <w:color w:val="auto"/>
        </w:rPr>
        <w:t>the impact of current and future laws, rulings, legislation, governmental regulations, executive orders, trade policies, trade tariffs, accounting standards and statements, and related interpretations that (i) prohibit, restrict or regulate the development of oil and gas resources and the related infrastructure on lands dedicated to or served by our pipelines or (ii) negatively impact our ability to develop, operate or repair midstream assets, or (iii) otherwise negatively impact our business or increase our exposure to risk;</w:t>
      </w:r>
    </w:p>
    <w:p>
      <w:pPr>
        <w:spacing w:after="0" w:line="2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20"/>
          </w:cols>
          <w:pgMar w:left="320" w:top="364"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auto"/>
        </w:rPr>
        <w:t>Page 26</w:t>
      </w:r>
    </w:p>
    <w:p>
      <w:pPr>
        <w:spacing w:after="0" w:line="200" w:lineRule="exact"/>
        <w:rPr>
          <w:sz w:val="20"/>
          <w:szCs w:val="20"/>
          <w:color w:val="auto"/>
        </w:rPr>
      </w:pPr>
    </w:p>
    <w:p>
      <w:pPr>
        <w:spacing w:after="0" w:line="282" w:lineRule="exact"/>
        <w:rPr>
          <w:sz w:val="20"/>
          <w:szCs w:val="20"/>
          <w:color w:val="auto"/>
        </w:rPr>
      </w:pPr>
    </w:p>
    <w:p>
      <w:pPr>
        <w:ind w:left="660" w:right="240" w:hanging="328"/>
        <w:spacing w:after="0" w:line="239" w:lineRule="auto"/>
        <w:tabs>
          <w:tab w:leader="none" w:pos="655" w:val="left"/>
        </w:tabs>
        <w:numPr>
          <w:ilvl w:val="0"/>
          <w:numId w:val="28"/>
        </w:numPr>
        <w:rPr>
          <w:rFonts w:ascii="Arial" w:cs="Arial" w:eastAsia="Arial" w:hAnsi="Arial"/>
          <w:sz w:val="22"/>
          <w:szCs w:val="22"/>
          <w:color w:val="auto"/>
        </w:rPr>
      </w:pPr>
      <w:r>
        <w:rPr>
          <w:rFonts w:ascii="Times New Roman" w:cs="Times New Roman" w:eastAsia="Times New Roman" w:hAnsi="Times New Roman"/>
          <w:sz w:val="18"/>
          <w:szCs w:val="18"/>
          <w:color w:val="auto"/>
        </w:rPr>
        <w:t>negative impacts on production levels in the Permian Basin or elsewhere due to issues associated with (or laws, rules or regulations relating to) hydraulic fracturing and related activities (including wastewater injection or disposal), including earthquakes, subsidence, expansion or other issues;</w:t>
      </w:r>
    </w:p>
    <w:p>
      <w:pPr>
        <w:spacing w:after="0" w:line="113" w:lineRule="exact"/>
        <w:rPr>
          <w:rFonts w:ascii="Arial" w:cs="Arial" w:eastAsia="Arial" w:hAnsi="Arial"/>
          <w:sz w:val="22"/>
          <w:szCs w:val="22"/>
          <w:color w:val="auto"/>
        </w:rPr>
      </w:pPr>
    </w:p>
    <w:p>
      <w:pPr>
        <w:ind w:left="660" w:hanging="328"/>
        <w:spacing w:after="0"/>
        <w:tabs>
          <w:tab w:leader="none" w:pos="660" w:val="left"/>
        </w:tabs>
        <w:numPr>
          <w:ilvl w:val="0"/>
          <w:numId w:val="28"/>
        </w:numPr>
        <w:rPr>
          <w:rFonts w:ascii="Arial" w:cs="Arial" w:eastAsia="Arial" w:hAnsi="Arial"/>
          <w:sz w:val="22"/>
          <w:szCs w:val="22"/>
          <w:color w:val="auto"/>
        </w:rPr>
      </w:pPr>
      <w:r>
        <w:rPr>
          <w:rFonts w:ascii="Times New Roman" w:cs="Times New Roman" w:eastAsia="Times New Roman" w:hAnsi="Times New Roman"/>
          <w:sz w:val="18"/>
          <w:szCs w:val="18"/>
          <w:color w:val="auto"/>
        </w:rPr>
        <w:t>the pace of development of natural gas or other infrastructure and its impact on expected crude oil production growth in the Permian Basin;</w:t>
      </w:r>
    </w:p>
    <w:p>
      <w:pPr>
        <w:spacing w:after="0" w:line="130" w:lineRule="exact"/>
        <w:rPr>
          <w:rFonts w:ascii="Arial" w:cs="Arial" w:eastAsia="Arial" w:hAnsi="Arial"/>
          <w:sz w:val="22"/>
          <w:szCs w:val="22"/>
          <w:color w:val="auto"/>
        </w:rPr>
      </w:pPr>
    </w:p>
    <w:p>
      <w:pPr>
        <w:ind w:left="660" w:hanging="328"/>
        <w:spacing w:after="0" w:line="247" w:lineRule="auto"/>
        <w:tabs>
          <w:tab w:leader="none" w:pos="655" w:val="left"/>
        </w:tabs>
        <w:numPr>
          <w:ilvl w:val="0"/>
          <w:numId w:val="28"/>
        </w:numPr>
        <w:rPr>
          <w:rFonts w:ascii="Arial" w:cs="Arial" w:eastAsia="Arial" w:hAnsi="Arial"/>
          <w:sz w:val="22"/>
          <w:szCs w:val="22"/>
          <w:color w:val="auto"/>
        </w:rPr>
      </w:pPr>
      <w:r>
        <w:rPr>
          <w:rFonts w:ascii="Times New Roman" w:cs="Times New Roman" w:eastAsia="Times New Roman" w:hAnsi="Times New Roman"/>
          <w:sz w:val="18"/>
          <w:szCs w:val="18"/>
          <w:color w:val="auto"/>
        </w:rPr>
        <w:t>the refusal or inability of our customers or counterparties to perform their obligations under their contracts with us (including commercial contracts, asset sale agreements and other agreements), whether justified or not and whether due to financial constraints (such as reduced creditworthiness, liquidity issues or insolvency), market constraints, legal constraints (including governmental orders or guidance), the exercise of contractual or common law rights that allegedly excuse their performance (such as force majeure or similar claims) or other factors;</w:t>
      </w:r>
    </w:p>
    <w:p>
      <w:pPr>
        <w:spacing w:after="0" w:line="107" w:lineRule="exact"/>
        <w:rPr>
          <w:rFonts w:ascii="Arial" w:cs="Arial" w:eastAsia="Arial" w:hAnsi="Arial"/>
          <w:sz w:val="22"/>
          <w:szCs w:val="22"/>
          <w:color w:val="auto"/>
        </w:rPr>
      </w:pPr>
    </w:p>
    <w:p>
      <w:pPr>
        <w:ind w:left="660" w:hanging="328"/>
        <w:spacing w:after="0"/>
        <w:tabs>
          <w:tab w:leader="none" w:pos="660" w:val="left"/>
        </w:tabs>
        <w:numPr>
          <w:ilvl w:val="0"/>
          <w:numId w:val="28"/>
        </w:numPr>
        <w:rPr>
          <w:rFonts w:ascii="Arial" w:cs="Arial" w:eastAsia="Arial" w:hAnsi="Arial"/>
          <w:sz w:val="22"/>
          <w:szCs w:val="22"/>
          <w:color w:val="auto"/>
        </w:rPr>
      </w:pPr>
      <w:r>
        <w:rPr>
          <w:rFonts w:ascii="Times New Roman" w:cs="Times New Roman" w:eastAsia="Times New Roman" w:hAnsi="Times New Roman"/>
          <w:sz w:val="18"/>
          <w:szCs w:val="18"/>
          <w:color w:val="auto"/>
        </w:rPr>
        <w:t>loss of key personnel and inability to attract and retain new talent;</w:t>
      </w:r>
    </w:p>
    <w:p>
      <w:pPr>
        <w:spacing w:after="0" w:line="130" w:lineRule="exact"/>
        <w:rPr>
          <w:rFonts w:ascii="Arial" w:cs="Arial" w:eastAsia="Arial" w:hAnsi="Arial"/>
          <w:sz w:val="22"/>
          <w:szCs w:val="22"/>
          <w:color w:val="auto"/>
        </w:rPr>
      </w:pPr>
    </w:p>
    <w:p>
      <w:pPr>
        <w:ind w:left="660" w:right="500" w:hanging="328"/>
        <w:spacing w:after="0" w:line="234" w:lineRule="auto"/>
        <w:tabs>
          <w:tab w:leader="none" w:pos="655" w:val="left"/>
        </w:tabs>
        <w:numPr>
          <w:ilvl w:val="0"/>
          <w:numId w:val="28"/>
        </w:numPr>
        <w:rPr>
          <w:rFonts w:ascii="Arial" w:cs="Arial" w:eastAsia="Arial" w:hAnsi="Arial"/>
          <w:sz w:val="22"/>
          <w:szCs w:val="22"/>
          <w:color w:val="auto"/>
        </w:rPr>
      </w:pPr>
      <w:r>
        <w:rPr>
          <w:rFonts w:ascii="Times New Roman" w:cs="Times New Roman" w:eastAsia="Times New Roman" w:hAnsi="Times New Roman"/>
          <w:sz w:val="18"/>
          <w:szCs w:val="18"/>
          <w:color w:val="auto"/>
        </w:rPr>
        <w:t>disruptions to futures markets for crude oil, NGL and other petroleum products, which may impair our ability to execute our commercial or hedging strategies;</w:t>
      </w:r>
    </w:p>
    <w:p>
      <w:pPr>
        <w:spacing w:after="0" w:line="113" w:lineRule="exact"/>
        <w:rPr>
          <w:rFonts w:ascii="Arial" w:cs="Arial" w:eastAsia="Arial" w:hAnsi="Arial"/>
          <w:sz w:val="22"/>
          <w:szCs w:val="22"/>
          <w:color w:val="auto"/>
        </w:rPr>
      </w:pPr>
    </w:p>
    <w:p>
      <w:pPr>
        <w:ind w:left="660" w:hanging="328"/>
        <w:spacing w:after="0"/>
        <w:tabs>
          <w:tab w:leader="none" w:pos="660" w:val="left"/>
        </w:tabs>
        <w:numPr>
          <w:ilvl w:val="0"/>
          <w:numId w:val="28"/>
        </w:numPr>
        <w:rPr>
          <w:rFonts w:ascii="Arial" w:cs="Arial" w:eastAsia="Arial" w:hAnsi="Arial"/>
          <w:sz w:val="22"/>
          <w:szCs w:val="22"/>
          <w:color w:val="auto"/>
        </w:rPr>
      </w:pPr>
      <w:r>
        <w:rPr>
          <w:rFonts w:ascii="Times New Roman" w:cs="Times New Roman" w:eastAsia="Times New Roman" w:hAnsi="Times New Roman"/>
          <w:sz w:val="18"/>
          <w:szCs w:val="18"/>
          <w:color w:val="auto"/>
        </w:rPr>
        <w:t>the effectiveness of our risk management activities;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28"/>
        </w:numPr>
        <w:rPr>
          <w:rFonts w:ascii="Arial" w:cs="Arial" w:eastAsia="Arial" w:hAnsi="Arial"/>
          <w:sz w:val="22"/>
          <w:szCs w:val="22"/>
          <w:color w:val="auto"/>
        </w:rPr>
      </w:pPr>
      <w:r>
        <w:rPr>
          <w:rFonts w:ascii="Times New Roman" w:cs="Times New Roman" w:eastAsia="Times New Roman" w:hAnsi="Times New Roman"/>
          <w:sz w:val="18"/>
          <w:szCs w:val="18"/>
          <w:color w:val="auto"/>
        </w:rPr>
        <w:t>shortages or cost increases of supplies, materials or labor;</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28"/>
        </w:numPr>
        <w:rPr>
          <w:rFonts w:ascii="Arial" w:cs="Arial" w:eastAsia="Arial" w:hAnsi="Arial"/>
          <w:sz w:val="22"/>
          <w:szCs w:val="22"/>
          <w:color w:val="auto"/>
        </w:rPr>
      </w:pPr>
      <w:r>
        <w:rPr>
          <w:rFonts w:ascii="Times New Roman" w:cs="Times New Roman" w:eastAsia="Times New Roman" w:hAnsi="Times New Roman"/>
          <w:sz w:val="18"/>
          <w:szCs w:val="18"/>
          <w:color w:val="auto"/>
        </w:rPr>
        <w:t>maintenance of our credit ratings and ability to receive open credit from our suppliers and trade counterparties;</w:t>
      </w:r>
    </w:p>
    <w:p>
      <w:pPr>
        <w:spacing w:after="0" w:line="143" w:lineRule="exact"/>
        <w:rPr>
          <w:rFonts w:ascii="Arial" w:cs="Arial" w:eastAsia="Arial" w:hAnsi="Arial"/>
          <w:sz w:val="22"/>
          <w:szCs w:val="22"/>
          <w:color w:val="auto"/>
        </w:rPr>
      </w:pPr>
    </w:p>
    <w:p>
      <w:pPr>
        <w:ind w:left="660" w:right="160" w:hanging="328"/>
        <w:spacing w:after="0" w:line="239" w:lineRule="auto"/>
        <w:tabs>
          <w:tab w:leader="none" w:pos="655" w:val="left"/>
        </w:tabs>
        <w:numPr>
          <w:ilvl w:val="0"/>
          <w:numId w:val="28"/>
        </w:numPr>
        <w:rPr>
          <w:rFonts w:ascii="Arial" w:cs="Arial" w:eastAsia="Arial" w:hAnsi="Arial"/>
          <w:sz w:val="22"/>
          <w:szCs w:val="22"/>
          <w:color w:val="auto"/>
        </w:rPr>
      </w:pPr>
      <w:r>
        <w:rPr>
          <w:rFonts w:ascii="Times New Roman" w:cs="Times New Roman" w:eastAsia="Times New Roman" w:hAnsi="Times New Roman"/>
          <w:sz w:val="18"/>
          <w:szCs w:val="18"/>
          <w:color w:val="auto"/>
        </w:rPr>
        <w:t>our inability to perform our obligations under our contracts, whether due to non-performance by third parties, including our customers or counterparties, market constraints, third-party constraints, supply chain issues, legal constraints (including governmental orders or guidance), or other factors or events;</w:t>
      </w:r>
    </w:p>
    <w:p>
      <w:pPr>
        <w:spacing w:after="0" w:line="113" w:lineRule="exact"/>
        <w:rPr>
          <w:rFonts w:ascii="Arial" w:cs="Arial" w:eastAsia="Arial" w:hAnsi="Arial"/>
          <w:sz w:val="22"/>
          <w:szCs w:val="22"/>
          <w:color w:val="auto"/>
        </w:rPr>
      </w:pPr>
    </w:p>
    <w:p>
      <w:pPr>
        <w:ind w:left="660" w:hanging="328"/>
        <w:spacing w:after="0"/>
        <w:tabs>
          <w:tab w:leader="none" w:pos="660" w:val="left"/>
        </w:tabs>
        <w:numPr>
          <w:ilvl w:val="0"/>
          <w:numId w:val="28"/>
        </w:numPr>
        <w:rPr>
          <w:rFonts w:ascii="Arial" w:cs="Arial" w:eastAsia="Arial" w:hAnsi="Arial"/>
          <w:sz w:val="22"/>
          <w:szCs w:val="22"/>
          <w:color w:val="auto"/>
        </w:rPr>
      </w:pPr>
      <w:r>
        <w:rPr>
          <w:rFonts w:ascii="Times New Roman" w:cs="Times New Roman" w:eastAsia="Times New Roman" w:hAnsi="Times New Roman"/>
          <w:sz w:val="18"/>
          <w:szCs w:val="18"/>
          <w:color w:val="auto"/>
        </w:rPr>
        <w:t>the incurrence of costs and expenses related to unexpected or unplanned capital or maintenance expenditures, third-party claims or other factors;</w:t>
      </w:r>
    </w:p>
    <w:p>
      <w:pPr>
        <w:spacing w:after="0" w:line="130" w:lineRule="exact"/>
        <w:rPr>
          <w:rFonts w:ascii="Arial" w:cs="Arial" w:eastAsia="Arial" w:hAnsi="Arial"/>
          <w:sz w:val="22"/>
          <w:szCs w:val="22"/>
          <w:color w:val="auto"/>
        </w:rPr>
      </w:pPr>
    </w:p>
    <w:p>
      <w:pPr>
        <w:ind w:left="660" w:right="340" w:hanging="328"/>
        <w:spacing w:after="0" w:line="234" w:lineRule="auto"/>
        <w:tabs>
          <w:tab w:leader="none" w:pos="655" w:val="left"/>
        </w:tabs>
        <w:numPr>
          <w:ilvl w:val="0"/>
          <w:numId w:val="28"/>
        </w:numPr>
        <w:rPr>
          <w:rFonts w:ascii="Arial" w:cs="Arial" w:eastAsia="Arial" w:hAnsi="Arial"/>
          <w:sz w:val="22"/>
          <w:szCs w:val="22"/>
          <w:color w:val="auto"/>
        </w:rPr>
      </w:pPr>
      <w:r>
        <w:rPr>
          <w:rFonts w:ascii="Times New Roman" w:cs="Times New Roman" w:eastAsia="Times New Roman" w:hAnsi="Times New Roman"/>
          <w:sz w:val="18"/>
          <w:szCs w:val="18"/>
          <w:color w:val="auto"/>
        </w:rPr>
        <w:t>failure to implement or capitalize, or delays in implementing or capitalizing, on investment capital projects, whether due to permitting delays, permitting withdrawals or other factors;</w:t>
      </w:r>
    </w:p>
    <w:p>
      <w:pPr>
        <w:spacing w:after="0" w:line="132" w:lineRule="exact"/>
        <w:rPr>
          <w:rFonts w:ascii="Arial" w:cs="Arial" w:eastAsia="Arial" w:hAnsi="Arial"/>
          <w:sz w:val="22"/>
          <w:szCs w:val="22"/>
          <w:color w:val="auto"/>
        </w:rPr>
      </w:pPr>
    </w:p>
    <w:p>
      <w:pPr>
        <w:ind w:left="660" w:right="20" w:hanging="328"/>
        <w:spacing w:after="0" w:line="256" w:lineRule="auto"/>
        <w:tabs>
          <w:tab w:leader="none" w:pos="655" w:val="left"/>
        </w:tabs>
        <w:numPr>
          <w:ilvl w:val="0"/>
          <w:numId w:val="28"/>
        </w:numPr>
        <w:rPr>
          <w:rFonts w:ascii="Arial" w:cs="Arial" w:eastAsia="Arial" w:hAnsi="Arial"/>
          <w:sz w:val="21"/>
          <w:szCs w:val="21"/>
          <w:color w:val="auto"/>
        </w:rPr>
      </w:pPr>
      <w:r>
        <w:rPr>
          <w:rFonts w:ascii="Times New Roman" w:cs="Times New Roman" w:eastAsia="Times New Roman" w:hAnsi="Times New Roman"/>
          <w:sz w:val="17"/>
          <w:szCs w:val="17"/>
          <w:color w:val="auto"/>
        </w:rPr>
        <w:t>tightened capital markets or other factors that increase our cost of capital or limit our ability to obtain debt or equity financing on satisfactory terms to fund additional acquisitions, investment capital projects, working capital requirements and the repayment or refinancing of indebtedness;</w:t>
      </w:r>
    </w:p>
    <w:p>
      <w:pPr>
        <w:spacing w:after="0" w:line="95" w:lineRule="exact"/>
        <w:rPr>
          <w:rFonts w:ascii="Arial" w:cs="Arial" w:eastAsia="Arial" w:hAnsi="Arial"/>
          <w:sz w:val="21"/>
          <w:szCs w:val="21"/>
          <w:color w:val="auto"/>
        </w:rPr>
      </w:pPr>
    </w:p>
    <w:p>
      <w:pPr>
        <w:ind w:left="660" w:hanging="328"/>
        <w:spacing w:after="0"/>
        <w:tabs>
          <w:tab w:leader="none" w:pos="660" w:val="left"/>
        </w:tabs>
        <w:numPr>
          <w:ilvl w:val="0"/>
          <w:numId w:val="28"/>
        </w:numPr>
        <w:rPr>
          <w:rFonts w:ascii="Arial" w:cs="Arial" w:eastAsia="Arial" w:hAnsi="Arial"/>
          <w:sz w:val="22"/>
          <w:szCs w:val="22"/>
          <w:color w:val="auto"/>
        </w:rPr>
      </w:pPr>
      <w:r>
        <w:rPr>
          <w:rFonts w:ascii="Times New Roman" w:cs="Times New Roman" w:eastAsia="Times New Roman" w:hAnsi="Times New Roman"/>
          <w:sz w:val="18"/>
          <w:szCs w:val="18"/>
          <w:color w:val="auto"/>
        </w:rPr>
        <w:t>the amplification of other risks caused by volatile or closed financial markets, capital constraints, liquidity concerns and inflation;</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28"/>
        </w:numPr>
        <w:rPr>
          <w:rFonts w:ascii="Arial" w:cs="Arial" w:eastAsia="Arial" w:hAnsi="Arial"/>
          <w:sz w:val="22"/>
          <w:szCs w:val="22"/>
          <w:color w:val="auto"/>
        </w:rPr>
      </w:pPr>
      <w:r>
        <w:rPr>
          <w:rFonts w:ascii="Times New Roman" w:cs="Times New Roman" w:eastAsia="Times New Roman" w:hAnsi="Times New Roman"/>
          <w:sz w:val="18"/>
          <w:szCs w:val="18"/>
          <w:color w:val="auto"/>
        </w:rPr>
        <w:t>the use or availability of third-party assets upon which our operations depend and over which we have little or no control;</w:t>
      </w:r>
    </w:p>
    <w:p>
      <w:pPr>
        <w:spacing w:after="0" w:line="125" w:lineRule="exact"/>
        <w:rPr>
          <w:rFonts w:ascii="Arial" w:cs="Arial" w:eastAsia="Arial" w:hAnsi="Arial"/>
          <w:sz w:val="22"/>
          <w:szCs w:val="22"/>
          <w:color w:val="auto"/>
        </w:rPr>
      </w:pPr>
    </w:p>
    <w:p>
      <w:pPr>
        <w:ind w:left="660" w:hanging="328"/>
        <w:spacing w:after="0"/>
        <w:tabs>
          <w:tab w:leader="none" w:pos="660" w:val="left"/>
        </w:tabs>
        <w:numPr>
          <w:ilvl w:val="0"/>
          <w:numId w:val="28"/>
        </w:numPr>
        <w:rPr>
          <w:rFonts w:ascii="Arial" w:cs="Arial" w:eastAsia="Arial" w:hAnsi="Arial"/>
          <w:sz w:val="22"/>
          <w:szCs w:val="22"/>
          <w:color w:val="auto"/>
        </w:rPr>
      </w:pPr>
      <w:r>
        <w:rPr>
          <w:rFonts w:ascii="Times New Roman" w:cs="Times New Roman" w:eastAsia="Times New Roman" w:hAnsi="Times New Roman"/>
          <w:sz w:val="18"/>
          <w:szCs w:val="18"/>
          <w:color w:val="auto"/>
        </w:rPr>
        <w:t>the currency exchange rate of the Canadian dollar to the United States dollar;</w:t>
      </w:r>
    </w:p>
    <w:p>
      <w:pPr>
        <w:spacing w:after="0" w:line="130" w:lineRule="exact"/>
        <w:rPr>
          <w:rFonts w:ascii="Arial" w:cs="Arial" w:eastAsia="Arial" w:hAnsi="Arial"/>
          <w:sz w:val="22"/>
          <w:szCs w:val="22"/>
          <w:color w:val="auto"/>
        </w:rPr>
      </w:pPr>
    </w:p>
    <w:p>
      <w:pPr>
        <w:ind w:left="660" w:right="140" w:hanging="328"/>
        <w:spacing w:after="0" w:line="234" w:lineRule="auto"/>
        <w:tabs>
          <w:tab w:leader="none" w:pos="655" w:val="left"/>
        </w:tabs>
        <w:numPr>
          <w:ilvl w:val="0"/>
          <w:numId w:val="28"/>
        </w:numPr>
        <w:rPr>
          <w:rFonts w:ascii="Arial" w:cs="Arial" w:eastAsia="Arial" w:hAnsi="Arial"/>
          <w:sz w:val="22"/>
          <w:szCs w:val="22"/>
          <w:color w:val="auto"/>
        </w:rPr>
      </w:pPr>
      <w:r>
        <w:rPr>
          <w:rFonts w:ascii="Times New Roman" w:cs="Times New Roman" w:eastAsia="Times New Roman" w:hAnsi="Times New Roman"/>
          <w:sz w:val="18"/>
          <w:szCs w:val="18"/>
          <w:color w:val="auto"/>
        </w:rPr>
        <w:t>the deferral of current revenue recognition attributable to deficiency payments received from customers who fail to ship or move their minimum contracted volumes;</w:t>
      </w:r>
    </w:p>
    <w:p>
      <w:pPr>
        <w:spacing w:after="0" w:line="113" w:lineRule="exact"/>
        <w:rPr>
          <w:rFonts w:ascii="Arial" w:cs="Arial" w:eastAsia="Arial" w:hAnsi="Arial"/>
          <w:sz w:val="22"/>
          <w:szCs w:val="22"/>
          <w:color w:val="auto"/>
        </w:rPr>
      </w:pPr>
    </w:p>
    <w:p>
      <w:pPr>
        <w:ind w:left="660" w:hanging="328"/>
        <w:spacing w:after="0"/>
        <w:tabs>
          <w:tab w:leader="none" w:pos="660" w:val="left"/>
        </w:tabs>
        <w:numPr>
          <w:ilvl w:val="0"/>
          <w:numId w:val="28"/>
        </w:numPr>
        <w:rPr>
          <w:rFonts w:ascii="Arial" w:cs="Arial" w:eastAsia="Arial" w:hAnsi="Arial"/>
          <w:sz w:val="22"/>
          <w:szCs w:val="22"/>
          <w:color w:val="auto"/>
        </w:rPr>
      </w:pPr>
      <w:r>
        <w:rPr>
          <w:rFonts w:ascii="Times New Roman" w:cs="Times New Roman" w:eastAsia="Times New Roman" w:hAnsi="Times New Roman"/>
          <w:sz w:val="18"/>
          <w:szCs w:val="18"/>
          <w:color w:val="auto"/>
        </w:rPr>
        <w:t>significant under-utilization of our assets and facilities;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28"/>
        </w:numPr>
        <w:rPr>
          <w:rFonts w:ascii="Arial" w:cs="Arial" w:eastAsia="Arial" w:hAnsi="Arial"/>
          <w:sz w:val="22"/>
          <w:szCs w:val="22"/>
          <w:color w:val="auto"/>
        </w:rPr>
      </w:pPr>
      <w:r>
        <w:rPr>
          <w:rFonts w:ascii="Times New Roman" w:cs="Times New Roman" w:eastAsia="Times New Roman" w:hAnsi="Times New Roman"/>
          <w:sz w:val="18"/>
          <w:szCs w:val="18"/>
          <w:color w:val="auto"/>
        </w:rPr>
        <w:t>increased costs, or lack of availability, of insurance;</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28"/>
        </w:numPr>
        <w:rPr>
          <w:rFonts w:ascii="Arial" w:cs="Arial" w:eastAsia="Arial" w:hAnsi="Arial"/>
          <w:sz w:val="22"/>
          <w:szCs w:val="22"/>
          <w:color w:val="auto"/>
        </w:rPr>
      </w:pPr>
      <w:r>
        <w:rPr>
          <w:rFonts w:ascii="Times New Roman" w:cs="Times New Roman" w:eastAsia="Times New Roman" w:hAnsi="Times New Roman"/>
          <w:sz w:val="18"/>
          <w:szCs w:val="18"/>
          <w:color w:val="auto"/>
        </w:rPr>
        <w:t>fluctuations in the debt and equity markets, including the price of our units at the time of vesting under our long-term incentive plans;</w:t>
      </w:r>
    </w:p>
    <w:p>
      <w:pPr>
        <w:spacing w:after="0" w:line="125" w:lineRule="exact"/>
        <w:rPr>
          <w:rFonts w:ascii="Arial" w:cs="Arial" w:eastAsia="Arial" w:hAnsi="Arial"/>
          <w:sz w:val="22"/>
          <w:szCs w:val="22"/>
          <w:color w:val="auto"/>
        </w:rPr>
      </w:pPr>
    </w:p>
    <w:p>
      <w:pPr>
        <w:ind w:left="660" w:hanging="328"/>
        <w:spacing w:after="0"/>
        <w:tabs>
          <w:tab w:leader="none" w:pos="660" w:val="left"/>
        </w:tabs>
        <w:numPr>
          <w:ilvl w:val="0"/>
          <w:numId w:val="28"/>
        </w:numPr>
        <w:rPr>
          <w:rFonts w:ascii="Arial" w:cs="Arial" w:eastAsia="Arial" w:hAnsi="Arial"/>
          <w:sz w:val="22"/>
          <w:szCs w:val="22"/>
          <w:color w:val="auto"/>
        </w:rPr>
      </w:pPr>
      <w:r>
        <w:rPr>
          <w:rFonts w:ascii="Times New Roman" w:cs="Times New Roman" w:eastAsia="Times New Roman" w:hAnsi="Times New Roman"/>
          <w:sz w:val="18"/>
          <w:szCs w:val="18"/>
          <w:color w:val="auto"/>
        </w:rPr>
        <w:t>risks related to the development and operation of our assets; and</w:t>
      </w:r>
    </w:p>
    <w:p>
      <w:pPr>
        <w:spacing w:after="0" w:line="2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180"/>
          </w:cols>
          <w:pgMar w:left="320" w:top="364" w:right="3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auto"/>
        </w:rPr>
        <w:t>Page 27</w:t>
      </w:r>
    </w:p>
    <w:p>
      <w:pPr>
        <w:spacing w:after="0" w:line="200" w:lineRule="exact"/>
        <w:rPr>
          <w:sz w:val="20"/>
          <w:szCs w:val="20"/>
          <w:color w:val="auto"/>
        </w:rPr>
      </w:pPr>
    </w:p>
    <w:p>
      <w:pPr>
        <w:spacing w:after="0" w:line="282" w:lineRule="exact"/>
        <w:rPr>
          <w:sz w:val="20"/>
          <w:szCs w:val="20"/>
          <w:color w:val="auto"/>
        </w:rPr>
      </w:pPr>
    </w:p>
    <w:p>
      <w:pPr>
        <w:ind w:left="660" w:right="460" w:hanging="328"/>
        <w:spacing w:after="0" w:line="239" w:lineRule="auto"/>
        <w:tabs>
          <w:tab w:leader="none" w:pos="655" w:val="left"/>
        </w:tabs>
        <w:numPr>
          <w:ilvl w:val="0"/>
          <w:numId w:val="29"/>
        </w:numPr>
        <w:rPr>
          <w:rFonts w:ascii="Arial" w:cs="Arial" w:eastAsia="Arial" w:hAnsi="Arial"/>
          <w:sz w:val="22"/>
          <w:szCs w:val="22"/>
          <w:color w:val="auto"/>
        </w:rPr>
      </w:pPr>
      <w:r>
        <w:rPr>
          <w:rFonts w:ascii="Times New Roman" w:cs="Times New Roman" w:eastAsia="Times New Roman" w:hAnsi="Times New Roman"/>
          <w:sz w:val="18"/>
          <w:szCs w:val="18"/>
          <w:color w:val="auto"/>
        </w:rPr>
        <w:t>other factors and uncertainties inherent in the transportation, storage, terminalling and marketing of crude oil, as well as in the processing, transportation, fractionation, storage and marketing of NGL as discussed in the Partnerships’ filings with the Securities and Exchange Commission.</w:t>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About Plains:</w:t>
      </w:r>
    </w:p>
    <w:p>
      <w:pPr>
        <w:spacing w:after="0" w:line="30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PAA is a publicly traded master limited partnership that owns and operates midstream energy infrastructure and provides logistics services for crude oil and natural gas liquids (“NGL”). PAA owns an extensive network of pipeline gathering and transportation systems, in addition to terminalling, storage, processing, fractionation and other infrastructure assets serving key producing basins, transportation corridors and major market hubs and export outlets in the United States and Canada. On average, PAA handles over 9 million barrels per day of crude oil and NGL.</w:t>
      </w:r>
    </w:p>
    <w:p>
      <w:pPr>
        <w:spacing w:after="0" w:line="207"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PAGP is a publicly traded entity that owns an indirect, non-economic controlling general partner interest in PAA and an indirect limited partner interest in PAA, one of the largest energy infrastructure and logistics companies in North America.</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PAA and PAGP are headquartered in Houston, Texas. For more information, please visit www.plains.com.</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Contacts</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Blake Fernandez</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Vice President, Investor Relations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(866) 809-1291</w:t>
      </w:r>
    </w:p>
    <w:p>
      <w:pPr>
        <w:spacing w:after="0" w:line="2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Michael Gladstein</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Director, Investor Relations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(866) 809-1291</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34290</wp:posOffset>
            </wp:positionV>
            <wp:extent cx="711517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147"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sectPr>
      <w:pgSz w:w="11900" w:h="16838" w:orient="portrait"/>
      <w:cols w:equalWidth="0" w:num="1">
        <w:col w:w="11040"/>
      </w:cols>
      <w:pgMar w:left="320" w:top="364"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1"/>
      <w:numFmt w:val="decimal"/>
      <w:start w:val="104"/>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1)"/>
      <w:numFmt w:val="decimal"/>
      <w:start w:val="1"/>
    </w:lvl>
    <w:lvl w:ilvl="1">
      <w:lvlJc w:val="left"/>
      <w:lvlText w:val="-"/>
      <w:numFmt w:val="bullet"/>
      <w:start w:val="1"/>
    </w:lvl>
  </w:abstractNum>
  <w:abstractNum w:abstractNumId="5">
    <w:nsid w:val="519B500D"/>
    <w:multiLevelType w:val="hybridMultilevel"/>
    <w:lvl w:ilvl="0">
      <w:lvlJc w:val="left"/>
      <w:lvlText w:val="(%1)"/>
      <w:numFmt w:val="decimal"/>
      <w:start w:val="1"/>
    </w:lvl>
  </w:abstractNum>
  <w:abstractNum w:abstractNumId="6">
    <w:nsid w:val="431BD7B7"/>
    <w:multiLevelType w:val="hybridMultilevel"/>
    <w:lvl w:ilvl="0">
      <w:lvlJc w:val="left"/>
      <w:lvlText w:val="(%1)"/>
      <w:numFmt w:val="lowerRoman"/>
      <w:start w:val="5"/>
    </w:lvl>
  </w:abstractNum>
  <w:abstractNum w:abstractNumId="7">
    <w:nsid w:val="3F2DBA31"/>
    <w:multiLevelType w:val="hybridMultilevel"/>
    <w:lvl w:ilvl="0">
      <w:lvlJc w:val="left"/>
      <w:lvlText w:val="(%1)"/>
      <w:numFmt w:val="decimal"/>
      <w:start w:val="1"/>
    </w:lvl>
    <w:lvl w:ilvl="1">
      <w:lvlJc w:val="left"/>
      <w:lvlText w:val="-"/>
      <w:numFmt w:val="bullet"/>
      <w:start w:val="1"/>
    </w:lvl>
  </w:abstractNum>
  <w:abstractNum w:abstractNumId="8">
    <w:nsid w:val="7C83E458"/>
    <w:multiLevelType w:val="hybridMultilevel"/>
    <w:lvl w:ilvl="0">
      <w:lvlJc w:val="left"/>
      <w:lvlText w:val="(%1)"/>
      <w:numFmt w:val="decimal"/>
      <w:start w:val="1"/>
    </w:lvl>
  </w:abstractNum>
  <w:abstractNum w:abstractNumId="9">
    <w:nsid w:val="257130A3"/>
    <w:multiLevelType w:val="hybridMultilevel"/>
    <w:lvl w:ilvl="0">
      <w:lvlJc w:val="left"/>
      <w:lvlText w:val="(%1)"/>
      <w:numFmt w:val="decimal"/>
      <w:start w:val="1"/>
    </w:lvl>
  </w:abstractNum>
  <w:abstractNum w:abstractNumId="10">
    <w:nsid w:val="62BBD95A"/>
    <w:multiLevelType w:val="hybridMultilevel"/>
    <w:lvl w:ilvl="0">
      <w:lvlJc w:val="left"/>
      <w:lvlText w:val="(%1)"/>
      <w:numFmt w:val="decimal"/>
      <w:start w:val="1"/>
    </w:lvl>
  </w:abstractNum>
  <w:abstractNum w:abstractNumId="11">
    <w:nsid w:val="436C6125"/>
    <w:multiLevelType w:val="hybridMultilevel"/>
    <w:lvl w:ilvl="0">
      <w:lvlJc w:val="left"/>
      <w:lvlText w:val="(%1)"/>
      <w:numFmt w:val="decimal"/>
      <w:start w:val="1"/>
    </w:lvl>
    <w:lvl w:ilvl="1">
      <w:lvlJc w:val="left"/>
      <w:lvlText w:val="-"/>
      <w:numFmt w:val="bullet"/>
      <w:start w:val="1"/>
    </w:lvl>
  </w:abstractNum>
  <w:abstractNum w:abstractNumId="12">
    <w:nsid w:val="628C895D"/>
    <w:multiLevelType w:val="hybridMultilevel"/>
    <w:lvl w:ilvl="0">
      <w:lvlJc w:val="left"/>
      <w:lvlText w:val="(%1)"/>
      <w:numFmt w:val="decimal"/>
      <w:start w:val="1"/>
    </w:lvl>
  </w:abstractNum>
  <w:abstractNum w:abstractNumId="13">
    <w:nsid w:val="333AB105"/>
    <w:multiLevelType w:val="hybridMultilevel"/>
    <w:lvl w:ilvl="0">
      <w:lvlJc w:val="left"/>
      <w:lvlText w:val="(%1)"/>
      <w:numFmt w:val="decimal"/>
      <w:start w:val="1"/>
    </w:lvl>
    <w:lvl w:ilvl="1">
      <w:lvlJc w:val="left"/>
      <w:lvlText w:val="-"/>
      <w:numFmt w:val="bullet"/>
      <w:start w:val="1"/>
    </w:lvl>
  </w:abstractNum>
  <w:abstractNum w:abstractNumId="14">
    <w:nsid w:val="721DA317"/>
    <w:multiLevelType w:val="hybridMultilevel"/>
    <w:lvl w:ilvl="0">
      <w:lvlJc w:val="left"/>
      <w:lvlText w:val="(%1)"/>
      <w:numFmt w:val="decimal"/>
      <w:start w:val="1"/>
    </w:lvl>
    <w:lvl w:ilvl="1">
      <w:lvlJc w:val="left"/>
      <w:lvlText w:val="-"/>
      <w:numFmt w:val="bullet"/>
      <w:start w:val="1"/>
    </w:lvl>
  </w:abstractNum>
  <w:abstractNum w:abstractNumId="15">
    <w:nsid w:val="2443A858"/>
    <w:multiLevelType w:val="hybridMultilevel"/>
    <w:lvl w:ilvl="0">
      <w:lvlJc w:val="left"/>
      <w:lvlText w:val="(%1)"/>
      <w:numFmt w:val="decimal"/>
      <w:start w:val="1"/>
    </w:lvl>
    <w:lvl w:ilvl="1">
      <w:lvlJc w:val="left"/>
      <w:lvlText w:val="-"/>
      <w:numFmt w:val="bullet"/>
      <w:start w:val="1"/>
    </w:lvl>
  </w:abstractNum>
  <w:abstractNum w:abstractNumId="16">
    <w:nsid w:val="2D1D5AE9"/>
    <w:multiLevelType w:val="hybridMultilevel"/>
    <w:lvl w:ilvl="0">
      <w:lvlJc w:val="left"/>
      <w:lvlText w:val="(%1)"/>
      <w:numFmt w:val="decimal"/>
      <w:start w:val="1"/>
    </w:lvl>
  </w:abstractNum>
  <w:abstractNum w:abstractNumId="17">
    <w:nsid w:val="6763845E"/>
    <w:multiLevelType w:val="hybridMultilevel"/>
    <w:lvl w:ilvl="0">
      <w:lvlJc w:val="left"/>
      <w:lvlText w:val="(%1)"/>
      <w:numFmt w:val="decimal"/>
      <w:start w:val="1"/>
    </w:lvl>
    <w:lvl w:ilvl="1">
      <w:lvlJc w:val="left"/>
      <w:lvlText w:val="-"/>
      <w:numFmt w:val="bullet"/>
      <w:start w:val="1"/>
    </w:lvl>
  </w:abstractNum>
  <w:abstractNum w:abstractNumId="18">
    <w:nsid w:val="75A2A8D4"/>
    <w:multiLevelType w:val="hybridMultilevel"/>
    <w:lvl w:ilvl="0">
      <w:lvlJc w:val="left"/>
      <w:lvlText w:val="(%1)"/>
      <w:numFmt w:val="decimal"/>
      <w:start w:val="3"/>
    </w:lvl>
  </w:abstractNum>
  <w:abstractNum w:abstractNumId="19">
    <w:nsid w:val="8EDBDAB"/>
    <w:multiLevelType w:val="hybridMultilevel"/>
    <w:lvl w:ilvl="0">
      <w:lvlJc w:val="left"/>
      <w:lvlText w:val="(%1)"/>
      <w:numFmt w:val="decimal"/>
      <w:start w:val="1"/>
    </w:lvl>
  </w:abstractNum>
  <w:abstractNum w:abstractNumId="20">
    <w:nsid w:val="79838CB2"/>
    <w:multiLevelType w:val="hybridMultilevel"/>
    <w:lvl w:ilvl="0">
      <w:lvlJc w:val="left"/>
      <w:lvlText w:val="(%1)"/>
      <w:numFmt w:val="decimal"/>
      <w:start w:val="1"/>
    </w:lvl>
  </w:abstractNum>
  <w:abstractNum w:abstractNumId="21">
    <w:nsid w:val="4353D0CD"/>
    <w:multiLevelType w:val="hybridMultilevel"/>
    <w:lvl w:ilvl="0">
      <w:lvlJc w:val="left"/>
      <w:lvlText w:val="(%1)"/>
      <w:numFmt w:val="decimal"/>
      <w:start w:val="1"/>
    </w:lvl>
  </w:abstractNum>
  <w:abstractNum w:abstractNumId="22">
    <w:nsid w:val="B03E0C6"/>
    <w:multiLevelType w:val="hybridMultilevel"/>
    <w:lvl w:ilvl="0">
      <w:lvlJc w:val="left"/>
      <w:lvlText w:val="(%1)"/>
      <w:numFmt w:val="decimal"/>
      <w:start w:val="1"/>
    </w:lvl>
  </w:abstractNum>
  <w:abstractNum w:abstractNumId="23">
    <w:nsid w:val="189A769B"/>
    <w:multiLevelType w:val="hybridMultilevel"/>
    <w:lvl w:ilvl="0">
      <w:lvlJc w:val="left"/>
      <w:lvlText w:val="(%1)"/>
      <w:numFmt w:val="decimal"/>
      <w:start w:val="1"/>
    </w:lvl>
    <w:lvl w:ilvl="1">
      <w:lvlJc w:val="left"/>
      <w:lvlText w:val="-"/>
      <w:numFmt w:val="bullet"/>
      <w:start w:val="1"/>
    </w:lvl>
  </w:abstractNum>
  <w:abstractNum w:abstractNumId="24">
    <w:nsid w:val="54E49EB4"/>
    <w:multiLevelType w:val="hybridMultilevel"/>
    <w:lvl w:ilvl="0">
      <w:lvlJc w:val="left"/>
      <w:lvlText w:val="(%1)"/>
      <w:numFmt w:val="decimal"/>
      <w:start w:val="1"/>
    </w:lvl>
    <w:lvl w:ilvl="1">
      <w:lvlJc w:val="left"/>
      <w:lvlText w:val="-"/>
      <w:numFmt w:val="bullet"/>
      <w:start w:val="1"/>
    </w:lvl>
  </w:abstractNum>
  <w:abstractNum w:abstractNumId="25">
    <w:nsid w:val="71F32454"/>
    <w:multiLevelType w:val="hybridMultilevel"/>
    <w:lvl w:ilvl="0">
      <w:lvlJc w:val="left"/>
      <w:lvlText w:val="(%1)"/>
      <w:numFmt w:val="decimal"/>
      <w:start w:val="1"/>
    </w:lvl>
    <w:lvl w:ilvl="1">
      <w:lvlJc w:val="left"/>
      <w:lvlText w:val="-"/>
      <w:numFmt w:val="bullet"/>
      <w:start w:val="1"/>
    </w:lvl>
  </w:abstractNum>
  <w:abstractNum w:abstractNumId="26">
    <w:nsid w:val="2CA88611"/>
    <w:multiLevelType w:val="hybridMultilevel"/>
    <w:lvl w:ilvl="0">
      <w:lvlJc w:val="left"/>
      <w:lvlText w:val="•"/>
      <w:numFmt w:val="bullet"/>
      <w:start w:val="1"/>
    </w:lvl>
  </w:abstractNum>
  <w:abstractNum w:abstractNumId="27">
    <w:nsid w:val="836C40E"/>
    <w:multiLevelType w:val="hybridMultilevel"/>
    <w:lvl w:ilvl="0">
      <w:lvlJc w:val="left"/>
      <w:lvlText w:val="•"/>
      <w:numFmt w:val="bullet"/>
      <w:start w:val="1"/>
    </w:lvl>
  </w:abstractNum>
  <w:abstractNum w:abstractNumId="28">
    <w:nsid w:val="2901D8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2025-08-08T07:42:10Z</dcterms:created>
  <dcterms:modified xsi:type="dcterms:W3CDTF">2025-08-08T07:42:10Z</dcterms:modified>
</cp:coreProperties>
</file>