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6, 2014</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20" w:space="720"/>
            <w:col w:w="2800" w:space="720"/>
            <w:col w:w="2940"/>
          </w:cols>
          <w:pgMar w:left="240" w:top="544" w:right="35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44" w:right="359" w:bottom="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August 6, 2014, the Registrant issued a press release reporting its second quarter 2014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August 6,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spacing w:after="0"/>
        <w:tabs>
          <w:tab w:leader="none" w:pos="5720" w:val="left"/>
          <w:tab w:leader="none" w:pos="6160" w:val="left"/>
        </w:tabs>
        <w:rPr>
          <w:sz w:val="20"/>
          <w:szCs w:val="20"/>
          <w:color w:val="auto"/>
        </w:rPr>
      </w:pPr>
      <w:r>
        <w:rPr>
          <w:rFonts w:ascii="Arial" w:cs="Arial" w:eastAsia="Arial" w:hAnsi="Arial"/>
          <w:sz w:val="18"/>
          <w:szCs w:val="18"/>
          <w:color w:val="auto"/>
        </w:rPr>
        <w:t>Date: August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4"/>
          <w:szCs w:val="24"/>
          <w:color w:val="auto"/>
        </w:rPr>
      </w:pPr>
    </w:p>
    <w:p>
      <w:pPr>
        <w:spacing w:after="0" w:line="241" w:lineRule="exact"/>
        <w:rPr>
          <w:sz w:val="24"/>
          <w:szCs w:val="24"/>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bookmarkStart w:id="1" w:name="page2"/>
    <w:bookmarkEnd w:id="1"/>
    <w:p>
      <w:pPr>
        <w:ind w:left="4980"/>
        <w:spacing w:after="0"/>
        <w:tabs>
          <w:tab w:leader="none" w:pos="5680" w:val="left"/>
        </w:tabs>
        <w:rPr>
          <w:sz w:val="20"/>
          <w:szCs w:val="20"/>
          <w:color w:val="auto"/>
        </w:rPr>
      </w:pPr>
      <w:r>
        <w:rPr>
          <w:rFonts w:ascii="Arial" w:cs="Arial" w:eastAsia="Arial" w:hAnsi="Arial"/>
          <w:sz w:val="18"/>
          <w:szCs w:val="18"/>
          <w:color w:val="auto"/>
        </w:rPr>
        <w:t>Name:</w:t>
        <w:tab/>
        <w:t>Al Swanson</w:t>
      </w:r>
    </w:p>
    <w:p>
      <w:pPr>
        <w:spacing w:after="0" w:line="23" w:lineRule="exact"/>
        <w:rPr>
          <w:sz w:val="20"/>
          <w:szCs w:val="20"/>
          <w:color w:val="auto"/>
        </w:rPr>
      </w:pPr>
    </w:p>
    <w:p>
      <w:pPr>
        <w:ind w:left="4980"/>
        <w:spacing w:after="0"/>
        <w:tabs>
          <w:tab w:leader="none" w:pos="56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40"/>
          </w:cols>
          <w:pgMar w:left="1440" w:top="125" w:right="91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2014 Results</w:t>
      </w:r>
    </w:p>
    <w:p>
      <w:pPr>
        <w:spacing w:after="0" w:line="229" w:lineRule="exact"/>
        <w:rPr>
          <w:sz w:val="20"/>
          <w:szCs w:val="20"/>
          <w:color w:val="auto"/>
        </w:rPr>
      </w:pPr>
    </w:p>
    <w:p>
      <w:pPr>
        <w:jc w:val="both"/>
        <w:ind w:right="380" w:firstLine="702"/>
        <w:spacing w:after="0" w:line="264" w:lineRule="auto"/>
        <w:rPr>
          <w:sz w:val="20"/>
          <w:szCs w:val="20"/>
          <w:color w:val="auto"/>
        </w:rPr>
      </w:pPr>
      <w:r>
        <w:rPr>
          <w:rFonts w:ascii="Arial" w:cs="Arial" w:eastAsia="Arial" w:hAnsi="Arial"/>
          <w:sz w:val="18"/>
          <w:szCs w:val="18"/>
          <w:color w:val="auto"/>
        </w:rPr>
        <w:t>(Houston — August 6, 2014) Plains All American Pipeline, L.P. (NYSE: PAA) and Plains GP Holdings (NYSE: PAGP) today reported second-quarter 2014 results, with PAA’s results exceeding the midpoint of its quarterly guidance range by 13%. PAA’s second-quarter 2014 results exceeded the midpoint of quarterly guidance in all three of PAA’s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0.45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2"/>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w w:val="95"/>
              </w:rPr>
              <w:t>Diluted adjusted net income per limited partner unit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Distribution per unit declared for the period</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0.6450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0.5875</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240" w:right="20" w:hanging="232"/>
        <w:spacing w:after="0"/>
        <w:tabs>
          <w:tab w:leader="none" w:pos="224"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GAAP measures.</w:t>
      </w:r>
    </w:p>
    <w:p>
      <w:pPr>
        <w:spacing w:after="0" w:line="20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“PAA delivered solid second-quarter results, exceeding the high-end of our initial guidance range and slightly ahead of our updated outlook provided in June,” stated Greg L. Armstrong, Chairman and CEO of Plains All American. “These results were driven by over performance in our Transportation and Supply and Logistics segments.”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Armstrong added, “PAA remains on track to achieve its distribution growth objective of 10% for 2014, while maintaining attractive distribution coverage. PAA’s quarterly distribution of $0.6450 per unit, to be paid next week, represents a 9.8% increase over the quarterly distribution paid in</w:t>
      </w:r>
    </w:p>
    <w:p>
      <w:pPr>
        <w:jc w:val="both"/>
        <w:spacing w:after="0" w:line="255" w:lineRule="auto"/>
        <w:rPr>
          <w:sz w:val="20"/>
          <w:szCs w:val="20"/>
          <w:color w:val="auto"/>
        </w:rPr>
      </w:pPr>
      <w:r>
        <w:rPr>
          <w:rFonts w:ascii="Arial" w:cs="Arial" w:eastAsia="Arial" w:hAnsi="Arial"/>
          <w:sz w:val="18"/>
          <w:szCs w:val="18"/>
          <w:color w:val="auto"/>
        </w:rPr>
        <w:t>August 2013. Given PAA’s trajectory, PAGP also remains on track to achieve its distribution growth objective of 25% for 2014. PAGP’s quarterly distribution of $0.1834 per share represents a 7.5% increase over the quarterly distribution paid in May of 2014 and a 23.1% increase over the initial quarterly distribution included in PAGP’s October 2013 initial public offering (“IPO”) prospectus.</w:t>
      </w:r>
    </w:p>
    <w:p>
      <w:pPr>
        <w:spacing w:after="0" w:line="19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a result of PAA’s first half performance and our outlook for near baseline performance for the remainder of the year, we have increased our full-year adjusted EBITDA guidance by $25 million to a mid-point of $2.175 billion,” said Armstrong. “Our 2014 capital expansion program is proceeding well as we continue to advance a number of attractive projects included in our multi-billion dollar project portfolio. Furthermore, we are well positioned financially, ending the second quarter with a strong balance sheet, credit metrics favorable to PAA’s targeted credit profile and approximately $2.2 billion of committed liquidity.”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second quarter and first half of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June 30, 2014</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360" w:type="dxa"/>
            <w:vAlign w:val="bottom"/>
            <w:tcBorders>
              <w:right w:val="single" w:sz="8" w:color="auto"/>
            </w:tcBorders>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right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i w:val="1"/>
                <w:iCs w:val="1"/>
                <w:color w:val="auto"/>
              </w:rPr>
              <w:t>229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144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167</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153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-10%</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2013 period</w:t>
            </w:r>
          </w:p>
        </w:tc>
        <w:tc>
          <w:tcPr>
            <w:tcW w:w="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June 30, 2014</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w w:val="95"/>
              </w:rPr>
              <w:t>Transportation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i w:val="1"/>
                <w:iCs w:val="1"/>
                <w:color w:val="auto"/>
              </w:rPr>
              <w:t>443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297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338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341</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310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-4%</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-40%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2013 period</w:t>
            </w:r>
          </w:p>
        </w:tc>
        <w:tc>
          <w:tcPr>
            <w:tcW w:w="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40" w:right="20" w:hanging="232"/>
        <w:spacing w:after="0" w:line="260" w:lineRule="auto"/>
        <w:tabs>
          <w:tab w:leader="none" w:pos="224"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2" w:lineRule="exact"/>
        <w:rPr>
          <w:rFonts w:ascii="Arial" w:cs="Arial" w:eastAsia="Arial" w:hAnsi="Arial"/>
          <w:sz w:val="21"/>
          <w:szCs w:val="21"/>
          <w:color w:val="auto"/>
          <w:vertAlign w:val="superscript"/>
        </w:rPr>
      </w:pPr>
    </w:p>
    <w:p>
      <w:pPr>
        <w:ind w:left="220" w:hanging="212"/>
        <w:spacing w:after="0" w:line="196" w:lineRule="auto"/>
        <w:tabs>
          <w:tab w:leader="none" w:pos="2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Second-quarter 2014 Transportation adjusted segment profit increased 37% versus comparable 2013 results. This increase was primarily driven by higher crude oil pipeline volumes associated with recently completed organic growth projects and increased producer drilling activities, partially offset by the sale of our refined products pipelines in 2013.</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Second-quarter 2014 Facilities adjusted segment profit decreased 10% over comparable 2013 results. This decrease was primarily due to the impact of recontracting capacity originally contracted at higher rates within our natural gas storage operations, as well as increased field operating costs. This impact was partially offset by increased profitability from our NGL storage and fractionation activities.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Second-quarter 2014 Supply and Logistics adjusted segment profit decreased by approximately 6% relative to comparable 2013 results. This decrease was primarily related to less favorable NGL market conditions and higher costs, primarily related to increased facility fees, in the second quarter of 2014 compared to the same 2013 period. These impacts were partially offset by more favorable crude oil market conditions during the second quarter of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Q2 2014</w:t>
            </w:r>
          </w:p>
        </w:tc>
        <w:tc>
          <w:tcPr>
            <w:tcW w:w="260" w:type="dxa"/>
            <w:vAlign w:val="bottom"/>
          </w:tcPr>
          <w:p>
            <w:pPr>
              <w:spacing w:after="0"/>
              <w:rPr>
                <w:sz w:val="12"/>
                <w:szCs w:val="12"/>
                <w:color w:val="auto"/>
              </w:rPr>
            </w:pPr>
          </w:p>
        </w:tc>
        <w:tc>
          <w:tcPr>
            <w:tcW w:w="14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Q1 2014</w:t>
            </w: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provided in</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IPO prospectus</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share for the period</w:t>
            </w: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0.18340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0.17055</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0.14904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b w:val="1"/>
                <w:bCs w:val="1"/>
                <w:color w:val="auto"/>
              </w:rPr>
              <w:t>Q2 2014 distribution percentage growth over previous benchmarks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PAA and PAGP will hold a conference call on August 7, 2014 (see details below). Prior to this conference call, PAA will furnish a current report on Form 8-K, which will include material in this news release as well as PAA’s financial and operational guidance for the third quarter and full year of 2014.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EDT on Thursday, August 7, 2014 to discuss the following items:</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second-quarter 2014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guidance for the third quarter and full year of 2014; and</w:t>
      </w:r>
    </w:p>
    <w:p>
      <w:pPr>
        <w:sectPr>
          <w:pgSz w:w="11900" w:h="16847" w:orient="portrait"/>
          <w:cols w:equalWidth="0" w:num="1">
            <w:col w:w="11420"/>
          </w:cols>
          <w:pgMar w:left="240" w:top="91" w:right="239" w:bottom="0" w:gutter="0" w:footer="0" w:header="0"/>
        </w:sectPr>
      </w:pPr>
    </w:p>
    <w:bookmarkStart w:id="4" w:name="page5"/>
    <w:bookmarkEnd w:id="4"/>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230-1085. International callers should dial (612) 332-0107. No password is required. The slide presentation accompanying the conference call will be available a few minutes prior to the call under the “Events and Presentations” tab of the PAA and PAGP Investor Relations sections of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331340. The replay will be available beginning Thursday, August 7, 2014, at approximately 1:00 p.m. EDT and will continue until 11:59 p.m. EDT on September 7,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7" w:lineRule="exact"/>
        <w:rPr>
          <w:sz w:val="20"/>
          <w:szCs w:val="20"/>
          <w:color w:val="auto"/>
        </w:rPr>
      </w:pPr>
    </w:p>
    <w:p>
      <w:pPr>
        <w:ind w:right="320" w:firstLine="8"/>
        <w:spacing w:after="0" w:line="255"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9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environmental liabilities or events that are not covered by an indemnity, insurance or existing reserves;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weather interference with business operations or project construction, including the impact of extreme weather events or conditions;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currency exchange rate of the Canadian dollar; the availability of, and our ability to consummate, acquisition or</w:t>
      </w:r>
    </w:p>
    <w:p>
      <w:pPr>
        <w:sectPr>
          <w:pgSz w:w="11900" w:h="16838" w:orient="portrait"/>
          <w:cols w:equalWidth="0" w:num="1">
            <w:col w:w="11420"/>
          </w:cols>
          <w:pgMar w:left="240" w:top="341" w:right="239" w:bottom="0" w:gutter="0" w:footer="0" w:header="0"/>
        </w:sectPr>
      </w:pPr>
    </w:p>
    <w:bookmarkStart w:id="5" w:name="page6"/>
    <w:bookmarkEnd w:id="5"/>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combination opportunities; the successful integration and future performance of acquired assets or businesses and the risks associated with operating in lines of business that are distinct and separate from our historical operations; shortages or cost increases of supplies, materials or labor; the effectiveness of our risk management activities;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11,195</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10,295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22,878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20,950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22,021</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40" w:type="dxa"/>
            <w:vAlign w:val="bottom"/>
          </w:tcPr>
          <w:p>
            <w:pPr>
              <w:ind w:left="160"/>
              <w:spacing w:after="0"/>
              <w:rPr>
                <w:sz w:val="20"/>
                <w:szCs w:val="20"/>
                <w:color w:val="auto"/>
              </w:rPr>
            </w:pPr>
            <w:r>
              <w:rPr>
                <w:rFonts w:ascii="Arial" w:cs="Arial" w:eastAsia="Arial" w:hAnsi="Arial"/>
                <w:sz w:val="18"/>
                <w:szCs w:val="18"/>
                <w:b w:val="1"/>
                <w:bCs w:val="1"/>
                <w:color w:val="auto"/>
              </w:rPr>
              <w:t>LIMITED PARTNERS</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Arial" w:cs="Arial" w:eastAsia="Arial" w:hAnsi="Arial"/>
                <w:sz w:val="18"/>
                <w:szCs w:val="18"/>
                <w:b w:val="1"/>
                <w:bCs w:val="1"/>
                <w:color w:val="auto"/>
              </w:rPr>
              <w:t>GENERAL PARTNER</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8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0.58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138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0.57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UNITS OUTSTANDING</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WEIGHTED AVERAGE UNITS OUTSTANDING</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8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ADJUSTED NET INCOME PER LIMITED PARTNER</w:t>
            </w:r>
          </w:p>
        </w:tc>
        <w:tc>
          <w:tcPr>
            <w:tcW w:w="600" w:type="dxa"/>
            <w:vAlign w:val="bottom"/>
            <w:vMerge w:val="restart"/>
            <w:shd w:val="clear" w:color="auto" w:fill="CCEEFF"/>
          </w:tcPr>
          <w:p>
            <w:pPr>
              <w:spacing w:after="0"/>
              <w:rPr>
                <w:sz w:val="17"/>
                <w:szCs w:val="17"/>
                <w:color w:val="auto"/>
              </w:rPr>
            </w:pPr>
          </w:p>
        </w:tc>
        <w:tc>
          <w:tcPr>
            <w:tcW w:w="780" w:type="dxa"/>
            <w:vAlign w:val="bottom"/>
            <w:vMerge w:val="restart"/>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vMerge w:val="restart"/>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6"/>
              </w:rPr>
              <w:t>0.56</w:t>
            </w:r>
          </w:p>
        </w:tc>
        <w:tc>
          <w:tcPr>
            <w:tcW w:w="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5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8"/>
                <w:szCs w:val="18"/>
                <w:color w:val="auto"/>
              </w:rPr>
              <w:t>– more –</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960" w:type="dxa"/>
            <w:vAlign w:val="bottom"/>
          </w:tcPr>
          <w:p>
            <w:pPr>
              <w:ind w:left="50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gridSpan w:val="3"/>
          </w:tcPr>
          <w:p>
            <w:pPr>
              <w:jc w:val="right"/>
              <w:ind w:right="119"/>
              <w:spacing w:after="0"/>
              <w:rPr>
                <w:sz w:val="20"/>
                <w:szCs w:val="20"/>
                <w:color w:val="auto"/>
              </w:rPr>
            </w:pPr>
            <w:r>
              <w:rPr>
                <w:rFonts w:ascii="Arial" w:cs="Arial" w:eastAsia="Arial" w:hAnsi="Arial"/>
                <w:sz w:val="18"/>
                <w:szCs w:val="18"/>
                <w:b w:val="1"/>
                <w:bCs w:val="1"/>
                <w:color w:val="auto"/>
                <w:w w:val="89"/>
              </w:rPr>
              <w:t>Houston, Texas 77002</w:t>
            </w:r>
          </w:p>
        </w:tc>
        <w:tc>
          <w:tcPr>
            <w:tcW w:w="248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rPr>
              <w:t>713-646-4100 / 800-564-3036</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29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54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5,168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2,502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54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5,423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 under credit facilities and other</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13,383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8,053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2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8,112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2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0" w:type="dxa"/>
            <w:vAlign w:val="bottom"/>
            <w:gridSpan w:val="3"/>
            <w:vMerge w:val="continue"/>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7,414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5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280" w:type="dxa"/>
            <w:vAlign w:val="bottom"/>
            <w:vMerge w:val="restart"/>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gridSpan w:val="3"/>
            <w:vMerge w:val="continue"/>
          </w:tcPr>
          <w:p>
            <w:pPr>
              <w:spacing w:after="0"/>
              <w:rPr>
                <w:sz w:val="20"/>
                <w:szCs w:val="20"/>
                <w:color w:val="auto"/>
              </w:rPr>
            </w:pPr>
          </w:p>
        </w:tc>
        <w:tc>
          <w:tcPr>
            <w:tcW w:w="2280" w:type="dxa"/>
            <w:vAlign w:val="bottom"/>
            <w:vMerge w:val="continue"/>
          </w:tcPr>
          <w:p>
            <w:pPr>
              <w:spacing w:after="0"/>
              <w:rPr>
                <w:sz w:val="20"/>
                <w:szCs w:val="20"/>
                <w:color w:val="auto"/>
              </w:rPr>
            </w:pPr>
          </w:p>
        </w:tc>
        <w:tc>
          <w:tcPr>
            <w:tcW w:w="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16,289</w:t>
            </w:r>
          </w:p>
        </w:tc>
        <w:tc>
          <w:tcPr>
            <w:tcW w:w="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15,531</w:t>
            </w: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432"/>
        </w:trPr>
        <w:tc>
          <w:tcPr>
            <w:tcW w:w="4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more –</w:t>
            </w:r>
          </w:p>
        </w:tc>
        <w:tc>
          <w:tcPr>
            <w:tcW w:w="3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700" w:type="dxa"/>
            <w:vAlign w:val="bottom"/>
          </w:tcPr>
          <w:p>
            <w:pPr>
              <w:jc w:val="right"/>
              <w:ind w:right="1210"/>
              <w:spacing w:after="0"/>
              <w:rPr>
                <w:sz w:val="20"/>
                <w:szCs w:val="20"/>
                <w:color w:val="auto"/>
              </w:rPr>
            </w:pPr>
            <w:r>
              <w:rPr>
                <w:rFonts w:ascii="Arial" w:cs="Arial" w:eastAsia="Arial" w:hAnsi="Arial"/>
                <w:sz w:val="18"/>
                <w:szCs w:val="18"/>
                <w:b w:val="1"/>
                <w:bCs w:val="1"/>
                <w:color w:val="auto"/>
                <w:w w:val="99"/>
              </w:rPr>
              <w:t>713-646-4100 / 800-564-3036</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74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370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80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(10,578)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Equity-indexed compensation expense - operations</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Six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80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(21,553)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(19,249)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Equity-indexed compensation expense - operations</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240" w:right="160" w:hanging="232"/>
        <w:spacing w:after="0" w:line="242" w:lineRule="auto"/>
        <w:tabs>
          <w:tab w:leader="none" w:pos="224"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220" w:hanging="212"/>
        <w:spacing w:after="0" w:line="196" w:lineRule="auto"/>
        <w:tabs>
          <w:tab w:leader="none" w:pos="2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Certain non-GAAP financial measures may not be impacted by each of the selected items impacting comparability.</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ectPr>
          <w:pgSz w:w="11900" w:h="16838" w:orient="portrait"/>
          <w:cols w:equalWidth="0" w:num="1">
            <w:col w:w="11460"/>
          </w:cols>
          <w:pgMar w:left="240" w:top="140" w:right="19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9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activities (average daily volumes in thousands of barrels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Bakken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Basin / Mesa</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714</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680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Eagle Ford Area Systems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Manito</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Permian Basin Area Systems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759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548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Rangeland</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Salt Lake City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739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Refined Products Pipelines</w:t>
            </w:r>
          </w:p>
        </w:tc>
        <w:tc>
          <w:tcPr>
            <w:tcW w:w="142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3,804</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3,495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Trucking</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activities total</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activities (average monthly volumes):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vMerge w:val="restart"/>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8"/>
              </w:rPr>
              <w:t>Rail load / unload volumes (average volumes in thousands of barrels per</w:t>
            </w:r>
          </w:p>
        </w:tc>
        <w:tc>
          <w:tcPr>
            <w:tcW w:w="7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80" w:type="dxa"/>
            <w:vAlign w:val="bottom"/>
            <w:vMerge w:val="restart"/>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vMerge w:val="restart"/>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8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day)</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Natural gas storage (average monthly capacity in billions of cubic feet)</w:t>
            </w:r>
          </w:p>
        </w:tc>
        <w:tc>
          <w:tcPr>
            <w:tcW w:w="7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NGL fractionation (average volumes in thousands of barrels per day)</w:t>
            </w:r>
          </w:p>
        </w:tc>
        <w:tc>
          <w:tcPr>
            <w:tcW w:w="7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line="156" w:lineRule="exact"/>
              <w:rPr>
                <w:sz w:val="20"/>
                <w:szCs w:val="20"/>
                <w:color w:val="auto"/>
              </w:rPr>
            </w:pPr>
            <w:r>
              <w:rPr>
                <w:rFonts w:ascii="Arial" w:cs="Arial" w:eastAsia="Arial" w:hAnsi="Arial"/>
                <w:sz w:val="18"/>
                <w:szCs w:val="18"/>
                <w:color w:val="auto"/>
              </w:rPr>
              <w:t>Facilities activities total (average monthly volumes in millions of barrels)</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8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120</w:t>
            </w:r>
          </w:p>
        </w:tc>
        <w:tc>
          <w:tcPr>
            <w:tcW w:w="72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121</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0"/>
                <w:szCs w:val="10"/>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2"/>
                <w:szCs w:val="12"/>
                <w:color w:val="auto"/>
              </w:rPr>
              <w:t>(2)</w:t>
            </w:r>
          </w:p>
        </w:tc>
        <w:tc>
          <w:tcPr>
            <w:tcW w:w="7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Supply and Logistics activities (average daily volumes in thousands of</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42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Supply and Logistics activities total</w:t>
            </w: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1,070</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1,020</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400" w:hanging="172"/>
        <w:spacing w:after="0" w:line="274" w:lineRule="auto"/>
        <w:tabs>
          <w:tab w:leader="none" w:pos="164"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Volumes associated with assets employed through acquisitions and internal growth projects represent total volumes (attributable to our interest) for the number of days or months we employed the assets divided by the number of days or months in the period.</w:t>
      </w:r>
    </w:p>
    <w:p>
      <w:pPr>
        <w:ind w:left="180" w:right="40" w:hanging="172"/>
        <w:spacing w:after="0" w:line="294" w:lineRule="auto"/>
        <w:tabs>
          <w:tab w:leader="none" w:pos="164"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Facilities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r>
      <w:tr>
        <w:trPr>
          <w:trHeight w:val="178"/>
        </w:trPr>
        <w:tc>
          <w:tcPr>
            <w:tcW w:w="4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47"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 participating</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available to limited partners in accordance with application of the</w:t>
            </w: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vMerge w:val="restart"/>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432</w:t>
            </w:r>
          </w:p>
        </w:tc>
        <w:tc>
          <w:tcPr>
            <w:tcW w:w="440" w:type="dxa"/>
            <w:vAlign w:val="bottom"/>
            <w:vMerge w:val="restart"/>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1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 participating</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available to limited partners in accordance with application of the</w:t>
            </w: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vMerge w:val="restart"/>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432</w:t>
            </w:r>
          </w:p>
        </w:tc>
        <w:tc>
          <w:tcPr>
            <w:tcW w:w="440" w:type="dxa"/>
            <w:vAlign w:val="bottom"/>
            <w:vMerge w:val="restart"/>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1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20" w:hanging="172"/>
        <w:spacing w:after="0" w:line="298" w:lineRule="auto"/>
        <w:tabs>
          <w:tab w:leader="none" w:pos="164"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79" w:lineRule="exact"/>
        <w:rPr>
          <w:rFonts w:ascii="Arial" w:cs="Arial" w:eastAsia="Arial" w:hAnsi="Arial"/>
          <w:sz w:val="19"/>
          <w:szCs w:val="19"/>
          <w:color w:val="auto"/>
          <w:vertAlign w:val="superscript"/>
        </w:rPr>
      </w:pPr>
    </w:p>
    <w:p>
      <w:pPr>
        <w:ind w:left="180" w:right="80" w:hanging="172"/>
        <w:spacing w:after="0" w:line="424" w:lineRule="auto"/>
        <w:tabs>
          <w:tab w:leader="none" w:pos="164"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940" w:type="dxa"/>
            <w:vAlign w:val="bottom"/>
            <w:gridSpan w:val="2"/>
          </w:tcPr>
          <w:p>
            <w:pPr>
              <w:jc w:val="right"/>
              <w:ind w:right="57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gain/(loss) on foreign currency revaluation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Selected items impacting comparability of net income attributable to PAA</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(0.06)</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0.02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1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577"/>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(0.05</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0.01</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3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1" w:lineRule="exact"/>
        <w:rPr>
          <w:rFonts w:ascii="Arial" w:cs="Arial" w:eastAsia="Arial" w:hAnsi="Arial"/>
          <w:sz w:val="21"/>
          <w:szCs w:val="21"/>
          <w:color w:val="auto"/>
          <w:vertAlign w:val="superscript"/>
        </w:rPr>
      </w:pPr>
    </w:p>
    <w:p>
      <w:pPr>
        <w:ind w:left="180" w:right="220" w:hanging="172"/>
        <w:spacing w:after="0" w:line="264" w:lineRule="auto"/>
        <w:tabs>
          <w:tab w:leader="none" w:pos="164"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Includes mark-to-market gains and losses resulting from derivative instruments that are related to underlying activities in future periods or the reversal of mark-to-market gains and losses from the prior period, net of inventory valuation adjustments, as applicable.</w:t>
      </w:r>
    </w:p>
    <w:p>
      <w:pPr>
        <w:ind w:left="180" w:right="20" w:hanging="172"/>
        <w:spacing w:after="0" w:line="265" w:lineRule="auto"/>
        <w:tabs>
          <w:tab w:leader="none" w:pos="164"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Equity-indexed compensation expense above excludes the portion of equity-indexed compensation expense represented by grants under LTIP that, pursuant to the terms of the grant, will be settled in cash only and have no impact on diluted units.</w:t>
      </w:r>
    </w:p>
    <w:p>
      <w:pPr>
        <w:ind w:left="180" w:hanging="172"/>
        <w:spacing w:after="0" w:line="214"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other immaterial selected items impacting comparability, as well as the noncontrolling interests’ portion of selected items.</w:t>
      </w:r>
    </w:p>
    <w:p>
      <w:pPr>
        <w:sectPr>
          <w:pgSz w:w="11900" w:h="16838" w:orient="portrait"/>
          <w:cols w:equalWidth="0" w:num="1">
            <w:col w:w="11420"/>
          </w:cols>
          <w:pgMar w:left="240" w:top="91"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w w:val="95"/>
              </w:rPr>
              <w:t>Selected items impacting comparability of net income attributable to PAA</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Undistributed earnings allocated and distributions to participating</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96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0.51</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160"/>
              <w:spacing w:after="0" w:line="162" w:lineRule="exact"/>
              <w:rPr>
                <w:sz w:val="20"/>
                <w:szCs w:val="20"/>
                <w:color w:val="auto"/>
              </w:rPr>
            </w:pPr>
            <w:r>
              <w:rPr>
                <w:rFonts w:ascii="Arial" w:cs="Arial" w:eastAsia="Arial" w:hAnsi="Arial"/>
                <w:sz w:val="18"/>
                <w:szCs w:val="18"/>
                <w:color w:val="auto"/>
                <w:w w:val="95"/>
              </w:rPr>
              <w:t>Selected items impacting comparability of net income attributable to PAA</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Undistributed earnings allocated and distributions to participating</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96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200" w:right="40" w:hanging="192"/>
        <w:spacing w:after="0" w:line="233" w:lineRule="auto"/>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5900" w:type="dxa"/>
        <w:tblCellMar>
          <w:top w:w="0" w:type="dxa"/>
          <w:left w:w="0" w:type="dxa"/>
          <w:bottom w:w="0" w:type="dxa"/>
          <w:right w:w="0" w:type="dxa"/>
        </w:tblCellMar>
      </w:tblPr>
      <w:tr>
        <w:trPr>
          <w:trHeight w:val="161"/>
        </w:trPr>
        <w:tc>
          <w:tcPr>
            <w:tcW w:w="2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880" w:type="dxa"/>
            <w:vAlign w:val="bottom"/>
          </w:tcPr>
          <w:p>
            <w:pPr>
              <w:spacing w:after="0"/>
              <w:rPr>
                <w:sz w:val="14"/>
                <w:szCs w:val="14"/>
                <w:color w:val="auto"/>
              </w:rPr>
            </w:pPr>
          </w:p>
        </w:tc>
        <w:tc>
          <w:tcPr>
            <w:tcW w:w="20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4"/>
                <w:szCs w:val="14"/>
                <w:color w:val="auto"/>
              </w:rPr>
            </w:pPr>
          </w:p>
        </w:tc>
        <w:tc>
          <w:tcPr>
            <w:tcW w:w="1680" w:type="dxa"/>
            <w:vAlign w:val="bottom"/>
          </w:tcPr>
          <w:p>
            <w:pPr>
              <w:jc w:val="center"/>
              <w:ind w:right="788"/>
              <w:spacing w:after="0"/>
              <w:rPr>
                <w:sz w:val="20"/>
                <w:szCs w:val="20"/>
                <w:color w:val="auto"/>
              </w:rPr>
            </w:pPr>
            <w:r>
              <w:rPr>
                <w:rFonts w:ascii="Arial" w:cs="Arial" w:eastAsia="Arial" w:hAnsi="Arial"/>
                <w:sz w:val="14"/>
                <w:szCs w:val="14"/>
                <w:b w:val="1"/>
                <w:bCs w:val="1"/>
                <w:color w:val="auto"/>
                <w:w w:val="89"/>
              </w:rPr>
              <w:t>June 30,</w:t>
            </w:r>
          </w:p>
        </w:tc>
      </w:tr>
      <w:tr>
        <w:trPr>
          <w:trHeight w:val="144"/>
        </w:trPr>
        <w:tc>
          <w:tcPr>
            <w:tcW w:w="880" w:type="dxa"/>
            <w:vAlign w:val="bottom"/>
            <w:tcBorders>
              <w:top w:val="single" w:sz="8" w:color="auto"/>
            </w:tcBorders>
          </w:tcPr>
          <w:p>
            <w:pPr>
              <w:jc w:val="right"/>
              <w:ind w:right="88"/>
              <w:spacing w:after="0" w:line="144" w:lineRule="exact"/>
              <w:rPr>
                <w:sz w:val="20"/>
                <w:szCs w:val="20"/>
                <w:color w:val="auto"/>
              </w:rPr>
            </w:pPr>
            <w:r>
              <w:rPr>
                <w:rFonts w:ascii="Arial" w:cs="Arial" w:eastAsia="Arial" w:hAnsi="Arial"/>
                <w:sz w:val="14"/>
                <w:szCs w:val="14"/>
                <w:b w:val="1"/>
                <w:bCs w:val="1"/>
                <w:color w:val="auto"/>
              </w:rPr>
              <w:t>2014</w:t>
            </w:r>
          </w:p>
        </w:tc>
        <w:tc>
          <w:tcPr>
            <w:tcW w:w="1720" w:type="dxa"/>
            <w:vAlign w:val="bottom"/>
            <w:tcBorders>
              <w:top w:val="single" w:sz="8" w:color="auto"/>
            </w:tcBorders>
          </w:tcPr>
          <w:p>
            <w:pPr>
              <w:jc w:val="right"/>
              <w:ind w:right="348"/>
              <w:spacing w:after="0" w:line="144"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860" w:type="dxa"/>
            <w:vAlign w:val="bottom"/>
            <w:tcBorders>
              <w:top w:val="single" w:sz="8" w:color="auto"/>
            </w:tcBorders>
          </w:tcPr>
          <w:p>
            <w:pPr>
              <w:jc w:val="right"/>
              <w:ind w:right="68"/>
              <w:spacing w:after="0" w:line="144" w:lineRule="exact"/>
              <w:rPr>
                <w:sz w:val="20"/>
                <w:szCs w:val="20"/>
                <w:color w:val="auto"/>
              </w:rPr>
            </w:pPr>
            <w:r>
              <w:rPr>
                <w:rFonts w:ascii="Arial" w:cs="Arial" w:eastAsia="Arial" w:hAnsi="Arial"/>
                <w:sz w:val="14"/>
                <w:szCs w:val="14"/>
                <w:b w:val="1"/>
                <w:bCs w:val="1"/>
                <w:color w:val="auto"/>
              </w:rPr>
              <w:t>2014</w:t>
            </w:r>
          </w:p>
        </w:tc>
        <w:tc>
          <w:tcPr>
            <w:tcW w:w="1680" w:type="dxa"/>
            <w:vAlign w:val="bottom"/>
            <w:tcBorders>
              <w:top w:val="single" w:sz="8" w:color="auto"/>
            </w:tcBorders>
          </w:tcPr>
          <w:p>
            <w:pPr>
              <w:jc w:val="right"/>
              <w:ind w:right="348"/>
              <w:spacing w:after="0" w:line="144" w:lineRule="exact"/>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7"/>
          <w:szCs w:val="17"/>
          <w:b w:val="1"/>
          <w:bCs w:val="1"/>
          <w:color w:val="auto"/>
        </w:rPr>
        <w:t>Net Income to Earnings Before Interest, Taxes, Depreciation and</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Amortization (“EBITDA”) and Excluding Selected Items Impacting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Comparability (“Adjusted EBITDA”) Reconciliations</w:t>
      </w:r>
    </w:p>
    <w:p>
      <w:pPr>
        <w:sectPr>
          <w:pgSz w:w="11900" w:h="16838" w:orient="portrait"/>
          <w:cols w:equalWidth="0" w:num="1">
            <w:col w:w="11420"/>
          </w:cols>
          <w:pgMar w:left="240" w:top="125"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6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672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20"/>
                <w:szCs w:val="20"/>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EBITDA</w:t>
            </w:r>
          </w:p>
        </w:tc>
        <w:tc>
          <w:tcPr>
            <w:tcW w:w="88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Adjusted EBITDA</w:t>
            </w:r>
          </w:p>
        </w:tc>
        <w:tc>
          <w:tcPr>
            <w:tcW w:w="12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478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1,079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4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Implied DCF</w:t>
            </w:r>
          </w:p>
        </w:tc>
        <w:tc>
          <w:tcPr>
            <w:tcW w:w="4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 Reconciliation</w:t>
            </w:r>
          </w:p>
        </w:tc>
        <w:tc>
          <w:tcPr>
            <w:tcW w:w="1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EBITDA</w:t>
            </w:r>
          </w:p>
        </w:tc>
        <w:tc>
          <w:tcPr>
            <w:tcW w:w="202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492</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484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1,099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2"/>
              </w:rPr>
              <w:t>Other items to reconcile to cash flows from operating activities:</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6"/>
        </w:trPr>
        <w:tc>
          <w:tcPr>
            <w:tcW w:w="46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8"/>
                <w:szCs w:val="18"/>
                <w:color w:val="auto"/>
              </w:rPr>
              <w:t>– more –</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66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2020" w:type="dxa"/>
            <w:vAlign w:val="bottom"/>
            <w:gridSpan w:val="2"/>
          </w:tcPr>
          <w:p>
            <w:pPr>
              <w:jc w:val="right"/>
              <w:ind w:right="222"/>
              <w:spacing w:after="0"/>
              <w:rPr>
                <w:sz w:val="20"/>
                <w:szCs w:val="20"/>
                <w:color w:val="auto"/>
              </w:rPr>
            </w:pPr>
            <w:r>
              <w:rPr>
                <w:rFonts w:ascii="Arial" w:cs="Arial" w:eastAsia="Arial" w:hAnsi="Arial"/>
                <w:sz w:val="18"/>
                <w:szCs w:val="18"/>
                <w:b w:val="1"/>
                <w:bCs w:val="1"/>
                <w:color w:val="auto"/>
                <w:w w:val="89"/>
              </w:rPr>
              <w:t>Houston, Texas 77002</w:t>
            </w:r>
          </w:p>
        </w:tc>
        <w:tc>
          <w:tcPr>
            <w:tcW w:w="3220" w:type="dxa"/>
            <w:vAlign w:val="bottom"/>
            <w:gridSpan w:val="9"/>
          </w:tcPr>
          <w:p>
            <w:pPr>
              <w:jc w:val="right"/>
              <w:ind w:right="596"/>
              <w:spacing w:after="0"/>
              <w:rPr>
                <w:sz w:val="20"/>
                <w:szCs w:val="20"/>
                <w:color w:val="auto"/>
              </w:rPr>
            </w:pPr>
            <w:r>
              <w:rPr>
                <w:rFonts w:ascii="Arial" w:cs="Arial" w:eastAsia="Arial" w:hAnsi="Arial"/>
                <w:sz w:val="18"/>
                <w:szCs w:val="18"/>
                <w:b w:val="1"/>
                <w:bCs w:val="1"/>
                <w:color w:val="auto"/>
                <w:w w:val="96"/>
              </w:rPr>
              <w:t>(713) 646-4100 / (866) 809-1291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466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June 30, 2014</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2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Consolidating</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right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6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 xml:space="preserve">Adjustments </w:t>
            </w:r>
            <w:r>
              <w:rPr>
                <w:rFonts w:ascii="Arial" w:cs="Arial" w:eastAsia="Arial" w:hAnsi="Arial"/>
                <w:sz w:val="8"/>
                <w:szCs w:val="8"/>
                <w:b w:val="1"/>
                <w:bCs w:val="1"/>
                <w:color w:val="auto"/>
                <w:w w:val="95"/>
              </w:rPr>
              <w:t>(1)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11,195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22,878</w:t>
            </w:r>
          </w:p>
        </w:tc>
        <w:tc>
          <w:tcPr>
            <w:tcW w:w="2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COSTS AND EXPENSES</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Purchases and related costs</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10,280</w:t>
            </w: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10,280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Field operating costs</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91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ind w:left="160"/>
              <w:spacing w:after="0" w:line="142" w:lineRule="exact"/>
              <w:rPr>
                <w:sz w:val="20"/>
                <w:szCs w:val="20"/>
                <w:color w:val="auto"/>
              </w:rPr>
            </w:pPr>
            <w:r>
              <w:rPr>
                <w:rFonts w:ascii="Arial" w:cs="Arial" w:eastAsia="Arial" w:hAnsi="Arial"/>
                <w:sz w:val="14"/>
                <w:szCs w:val="14"/>
                <w:color w:val="auto"/>
              </w:rPr>
              <w:t>Total costs and expenses</w:t>
            </w: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10,830</w:t>
            </w: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10,831</w:t>
            </w:r>
          </w:p>
        </w:tc>
        <w:tc>
          <w:tcPr>
            <w:tcW w:w="180" w:type="dxa"/>
            <w:vAlign w:val="bottom"/>
            <w:tcBorders>
              <w:bottom w:val="single" w:sz="8" w:color="CCEEFF"/>
              <w:right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364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OTHER INCOME/(EXPENSE)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earnings in unconsolidated entities</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2"/>
                <w:szCs w:val="12"/>
                <w:color w:val="auto"/>
              </w:rPr>
            </w:pP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income/(expense), net</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TAX</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Current income tax expense</w:t>
            </w:r>
          </w:p>
        </w:tc>
        <w:tc>
          <w:tcPr>
            <w:tcW w:w="2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 expense</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Net income attributable to noncontrolling interests</w:t>
            </w:r>
          </w:p>
        </w:tc>
        <w:tc>
          <w:tcPr>
            <w:tcW w:w="2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(260)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(617)</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 ATTRIBUTABLE TO PAGP</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8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shd w:val="clear" w:color="auto" w:fill="CCEEFF"/>
          </w:tcPr>
          <w:p>
            <w:pPr>
              <w:ind w:left="160"/>
              <w:spacing w:after="0" w:line="126" w:lineRule="exact"/>
              <w:rPr>
                <w:sz w:val="20"/>
                <w:szCs w:val="20"/>
                <w:color w:val="auto"/>
              </w:rPr>
            </w:pPr>
            <w:r>
              <w:rPr>
                <w:rFonts w:ascii="Arial" w:cs="Arial" w:eastAsia="Arial" w:hAnsi="Arial"/>
                <w:sz w:val="14"/>
                <w:szCs w:val="14"/>
                <w:b w:val="1"/>
                <w:bCs w:val="1"/>
                <w:color w:val="auto"/>
              </w:rPr>
              <w:t>BASIC AND DILUTED NET INCOME PER</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40" w:type="dxa"/>
            <w:vAlign w:val="bottom"/>
            <w:shd w:val="clear" w:color="auto" w:fill="CCEEFF"/>
          </w:tcPr>
          <w:p>
            <w:pPr>
              <w:ind w:left="340"/>
              <w:spacing w:after="0" w:line="158" w:lineRule="exact"/>
              <w:rPr>
                <w:sz w:val="20"/>
                <w:szCs w:val="20"/>
                <w:color w:val="auto"/>
              </w:rPr>
            </w:pPr>
            <w:r>
              <w:rPr>
                <w:rFonts w:ascii="Arial" w:cs="Arial" w:eastAsia="Arial" w:hAnsi="Arial"/>
                <w:sz w:val="14"/>
                <w:szCs w:val="14"/>
                <w:b w:val="1"/>
                <w:bCs w:val="1"/>
                <w:color w:val="auto"/>
              </w:rPr>
              <w:t>CLASS A SHARE</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940" w:type="dxa"/>
            <w:vAlign w:val="bottom"/>
            <w:tcBorders>
              <w:right w:val="single" w:sz="8" w:color="CCEEFF"/>
            </w:tcBorders>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12" w:name="page13"/>
    <w:bookmarkEnd w:id="12"/>
    <w:p>
      <w:pPr>
        <w:spacing w:after="0" w:line="6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color w:val="auto"/>
              </w:rPr>
              <w:t>BASIC AND DILUTED WEIGHTED AVERAGE</w:t>
            </w:r>
          </w:p>
        </w:tc>
        <w:tc>
          <w:tcPr>
            <w:tcW w:w="4020" w:type="dxa"/>
            <w:vAlign w:val="bottom"/>
            <w:vMerge w:val="restart"/>
          </w:tcPr>
          <w:p>
            <w:pPr>
              <w:jc w:val="right"/>
              <w:ind w:right="1908"/>
              <w:spacing w:after="0"/>
              <w:rPr>
                <w:sz w:val="20"/>
                <w:szCs w:val="20"/>
                <w:color w:val="auto"/>
              </w:rPr>
            </w:pPr>
            <w:r>
              <w:rPr>
                <w:rFonts w:ascii="Arial" w:cs="Arial" w:eastAsia="Arial" w:hAnsi="Arial"/>
                <w:sz w:val="14"/>
                <w:szCs w:val="14"/>
                <w:color w:val="auto"/>
              </w:rPr>
              <w:t>136</w:t>
            </w:r>
          </w:p>
        </w:tc>
        <w:tc>
          <w:tcPr>
            <w:tcW w:w="222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6"/>
        </w:trPr>
        <w:tc>
          <w:tcPr>
            <w:tcW w:w="4900" w:type="dxa"/>
            <w:vAlign w:val="bottom"/>
          </w:tcPr>
          <w:p>
            <w:pPr>
              <w:ind w:left="180"/>
              <w:spacing w:after="0"/>
              <w:rPr>
                <w:sz w:val="20"/>
                <w:szCs w:val="20"/>
                <w:color w:val="auto"/>
              </w:rPr>
            </w:pPr>
            <w:r>
              <w:rPr>
                <w:rFonts w:ascii="Arial" w:cs="Arial" w:eastAsia="Arial" w:hAnsi="Arial"/>
                <w:sz w:val="14"/>
                <w:szCs w:val="14"/>
                <w:b w:val="1"/>
                <w:bCs w:val="1"/>
                <w:color w:val="auto"/>
              </w:rPr>
              <w:t>CLASS A SHARES OUTSTANDING</w:t>
            </w:r>
          </w:p>
        </w:tc>
        <w:tc>
          <w:tcPr>
            <w:tcW w:w="402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the aggregate consolidating adjustments necessary to produce consolidated financial statements for PAGP.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2014</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5,168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2,502</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1,076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21,495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5,423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13,383</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8,053</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(7,007)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8,112</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21,495</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2014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Q2 2014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8/1/14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Distribution from PAA to AAP</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Other</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9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53"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Direct AAP Owners &amp; AAP Management (79.1% economic interest)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PAGP (20.9% economic interest)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960" w:type="dxa"/>
            <w:vAlign w:val="bottom"/>
            <w:gridSpan w:val="2"/>
          </w:tcPr>
          <w:p>
            <w:pPr>
              <w:spacing w:after="0"/>
              <w:rPr>
                <w:sz w:val="20"/>
                <w:szCs w:val="20"/>
                <w:color w:val="auto"/>
              </w:rPr>
            </w:pPr>
            <w:r>
              <w:rPr>
                <w:rFonts w:ascii="Arial" w:cs="Arial" w:eastAsia="Arial" w:hAnsi="Arial"/>
                <w:sz w:val="18"/>
                <w:szCs w:val="18"/>
                <w:color w:val="auto"/>
              </w:rPr>
              <w:t>Total distributions to AAP Partners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Distribution to PAGP Investors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Class A Shares Outstanding at 8/1/14</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gridSpan w:val="2"/>
          </w:tcPr>
          <w:p>
            <w:pPr>
              <w:spacing w:after="0"/>
              <w:rPr>
                <w:sz w:val="20"/>
                <w:szCs w:val="20"/>
                <w:color w:val="auto"/>
              </w:rPr>
            </w:pPr>
            <w:r>
              <w:rPr>
                <w:rFonts w:ascii="Arial" w:cs="Arial" w:eastAsia="Arial" w:hAnsi="Arial"/>
                <w:sz w:val="18"/>
                <w:szCs w:val="18"/>
                <w:color w:val="auto"/>
              </w:rPr>
              <w:t>PAGP Distribution/Class A Share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0.18340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Amounts may not recalculate due to rounding.</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jc w:val="right"/>
        <w:ind w:right="2340"/>
        <w:spacing w:after="0"/>
        <w:tabs>
          <w:tab w:leader="none" w:pos="6620" w:val="left"/>
          <w:tab w:leader="none" w:pos="450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2014</w:t>
            </w: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number of Class A shares outstanding</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280" w:type="dxa"/>
            <w:vAlign w:val="bottom"/>
          </w:tcPr>
          <w:p>
            <w:pPr>
              <w:ind w:left="1080"/>
              <w:spacing w:after="0"/>
              <w:rPr>
                <w:sz w:val="20"/>
                <w:szCs w:val="20"/>
                <w:color w:val="auto"/>
              </w:rPr>
            </w:pPr>
            <w:r>
              <w:rPr>
                <w:rFonts w:ascii="Arial" w:cs="Arial" w:eastAsia="Arial" w:hAnsi="Arial"/>
                <w:sz w:val="18"/>
                <w:szCs w:val="18"/>
                <w:color w:val="auto"/>
              </w:rPr>
              <w:t>Al Swanson</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08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280" w:type="dxa"/>
            <w:vAlign w:val="bottom"/>
          </w:tcPr>
          <w:p>
            <w:pPr>
              <w:ind w:left="1080"/>
              <w:spacing w:after="0"/>
              <w:rPr>
                <w:sz w:val="20"/>
                <w:szCs w:val="20"/>
                <w:color w:val="auto"/>
              </w:rPr>
            </w:pPr>
            <w:r>
              <w:rPr>
                <w:rFonts w:ascii="Arial" w:cs="Arial" w:eastAsia="Arial" w:hAnsi="Arial"/>
                <w:sz w:val="18"/>
                <w:szCs w:val="18"/>
                <w:color w:val="auto"/>
                <w:w w:val="95"/>
              </w:rPr>
              <w:t>(800) 564-3036</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4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40" w:type="dxa"/>
            <w:vAlign w:val="bottom"/>
          </w:tcPr>
          <w:p>
            <w:pPr>
              <w:jc w:val="right"/>
              <w:ind w:right="2210"/>
              <w:spacing w:after="0"/>
              <w:rPr>
                <w:sz w:val="20"/>
                <w:szCs w:val="20"/>
                <w:color w:val="auto"/>
              </w:rPr>
            </w:pPr>
            <w:r>
              <w:rPr>
                <w:rFonts w:ascii="Arial" w:cs="Arial" w:eastAsia="Arial" w:hAnsi="Arial"/>
                <w:sz w:val="18"/>
                <w:szCs w:val="18"/>
                <w:b w:val="1"/>
                <w:bCs w:val="1"/>
                <w:color w:val="auto"/>
                <w:w w:val="92"/>
              </w:rPr>
              <w:t>713-646-4100 / 800-564-3036</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lowerRoman"/>
      <w:start w:val="4"/>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2020-01-28T01:28:35Z</dcterms:created>
  <dcterms:modified xsi:type="dcterms:W3CDTF">2020-01-28T01:28:35Z</dcterms:modified>
</cp:coreProperties>
</file>