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line="250" w:lineRule="exact"/>
              <w:rPr>
                <w:rFonts w:ascii="Arial" w:cs="Arial" w:eastAsia="Arial" w:hAnsi="Arial"/>
                <w:sz w:val="22"/>
                <w:szCs w:val="22"/>
                <w:color w:val="0000EE"/>
                <w:w w:val="88"/>
              </w:rPr>
            </w:pPr>
            <w:hyperlink r:id="rId12">
              <w:r>
                <w:rPr>
                  <w:rFonts w:ascii="Arial" w:cs="Arial" w:eastAsia="Arial" w:hAnsi="Arial"/>
                  <w:sz w:val="22"/>
                  <w:szCs w:val="22"/>
                  <w:color w:val="0000EE"/>
                  <w:w w:val="88"/>
                </w:rPr>
                <w:t>vonBerg John</w:t>
              </w:r>
            </w:hyperlink>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PAA</w:t>
            </w:r>
            <w:r>
              <w:rPr>
                <w:rFonts w:ascii="Arial" w:cs="Arial" w:eastAsia="Arial" w:hAnsi="Arial"/>
                <w:sz w:val="22"/>
                <w:szCs w:val="22"/>
                <w:color w:val="auto"/>
              </w:rPr>
              <w:t xml:space="preserve"> ]</w:t>
            </w: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EVP - Commercial Activities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CLAY STREET, # 1600</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5"/>
            <w:vMerge w:val="restart"/>
          </w:tcPr>
          <w:p>
            <w:pPr>
              <w:ind w:left="160"/>
              <w:spacing w:after="0"/>
              <w:rPr>
                <w:sz w:val="20"/>
                <w:szCs w:val="20"/>
                <w:color w:val="auto"/>
              </w:rPr>
            </w:pPr>
            <w:r>
              <w:rPr>
                <w:rFonts w:ascii="Arial" w:cs="Arial" w:eastAsia="Arial" w:hAnsi="Arial"/>
                <w:sz w:val="18"/>
                <w:szCs w:val="18"/>
                <w:color w:val="0000FF"/>
              </w:rPr>
              <w:t>12/01/2016</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80" w:type="dxa"/>
            <w:vAlign w:val="bottom"/>
            <w:tcBorders>
              <w:bottom w:val="single" w:sz="8" w:color="2C2C2C"/>
            </w:tcBorders>
            <w:gridSpan w:val="6"/>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8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5"/>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12/01/2016</w:t>
            </w: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86,660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5"/>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32.58</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4"/>
              <w:spacing w:after="0"/>
              <w:rPr>
                <w:sz w:val="20"/>
                <w:szCs w:val="20"/>
                <w:color w:val="auto"/>
              </w:rPr>
            </w:pPr>
            <w:r>
              <w:rPr>
                <w:rFonts w:ascii="Arial" w:cs="Arial" w:eastAsia="Arial" w:hAnsi="Arial"/>
                <w:sz w:val="18"/>
                <w:szCs w:val="18"/>
                <w:color w:val="0000FF"/>
                <w:w w:val="83"/>
              </w:rPr>
              <w:t>35,699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12/01/2016</w:t>
            </w: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29,024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5"/>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33.55</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74"/>
              <w:spacing w:after="0"/>
              <w:rPr>
                <w:sz w:val="20"/>
                <w:szCs w:val="20"/>
                <w:color w:val="auto"/>
              </w:rPr>
            </w:pPr>
            <w:r>
              <w:rPr>
                <w:rFonts w:ascii="Arial" w:cs="Arial" w:eastAsia="Arial" w:hAnsi="Arial"/>
                <w:sz w:val="18"/>
                <w:szCs w:val="18"/>
                <w:color w:val="0000FF"/>
                <w:w w:val="93"/>
              </w:rPr>
              <w:t>6,675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$32.30 to $33.29. The Reporting Person undertakes to provide to the SEC staff, the Issuer or any unitholder of the Issuer, upon request, full information regarding the number of units sold at each separate price.</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$33.30 to $33.66. The Reporting Person undertakes to provide to the SEC staff, the Issuer or any unitholder of the Issuer, upon request, full information regarding the number of units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McGee,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90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w:t>
      </w:r>
      <w:r>
        <w:rPr>
          <w:sz w:val="20"/>
          <w:szCs w:val="20"/>
          <w:color w:val="auto"/>
        </w:rPr>
        <w:tab/>
      </w:r>
      <w:r>
        <w:rPr>
          <w:rFonts w:ascii="Arial" w:cs="Arial" w:eastAsia="Arial" w:hAnsi="Arial"/>
          <w:sz w:val="15"/>
          <w:szCs w:val="15"/>
          <w:color w:val="0000FF"/>
        </w:rPr>
        <w:t>12/05/2016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vonBerg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81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163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239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2020-01-19T10:07:38Z</dcterms:created>
  <dcterms:modified xsi:type="dcterms:W3CDTF">2020-01-19T10:07:38Z</dcterms:modified>
</cp:coreProperties>
</file>