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10, 2025</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8"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8"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14, 2025, Plains All American Pipeline, L.P. (“PAA”) and PAA Finance Corp. (together with PAA, the “Issuers”) completed the public offering (the “Offering”) of $750 million aggregate principal amount of the Issuers’ debt securities, consisting of $300 million aggregate principal amount of 4.700% Senior Notes due 2031 (the “2031 Notes”) and $450 million aggregate principal amount of 5.600% Senior Notes due 2036 (the “2036 Notes,” and, together with the 2031 Notes, the “Notes”). The 2031 Notes and the 2036 Notes were offered as additional issuances of the Issuers’ 4.700% Senior Notes due 2031 and 5.600% Senior Notes due 2036, of which $700 million and $550 million aggregate principal amount, respectively, were issued on September 8, 2025. The 2031 Notes and 2036 Notes form a single series with the initial notes of their respective series, have identical terms as the initial notes of their respective series, and have the same CUSIP number as and trade interchangeably with the initial notes of their respective series. Immediately following the issuance of the 2031 Notes issued in the Offering, there are $1 billion aggregate principal amount of the 2031 Notes outstanding. Immediately following the issuance of the 2036 Notes issued in the Offering, there are $1 billion aggregate principal amount of the 2036 Notes outstanding.</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terms of the Notes are governed by the indenture (the “Base Indenture,” </w:t>
      </w:r>
      <w:r>
        <w:rPr>
          <w:rFonts w:ascii="Times New Roman" w:cs="Times New Roman" w:eastAsia="Times New Roman" w:hAnsi="Times New Roman"/>
          <w:sz w:val="18"/>
          <w:szCs w:val="18"/>
          <w:color w:val="212529"/>
        </w:rPr>
        <w:t>and as amended and supplemented by the Supplemental Indentures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(defined below), the “Indenture”) dated as of September 25, 2002 by and among the Issuers and U.S. Bank Trust Company, National Association (as successor trustee), as trustee (the “Trustee”), as supplemented by the Thirty-Fifth Supplemental Indenture dated as of September 8, 2025 by and among the Issuers and the Trustee (the “35th Supplemental Indenture”) relating to the issuance of the 2031 Notes and the Thirty-Sixth Supplemental Indenture dated as of September </w:t>
      </w:r>
      <w:r>
        <w:rPr>
          <w:rFonts w:ascii="Times New Roman" w:cs="Times New Roman" w:eastAsia="Times New Roman" w:hAnsi="Times New Roman"/>
          <w:sz w:val="18"/>
          <w:szCs w:val="18"/>
          <w:color w:val="000000"/>
        </w:rPr>
        <w:t>8, 2025 by and among the Issuers and the Trustee (the “36th Supplemental Indenture,” and, together with the 35th Supplemental Indenture,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“Supplemental Indentures”) relating to the issuance of the 2036 Notes</w:t>
      </w:r>
      <w:r>
        <w:rPr>
          <w:rFonts w:ascii="Times New Roman" w:cs="Times New Roman" w:eastAsia="Times New Roman" w:hAnsi="Times New Roman"/>
          <w:sz w:val="18"/>
          <w:szCs w:val="18"/>
          <w:color w:val="212529"/>
        </w:rPr>
        <w: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The 2031 Notes will mature on January 15, 2031, and the 2036 Notes will mature on January 15, 2036. Interest is payable on the Notes on each January 15 and July 15, commencing on January 15, 2026. The Issuers may redeem some or all of the Notes at any time and from time to time prior to maturity at the redemption prices specified in the Indenture.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contains customary events of default with respect to the Notes of either series, including:</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of that series when due, continued for 60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of that series when due;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PAA to comply with its obligations under the Indenture, in certain cases subject to notice and grace periods;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PAA and its Subsidiaries (as defined in the Indenture) in the aggregate principal amount of $150.0 million or more;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PAA or, if and so long as the Notes of that series are guaranteed by a subsidiary guarantor, by such subsidiary guarantor;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of that series are guaranteed by a subsidiary guarantor: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12529"/>
        </w:rPr>
        <w:t>Other material terms of the Notes, the Base Indenture and the Supplemental Indentures are described in the prospectus supplement, dated November 10, 2025 (the “prospectus supplement”), to the prospectus, dated September 6, 2024, which is included in the Registration Statement (as defined below). The foregoing descriptions of the Indenture and the Notes are qualified in their entirety by reference to such Indenture (including the forms of Notes attached thereto). Copies of the 35th Supplemental Indenture and the 36th Supplemental Indenture are filed as Exhibit 4.1 and Exhibit 4.3, respectively, to this Current Report on Form 8-K and are incorporated herein by reference.</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12529"/>
        </w:rPr>
        <w:t>The information contained in Item 1.01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10, 2025, the Issuers entered into an underwriting agreement (the “Underwriting Agreement”) with Citigroup Global Markets Inc., CIBC World Markets Corp., RBC Capital Markets, LLC, and SMBC Nikko Securities America, Inc., as representatives of the several underwriters named therein (collectively, the “Underwriters”), relating to the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Notes were offered and sold under the Issuers’ shelf registration statement on Form S-3 (Registration No. 333-281967) filed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on September 6, 2024 (the “Registration Statement”), and are described in the prospectus supplement.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Underwriting Agreement is filed as Exhibit 1.1 to this Current Report on Form 8-K and is incorporated herein by reference.</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4.1</w:t>
        </w:r>
      </w:hyperlink>
    </w:p>
    <w:p>
      <w:pPr>
        <w:spacing w:after="0" w:line="200" w:lineRule="exact"/>
        <w:rPr>
          <w:sz w:val="20"/>
          <w:szCs w:val="20"/>
          <w:color w:val="auto"/>
        </w:rPr>
      </w:pPr>
    </w:p>
    <w:p>
      <w:pPr>
        <w:spacing w:after="0" w:line="349"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4.2</w:t>
        </w:r>
      </w:hyperlink>
    </w:p>
    <w:p>
      <w:pPr>
        <w:spacing w:after="0" w:line="200" w:lineRule="exact"/>
        <w:rPr>
          <w:sz w:val="20"/>
          <w:szCs w:val="20"/>
          <w:color w:val="auto"/>
        </w:rPr>
      </w:pPr>
    </w:p>
    <w:p>
      <w:pPr>
        <w:spacing w:after="0" w:line="349"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4.3</w:t>
        </w:r>
      </w:hyperlink>
    </w:p>
    <w:p>
      <w:pPr>
        <w:spacing w:after="0" w:line="200" w:lineRule="exact"/>
        <w:rPr>
          <w:sz w:val="20"/>
          <w:szCs w:val="20"/>
          <w:color w:val="auto"/>
        </w:rPr>
      </w:pPr>
    </w:p>
    <w:p>
      <w:pPr>
        <w:spacing w:after="0" w:line="349"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4.4</w:t>
        </w:r>
      </w:hyperlink>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5.1</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23.1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0000EE"/>
        </w:rPr>
        <w:t>Underwriting Agreement dated November 10, 2025 by and among Plains All American Pipeline, L.P., PAA Finance Corp. and Citigroup Global Markets Inc., CIBC World Markets Corp., RBC Capital Markets, LLC and SMBC Nikko Securities America, Inc., as representatives of the several underwriters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-433070</wp:posOffset>
            </wp:positionV>
            <wp:extent cx="6343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56"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Thirty-Fifth Supplemental Indenture, dated September 8, 2025, by and among Plains All American Pipeline, L.P., PAA Finance Corp. and</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U.S. Bank Trust Company, National Association, as trustee (incorporated by reference to Exhibit 4.1 of PAA’s Current Report on Form 8-</w:t>
        </w:r>
      </w:hyperlink>
      <w:hyperlink r:id="rId16">
        <w:r>
          <w:rPr>
            <w:rFonts w:ascii="Times New Roman" w:cs="Times New Roman" w:eastAsia="Times New Roman" w:hAnsi="Times New Roman"/>
            <w:sz w:val="18"/>
            <w:szCs w:val="18"/>
            <w:u w:val="single" w:color="auto"/>
            <w:color w:val="0000EE"/>
          </w:rPr>
          <w:t>K filed on September 8, 2025).</w:t>
        </w:r>
      </w:hyperlink>
    </w:p>
    <w:p>
      <w:pPr>
        <w:spacing w:after="0" w:line="176" w:lineRule="exact"/>
        <w:rPr>
          <w:rFonts w:ascii="Times New Roman" w:cs="Times New Roman" w:eastAsia="Times New Roman" w:hAnsi="Times New Roman"/>
          <w:sz w:val="18"/>
          <w:szCs w:val="18"/>
          <w:u w:val="single" w:color="auto"/>
          <w:color w:val="0000EE"/>
        </w:rPr>
      </w:pPr>
    </w:p>
    <w:p>
      <w:pPr>
        <w:jc w:val="both"/>
        <w:ind w:right="20"/>
        <w:spacing w:after="0" w:line="282" w:lineRule="auto"/>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Form of 4.700% Senior Notes due 2031 (included as Exhibit A in Exhibit 4.1) (incorporated by reference to Exhibit 4.2 of PAA’s Current</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Report on Form 8-K filed on September 8, 2025).</w:t>
        </w:r>
      </w:hyperlink>
    </w:p>
    <w:p>
      <w:pPr>
        <w:spacing w:after="0" w:line="162"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Thirty-Sixth Supplemental Indenture, dated September 8, 2025, by and among Plains All American Pipeline, L.P., PAA Finance Corp. and</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U.S. Bank Trust Company, National Association, as trustee (incorporated by reference to Exhibit 4.3 of PAA’s Current Report on Form 8-</w:t>
        </w:r>
      </w:hyperlink>
      <w:hyperlink r:id="rId17">
        <w:r>
          <w:rPr>
            <w:rFonts w:ascii="Times New Roman" w:cs="Times New Roman" w:eastAsia="Times New Roman" w:hAnsi="Times New Roman"/>
            <w:sz w:val="18"/>
            <w:szCs w:val="18"/>
            <w:u w:val="single" w:color="auto"/>
            <w:color w:val="0000EE"/>
          </w:rPr>
          <w:t>K filed on September 8, 2025).</w:t>
        </w:r>
      </w:hyperlink>
    </w:p>
    <w:p>
      <w:pPr>
        <w:spacing w:after="0" w:line="176" w:lineRule="exact"/>
        <w:rPr>
          <w:rFonts w:ascii="Times New Roman" w:cs="Times New Roman" w:eastAsia="Times New Roman" w:hAnsi="Times New Roman"/>
          <w:sz w:val="18"/>
          <w:szCs w:val="18"/>
          <w:u w:val="single" w:color="auto"/>
          <w:color w:val="0000EE"/>
        </w:rPr>
      </w:pPr>
    </w:p>
    <w:p>
      <w:pPr>
        <w:jc w:val="both"/>
        <w:ind w:right="20"/>
        <w:spacing w:after="0" w:line="282" w:lineRule="auto"/>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Form of 5.600% Senior Notes due 2036 (included as Exhibit A in Exhibit 4.3) (incorporated by reference to Exhibit 4.4 of PAA’s Current</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Report on Form 8-K filed on September 8, 2025).</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Opinion of Vinson &amp; Elkins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Consent of Vinson &amp; Elkins L.L.P. (included in Exhibit 5.1).</w:t>
      </w:r>
    </w:p>
    <w:p>
      <w:pPr>
        <w:spacing w:after="0" w:line="200" w:lineRule="exact"/>
        <w:rPr>
          <w:sz w:val="20"/>
          <w:szCs w:val="20"/>
          <w:color w:val="auto"/>
        </w:rPr>
      </w:pPr>
    </w:p>
    <w:p>
      <w:pPr>
        <w:sectPr>
          <w:pgSz w:w="11900" w:h="16838" w:orient="portrait"/>
          <w:cols w:equalWidth="0" w:num="2">
            <w:col w:w="900" w:space="360"/>
            <w:col w:w="9980"/>
          </w:cols>
          <w:pgMar w:left="320" w:top="904" w:right="339" w:bottom="1440" w:gutter="0" w:footer="0" w:header="0"/>
          <w:type w:val="continuous"/>
        </w:sectPr>
      </w:pPr>
    </w:p>
    <w:p>
      <w:pPr>
        <w:spacing w:after="0" w:line="25" w:lineRule="exact"/>
        <w:rPr>
          <w:sz w:val="20"/>
          <w:szCs w:val="20"/>
          <w:color w:val="auto"/>
        </w:rPr>
      </w:pPr>
    </w:p>
    <w:p>
      <w:pPr>
        <w:ind w:left="5580" w:right="4160" w:hanging="5140"/>
        <w:spacing w:after="0" w:line="783" w:lineRule="auto"/>
        <w:tabs>
          <w:tab w:leader="none" w:pos="12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r>
      <w:tr>
        <w:trPr>
          <w:trHeight w:val="414"/>
        </w:trPr>
        <w:tc>
          <w:tcPr>
            <w:tcW w:w="3720" w:type="dxa"/>
            <w:vAlign w:val="bottom"/>
          </w:tcPr>
          <w:p>
            <w:pPr>
              <w:spacing w:after="0"/>
              <w:rPr>
                <w:sz w:val="24"/>
                <w:szCs w:val="24"/>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234"/>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720" w:type="dxa"/>
            <w:vAlign w:val="bottom"/>
          </w:tcPr>
          <w:p>
            <w:pPr>
              <w:spacing w:after="0"/>
              <w:rPr>
                <w:sz w:val="24"/>
                <w:szCs w:val="24"/>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72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r>
        <w:trPr>
          <w:trHeight w:val="648"/>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$300,000,000 4.700% Senior Notes due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$450,000,000 5.600% Senior Notes due 2036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Plains All American Pipeline, L.P.,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and PAA Finance Corp., a Delaware corporation (“</w:t>
      </w:r>
      <w:r>
        <w:rPr>
          <w:rFonts w:ascii="Times New Roman" w:cs="Times New Roman" w:eastAsia="Times New Roman" w:hAnsi="Times New Roman"/>
          <w:sz w:val="18"/>
          <w:szCs w:val="18"/>
          <w:b w:val="1"/>
          <w:bCs w:val="1"/>
          <w:u w:val="single" w:color="auto"/>
          <w:color w:val="auto"/>
        </w:rPr>
        <w:t>PAA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color w:val="auto"/>
        </w:rPr>
        <w:t>”), propose to issue and sell to the several underwriters named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Underwriters</w:t>
      </w:r>
      <w:r>
        <w:rPr>
          <w:rFonts w:ascii="Times New Roman" w:cs="Times New Roman" w:eastAsia="Times New Roman" w:hAnsi="Times New Roman"/>
          <w:sz w:val="18"/>
          <w:szCs w:val="18"/>
          <w:color w:val="auto"/>
        </w:rPr>
        <w:t>”), for whom Citigroup Global Markets Inc., CIBC World Markets Corp., RBC Capital Markets, LLC and SMBC Nikko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Inc. are acting as the representatives (the “</w:t>
      </w:r>
      <w:r>
        <w:rPr>
          <w:rFonts w:ascii="Times New Roman" w:cs="Times New Roman" w:eastAsia="Times New Roman" w:hAnsi="Times New Roman"/>
          <w:sz w:val="18"/>
          <w:szCs w:val="18"/>
          <w:b w:val="1"/>
          <w:bCs w:val="1"/>
          <w:u w:val="single" w:color="auto"/>
          <w:color w:val="auto"/>
        </w:rPr>
        <w:t>Representatives</w:t>
      </w:r>
      <w:r>
        <w:rPr>
          <w:rFonts w:ascii="Times New Roman" w:cs="Times New Roman" w:eastAsia="Times New Roman" w:hAnsi="Times New Roman"/>
          <w:sz w:val="18"/>
          <w:szCs w:val="18"/>
          <w:color w:val="auto"/>
        </w:rPr>
        <w:t>”), $300,000,000 aggregate principal amount of 4.700% Senior Notes due 2031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2031 Notes</w:t>
      </w:r>
      <w:r>
        <w:rPr>
          <w:rFonts w:ascii="Times New Roman" w:cs="Times New Roman" w:eastAsia="Times New Roman" w:hAnsi="Times New Roman"/>
          <w:sz w:val="18"/>
          <w:szCs w:val="18"/>
          <w:color w:val="auto"/>
        </w:rPr>
        <w:t>”) and $450,000,000 aggregate principal amount of 5.600% Senior Notes due 2036 (the “</w:t>
      </w:r>
      <w:r>
        <w:rPr>
          <w:rFonts w:ascii="Times New Roman" w:cs="Times New Roman" w:eastAsia="Times New Roman" w:hAnsi="Times New Roman"/>
          <w:sz w:val="18"/>
          <w:szCs w:val="18"/>
          <w:b w:val="1"/>
          <w:bCs w:val="1"/>
          <w:u w:val="single" w:color="auto"/>
          <w:color w:val="auto"/>
        </w:rPr>
        <w:t>2036 Notes</w:t>
      </w:r>
      <w:r>
        <w:rPr>
          <w:rFonts w:ascii="Times New Roman" w:cs="Times New Roman" w:eastAsia="Times New Roman" w:hAnsi="Times New Roman"/>
          <w:sz w:val="18"/>
          <w:szCs w:val="18"/>
          <w:color w:val="auto"/>
        </w:rPr>
        <w:t>,” and together with the 2031 Notes,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Notes</w:t>
      </w:r>
      <w:r>
        <w:rPr>
          <w:rFonts w:ascii="Times New Roman" w:cs="Times New Roman" w:eastAsia="Times New Roman" w:hAnsi="Times New Roman"/>
          <w:sz w:val="18"/>
          <w:szCs w:val="18"/>
          <w:color w:val="auto"/>
        </w:rPr>
        <w:t>”). The 2031 Notes constitute an additional issuance of the Issuers’ existing series of notes designated as 4.700% Senior Notes due 2031 and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part of the same series as the $700,000,000 aggregate principal amount of the 4.700% Senior Notes due 2031 issued on September 8,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 Notes constitute an additional issuance of the Issuers’ existing series of notes designated as 5.600% Senior Notes due 2036 and will constitute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series as the $550,000,000 aggregate principal amount of the 5.600% Senior Notes due 2036 issued on September 8, 2025. The Notes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under an indenture dated as of September 25, 2002 (the “</w:t>
      </w:r>
      <w:r>
        <w:rPr>
          <w:rFonts w:ascii="Times New Roman" w:cs="Times New Roman" w:eastAsia="Times New Roman" w:hAnsi="Times New Roman"/>
          <w:sz w:val="18"/>
          <w:szCs w:val="18"/>
          <w:b w:val="1"/>
          <w:bCs w:val="1"/>
          <w:u w:val="single" w:color="auto"/>
          <w:color w:val="auto"/>
        </w:rPr>
        <w:t>Base Indenture</w:t>
      </w:r>
      <w:r>
        <w:rPr>
          <w:rFonts w:ascii="Times New Roman" w:cs="Times New Roman" w:eastAsia="Times New Roman" w:hAnsi="Times New Roman"/>
          <w:sz w:val="18"/>
          <w:szCs w:val="18"/>
          <w:color w:val="auto"/>
        </w:rPr>
        <w:t>”), among the Issuers and U.S. Bank Trust Company,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successor trustee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as supplemented by the Thirty-Fifth Supplemental Indenture and the Thirty-Sixth Supplemental Indenture, each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8, 2025, among the Issuers and the Trustee (together, the “</w:t>
      </w:r>
      <w:r>
        <w:rPr>
          <w:rFonts w:ascii="Times New Roman" w:cs="Times New Roman" w:eastAsia="Times New Roman" w:hAnsi="Times New Roman"/>
          <w:sz w:val="18"/>
          <w:szCs w:val="18"/>
          <w:b w:val="1"/>
          <w:bCs w:val="1"/>
          <w:u w:val="single" w:color="auto"/>
          <w:color w:val="auto"/>
        </w:rPr>
        <w:t>Supplemental Indentures</w:t>
      </w:r>
      <w:r>
        <w:rPr>
          <w:rFonts w:ascii="Times New Roman" w:cs="Times New Roman" w:eastAsia="Times New Roman" w:hAnsi="Times New Roman"/>
          <w:sz w:val="18"/>
          <w:szCs w:val="18"/>
          <w:color w:val="auto"/>
        </w:rPr>
        <w:t>” and, together with the Base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PAA GP LLC, a Delaware limited liability company (the “</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is the general partner of the Partnership. Plains AAP, L.P., a Delaware limited partnership (“</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owns a 100% membership interest in the General Partner. Plains All American GP LLC, a Delaware limited liability company (“</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is the general partner of Plains AAP. Plains GP Holdings, L.P., a Delaware limited partnership (“</w:t>
      </w:r>
      <w:r>
        <w:rPr>
          <w:rFonts w:ascii="Times New Roman" w:cs="Times New Roman" w:eastAsia="Times New Roman" w:hAnsi="Times New Roman"/>
          <w:sz w:val="18"/>
          <w:szCs w:val="18"/>
          <w:b w:val="1"/>
          <w:bCs w:val="1"/>
          <w:u w:val="single" w:color="auto"/>
          <w:color w:val="auto"/>
        </w:rPr>
        <w:t>PAGP</w:t>
      </w:r>
      <w:r>
        <w:rPr>
          <w:rFonts w:ascii="Times New Roman" w:cs="Times New Roman" w:eastAsia="Times New Roman" w:hAnsi="Times New Roman"/>
          <w:sz w:val="18"/>
          <w:szCs w:val="18"/>
          <w:color w:val="auto"/>
        </w:rPr>
        <w:t>”), owns a 100% membership interest in GP LLC. PAA GP Holdings LLC, a Delaware limited liability company (“</w:t>
      </w:r>
      <w:r>
        <w:rPr>
          <w:rFonts w:ascii="Times New Roman" w:cs="Times New Roman" w:eastAsia="Times New Roman" w:hAnsi="Times New Roman"/>
          <w:sz w:val="18"/>
          <w:szCs w:val="18"/>
          <w:b w:val="1"/>
          <w:bCs w:val="1"/>
          <w:u w:val="single" w:color="auto"/>
          <w:color w:val="auto"/>
        </w:rPr>
        <w:t>PAGP GP</w:t>
      </w:r>
      <w:r>
        <w:rPr>
          <w:rFonts w:ascii="Times New Roman" w:cs="Times New Roman" w:eastAsia="Times New Roman" w:hAnsi="Times New Roman"/>
          <w:sz w:val="18"/>
          <w:szCs w:val="18"/>
          <w:color w:val="auto"/>
        </w:rPr>
        <w:t>” and, collectively with the General Partner, Plains AAP, GP LLC and PAGP, the “</w:t>
      </w:r>
      <w:r>
        <w:rPr>
          <w:rFonts w:ascii="Times New Roman" w:cs="Times New Roman" w:eastAsia="Times New Roman" w:hAnsi="Times New Roman"/>
          <w:sz w:val="18"/>
          <w:szCs w:val="18"/>
          <w:b w:val="1"/>
          <w:bCs w:val="1"/>
          <w:u w:val="single" w:color="auto"/>
          <w:color w:val="auto"/>
        </w:rPr>
        <w:t>GP Entities</w:t>
      </w:r>
      <w:r>
        <w:rPr>
          <w:rFonts w:ascii="Times New Roman" w:cs="Times New Roman" w:eastAsia="Times New Roman" w:hAnsi="Times New Roman"/>
          <w:sz w:val="18"/>
          <w:szCs w:val="18"/>
          <w:color w:val="auto"/>
        </w:rPr>
        <w:t>”), is the general partner of PAGP.  </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The subsidiaries of the Partnership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Material Subsidiaries</w:t>
      </w:r>
      <w:r>
        <w:rPr>
          <w:rFonts w:ascii="Times New Roman" w:cs="Times New Roman" w:eastAsia="Times New Roman" w:hAnsi="Times New Roman"/>
          <w:sz w:val="18"/>
          <w:szCs w:val="18"/>
          <w:color w:val="auto"/>
        </w:rPr>
        <w:t xml:space="preserve">,” and the Material Subsidiaries listed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Domestic Subsidiaries</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to confirm the agreement among the Issuers and the Underwriters concerning the several purchases of the Notes by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Representations and Warranties of the Issuers</w:t>
      </w:r>
      <w:r>
        <w:rPr>
          <w:rFonts w:ascii="Times New Roman" w:cs="Times New Roman" w:eastAsia="Times New Roman" w:hAnsi="Times New Roman"/>
          <w:sz w:val="18"/>
          <w:szCs w:val="18"/>
          <w:color w:val="auto"/>
        </w:rPr>
        <w:t>. The Issuers, jointly and severally, represent and warrant to the Underwriters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Registration</w:t>
      </w:r>
      <w:r>
        <w:rPr>
          <w:rFonts w:ascii="Times New Roman" w:cs="Times New Roman" w:eastAsia="Times New Roman" w:hAnsi="Times New Roman"/>
          <w:sz w:val="18"/>
          <w:szCs w:val="18"/>
          <w:color w:val="auto"/>
        </w:rPr>
        <w:t>. A registration statement on Form S-3 relating to the Notes (File No. 333-281967) (i) has been prepared by the Issuers in conformity with the requirements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b w:val="1"/>
          <w:bCs w:val="1"/>
          <w:u w:val="single" w:color="auto"/>
          <w:color w:val="auto"/>
        </w:rPr>
        <w:t>Rules and 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thereunder; (ii) has been filed with the Commission under the Securities Act; and (iii) is effective under the Securities Act. Copies of such registration statement and any amendment thereto have been delivered by the Issuers to the Representatives. As used in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2:45 p.m., New York City time, on November 10, 2025, which the Underwriters have informed the Issuers and their counsel is a time prior to the first sale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u w:val="single" w:color="auto"/>
          <w:color w:val="auto"/>
        </w:rPr>
        <w:t>Base Prospectus</w:t>
      </w:r>
      <w:r>
        <w:rPr>
          <w:rFonts w:ascii="Times New Roman" w:cs="Times New Roman" w:eastAsia="Times New Roman" w:hAnsi="Times New Roman"/>
          <w:sz w:val="18"/>
          <w:szCs w:val="18"/>
          <w:color w:val="auto"/>
        </w:rPr>
        <w:t>” means the base prospectus included in the Registration Statement at the Applicable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any date as of which any part of the Registration Statement relating to the Notes became, or is deemed to have become, effective under the Securities Act in accordance with the Rules and Regulations;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u w:val="single" w:color="auto"/>
          <w:color w:val="auto"/>
        </w:rPr>
        <w:t>Preliminary Prospectus</w:t>
      </w:r>
      <w:r>
        <w:rPr>
          <w:rFonts w:ascii="Times New Roman" w:cs="Times New Roman" w:eastAsia="Times New Roman" w:hAnsi="Times New Roman"/>
          <w:sz w:val="18"/>
          <w:szCs w:val="18"/>
          <w:color w:val="auto"/>
        </w:rPr>
        <w:t>” means any preliminary prospectus relating to the Notes included in the Registration Statement or filed with the Commission pursuant to Rule 424(b) of the Rules and Regulations, including the Base Prospectus and any preliminary prospectus supplement thereto relating to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b w:val="1"/>
          <w:bCs w:val="1"/>
          <w:u w:val="single" w:color="auto"/>
          <w:color w:val="auto"/>
        </w:rPr>
        <w:t>Pricing Disclosure Package</w:t>
      </w:r>
      <w:r>
        <w:rPr>
          <w:rFonts w:ascii="Times New Roman" w:cs="Times New Roman" w:eastAsia="Times New Roman" w:hAnsi="Times New Roman"/>
          <w:sz w:val="18"/>
          <w:szCs w:val="18"/>
          <w:color w:val="auto"/>
        </w:rPr>
        <w:t xml:space="preserve">” means, as of the Applicable Time, (A) the most recent Preliminary Prospectus, (B) the Issuer Free Writing Prospectus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(C) each other Issuer Free Writing Prospectus filed or used by the Issuers on or before the Applicable Time identified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other than a road show that is an Issuer Free Writing Prospectus under Rule 433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the registration statement on Form S-3 (File No. 333-281967), as amended as of the Effective Date, including any Preliminary Prospectus or the Prospectus and all exhibits to such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Effective Date of such Registration Statement or as of the date of such Preliminary Prospectus or Prospectus, as the case may be, or in the case of the Pricing Disclosure Package, as of the Applicable Time. Any reference to the “</w:t>
      </w:r>
      <w:r>
        <w:rPr>
          <w:rFonts w:ascii="Times New Roman" w:cs="Times New Roman" w:eastAsia="Times New Roman" w:hAnsi="Times New Roman"/>
          <w:sz w:val="18"/>
          <w:szCs w:val="18"/>
          <w:b w:val="1"/>
          <w:bCs w:val="1"/>
          <w:u w:val="single" w:color="auto"/>
          <w:color w:val="auto"/>
        </w:rPr>
        <w:t>most recent Preliminary Prospectus</w:t>
      </w:r>
      <w:r>
        <w:rPr>
          <w:rFonts w:ascii="Times New Roman" w:cs="Times New Roman" w:eastAsia="Times New Roman" w:hAnsi="Times New Roman"/>
          <w:sz w:val="18"/>
          <w:szCs w:val="18"/>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annual report of the Partnership filed with the Commission pursuant to Section 13(a) or 15(d) of the Exchange Act after the Effective Date that is incorporated by reference in the Registration Statement. As used herein, the term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 of Documents</w:t>
      </w:r>
      <w:r>
        <w:rPr>
          <w:rFonts w:ascii="Times New Roman" w:cs="Times New Roman" w:eastAsia="Times New Roman" w:hAnsi="Times New Roman"/>
          <w:sz w:val="18"/>
          <w:szCs w:val="18"/>
          <w:color w:val="auto"/>
        </w:rPr>
        <w:t>. The Registration Statement conformed in all material respects on the Effective Date and on the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conforms in all material respects to the requirements applicable to it under the Trust Indenture Act of 1939, as amended (the “</w:t>
      </w:r>
      <w:r>
        <w:rPr>
          <w:rFonts w:ascii="Times New Roman" w:cs="Times New Roman" w:eastAsia="Times New Roman" w:hAnsi="Times New Roman"/>
          <w:sz w:val="18"/>
          <w:szCs w:val="18"/>
          <w:b w:val="1"/>
          <w:bCs w:val="1"/>
          <w:u w:val="single" w:color="auto"/>
          <w:color w:val="auto"/>
        </w:rPr>
        <w:t>Trust Indenture Act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Registration Statement</w:t>
      </w:r>
      <w:r>
        <w:rPr>
          <w:rFonts w:ascii="Times New Roman" w:cs="Times New Roman" w:eastAsia="Times New Roman" w:hAnsi="Times New Roman"/>
          <w:sz w:val="18"/>
          <w:szCs w:val="18"/>
          <w:color w:val="auto"/>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Prospectus</w:t>
      </w:r>
      <w:r>
        <w:rPr>
          <w:rFonts w:ascii="Times New Roman" w:cs="Times New Roman" w:eastAsia="Times New Roman" w:hAnsi="Times New Roman"/>
          <w:sz w:val="18"/>
          <w:szCs w:val="18"/>
          <w:color w:val="auto"/>
        </w:rPr>
        <w:t xml:space="preserve">. The Prospectus will not, as of its date and on the Delivery Date,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Documents Incorporated by Reference</w:t>
      </w:r>
      <w:r>
        <w:rPr>
          <w:rFonts w:ascii="Times New Roman" w:cs="Times New Roman" w:eastAsia="Times New Roman" w:hAnsi="Times New Roman"/>
          <w:sz w:val="18"/>
          <w:szCs w:val="18"/>
          <w:color w:val="auto"/>
        </w:rPr>
        <w:t>.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 Material Misstatements or Omissions in Pricing Disclosure Package</w:t>
      </w:r>
      <w:r>
        <w:rPr>
          <w:rFonts w:ascii="Times New Roman" w:cs="Times New Roman" w:eastAsia="Times New Roman" w:hAnsi="Times New Roman"/>
          <w:sz w:val="17"/>
          <w:szCs w:val="17"/>
          <w:color w:val="auto"/>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Issuer Free Writing Prospectus and Pricing Disclosure Package</w:t>
      </w:r>
      <w:r>
        <w:rPr>
          <w:rFonts w:ascii="Times New Roman" w:cs="Times New Roman" w:eastAsia="Times New Roman" w:hAnsi="Times New Roman"/>
          <w:sz w:val="18"/>
          <w:szCs w:val="18"/>
          <w:color w:val="auto"/>
        </w:rPr>
        <w:t xml:space="preserve">. Each Issuer Free Writing Prospectus (including, without limitation, any road show that is an Issuer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Issuer Free Writing Prospectuses Conform to the Requirements of the Securities Act</w:t>
      </w:r>
      <w:r>
        <w:rPr>
          <w:rFonts w:ascii="Times New Roman" w:cs="Times New Roman" w:eastAsia="Times New Roman" w:hAnsi="Times New Roman"/>
          <w:sz w:val="18"/>
          <w:szCs w:val="18"/>
          <w:color w:val="auto"/>
        </w:rPr>
        <w:t>. Each Issuer Free Writing Prospectus 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Well-Known Seasoned Issuer and Not an Ineligible Issuer</w:t>
      </w:r>
      <w:r>
        <w:rPr>
          <w:rFonts w:ascii="Times New Roman" w:cs="Times New Roman" w:eastAsia="Times New Roman" w:hAnsi="Times New Roman"/>
          <w:sz w:val="18"/>
          <w:szCs w:val="18"/>
          <w:color w:val="auto"/>
        </w:rPr>
        <w:t>. Each of the Issuers is a “well-known seasoned issuer” (as defined in Rule 405 of the Rules and Regulations). For purposes of firm commitment underwritten offerings contemplated under the Registration Statement, at the earliest time after the initial filing of the Registration Statement that the Issuers or another offering participant made a bona fide offer (within the meaning of Rule 164(h)(2) of the Rules and Regulations) of the Notes, neither of the Issuers was an “ineligible issuer,” as defined in Rule 405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Formation and Qualification of Certain Entities</w:t>
      </w:r>
      <w:r>
        <w:rPr>
          <w:rFonts w:ascii="Times New Roman" w:cs="Times New Roman" w:eastAsia="Times New Roman" w:hAnsi="Times New Roman"/>
          <w:sz w:val="18"/>
          <w:szCs w:val="18"/>
          <w:color w:val="auto"/>
        </w:rPr>
        <w:t xml:space="preserve">. Each of the Issuers, the GP Entities and the Material Subsidiaries has been duly formed or incorporated 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and the Partnership (collectively, the “</w:t>
      </w:r>
      <w:r>
        <w:rPr>
          <w:rFonts w:ascii="Times New Roman" w:cs="Times New Roman" w:eastAsia="Times New Roman" w:hAnsi="Times New Roman"/>
          <w:sz w:val="18"/>
          <w:szCs w:val="18"/>
          <w:b w:val="1"/>
          <w:bCs w:val="1"/>
          <w:u w:val="single" w:color="auto"/>
          <w:color w:val="auto"/>
        </w:rPr>
        <w:t>Plains Entities</w:t>
      </w:r>
      <w:r>
        <w:rPr>
          <w:rFonts w:ascii="Times New Roman" w:cs="Times New Roman" w:eastAsia="Times New Roman" w:hAnsi="Times New Roman"/>
          <w:sz w:val="18"/>
          <w:szCs w:val="18"/>
          <w:color w:val="auto"/>
        </w:rPr>
        <w:t>”), taken as a whole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or (ii) subject the limited partners of the Partnership to any material liability or disability.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General Partners</w:t>
      </w:r>
      <w:r>
        <w:rPr>
          <w:rFonts w:ascii="Times New Roman" w:cs="Times New Roman" w:eastAsia="Times New Roman" w:hAnsi="Times New Roman"/>
          <w:sz w:val="18"/>
          <w:szCs w:val="18"/>
          <w:color w:val="auto"/>
        </w:rPr>
        <w:t>.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Registration Statement,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Ownership of Interests in the Partnership, the General Partner, Plains AAP, GP LLC and PAGP</w:t>
      </w:r>
      <w:r>
        <w:rPr>
          <w:rFonts w:ascii="Times New Roman" w:cs="Times New Roman" w:eastAsia="Times New Roman" w:hAnsi="Times New Roman"/>
          <w:sz w:val="18"/>
          <w:szCs w:val="18"/>
          <w:color w:val="auto"/>
        </w:rPr>
        <w:t>.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have been duly authorized and validly issued in accordance with the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(any such agreement, document or certificate for an entity, an “</w:t>
      </w:r>
      <w:r>
        <w:rPr>
          <w:rFonts w:ascii="Times New Roman" w:cs="Times New Roman" w:eastAsia="Times New Roman" w:hAnsi="Times New Roman"/>
          <w:sz w:val="18"/>
          <w:szCs w:val="18"/>
          <w:b w:val="1"/>
          <w:bCs w:val="1"/>
          <w:u w:val="single" w:color="auto"/>
          <w:color w:val="auto"/>
        </w:rPr>
        <w:t>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Document</w:t>
      </w:r>
      <w:r>
        <w:rPr>
          <w:rFonts w:ascii="Times New Roman" w:cs="Times New Roman" w:eastAsia="Times New Roman" w:hAnsi="Times New Roman"/>
          <w:sz w:val="18"/>
          <w:szCs w:val="18"/>
          <w:color w:val="auto"/>
        </w:rPr>
        <w:t>”) of the Partnership and the GP Entities, and such membership interests and limited partner interests are fully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under their applicable Organizational Documents) and nonassessable (except (A) in the case of a limited partnership or Delaware limited liability company, as such nonassessability may be affected by Sections 17-303, 17-607 and 17-804 of the Delaware Revised Uniform Limited Partnership Act (the “</w:t>
      </w:r>
      <w:r>
        <w:rPr>
          <w:rFonts w:ascii="Times New Roman" w:cs="Times New Roman" w:eastAsia="Times New Roman" w:hAnsi="Times New Roman"/>
          <w:sz w:val="18"/>
          <w:szCs w:val="18"/>
          <w:b w:val="1"/>
          <w:bCs w:val="1"/>
          <w:u w:val="single" w:color="auto"/>
          <w:color w:val="auto"/>
        </w:rPr>
        <w:t>Delaware LP Act</w:t>
      </w:r>
      <w:r>
        <w:rPr>
          <w:rFonts w:ascii="Times New Roman" w:cs="Times New Roman" w:eastAsia="Times New Roman" w:hAnsi="Times New Roman"/>
          <w:sz w:val="18"/>
          <w:szCs w:val="18"/>
          <w:color w:val="auto"/>
        </w:rPr>
        <w:t>”) or Sections 18-607 and 18-804 of the Delaware Limited Liability Company Act (the “</w:t>
      </w:r>
      <w:r>
        <w:rPr>
          <w:rFonts w:ascii="Times New Roman" w:cs="Times New Roman" w:eastAsia="Times New Roman" w:hAnsi="Times New Roman"/>
          <w:sz w:val="18"/>
          <w:szCs w:val="18"/>
          <w:b w:val="1"/>
          <w:bCs w:val="1"/>
          <w:u w:val="single" w:color="auto"/>
          <w:color w:val="auto"/>
        </w:rPr>
        <w:t>Delaware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as applicable, or (B) with respect to the general partner interest of any such entity); and such general partner, limited partner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interests held by the GP Entities are owned by the applicable GP Entity free and clear of all liens, encumbrances, security interests, equities, charges or claims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except (i) as disclosed in the Registration Statement, the Pricing Disclosure Package and the Prospectus, (ii) as contained in the Organizational Documents of the applicable GP Entity or (iii) such as would not reasonably be expected to result in a change of control of the Partnership (in the case of any general partner or membership interests held by the GP Entities) or reasonably be expected to materially adversely affect the ability of the Plains Entities considered as a whole to conduct their businesses as currently conducted and as contemplated by the Registration Statement, the Pricing Disclosure Package and the Prospectus to be conducted.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Ownership of the Material Subsidiaries</w:t>
      </w:r>
      <w:r>
        <w:rPr>
          <w:rFonts w:ascii="Times New Roman" w:cs="Times New Roman" w:eastAsia="Times New Roman" w:hAnsi="Times New Roman"/>
          <w:sz w:val="18"/>
          <w:szCs w:val="18"/>
          <w:color w:val="auto"/>
        </w:rPr>
        <w:t>. All of the outstanding shares of capital stock or other equity interests of each Material Subsidiary are owned, directly or indirectly, by the Partnership, except for a (i) 30% noncontrolling interest in Cactus II Pipeline LLC, (ii) 33% noncontrolling interest in Red River Pipeline Company LLC, and (iii) 35% noncontrolling interest in each of Plains Oryx Permian Basin Pipeline LLC, Plains Oryx Permian Basin Marketing LLC, Oryx Delaware Oil Transport LLC and Oryx Midland Oil Gathering LLC. Such shares of capital stock or other equity interests owned, directly or indirectly, by the Partnership (i)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(A) in the case of an interest in a Delaware limited partnership or Delaware limited liability company, as such nonassessability may be affected by Sections 17-303, 17-607 and 17-804 of the Delaware LP Act or Sections 18-607 and 18-804 of the Delaware LLC Act, as applicable, (B) in the case of an interest in a limited partnership or limited liability company formed under the laws of another domestic state, as such nonassessability may be affected by similar provisions of such state’s limited partnership or limited liability company statute, as applicable, (C) in the case of an interest in an entity formed under the laws of a foreign jurisdiction, as such nonassessability may be affected by similar provisions of such jurisdiction’s partnership, limited or unlimited liability company statute, if any, as applicable, or (D) with respect to the general partner interest of any Material Subsidiary) and (ii) are owned free and clear of all Liens. The Subsidiaries other than the Material Subsidiaries did not, individually or in the aggregate, account for (A) more than 10% of the total consolidated assets of the Plains Entities, taken as a whole, as of the most recent fiscal year end or (B) more than 10% of the consolidated net income of the Plains Entities, taken as a whole, for the most recent fiscal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Registration Rights</w:t>
      </w:r>
      <w:r>
        <w:rPr>
          <w:rFonts w:ascii="Times New Roman" w:cs="Times New Roman" w:eastAsia="Times New Roman" w:hAnsi="Times New Roman"/>
          <w:sz w:val="18"/>
          <w:szCs w:val="18"/>
          <w:color w:val="auto"/>
        </w:rPr>
        <w:t>. The offering and sale of the Notes as contemplated by this Agreement do not give rise to any rights for or relating to the registration of any other securities of the Issuers, except such rights as have been waived or satisfied.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Conformity to Description of Notes</w:t>
      </w:r>
      <w:r>
        <w:rPr>
          <w:rFonts w:ascii="Times New Roman" w:cs="Times New Roman" w:eastAsia="Times New Roman" w:hAnsi="Times New Roman"/>
          <w:sz w:val="18"/>
          <w:szCs w:val="18"/>
          <w:color w:val="auto"/>
        </w:rPr>
        <w:t>. The Notes, when issued and delivered against payment therefor as provided herein and in the Indenture, and the Indenture will conform in all material respects to the descriptions thereof contained in the Pricing Disclosure Package and the Prospectus (and any amendment or supplement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Each of the Issuers has all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 At the Delivery Date, all action required to be taken by each of the Issuers or its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Authorization, Execution and Delivery of this Agreement</w:t>
      </w:r>
      <w:r>
        <w:rPr>
          <w:rFonts w:ascii="Times New Roman" w:cs="Times New Roman" w:eastAsia="Times New Roman" w:hAnsi="Times New Roman"/>
          <w:sz w:val="18"/>
          <w:szCs w:val="18"/>
          <w:color w:val="auto"/>
        </w:rPr>
        <w:t>. This Agreement has been duly and validly authorized, executed and delivered by or on behalf of the Issuers.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Enforceability of the Indenture</w:t>
      </w:r>
      <w:r>
        <w:rPr>
          <w:rFonts w:ascii="Times New Roman" w:cs="Times New Roman" w:eastAsia="Times New Roman" w:hAnsi="Times New Roman"/>
          <w:sz w:val="18"/>
          <w:szCs w:val="18"/>
          <w:color w:val="auto"/>
        </w:rPr>
        <w:t xml:space="preserve">. The execution and delivery of the Supplemental Indentures and the performance by each of the Issuers of their respective obligations under the Indenture have been duly and validly authorized by each of the Issuers; the Indenture has been duly qualified under the Trust Indenture Act and, assuming due authorization, execution and delivery of the Indenture by the Trustee, the Indenture constitutes the valid and legally binding agreement of each of the Issuers, enforceable against each of the Issuers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Valid Issuance of the Notes</w:t>
      </w:r>
      <w:r>
        <w:rPr>
          <w:rFonts w:ascii="Times New Roman" w:cs="Times New Roman" w:eastAsia="Times New Roman" w:hAnsi="Times New Roman"/>
          <w:sz w:val="18"/>
          <w:szCs w:val="18"/>
          <w:color w:val="auto"/>
        </w:rPr>
        <w:t xml:space="preserve">. The Notes have been duly authorized, and, when executed and authenticated in accordance with the 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Authorization, Execution and Enforceability of the Organizational Documents</w:t>
      </w:r>
      <w:r>
        <w:rPr>
          <w:rFonts w:ascii="Times New Roman" w:cs="Times New Roman" w:eastAsia="Times New Roman" w:hAnsi="Times New Roman"/>
          <w:sz w:val="18"/>
          <w:szCs w:val="18"/>
          <w:color w:val="auto"/>
        </w:rPr>
        <w:t xml:space="preserve">. The Organizational Documents of each of the Issuers, the GP Entities and the Material Subsidiaries have been duly authorized, executed and delivered by the parties thereto and are valid and legally binding agreements of such parties thereto, enforceable against the parties thereto in accordance with their respective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Conflicts or Violations</w:t>
      </w:r>
      <w:r>
        <w:rPr>
          <w:rFonts w:ascii="Times New Roman" w:cs="Times New Roman" w:eastAsia="Times New Roman" w:hAnsi="Times New Roman"/>
          <w:sz w:val="18"/>
          <w:szCs w:val="18"/>
          <w:color w:val="auto"/>
        </w:rPr>
        <w:t xml:space="preserve">. None of (i) the offering, issuance and sale by the Issuers of the Notes, (ii) the execution, delivery and performance of this Agreement by each of the Issuers, (iii) the consummation of the transactions contemplated by this Agreement or (iv) the execution and delivery of the Supplemental Indentures, the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or</w:t>
      </w:r>
    </w:p>
    <w:p>
      <w:pPr>
        <w:spacing w:after="0" w:line="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would reasonably be expected to have a Material Adverse Effect or materially impair the ability of the Issuers to consummate the transactions contemplated by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Consents</w:t>
      </w:r>
      <w:r>
        <w:rPr>
          <w:rFonts w:ascii="Times New Roman" w:cs="Times New Roman" w:eastAsia="Times New Roman" w:hAnsi="Times New Roman"/>
          <w:sz w:val="18"/>
          <w:szCs w:val="18"/>
          <w:color w:val="auto"/>
        </w:rPr>
        <w:t>. No consent, approval, authorization, filing with or order of any court, governmental agency or body having 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or (iii) the execution and delivery of the Supplemental Indentures, and the performance of the Indenture, by each of the Issuers or the consummation of the transactions contemplated thereby, except (A) such as have been obtained or are required under the Securities Act, (B) such as may be required under the blue sky laws of any jurisdiction or the by-laws and rules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in connection with the purchase and distribution by the Underwriters of the Notes in the manner contemplated herein and in the Registration Statement,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Default</w:t>
      </w:r>
      <w:r>
        <w:rPr>
          <w:rFonts w:ascii="Times New Roman" w:cs="Times New Roman" w:eastAsia="Times New Roman" w:hAnsi="Times New Roman"/>
          <w:sz w:val="18"/>
          <w:szCs w:val="18"/>
          <w:color w:val="auto"/>
        </w:rPr>
        <w:t xml:space="preserve">. (i) None of the Issuers or the GP Entities or the Material Subsidiaries is in violation of its Organizational Documents in any 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w:t>
      </w:r>
      <w:r>
        <w:rPr>
          <w:rFonts w:ascii="Times New Roman" w:cs="Times New Roman" w:eastAsia="Times New Roman" w:hAnsi="Times New Roman"/>
          <w:sz w:val="18"/>
          <w:szCs w:val="18"/>
          <w:u w:val="single" w:color="auto"/>
          <w:color w:val="auto"/>
        </w:rPr>
        <w:t>clause (ii)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clause (iii) </w:t>
      </w:r>
      <w:r>
        <w:rPr>
          <w:rFonts w:ascii="Times New Roman" w:cs="Times New Roman" w:eastAsia="Times New Roman" w:hAnsi="Times New Roman"/>
          <w:sz w:val="18"/>
          <w:szCs w:val="18"/>
          <w:color w:val="auto"/>
        </w:rPr>
        <w:t>would, if continued, reasonably be expected to have a Material Adverse Effect or materially impair the ability of either of the Issuers to perform its obligations under this Agreement.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Independent Registered Public Accounting Firm</w:t>
      </w:r>
      <w:r>
        <w:rPr>
          <w:rFonts w:ascii="Times New Roman" w:cs="Times New Roman" w:eastAsia="Times New Roman" w:hAnsi="Times New Roman"/>
          <w:sz w:val="18"/>
          <w:szCs w:val="18"/>
          <w:color w:val="auto"/>
        </w:rPr>
        <w:t>. PricewaterhouseCoopers LLP, which has certified the audited financial statements included or incorporated by reference in the Registration Statement, the Pricing Disclosure Package and the Prospectus (and any amendment or supplement thereto), is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 At September 30, 2025, the Partnership had, on an as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No other financial statements or schedules of the Issuers are required by the Securities Act or the Exchange Act to be included in the Registration Statement, the most recent Preliminary Prospectus or the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Adverse Change</w:t>
      </w:r>
      <w:r>
        <w:rPr>
          <w:rFonts w:ascii="Times New Roman" w:cs="Times New Roman" w:eastAsia="Times New Roman" w:hAnsi="Times New Roman"/>
          <w:sz w:val="18"/>
          <w:szCs w:val="18"/>
          <w:color w:val="auto"/>
        </w:rPr>
        <w:t>. None of the Plains Entities or the GP Entities has sustained, since the date of the latest audited or reviewed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Seventh Amended and Restated Agreement of Limited Partnership of the Partnership, as amended)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Required Disclosures and Descriptions</w:t>
      </w:r>
      <w:r>
        <w:rPr>
          <w:rFonts w:ascii="Times New Roman" w:cs="Times New Roman" w:eastAsia="Times New Roman" w:hAnsi="Times New Roman"/>
          <w:sz w:val="18"/>
          <w:szCs w:val="18"/>
          <w:color w:val="auto"/>
        </w:rPr>
        <w:t>.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Title to Properties</w:t>
      </w:r>
      <w:r>
        <w:rPr>
          <w:rFonts w:ascii="Times New Roman" w:cs="Times New Roman" w:eastAsia="Times New Roman" w:hAnsi="Times New Roman"/>
          <w:sz w:val="18"/>
          <w:szCs w:val="18"/>
          <w:color w:val="auto"/>
        </w:rPr>
        <w:t>. The Plains Entities, directly or indirectly, have good and indefeasible title to all real property and good title to all personal property described in the Registration Statement, the Pricing Disclosure Package and the Prospectus as being owned by them, free and clear of all Liens except (i) as provided in the (A) Fourth Amended and Restated Credit Agreement dated as of August 20, 2021, as amended (the “</w:t>
      </w:r>
      <w:r>
        <w:rPr>
          <w:rFonts w:ascii="Times New Roman" w:cs="Times New Roman" w:eastAsia="Times New Roman" w:hAnsi="Times New Roman"/>
          <w:sz w:val="18"/>
          <w:szCs w:val="18"/>
          <w:b w:val="1"/>
          <w:bCs w:val="1"/>
          <w:u w:val="single" w:color="auto"/>
          <w:color w:val="auto"/>
        </w:rPr>
        <w:t>Hedged Inventory Facility</w:t>
      </w:r>
      <w:r>
        <w:rPr>
          <w:rFonts w:ascii="Times New Roman" w:cs="Times New Roman" w:eastAsia="Times New Roman" w:hAnsi="Times New Roman"/>
          <w:sz w:val="18"/>
          <w:szCs w:val="18"/>
          <w:color w:val="auto"/>
        </w:rPr>
        <w:t>”), among Plains Marketing, L.P., a Texas limited partnership (“</w:t>
      </w:r>
      <w:r>
        <w:rPr>
          <w:rFonts w:ascii="Times New Roman" w:cs="Times New Roman" w:eastAsia="Times New Roman" w:hAnsi="Times New Roman"/>
          <w:sz w:val="18"/>
          <w:szCs w:val="18"/>
          <w:b w:val="1"/>
          <w:bCs w:val="1"/>
          <w:u w:val="single" w:color="auto"/>
          <w:color w:val="auto"/>
        </w:rPr>
        <w:t>Plains Marketing</w:t>
      </w:r>
      <w:r>
        <w:rPr>
          <w:rFonts w:ascii="Times New Roman" w:cs="Times New Roman" w:eastAsia="Times New Roman" w:hAnsi="Times New Roman"/>
          <w:sz w:val="18"/>
          <w:szCs w:val="18"/>
          <w:color w:val="auto"/>
        </w:rPr>
        <w:t>”), and Plains Midstream Canada ULC, a British Columbia unlimited liability company (“</w:t>
      </w:r>
      <w:r>
        <w:rPr>
          <w:rFonts w:ascii="Times New Roman" w:cs="Times New Roman" w:eastAsia="Times New Roman" w:hAnsi="Times New Roman"/>
          <w:sz w:val="18"/>
          <w:szCs w:val="18"/>
          <w:b w:val="1"/>
          <w:bCs w:val="1"/>
          <w:u w:val="single" w:color="auto"/>
          <w:color w:val="auto"/>
        </w:rPr>
        <w:t>Plains Midstream Canada</w:t>
      </w:r>
      <w:r>
        <w:rPr>
          <w:rFonts w:ascii="Times New Roman" w:cs="Times New Roman" w:eastAsia="Times New Roman" w:hAnsi="Times New Roman"/>
          <w:sz w:val="18"/>
          <w:szCs w:val="18"/>
          <w:color w:val="auto"/>
        </w:rPr>
        <w:t>”), as borrowers, the Partnership, as guarantor, Bank of America, N.A., as administrative agent and swing line lender thereunder, Bank of America, N.A., Citibank, N.A., JPMorgan Chase Bank, N.A. and Wells Fargo Bank, National Association, as letters of credit issuers, and the other lenders from time to time party thereto, and (B) Credit Agreement, dated as of October 15, 2024, by and among EPIC Crude Holdings, EPIC Crude Services, LP, as borrower, Goldman Sachs Bank USA, as administrative and collateral agent, and the lenders and letters of credit issuers party thereto from time to time (as amended, the “EPIC Credit Agreement”), in each case, as described in the Registration Statement,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or as described in the Registration Statement, the Pricing Disclosure Package and the Prospectus.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Each of the Plains Entities, directly or indirectly, has such permits, consents, licenses, franchises, certificates and authorizations of governmental or regulatory authorities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as are necessary to own its properties and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Each of the Plains Entities, directly or indirectly, has such consents, easements, rights-of-way or licenses from any person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Each of the Plains Entities (A) own or possess rights to use all material patents, patent applications, trademarks, service marks, trade names, trademark registrations, service mark registrations, copyrights, know-how, systems, trade secrets, and technology necessary for the conduct of their respective businesses in the manner described in the Registration Statement, the Pricing Disclosure Package and the Prospectus and (B) have no reason to believe that the conduct of their respective businesses will conflict with, and have not received any written notice of any claim of conflict with, any such rights of others, except for such conflict that would not, in the case of either clause (A) or clause (B), individually or in the aggregate, reasonably be expected to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Cybersecurity</w:t>
      </w:r>
      <w:r>
        <w:rPr>
          <w:rFonts w:ascii="Times New Roman" w:cs="Times New Roman" w:eastAsia="Times New Roman" w:hAnsi="Times New Roman"/>
          <w:sz w:val="18"/>
          <w:szCs w:val="18"/>
          <w:color w:val="auto"/>
        </w:rPr>
        <w:t>. (A) To the knowledge of the Issuers, in the last two years, there has been no material security breach or unauthorized access of or relating to any of the Plains Entities’, the GP Entities’ or their respective subsidiaries’ information technology, computer systems, networks, hardware, software, sensitive data and databases, that are used in connection with their respective businesses as described in the Registration Statement, the Pricing Disclosure Package and the Prospectus (collectively, “</w:t>
      </w:r>
      <w:r>
        <w:rPr>
          <w:rFonts w:ascii="Times New Roman" w:cs="Times New Roman" w:eastAsia="Times New Roman" w:hAnsi="Times New Roman"/>
          <w:sz w:val="18"/>
          <w:szCs w:val="18"/>
          <w:b w:val="1"/>
          <w:bCs w:val="1"/>
          <w:u w:val="single" w:color="auto"/>
          <w:color w:val="auto"/>
        </w:rPr>
        <w:t>IT Systems and Sensitive Data</w:t>
      </w:r>
      <w:r>
        <w:rPr>
          <w:rFonts w:ascii="Times New Roman" w:cs="Times New Roman" w:eastAsia="Times New Roman" w:hAnsi="Times New Roman"/>
          <w:sz w:val="18"/>
          <w:szCs w:val="18"/>
          <w:color w:val="auto"/>
        </w:rPr>
        <w:t>”) and (B) none of the Plains Entities nor any of the GP Entities, in the last two years, have been notified in writing of, and the Issuers have no knowledge of any event or conditions that would be reasonably expected to result in any material security breach or unauthorized access of their and their subsidiaries’ respective IT Systems and Sensitive Data, except, in the case of either clause (A) or clause (B), for those that (i) would not, individually or in the aggregate, reasonably be expected to result in a Material Adverse Effect, or (ii) have been remedied without material cost or liability. To the knowledge of the Issuers, the Plains Entities, the GP Entities and each of their respective subsidiaries are presently in compliance in all material respects with all applicable laws or statutes and all judgments, orders, rules and regulations of any applicable court or arbitrator or any applicable governmental or regulatory authority applicable to the privacy and security of their IT Systems and Sensitive Data and to the protection of such IT Systems and Data from unauthorized use, access or modification, except for such non-compliance which would not, individually or in the aggregate, reasonably be expected to have a Material Adverse Effect. The Plains Entities and the GP Entities have each implemented and maintained commercially reasonable controls, policies, procedures and safeguards designed to maintain and protect the integrity, continuous operation, redundancy and security of their IT Systems and Sensitive Data as required by applicable laws.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(ii) a “gas utility,” within the meaning of Tex. Util. Code §§ 101.003 or 121.001 or (iii) a “public utility” or “utility” within the meaning of the Public Utility Regulatory Act of Texas or under the utility laws of any state in which any such Plains Entity does business; in the case of clauses (ii) and (iii), (y) excluding any circumstances where any Plains Entity is a “common carrier” under any such laws and (z) other than in respect of any Plains Entity that is under the jurisdiction of the California Public Utility Commission.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Environmental Compliance</w:t>
      </w:r>
      <w:r>
        <w:rPr>
          <w:rFonts w:ascii="Times New Roman" w:cs="Times New Roman" w:eastAsia="Times New Roman" w:hAnsi="Times New Roman"/>
          <w:sz w:val="18"/>
          <w:szCs w:val="18"/>
          <w:color w:val="auto"/>
        </w:rPr>
        <w:t>. Except as described in the Registration Statement,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Labor Disputes</w:t>
      </w:r>
      <w:r>
        <w:rPr>
          <w:rFonts w:ascii="Times New Roman" w:cs="Times New Roman" w:eastAsia="Times New Roman" w:hAnsi="Times New Roman"/>
          <w:sz w:val="18"/>
          <w:szCs w:val="18"/>
          <w:color w:val="auto"/>
        </w:rPr>
        <w:t>. No labor dispute with the employees of any of the Plains Entities or the GP Entities exists or, to the knowledge of the Issuers, is imminent, that would reasonably be expected to have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Legal Actions</w:t>
      </w:r>
      <w:r>
        <w:rPr>
          <w:rFonts w:ascii="Times New Roman" w:cs="Times New Roman" w:eastAsia="Times New Roman" w:hAnsi="Times New Roman"/>
          <w:sz w:val="18"/>
          <w:szCs w:val="18"/>
          <w:color w:val="auto"/>
        </w:rPr>
        <w:t xml:space="preserve">. Except as described in the Registration Statement, the Pricing Disclosure Package and the Prospectus, there is (i) no action, suit or 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above, would reasonably be expected to have, individually or in the aggregate, a Material Adverse Effect or prevent or result in the suspension of the offering and issuance of the Notes.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Distribution Restrictions</w:t>
      </w:r>
      <w:r>
        <w:rPr>
          <w:rFonts w:ascii="Times New Roman" w:cs="Times New Roman" w:eastAsia="Times New Roman" w:hAnsi="Times New Roman"/>
          <w:sz w:val="18"/>
          <w:szCs w:val="18"/>
          <w:color w:val="auto"/>
        </w:rPr>
        <w:t>. No Subsidiary is currently prohibited, directly or indirectly, from making any distributions to the Partnership or another Subsidiary, from making any other distribution on such Subsidiary’s equity interests, from repaying to the Partnership or another Subsidiary any loans or advances to such Subsidiary from the Partnership or another Subsidiary or from transferring any of such Subsidiary’s property or assets to the Partnership or any other Subsidiary, except (i) as described in or contemplated by the Registration Statement,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Distribution of Other Offering Materials</w:t>
      </w:r>
      <w:r>
        <w:rPr>
          <w:rFonts w:ascii="Times New Roman" w:cs="Times New Roman" w:eastAsia="Times New Roman" w:hAnsi="Times New Roman"/>
          <w:sz w:val="18"/>
          <w:szCs w:val="18"/>
          <w:color w:val="auto"/>
        </w:rPr>
        <w:t xml:space="preserve">. None of the Plains Entities or the GP Entities has distributed and, prior to the later 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w:t>
      </w:r>
      <w:r>
        <w:rPr>
          <w:rFonts w:ascii="Times New Roman" w:cs="Times New Roman" w:eastAsia="Times New Roman" w:hAnsi="Times New Roman"/>
          <w:sz w:val="18"/>
          <w:szCs w:val="18"/>
          <w:u w:val="single" w:color="auto"/>
          <w:color w:val="auto"/>
        </w:rPr>
        <w:t>Section 1(h) </w:t>
      </w:r>
      <w:r>
        <w:rPr>
          <w:rFonts w:ascii="Times New Roman" w:cs="Times New Roman" w:eastAsia="Times New Roman" w:hAnsi="Times New Roman"/>
          <w:sz w:val="18"/>
          <w:szCs w:val="18"/>
          <w:color w:val="auto"/>
        </w:rPr>
        <w:t>of this Agreement, or other materials, if any, permitted by the Securities Act, including Rule 134 of the Rules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Books and Records; Accounting Controls</w:t>
      </w:r>
      <w:r>
        <w:rPr>
          <w:rFonts w:ascii="Times New Roman" w:cs="Times New Roman" w:eastAsia="Times New Roman" w:hAnsi="Times New Roman"/>
          <w:sz w:val="18"/>
          <w:szCs w:val="18"/>
          <w:color w:val="auto"/>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The Partnership and, to the knowledge of the Issuers, the directors of PAGP GP and the officers of GP LLC, in their capacities as such, are in compliance in all material respects with all applicable and effective provisions of the Sarbanes-Oxley Act of 2002 and the rules and regulations promulgated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Disclosure Controls</w:t>
      </w:r>
      <w:r>
        <w:rPr>
          <w:rFonts w:ascii="Times New Roman" w:cs="Times New Roman" w:eastAsia="Times New Roman" w:hAnsi="Times New Roman"/>
          <w:sz w:val="18"/>
          <w:szCs w:val="18"/>
          <w:color w:val="auto"/>
        </w:rPr>
        <w:t>.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Deficiency in Internal Controls</w:t>
      </w:r>
      <w:r>
        <w:rPr>
          <w:rFonts w:ascii="Times New Roman" w:cs="Times New Roman" w:eastAsia="Times New Roman" w:hAnsi="Times New Roman"/>
          <w:sz w:val="18"/>
          <w:szCs w:val="18"/>
          <w:color w:val="auto"/>
        </w:rPr>
        <w:t>.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No Plains Entity or GP Entity, nor any of their respective subsidiaries, directors or officers, nor, to the knowledge of the Issuers, any agent, employee or affiliate of the Plains Entities, the GP Entities or any of their respective subsidiaries or other person acting on behalf of the Issuers, is aware of or has taken any action, directly or indirectly, that would result in a violation by such persons of the Foreign Corrupt Practices Act of 1977, as amended (together with the rules and regulations thereunder,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any applicable law or regulation implementing the OECD Convention on Combating Bribery of Foreign Public Officials in International Business Transactions, the Bribery Act 2010 of the United Kingdom or any other applicable anti-bribery or anti-corruption statute or regulation (collectively, “</w:t>
      </w:r>
      <w:r>
        <w:rPr>
          <w:rFonts w:ascii="Times New Roman" w:cs="Times New Roman" w:eastAsia="Times New Roman" w:hAnsi="Times New Roman"/>
          <w:sz w:val="18"/>
          <w:szCs w:val="18"/>
          <w:b w:val="1"/>
          <w:bCs w:val="1"/>
          <w:u w:val="single" w:color="auto"/>
          <w:color w:val="auto"/>
        </w:rPr>
        <w:t>Applicable Anti-Corruption Laws</w:t>
      </w:r>
      <w:r>
        <w:rPr>
          <w:rFonts w:ascii="Times New Roman" w:cs="Times New Roman" w:eastAsia="Times New Roman" w:hAnsi="Times New Roman"/>
          <w:sz w:val="18"/>
          <w:szCs w:val="18"/>
          <w:color w:val="auto"/>
        </w:rPr>
        <w:t>”). Each of the Plains Entities, the GP Entities and their respective subsidiaries and, to the knowledge of any of the Issuers,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have conducted their businesses in material compliance, and have instituted, maintain and enforce policies and procedures designed to promote continued compliance, with all Applicable Anti-Corruption Laws.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The operations of each of the Plains Entities, the GP Entities and each of their respective subsidiaries are and have been conducted at all times in material compliance with the applicable financial recordkeeping and reporting requirements of (i) the U.S. Currency and Foreign Transactions Reporting Act of 1970, as amended, (b) the U.S. Uniting and Strengthening America by Providing Appropriate Tools Required to Intercept and Obstruct Terrorism Act of 2001, as amended, (iii) the applicable money laundering statutes of all jurisdictions in which such Plains Entity or GP Entity, or the applicable subsidiary of a Plains Entity or GP Entity, conducts its business, (iv) the rules and regulations issued under any of the foregoing and (v)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any of the Plains Entities, the GP Entities or their respective subsidiaries with respect to the Anti-Money Laundering Laws is pending or, to the knowledge of the Issuers, threatened.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Sanctions Laws</w:t>
      </w:r>
      <w:r>
        <w:rPr>
          <w:rFonts w:ascii="Times New Roman" w:cs="Times New Roman" w:eastAsia="Times New Roman" w:hAnsi="Times New Roman"/>
          <w:sz w:val="18"/>
          <w:szCs w:val="18"/>
          <w:color w:val="auto"/>
        </w:rPr>
        <w:t>. No Plains Entity or GP Entity, nor any of their respective subsidiaries, directors or officers, nor any employee, affiliate or, to the Issuers’ knowledge, agent of the Plains Entities, the GP Entities or any of their respective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50% or more owned or controlled by a Person that is, currently the subject or the target of any sanctions administered or enforced by the U.S. Government (including, without limitation, the Office of Foreign Assets Control of the U.S. Treasury Department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or the U.S. State Department, and including, without limitation, the designation as a “specially designated national” or “blocked person”), the United Nations Security Council, the European Union and any of its member states, His Majesty’s Treasury, or any other applicable sanctions laws or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 are any of the Plains Entities, GP Entities or any of their respective subsidiaries located, organized or resident in a country or territory that is the subject or the target of comprehensive Sanctions, including, without limitation, the Crimea Region and the non-government-controlled areas of the Zaporizhzhia and Kherson Regions of Ukraine, the so-called Donetsk People’s Republic, the so-called Luhansk People’s Republic, Cuba, Iran, North Korea and Syria (each, a “</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and the Issuers will not knowingly directly or indirectly use the proceeds of the offering, or lend, contribute or otherwise make available such proceeds to any subsidiary, joint venture partner or Person (i) to fund or facilitate any activities or business of or with any Person that, at the time of such funding or facilitation, is the subject or the target of any Sanctions in violation of applicable Sanctions, (ii) to fund or facilitate any activities or business in any Sanctioned Country in violation of applicable Sanctions, or (iii) in any other manner that will result in a violation of any Sanctions by any Person (including any Person participating in the offering, whether as initial purchaser, underwriter, advisor, investor or otherwise). Since April 24, 2019, each Plains Entity, GP Entity and each of their respective subsidiaries have not engaged in, and are not now engaged in, any dealings or transactions with any Person that at the time of the dealing or transaction is or was the subject or the target of any Sanctions or with any Sanctioned Country, in each case in violation of applicable Sanctions.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XBRL</w:t>
      </w:r>
      <w:r>
        <w:rPr>
          <w:rFonts w:ascii="Times New Roman" w:cs="Times New Roman" w:eastAsia="Times New Roman" w:hAnsi="Times New Roman"/>
          <w:sz w:val="18"/>
          <w:szCs w:val="18"/>
          <w:color w:val="auto"/>
        </w:rPr>
        <w:t>.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applicable statements made in the certificates described in </w:t>
      </w:r>
      <w:r>
        <w:rPr>
          <w:rFonts w:ascii="Times New Roman" w:cs="Times New Roman" w:eastAsia="Times New Roman" w:hAnsi="Times New Roman"/>
          <w:sz w:val="18"/>
          <w:szCs w:val="18"/>
          <w:u w:val="single" w:color="auto"/>
          <w:color w:val="auto"/>
        </w:rPr>
        <w:t>Sections 7(i)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7(j) </w:t>
      </w:r>
      <w:r>
        <w:rPr>
          <w:rFonts w:ascii="Times New Roman" w:cs="Times New Roman" w:eastAsia="Times New Roman" w:hAnsi="Times New Roman"/>
          <w:sz w:val="18"/>
          <w:szCs w:val="18"/>
          <w:color w:val="auto"/>
        </w:rPr>
        <w:t>shall be deemed representations and warranties by the Issuers,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matters covered thereby, to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Purchase and Sale</w:t>
      </w:r>
      <w:r>
        <w:rPr>
          <w:rFonts w:ascii="Times New Roman" w:cs="Times New Roman" w:eastAsia="Times New Roman" w:hAnsi="Times New Roman"/>
          <w:sz w:val="18"/>
          <w:szCs w:val="18"/>
          <w:color w:val="auto"/>
        </w:rPr>
        <w:t xml:space="preserve">. Subject to the terms and conditions and in reliance upon the representations and warranties herein set forth, the Issuers agree to sell to each Underwriter, and each Underwriter agrees, severally and not jointly, to purchase from the Issuers (i) the aggregate principal amount of 2031 Notes set forth opposite such Underwriter’s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99.272% of the principal amount of the 2031 Notes and (ii) the aggregate principal amount of 2036 Notes set forth opposite such Underwriter’s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99.868% of the principal amount of the 2036 Notes, in each case, plus accrued interest from September 8, 2025.  </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Delivery and Payment</w:t>
      </w:r>
      <w:r>
        <w:rPr>
          <w:rFonts w:ascii="Times New Roman" w:cs="Times New Roman" w:eastAsia="Times New Roman" w:hAnsi="Times New Roman"/>
          <w:sz w:val="18"/>
          <w:szCs w:val="18"/>
          <w:color w:val="auto"/>
        </w:rPr>
        <w:t xml:space="preserve">. Delivery of and payment for the Notes shall be made at the office of Vinson &amp; Elkins L.L.P., 845 Texas Avenue, Suite 4700, Houston, Texas 77002 at 9:00 a.m., Houston time, on November 14, 2025, or at such time on such later date not more than three business days after the foregoing date as the Representatives shall designate, which date and time may be postponed by agreement between the Representatives and the Issuers or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(such date and time of delivery and payment for the Notes being herein called the “</w:t>
      </w:r>
      <w:r>
        <w:rPr>
          <w:rFonts w:ascii="Times New Roman" w:cs="Times New Roman" w:eastAsia="Times New Roman" w:hAnsi="Times New Roman"/>
          <w:sz w:val="18"/>
          <w:szCs w:val="18"/>
          <w:b w:val="1"/>
          <w:bCs w:val="1"/>
          <w:u w:val="single" w:color="auto"/>
          <w:color w:val="auto"/>
        </w:rPr>
        <w:t>Delivery Date</w:t>
      </w:r>
      <w:r>
        <w:rPr>
          <w:rFonts w:ascii="Times New Roman" w:cs="Times New Roman" w:eastAsia="Times New Roman" w:hAnsi="Times New Roman"/>
          <w:sz w:val="18"/>
          <w:szCs w:val="18"/>
          <w:color w:val="auto"/>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color w:val="auto"/>
        </w:rPr>
        <w:t>”). Concurrently, the Issuers shall deliver to the Trustee, as custodian for DTC, one or more global notes representing the Notes (collectively, the “</w:t>
      </w:r>
      <w:r>
        <w:rPr>
          <w:rFonts w:ascii="Times New Roman" w:cs="Times New Roman" w:eastAsia="Times New Roman" w:hAnsi="Times New Roman"/>
          <w:sz w:val="18"/>
          <w:szCs w:val="18"/>
          <w:b w:val="1"/>
          <w:bCs w:val="1"/>
          <w:u w:val="single" w:color="auto"/>
          <w:color w:val="auto"/>
        </w:rPr>
        <w:t>Global Notes</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Offering by the Underwriters</w:t>
      </w:r>
      <w:r>
        <w:rPr>
          <w:rFonts w:ascii="Times New Roman" w:cs="Times New Roman" w:eastAsia="Times New Roman" w:hAnsi="Times New Roman"/>
          <w:sz w:val="17"/>
          <w:szCs w:val="17"/>
          <w:color w:val="auto"/>
        </w:rPr>
        <w:t>. It is understood that the several Underwriters propose to offer the Notes for sale to the public as set forth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Agreements of the Issuers</w:t>
      </w:r>
      <w:r>
        <w:rPr>
          <w:rFonts w:ascii="Times New Roman" w:cs="Times New Roman" w:eastAsia="Times New Roman" w:hAnsi="Times New Roman"/>
          <w:sz w:val="18"/>
          <w:szCs w:val="18"/>
          <w:color w:val="auto"/>
        </w:rPr>
        <w:t>. Each of the Issuers, jointly and severally, acknowledges and agrees with the Underwriters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Post-Effective Amendments</w:t>
      </w:r>
      <w:r>
        <w:rPr>
          <w:rFonts w:ascii="Times New Roman" w:cs="Times New Roman" w:eastAsia="Times New Roman" w:hAnsi="Times New Roman"/>
          <w:sz w:val="18"/>
          <w:szCs w:val="18"/>
          <w:color w:val="auto"/>
        </w:rPr>
        <w:t>. If, at the Applicable Time, it is necessary for a post-effective amendment to the Registration 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Preparation of Prospectus and Registration Statement</w:t>
      </w:r>
      <w:r>
        <w:rPr>
          <w:rFonts w:ascii="Times New Roman" w:cs="Times New Roman" w:eastAsia="Times New Roman" w:hAnsi="Times New Roman"/>
          <w:sz w:val="18"/>
          <w:szCs w:val="18"/>
          <w:color w:val="auto"/>
        </w:rPr>
        <w:t xml:space="preserve">. The Issuers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w:t>
      </w:r>
      <w:r>
        <w:rPr>
          <w:rFonts w:ascii="Times New Roman" w:cs="Times New Roman" w:eastAsia="Times New Roman" w:hAnsi="Times New Roman"/>
          <w:sz w:val="18"/>
          <w:szCs w:val="18"/>
          <w:u w:val="single" w:color="auto"/>
          <w:color w:val="auto"/>
        </w:rPr>
        <w:t>paragraph (e) </w:t>
      </w:r>
      <w:r>
        <w:rPr>
          <w:rFonts w:ascii="Times New Roman" w:cs="Times New Roman" w:eastAsia="Times New Roman" w:hAnsi="Times New Roman"/>
          <w:sz w:val="18"/>
          <w:szCs w:val="18"/>
          <w:color w:val="auto"/>
        </w:rPr>
        <w:t>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Final Term Sheet and Issuer Free Writing Prospectuses</w:t>
      </w:r>
      <w:r>
        <w:rPr>
          <w:rFonts w:ascii="Times New Roman" w:cs="Times New Roman" w:eastAsia="Times New Roman" w:hAnsi="Times New Roman"/>
          <w:sz w:val="18"/>
          <w:szCs w:val="18"/>
          <w:color w:val="auto"/>
        </w:rPr>
        <w:t xml:space="preserve">. The Issuers agree (i) to prepare a final term sheet, containing a description of the final terms of the Notes and the offering thereof, in the form approved by the Representatives and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Registration Statement</w:t>
      </w:r>
      <w:r>
        <w:rPr>
          <w:rFonts w:ascii="Times New Roman" w:cs="Times New Roman" w:eastAsia="Times New Roman" w:hAnsi="Times New Roman"/>
          <w:sz w:val="18"/>
          <w:szCs w:val="18"/>
          <w:color w:val="auto"/>
        </w:rPr>
        <w:t>. The Issuers will furnish to the Underwriters, without charge, such number of copies of (i) the manually signed copy of the registration statement corresponding to the Commission’s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 version filed with the Commission and of each amendment thereto, including financial statements and all exhibits to the registration statement, (ii) the registration statement as originally filed and of each amendment thereto, without exhibits, (iii) the Incorporated Documents, without exhibits, and (iv) the exhibits to the Incorporated Documents, in each case, as the Underwriters may reasonably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Amendment or Supplement</w:t>
      </w:r>
      <w:r>
        <w:rPr>
          <w:rFonts w:ascii="Times New Roman" w:cs="Times New Roman" w:eastAsia="Times New Roman" w:hAnsi="Times New Roman"/>
          <w:sz w:val="18"/>
          <w:szCs w:val="18"/>
          <w:color w:val="auto"/>
        </w:rPr>
        <w:t>. For such period as in the opinion of counsel for the Underwriters a prospectus is required by the Securities Act to be delivered in connection with sales by any Underwriter or any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Documents to the Underwriters</w:t>
      </w:r>
      <w:r>
        <w:rPr>
          <w:rFonts w:ascii="Times New Roman" w:cs="Times New Roman" w:eastAsia="Times New Roman" w:hAnsi="Times New Roman"/>
          <w:sz w:val="18"/>
          <w:szCs w:val="18"/>
          <w:color w:val="auto"/>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any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prospectus is required by the Securities Act to be delivered in connection with sales of the Notes by any Underwriter or any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any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w:t>
      </w:r>
      <w:r>
        <w:rPr>
          <w:rFonts w:ascii="Times New Roman" w:cs="Times New Roman" w:eastAsia="Times New Roman" w:hAnsi="Times New Roman"/>
          <w:sz w:val="18"/>
          <w:szCs w:val="18"/>
          <w:u w:val="single" w:color="auto"/>
          <w:color w:val="auto"/>
        </w:rPr>
        <w:t>paragraph (e) </w:t>
      </w:r>
      <w:r>
        <w:rPr>
          <w:rFonts w:ascii="Times New Roman" w:cs="Times New Roman" w:eastAsia="Times New Roman" w:hAnsi="Times New Roman"/>
          <w:sz w:val="18"/>
          <w:szCs w:val="18"/>
          <w:color w:val="auto"/>
        </w:rPr>
        <w:t xml:space="preserve">above, file with the Commission an appropriate supplement or amendment thereto (or to such document), and will expeditiously furnish to the Underwriters and dealers a reasonable number of copies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Blue Sky Laws</w:t>
      </w:r>
      <w:r>
        <w:rPr>
          <w:rFonts w:ascii="Times New Roman" w:cs="Times New Roman" w:eastAsia="Times New Roman" w:hAnsi="Times New Roman"/>
          <w:sz w:val="18"/>
          <w:szCs w:val="18"/>
          <w:color w:val="auto"/>
        </w:rPr>
        <w:t xml:space="preserve">. The Issuers will cooperate with the Representatives and with counsel for the Underwriters in connection with the 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Reports to Security Holders</w:t>
      </w:r>
      <w:r>
        <w:rPr>
          <w:rFonts w:ascii="Times New Roman" w:cs="Times New Roman" w:eastAsia="Times New Roman" w:hAnsi="Times New Roman"/>
          <w:sz w:val="18"/>
          <w:szCs w:val="18"/>
          <w:color w:val="auto"/>
        </w:rPr>
        <w:t>. In accordance with Section 11(a) of the Securities Act and Rule 158 of the Rules and Regulations, 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Reports</w:t>
      </w:r>
      <w:r>
        <w:rPr>
          <w:rFonts w:ascii="Times New Roman" w:cs="Times New Roman" w:eastAsia="Times New Roman" w:hAnsi="Times New Roman"/>
          <w:sz w:val="18"/>
          <w:szCs w:val="18"/>
          <w:color w:val="auto"/>
        </w:rPr>
        <w:t>. Unless otherwise available on EDGAR, during the period of two years hereafter, the Issuers will furnish or 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 Expenses</w:t>
      </w:r>
      <w:r>
        <w:rPr>
          <w:rFonts w:ascii="Times New Roman" w:cs="Times New Roman" w:eastAsia="Times New Roman" w:hAnsi="Times New Roman"/>
          <w:sz w:val="18"/>
          <w:szCs w:val="18"/>
          <w:color w:val="auto"/>
        </w:rPr>
        <w:t xml:space="preserve">. If this Agreement shall terminate or shall be terminated after execution pursuant to any provisions hereof (other than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(except pursuant to the first clause of </w:t>
      </w:r>
      <w:r>
        <w:rPr>
          <w:rFonts w:ascii="Times New Roman" w:cs="Times New Roman" w:eastAsia="Times New Roman" w:hAnsi="Times New Roman"/>
          <w:sz w:val="18"/>
          <w:szCs w:val="18"/>
          <w:u w:val="single" w:color="auto"/>
          <w:color w:val="auto"/>
        </w:rPr>
        <w:t>Section 10(i)</w:t>
      </w:r>
      <w:r>
        <w:rPr>
          <w:rFonts w:ascii="Times New Roman" w:cs="Times New Roman" w:eastAsia="Times New Roman" w:hAnsi="Times New Roman"/>
          <w:sz w:val="18"/>
          <w:szCs w:val="18"/>
          <w:color w:val="auto"/>
        </w:rPr>
        <w:t>))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and documented out-of-pocket expenses (including reasonable and documented fees and expenses of counsel for the Underwriters) incurred by the Underwriters in connection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Application of Proceeds</w:t>
      </w:r>
      <w:r>
        <w:rPr>
          <w:rFonts w:ascii="Times New Roman" w:cs="Times New Roman" w:eastAsia="Times New Roman" w:hAnsi="Times New Roman"/>
          <w:sz w:val="18"/>
          <w:szCs w:val="18"/>
          <w:color w:val="auto"/>
        </w:rPr>
        <w:t>. The Issuers will apply the net proceeds from the sale of the Notes in accordance with the description set forth under the caption “Use of Proceeds” in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Prospectus</w:t>
      </w:r>
      <w:r>
        <w:rPr>
          <w:rFonts w:ascii="Times New Roman" w:cs="Times New Roman" w:eastAsia="Times New Roman" w:hAnsi="Times New Roman"/>
          <w:sz w:val="18"/>
          <w:szCs w:val="18"/>
          <w:color w:val="auto"/>
        </w:rPr>
        <w:t>. The Issuers will timely file the Prospectus, and any amendment or supplement thereto, pursuant to Rule 424(b) of the Rules and Regulations and will advise the Underwriters of the time and manner of such filing.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Stabilization</w:t>
      </w:r>
      <w:r>
        <w:rPr>
          <w:rFonts w:ascii="Times New Roman" w:cs="Times New Roman" w:eastAsia="Times New Roman" w:hAnsi="Times New Roman"/>
          <w:sz w:val="18"/>
          <w:szCs w:val="18"/>
          <w:color w:val="auto"/>
        </w:rPr>
        <w:t>. Except as stated in this Agreement and the Prospectus, neither of the Issuers has taken, or will take, directly or indirectly, any action designed to or that might reasonably be expected to cause or result in stabilization or manipulation of the price of any security of the Issuers to facilitate the sale or resale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The Issuers will take such steps as shall be necessary to ensure that none of the Plains Entities or the GP Entities shall become an “investment company” within the meaning of such term under the Investment Company Act and the rules and regulations of the Commission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Exchange Act Reports</w:t>
      </w:r>
      <w:r>
        <w:rPr>
          <w:rFonts w:ascii="Times New Roman" w:cs="Times New Roman" w:eastAsia="Times New Roman" w:hAnsi="Times New Roman"/>
          <w:sz w:val="18"/>
          <w:szCs w:val="18"/>
          <w:color w:val="auto"/>
        </w:rPr>
        <w:t>. The Issuers, during the period when the Prospectus is required to be delivered under the Securities Act, will file all documents required to be filed with the Commission pursuant to the Exchange Act within the time periods required by the Exchange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Free Writing Prospectuses</w:t>
      </w:r>
      <w:r>
        <w:rPr>
          <w:rFonts w:ascii="Times New Roman" w:cs="Times New Roman" w:eastAsia="Times New Roman" w:hAnsi="Times New Roman"/>
          <w:sz w:val="18"/>
          <w:szCs w:val="18"/>
          <w:color w:val="auto"/>
        </w:rPr>
        <w:t xml:space="preserve">. The Issuers have complied and will comply with the requirements of Rule 433 of the Rules and Regulations applicable to any Issuer Free Writing Prospectus, including appropriate legending and timely filing with the Commission or retention where required. The Issuers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Clear Market</w:t>
      </w:r>
      <w:r>
        <w:rPr>
          <w:rFonts w:ascii="Times New Roman" w:cs="Times New Roman" w:eastAsia="Times New Roman" w:hAnsi="Times New Roman"/>
          <w:sz w:val="18"/>
          <w:szCs w:val="18"/>
          <w:color w:val="auto"/>
        </w:rPr>
        <w:t>. During the period from the date hereof through and including the business day following the Delivery Date, the Issuers will not, without the prior written consent of the Representatives, offer, sell, contract to sell or otherwise dispose of any debt securities issued or guaranteed by the Issuers and having a tenor of more than one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Indemnification and Contribution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Each of the Issuers, jointly and severally, agrees to indemnify and hold harmless each Underwriter, the directors, officers, employees and agents of each Underwriter, each affiliate of any Underwriter who has participated in the distribution of the Notes as an underwriter, each broker-dealer affiliate of any Underwriter, and each person, if any, who controls any Underwriter within the meaning of Section 15 of the Securities Act or Section 20 of the Exchange Act from and against any and all losses, claims, damages, liabilities and expenses, joint or several (including reasonable and documented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 w:cs="Times New Roman" w:eastAsia="Times New Roman" w:hAnsi="Times New Roman"/>
          <w:sz w:val="18"/>
          <w:szCs w:val="18"/>
          <w:b w:val="1"/>
          <w:bCs w:val="1"/>
          <w:u w:val="single" w:color="auto"/>
          <w:color w:val="auto"/>
        </w:rPr>
        <w:t>Non-Prospectus Road Show</w:t>
      </w:r>
      <w:r>
        <w:rPr>
          <w:rFonts w:ascii="Times New Roman" w:cs="Times New Roman" w:eastAsia="Times New Roman" w:hAnsi="Times New Roman"/>
          <w:sz w:val="18"/>
          <w:szCs w:val="18"/>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documented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foregoing indemnity agreement is in addition to any liability that the Issuers may otherwise have to any Underwriter or to any director, officer, employee or controlling person of that Underwriter.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(b)           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and documented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and documented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Each Underwriter agrees, severally and not jointly, to indemnify and hold harmless the Issuers, GP LLC’s directors and the officers who signed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such Underwriter shall have the rights and duties given to the Issuers by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 xml:space="preserve">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w:t>
      </w:r>
      <w:r>
        <w:rPr>
          <w:rFonts w:ascii="Times New Roman" w:cs="Times New Roman" w:eastAsia="Times New Roman" w:hAnsi="Times New Roman"/>
          <w:sz w:val="18"/>
          <w:szCs w:val="18"/>
          <w:u w:val="single" w:color="auto"/>
          <w:color w:val="auto"/>
        </w:rPr>
        <w:t>paragraph (b) </w:t>
      </w:r>
      <w:r>
        <w:rPr>
          <w:rFonts w:ascii="Times New Roman" w:cs="Times New Roman" w:eastAsia="Times New Roman" w:hAnsi="Times New Roman"/>
          <w:sz w:val="18"/>
          <w:szCs w:val="18"/>
          <w:color w:val="auto"/>
        </w:rPr>
        <w:t>above. The foregoing indemnity agreement shall be in addition to any liability that the Underwriters may otherwise have.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(d)           If the indemnification provided for in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is unavailable to an indemnified party under </w:t>
      </w:r>
      <w:r>
        <w:rPr>
          <w:rFonts w:ascii="Times New Roman" w:cs="Times New Roman" w:eastAsia="Times New Roman" w:hAnsi="Times New Roman"/>
          <w:sz w:val="17"/>
          <w:szCs w:val="17"/>
          <w:u w:val="single" w:color="auto"/>
          <w:color w:val="auto"/>
        </w:rPr>
        <w:t>paragraph (a)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(c) </w:t>
      </w:r>
      <w:r>
        <w:rPr>
          <w:rFonts w:ascii="Times New Roman" w:cs="Times New Roman" w:eastAsia="Times New Roman" w:hAnsi="Times New Roman"/>
          <w:sz w:val="17"/>
          <w:szCs w:val="17"/>
          <w:color w:val="auto"/>
        </w:rPr>
        <w:t xml:space="preserve">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 xml:space="preserve">above is not permitted by applicable law, in such proportion as is appropriate to reflect not only the relative benefits referred to in </w:t>
      </w:r>
      <w:r>
        <w:rPr>
          <w:rFonts w:ascii="Times New Roman" w:cs="Times New Roman" w:eastAsia="Times New Roman" w:hAnsi="Times New Roman"/>
          <w:sz w:val="17"/>
          <w:szCs w:val="17"/>
          <w:u w:val="single" w:color="auto"/>
          <w:color w:val="auto"/>
        </w:rPr>
        <w:t>clause (i) </w:t>
      </w:r>
      <w:r>
        <w:rPr>
          <w:rFonts w:ascii="Times New Roman" w:cs="Times New Roman" w:eastAsia="Times New Roman" w:hAnsi="Times New Roman"/>
          <w:sz w:val="17"/>
          <w:szCs w:val="17"/>
          <w:color w:val="auto"/>
        </w:rPr>
        <w:t>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The Issuers and the Underwriters agree that it would not be just and equitable if contribution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were determined by a pro rata allocation (even if the Underwriters were treated as one entity for such purpose) or by any other method of allocation that does not take account of the equitable considerations referred to in </w:t>
      </w:r>
      <w:r>
        <w:rPr>
          <w:rFonts w:ascii="Times New Roman" w:cs="Times New Roman" w:eastAsia="Times New Roman" w:hAnsi="Times New Roman"/>
          <w:sz w:val="18"/>
          <w:szCs w:val="18"/>
          <w:u w:val="single" w:color="auto"/>
          <w:color w:val="auto"/>
        </w:rPr>
        <w:t>paragraph (d) </w:t>
      </w:r>
      <w:r>
        <w:rPr>
          <w:rFonts w:ascii="Times New Roman" w:cs="Times New Roman" w:eastAsia="Times New Roman" w:hAnsi="Times New Roman"/>
          <w:sz w:val="18"/>
          <w:szCs w:val="18"/>
          <w:color w:val="auto"/>
        </w:rPr>
        <w:t xml:space="preserve">above. The amount paid or payable by an indemnified party as a result of the losses, claims, damages, liabilities and expenses referred to in </w:t>
      </w:r>
      <w:r>
        <w:rPr>
          <w:rFonts w:ascii="Times New Roman" w:cs="Times New Roman" w:eastAsia="Times New Roman" w:hAnsi="Times New Roman"/>
          <w:sz w:val="18"/>
          <w:szCs w:val="18"/>
          <w:u w:val="single" w:color="auto"/>
          <w:color w:val="auto"/>
        </w:rPr>
        <w:t>paragraph (d) </w:t>
      </w:r>
      <w:r>
        <w:rPr>
          <w:rFonts w:ascii="Times New Roman" w:cs="Times New Roman" w:eastAsia="Times New Roman" w:hAnsi="Times New Roman"/>
          <w:sz w:val="18"/>
          <w:szCs w:val="18"/>
          <w:color w:val="auto"/>
        </w:rPr>
        <w:t xml:space="preserve">above shall be deemed to include, subject to the limitations set forth above, any legal or other documented expenses reasonably incurred by such indemnified party in connection with investigating any claim or defending any such action, suit or proceeding. Notwithstanding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are several and not joint.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Any losses, claims, damages, liabilities or expenses for which an indemnified party is entitled to indemnification or contribution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paid by the indemnifying party to the indemnified party as such losses, claims, damages, liabilities or expenses are incurred. The indemnity and contribution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PAGP GP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PAGP GP or any of their respective directors or officers, or any person controlling the Issuers shall be entitled to the benefits of the indemnity, contribution and reimbursement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Conditions to the Obligations of the Underwriters</w:t>
      </w:r>
      <w:r>
        <w:rPr>
          <w:rFonts w:ascii="Times New Roman" w:cs="Times New Roman" w:eastAsia="Times New Roman" w:hAnsi="Times New Roman"/>
          <w:sz w:val="18"/>
          <w:szCs w:val="18"/>
          <w:color w:val="auto"/>
        </w:rPr>
        <w:t>. The several obligations of the Underwriters to purchase the Notes are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The Representatives shall have received an opinion of Vinson &amp; Elkins L.L.P., counsel for the Issuers,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Each of the Issuers, the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Each GP Entity that serves as a general partner of the Partnership or another GP Entity has full limited liability company power and authority to serve as general partner of the Partnership or such GP Entity, in each case, in all material respects.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(a) have been duly authorized and validly issued in accordance with their respective Organizational Documents, as applicable, and such limited partner interests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applicable GP Entity,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Each of the Issuers has the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The offering and sale of the Notes as contemplated by this Agreement do not give rise to any rights for or relating to the registration of any other securities of the Issuers under any agreement filed as an exhibit to the Registration Statement, except such rights as have been waived or satisfied.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The Indenture has been duly qualified under the Trust Indenture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This Agreement has been duly authorized, executed and delivered by each of the Issuers.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(viii)        The Base Indenture and the Supplemental Indentures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(ix)           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            The partnership agreement or limited liability company agreement, as applicable, of each of the Partnership and the GP Entities has been duly authorized, executed and delivered by the parties thereto and is a valid and legally binding agreement of such parties thereto, enforceable against the parties thereto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7"/>
          <w:szCs w:val="17"/>
          <w:color w:val="auto"/>
        </w:rPr>
        <w:t>(xi)          None of (A) the offering, issuance and sale by the Issuers of the Notes, (B) the execution, delivery and performance of this Agreement by the Issuers, (C) the consummation of the transactions contemplated by this Agreement, (D) the execution and delivery of the Supplemental Indentures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the Hedged Inventory Facility, the EPIC Credit Agreement, and the Credit Agreement dated as of August 20, 2021, as amended, among the Partnership and Plains Midstream Canada, as borrowers, certain subsidiaries of the Partnership from time to time party thereto, as designated borrowers, Bank of America, N.A., as administrative agent and swing line lender thereunder, Bank of America, N.A., Citibank, N.A., JPMorgan Chase Bank, N.A. and Wells Fargo Bank, National Association, as letters of credit issuers, and the lenders from time to time party thereto, described in the Registration Statement, the Pricing Disclosure Package and the Prospectus (the “</w:t>
      </w:r>
      <w:r>
        <w:rPr>
          <w:rFonts w:ascii="Times New Roman" w:cs="Times New Roman" w:eastAsia="Times New Roman" w:hAnsi="Times New Roman"/>
          <w:sz w:val="17"/>
          <w:szCs w:val="17"/>
          <w:b w:val="1"/>
          <w:bCs w:val="1"/>
          <w:u w:val="single" w:color="auto"/>
          <w:color w:val="auto"/>
        </w:rPr>
        <w:t>Credit Agreement</w:t>
      </w:r>
      <w:r>
        <w:rPr>
          <w:rFonts w:ascii="Times New Roman" w:cs="Times New Roman" w:eastAsia="Times New Roman" w:hAnsi="Times New Roman"/>
          <w:sz w:val="17"/>
          <w:szCs w:val="17"/>
          <w:color w:val="auto"/>
        </w:rPr>
        <w:t>”)), (3) results or will result in any violation of the Delaware LP Act, the Delaware LLC Act, the Delaware General Corporation Law (the “</w:t>
      </w:r>
      <w:r>
        <w:rPr>
          <w:rFonts w:ascii="Times New Roman" w:cs="Times New Roman" w:eastAsia="Times New Roman" w:hAnsi="Times New Roman"/>
          <w:sz w:val="17"/>
          <w:szCs w:val="17"/>
          <w:b w:val="1"/>
          <w:bCs w:val="1"/>
          <w:u w:val="single" w:color="auto"/>
          <w:color w:val="auto"/>
        </w:rPr>
        <w:t>DGCL</w:t>
      </w:r>
      <w:r>
        <w:rPr>
          <w:rFonts w:ascii="Times New Roman" w:cs="Times New Roman" w:eastAsia="Times New Roman" w:hAnsi="Times New Roman"/>
          <w:sz w:val="17"/>
          <w:szCs w:val="17"/>
          <w:color w:val="auto"/>
        </w:rPr>
        <w:t xml:space="preserve">”), the laws of the State of Texas, the laws of the State of New York or federal law, or (4) results or will result in the creation or imposition of any Lien upon any property or assets of any of the Issuers, the Domestic Subsidiaries or the GP Entities, which conflicts, breaches, violations or defaults in the case of </w:t>
      </w:r>
      <w:r>
        <w:rPr>
          <w:rFonts w:ascii="Times New Roman" w:cs="Times New Roman" w:eastAsia="Times New Roman" w:hAnsi="Times New Roman"/>
          <w:sz w:val="17"/>
          <w:szCs w:val="17"/>
          <w:u w:val="single" w:color="auto"/>
          <w:color w:val="auto"/>
        </w:rPr>
        <w:t>clauses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(4) </w:t>
      </w:r>
      <w:r>
        <w:rPr>
          <w:rFonts w:ascii="Times New Roman" w:cs="Times New Roman" w:eastAsia="Times New Roman" w:hAnsi="Times New Roman"/>
          <w:sz w:val="17"/>
          <w:szCs w:val="17"/>
          <w:color w:val="auto"/>
        </w:rPr>
        <w:t xml:space="preserve">would reasonably be expected to have a Material Adverse Effect or materially impair the ability of the Issuers to consummate the transactions contemplated by this Agreement, it being understood that such counsel need not express an opinion in </w:t>
      </w:r>
      <w:r>
        <w:rPr>
          <w:rFonts w:ascii="Times New Roman" w:cs="Times New Roman" w:eastAsia="Times New Roman" w:hAnsi="Times New Roman"/>
          <w:sz w:val="17"/>
          <w:szCs w:val="17"/>
          <w:u w:val="single" w:color="auto"/>
          <w:color w:val="auto"/>
        </w:rPr>
        <w:t>clause (3) </w:t>
      </w:r>
      <w:r>
        <w:rPr>
          <w:rFonts w:ascii="Times New Roman" w:cs="Times New Roman" w:eastAsia="Times New Roman" w:hAnsi="Times New Roman"/>
          <w:sz w:val="17"/>
          <w:szCs w:val="17"/>
          <w:color w:val="auto"/>
        </w:rPr>
        <w:t xml:space="preserve">of this </w:t>
      </w:r>
      <w:r>
        <w:rPr>
          <w:rFonts w:ascii="Times New Roman" w:cs="Times New Roman" w:eastAsia="Times New Roman" w:hAnsi="Times New Roman"/>
          <w:sz w:val="17"/>
          <w:szCs w:val="17"/>
          <w:u w:val="single" w:color="auto"/>
          <w:color w:val="auto"/>
        </w:rPr>
        <w:t>paragraph (xi) </w:t>
      </w:r>
      <w:r>
        <w:rPr>
          <w:rFonts w:ascii="Times New Roman" w:cs="Times New Roman" w:eastAsia="Times New Roman" w:hAnsi="Times New Roman"/>
          <w:sz w:val="17"/>
          <w:szCs w:val="17"/>
          <w:color w:val="auto"/>
        </w:rPr>
        <w:t>with respect to any securities or other anti-fraud law.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(xii)          No consent, approval, authorization, filing with or order of any federal, Delaware, New York or Texas court, governmental agency or body having jurisdiction over the Issuers, the GP Entities, the Domestic Subsidiaries or any of their respective 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Supplemental Indentures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Registration Statement,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(3) such other that have been obtained or taken and are in full force and effect and (4) filings with the Commission that may be required in the performance of the Issuers’ obligations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The statements in the Registration Statement, the Pricing Disclosure Package and the Prospectus under the caption “Certain U.S. Federal Income Tax Consequences” in relation to the Notes in each of the Pricing Disclosure Package and the Prospectus, insofar as such statements purport to summarize certain provisions of documents and legal matters referred to therein, accurately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(xiv)         The Registration Statement became effective under the Securities Act upon its filing on September 6, 2024;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         The Issuers are not now, and after sale of the Notes by the Issuers and application of the net proceeds thereof as described in the Pricing Disclosure Package and the Prospectus under the caption “Use of Proceeds,” neither of the Issuers will be, an “investment company” as such term is defined in the Investment Company Act, and the rules and regulations of the Commission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In addition, such counsel shall state that they have participated in conferences with officers and other representatives of GP LLC, PAGP GP and the Issuers,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paragraph (xiii) above), on the basis of the foregoing, no facts have come to the attention of such counsel that lead them to believe that: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(A)           the Registration Statement, as of the most recent Effective Date, contained an untrue statement of a material fact or omitted to state a material fact required to be stated therein or necessary to make the statements therein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(B)            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(C)            the Prospectus, as of its date or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GP LLC, PAGP GP and the Issuers,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assume that each certificate from government officials reviewed by such counsel is accurate, complete and authentic, and all official public records are accurate and complete, (D) with respect to opinions expressed in paragraph (iii), rely on reports, dated as of a recent date, prepared by Corporation Service Company, purporting to describe all financing statements on file as of the dates thereof in the office of the Secretary of State of the State of Delaware, naming the Partnership or any of the Domestic Subsidiaries as debtors, (E) with respect to the opinion expressed in paragraph (xiv) above, as to the absence of stop orders and proceedings instituted for that purpose, rely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the laws of the State of Texas and the laws of the State of New York and (G) state that they express no opinion with respect to (i) any permits to own or operate any real or personal property or (ii) U.S. federal taxes other than U.S. federal income taxes, foreign, state or local taxes or taxes to which any of the limited partners of the Partnership or any of the Plains Entities may be subject.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Representatives shall have received an opinion of the general counsel for GP LLC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None of (1) the offering, issuance and sale by the Issuers of the Notes, (2) the execution, delivery and performance by the Issuers of this Agreement, (3) the consummation of the transactions contemplated by this Agreement or (4) the execution and delivery of the Supplemental Indentures and the performance of the Indenture by the Issuers or the consummation of the transactions contemplated thereby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Domestic Subsidiaries is a party or by which any one of them may be bound (excluding, for this purpose, any document or agreement filed as an exhibit to the Registration Statement or an Incorporated Document, other than the Hedged Inventory Facility, the EPIC Credit Agreement and the Credit Agreement, each of which are expressly included for this purpose) or (B) violates or will violate any order, judgment, decree or injunction known to such counsel of any court or governmental agency or body directed to either of the Issuers, the GP Entities or the Domestic Subsidiaries or any of their respective properties in a proceeding to which any of them is a party, which would, in the case of either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reasonably be expected to have a Material Adverse Effect or materially impair the ability of the Issuers to consummate the transactions contemplated by this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 xml:space="preserve">In rendering such opinion, such counsel may rely in respect of matters of fact upon (A) information obtained from public officials or public records and (B) to the extent such counsel deems appropriate, certificates of officers and employees of GP LLC, PAGP GP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United States federal laws and the Delaware LP Act, the Delaware LLC Act, the DGCL and the laws of the State of Texas and (C) state that he expresses no opinion with respect to (x) either federal or state securities laws in the opinion referenced in </w:t>
      </w:r>
      <w:r>
        <w:rPr>
          <w:rFonts w:ascii="Times New Roman" w:cs="Times New Roman" w:eastAsia="Times New Roman" w:hAnsi="Times New Roman"/>
          <w:sz w:val="18"/>
          <w:szCs w:val="18"/>
          <w:u w:val="single" w:color="auto"/>
          <w:color w:val="auto"/>
        </w:rPr>
        <w:t>Section 7(d)(i)(4)(B) </w:t>
      </w:r>
      <w:r>
        <w:rPr>
          <w:rFonts w:ascii="Times New Roman" w:cs="Times New Roman" w:eastAsia="Times New Roman" w:hAnsi="Times New Roman"/>
          <w:sz w:val="18"/>
          <w:szCs w:val="18"/>
          <w:color w:val="auto"/>
        </w:rPr>
        <w:t>above or (y) taxes.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The Representatives shall have received an opinion of internal Canadian counsel for the Partnership, dated the Delivery Date and addressed to the Underwriters,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Plains Midstream Canada has been duly amalgamated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Midstream Canada is duly registered extraprovincially for the transaction of business under the laws of the provinces of Alberta, Manitoba, Ontario, Saskatchewan, Quebec, Nova Scotia and New Brunswick.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No permit, consent, approval, authorization, order, registration, filing or qualification of or with any court, governmental agency or body of the federal government of Canada or the Province of British Columbia is required for the offering, issuance and sale by the Issuers of the Notes or the execution, delivery and performance of the Indenture by the Issuers.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None of the offering, issuance and sale by the Issuers of the Notes, the execution, delivery and performance of this Agreement by the Issuers or the consummation of the transactions contemplated hereby, or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British Columbia or, to the knowledge of such counsel, any order, judgment, decree or injunction of any court or governmental agency or body of Canada or the Province of British Columbia directed to Plains Midstream Canada or its properties in a proceeding to which Plains Midstream Canada or its property is a party.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To the knowledge of such counsel, Plains Midstream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that, if not obtained would not reasonably be expected to, individually or in the aggregate, materially adversely affect the operations conducted by Plains Midstream Canada.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the GP Entities, the Issuers and the Subsidiaries,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such counsel does not express any opinion with respect to taxes.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cut-off date for the procedures performed by such accountants and described in such letter shall be a date not more than five days prior to the date of such letter.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On the Delivery Date, the Representatives shall have received from PricewaterhouseCoopers LLP a letter, dated as of the Delivery Date, to the effect that it reaffirms the statements made in the letter furnished pursuant to </w:t>
      </w:r>
      <w:r>
        <w:rPr>
          <w:rFonts w:ascii="Times New Roman" w:cs="Times New Roman" w:eastAsia="Times New Roman" w:hAnsi="Times New Roman"/>
          <w:sz w:val="18"/>
          <w:szCs w:val="18"/>
          <w:u w:val="single" w:color="auto"/>
          <w:color w:val="auto"/>
        </w:rPr>
        <w:t>paragraph (g)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except that the date referred to in the proviso in </w:t>
      </w:r>
      <w:r>
        <w:rPr>
          <w:rFonts w:ascii="Times New Roman" w:cs="Times New Roman" w:eastAsia="Times New Roman" w:hAnsi="Times New Roman"/>
          <w:sz w:val="18"/>
          <w:szCs w:val="18"/>
          <w:u w:val="single" w:color="auto"/>
          <w:color w:val="auto"/>
        </w:rPr>
        <w:t>Section 7(g) </w:t>
      </w:r>
      <w:r>
        <w:rPr>
          <w:rFonts w:ascii="Times New Roman" w:cs="Times New Roman" w:eastAsia="Times New Roman" w:hAnsi="Times New Roman"/>
          <w:sz w:val="18"/>
          <w:szCs w:val="18"/>
          <w:color w:val="auto"/>
        </w:rPr>
        <w:t>hereof shall be a date not more than three business days prior to the Delivery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The Partnership shall have furnished to the Representatives on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the representations and warranties of the Partnership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the Partnership has complied in all material respects with all the agreements and satisfied all the conditions on its part to be performed or satisfied at or prior to the Delivery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notice objecting to its use has been issued and no proceedings for that purpose have been instituted or, to the Partnership’s knowledge, threatened;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(A) the Registration Statement, as of the Effective Date, (B) the Prospectus, as of its date and on the Delivery Date, and (C)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PAA Finance shall have furnished to the Representatives on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PAA Finance has complied in all material respects with all the agreements and satisfied all the conditions on its part to be performed or satisfied at or prior to the Delivery Date.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At the Delivery Date, the Notes shall be rated at least “Baa2” by Moody’s Investors Service, Inc., “BBB” by S&amp;P Global Ratings, a division of S&amp;P Global, Inc., and “BBB” by Fitch Ratings, Inc.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The Issuers and the Trustee shall have executed and delivered the Supplemental Indentures, and the Issuers shall have executed and delivered the Global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(m)           At the time of the execution of this Agreement, the Representatives shall have received from the Partnership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signed by the Chief Financial Officer of the General Partner.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All such opinions, certificates, letters and other documents referred to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If any of the conditions specified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have been fulfilled in all material respects when and as provided in this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 opinions and certificates mentioned above or elsewhere in this Agreement shall not be in all material respects reasonably satisfactory in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substance to the Underwriters and counsel for the Underwriters, this Agreement and all obligations of the Underwriters hereunder may be cancelled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 any time prior to, the Delivery Date by the Underwriters. Notice of such cancellation shall be given to the Issuers in writing or by telephone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confirmed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xml:space="preserve">. The Issuers agree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w:t>
      </w:r>
      <w:r>
        <w:rPr>
          <w:rFonts w:ascii="Times New Roman" w:cs="Times New Roman" w:eastAsia="Times New Roman" w:hAnsi="Times New Roman"/>
          <w:sz w:val="18"/>
          <w:szCs w:val="18"/>
          <w:u w:val="single" w:color="auto"/>
          <w:color w:val="auto"/>
        </w:rPr>
        <w:t>Section 5(g) </w:t>
      </w:r>
      <w:r>
        <w:rPr>
          <w:rFonts w:ascii="Times New Roman" w:cs="Times New Roman" w:eastAsia="Times New Roman" w:hAnsi="Times New Roman"/>
          <w:sz w:val="18"/>
          <w:szCs w:val="18"/>
          <w:color w:val="auto"/>
        </w:rPr>
        <w:t>hereof (including the reasonable and documented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PAGP GP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It is understood, however, that except as otherwise provided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5(i) </w:t>
      </w:r>
      <w:r>
        <w:rPr>
          <w:rFonts w:ascii="Times New Roman" w:cs="Times New Roman" w:eastAsia="Times New Roman" w:hAnsi="Times New Roman"/>
          <w:sz w:val="17"/>
          <w:szCs w:val="17"/>
          <w:color w:val="auto"/>
        </w:rPr>
        <w:t>hereof, the Underwriters will pay all of their own costs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expenses, including the fees of their counsel, transfer taxes on any resale of the Notes by any Underwriter, any advertising expenses connected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offers they may make and the transportation and other expenses incurred by the Underwriters on their own behalf in connection with presentations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 purchasers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Default by an Underwriter</w:t>
      </w:r>
      <w:r>
        <w:rPr>
          <w:rFonts w:ascii="Times New Roman" w:cs="Times New Roman" w:eastAsia="Times New Roman" w:hAnsi="Times New Roman"/>
          <w:sz w:val="18"/>
          <w:szCs w:val="18"/>
          <w:color w:val="auto"/>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principal amount of Notes set forth opposite the names of all non-defaulting Underwriters or in such other proportion as the Representatives may specify in accordance with the Agreement Among Underwriters of Citigroup Global Markets Inc.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xml:space="preserve">” as used in this Agreement includes, for all purposes of this Agreement, any party not listed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who, with the Representatives’ approval and the approval of the Issuers, purchases Notes that a defaulting Underwriter is obligated, but fails or refuses, to purchase.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notice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may be given by telegram, telecopy or telephone but shall be subsequently confirmed by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Termination of Agreement</w:t>
      </w:r>
      <w:r>
        <w:rPr>
          <w:rFonts w:ascii="Times New Roman" w:cs="Times New Roman" w:eastAsia="Times New Roman" w:hAnsi="Times New Roman"/>
          <w:sz w:val="17"/>
          <w:szCs w:val="17"/>
          <w:color w:val="auto"/>
        </w:rPr>
        <w:t>. This Agreement shall be subject to termination in the Representatives’ absolute discretion, without liability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 of any Underwriter to any Issuer, by notice to the Issuers prior to the Delivery Date, if at any time prior to such time (i) trading in the Partnership’s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Units shall have been suspended by the Commission or Nasdaq or trading in securities generally on the New York Stock Exchange, the NYSE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LLC or the Nasdaq National Market shall have been suspended or limited or minimum prices shall have been established; (ii) a banking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moratorium shall have been declared either by federal or New York or Texas state authorities or a material disruption in commercial banking or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or clearance services in the United States shall have occurred; or (iii) there shall have occurred any outbreak or escalation of hostilities or acts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terrorism, declaration by the United States of a national emergency or war or other calamity or crisis or any change in financial, political or economic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 the United States or elsewhere, the effect of which on financial markets is such as to make it, in the sole judgment of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impractical or inadvisable to proceed with the offering or delivery of the Notes as contemplated by the Prospectus (exclusive of any amendment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thereto). Notice of such termination may be given to the Issuers by telegram, telecopy or telephone and shall be subsequently confirmed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Notice; Successors</w:t>
      </w:r>
      <w:r>
        <w:rPr>
          <w:rFonts w:ascii="Times New Roman" w:cs="Times New Roman" w:eastAsia="Times New Roman" w:hAnsi="Times New Roman"/>
          <w:sz w:val="17"/>
          <w:szCs w:val="17"/>
          <w:color w:val="auto"/>
        </w:rPr>
        <w:t xml:space="preserve">. Except as otherwise provided in </w:t>
      </w:r>
      <w:r>
        <w:rPr>
          <w:rFonts w:ascii="Times New Roman" w:cs="Times New Roman" w:eastAsia="Times New Roman" w:hAnsi="Times New Roman"/>
          <w:sz w:val="17"/>
          <w:szCs w:val="17"/>
          <w:u w:val="single" w:color="auto"/>
          <w:color w:val="auto"/>
        </w:rPr>
        <w:t>Sections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xml:space="preserve"> hereof, all communications hereunder will be in writing and effective only on receipt, and, if sent to the Underwriters, will be mailed, delivered or telefaxed to the Representatives c/o Citigroup Global Markets Inc., 388 Greenwich Street, New York, New York 10013, Attention: General Counsel, Fax No.: (646) 291-1469; and c/o CIBC World Markets Corp., 300 Madison Avenue,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NY 10017, Attention: Execution Management, Email: DLCIBCUSEMG@cibc.com; and c/o RBC Capital Markets,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Brookfield Place, 200 Vesey Street, 8th Floor, New York, New York 10281, Attention: DCM Transaction Management/Scott Primrose, Telephone:</w:t>
      </w:r>
    </w:p>
    <w:p>
      <w:pPr>
        <w:spacing w:after="0" w:line="7" w:lineRule="exact"/>
        <w:rPr>
          <w:sz w:val="20"/>
          <w:szCs w:val="20"/>
          <w:color w:val="auto"/>
        </w:rPr>
      </w:pPr>
    </w:p>
    <w:p>
      <w:pPr>
        <w:jc w:val="both"/>
        <w:ind w:firstLine="8"/>
        <w:spacing w:after="0" w:line="250" w:lineRule="auto"/>
        <w:tabs>
          <w:tab w:leader="none" w:pos="4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618-7706, Email: TMGUS@rbccm.com; and c/o SMBC Nikko Securities America, Inc., 277 Park Avenue, New York, NY 10172, Attention: Debt Capital Markets, Email: NikkoGCNotices@smbcnikko-si.com; with a copy (which shall not constitute notice) to Baker Botts L.L.P., 910 Louisiana St., Houston, Texas 77002, Attention: Douglas V. Getten and Andrew L. Schulte; or, if sent to either of the Issuers, will be mailed, delivered or telefaxed to it at 333 Clay St., Suite 1600, Houston, Texas 77002, Attention: General Counsel, Fax No.: (713) 646-4313.</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Agreement has been and is made solely for the benefit of the several Underwriters and their directors, officers, employees, agents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 Issuers and GP LLC’s directors and officers who sign the Registration Statement,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Information Furnished by the Underwriters</w:t>
      </w:r>
      <w:r>
        <w:rPr>
          <w:rFonts w:ascii="Times New Roman" w:cs="Times New Roman" w:eastAsia="Times New Roman" w:hAnsi="Times New Roman"/>
          <w:sz w:val="18"/>
          <w:szCs w:val="18"/>
          <w:color w:val="auto"/>
        </w:rPr>
        <w:t>. The Issuers acknowledge that the following statements set forth in the most recent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Prospectus and the Prospectus constitute the only information furnished by or on behalf of the Underwriters through the Representatives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information is referred to in </w:t>
      </w:r>
      <w:r>
        <w:rPr>
          <w:rFonts w:ascii="Times New Roman" w:cs="Times New Roman" w:eastAsia="Times New Roman" w:hAnsi="Times New Roman"/>
          <w:sz w:val="18"/>
          <w:szCs w:val="18"/>
          <w:u w:val="single" w:color="auto"/>
          <w:color w:val="auto"/>
        </w:rPr>
        <w:t>Sections 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6(c) </w:t>
      </w:r>
      <w:r>
        <w:rPr>
          <w:rFonts w:ascii="Times New Roman" w:cs="Times New Roman" w:eastAsia="Times New Roman" w:hAnsi="Times New Roman"/>
          <w:sz w:val="18"/>
          <w:szCs w:val="18"/>
          <w:color w:val="auto"/>
        </w:rPr>
        <w:t>hereof: (A) the names of the Underwriters, (B) the table under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under the heading “Underwriting,” (C) the first paragraph under the heading “Underwriting — Underwriting Discounts” related to concessions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 the first paragraph, the second paragraph and the first sentence of the third paragraph under the heading “Underwriting — Stabilization, Short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Positions and Penalty Bids.”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Research Analyst Independence</w:t>
      </w:r>
      <w:r>
        <w:rPr>
          <w:rFonts w:ascii="Times New Roman" w:cs="Times New Roman" w:eastAsia="Times New Roman" w:hAnsi="Times New Roman"/>
          <w:sz w:val="17"/>
          <w:szCs w:val="17"/>
          <w:color w:val="auto"/>
        </w:rPr>
        <w:t>. The Issuers acknowledge that the Underwriters’ research analysts and research departments are required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independent from their respective investment banking divisions and are subject to certain regulations and internal policies, and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research analysts may hold views and make statements or investment recommendations and/or publish research reports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 and/or the offering that differ from the views of their respective investment banking divisions. The Issuers hereby waive and release, to the fullest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permitted by law, any claims that the Issuers may have against the Underwriters with respect to any conflict of interest that may arise from the fact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views expressed by their independent research analysts and research departments may be different from or inconsistent with the views or advice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communicated to the Issuers by such Underwriters’ investment banking divisions. The Issuers acknowledge that each of the Underwriters is a full-service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firm and as such from time to time, subject to applicable securities laws, may effect transactions for its own account or the account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and hold long or short positions in debt or equity securities of the companies that may be the subject of the transactions contemplated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Issuers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or any of them, with respect to the subject matter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Effective Date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Fiduciary Duty</w:t>
      </w:r>
      <w:r>
        <w:rPr>
          <w:rFonts w:ascii="Times New Roman" w:cs="Times New Roman" w:eastAsia="Times New Roman" w:hAnsi="Times New Roman"/>
          <w:sz w:val="18"/>
          <w:szCs w:val="18"/>
          <w:color w:val="auto"/>
        </w:rPr>
        <w:t>. The Issuers acknowledge and agree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Applicable Law; Counterparts</w:t>
      </w:r>
      <w:r>
        <w:rPr>
          <w:rFonts w:ascii="Times New Roman" w:cs="Times New Roman" w:eastAsia="Times New Roman" w:hAnsi="Times New Roman"/>
          <w:sz w:val="17"/>
          <w:szCs w:val="17"/>
          <w:color w:val="auto"/>
        </w:rPr>
        <w:t>. This Agreement shall be governed by and construed in accordance with the laws of the State of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contracts made and to be performed within the State of New York. This Agreement may be signed in various counterparts that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one and the same instrument. If signed in counterparts, this Agreement shall not become effective unless at least one counterpart hereof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executed and delivered on behalf of each party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agreement among the Issuers and the Underwriters.</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8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Very truly yours,</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its Sole Member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Spurlin</w:t>
            </w:r>
          </w:p>
        </w:tc>
        <w:tc>
          <w:tcPr>
            <w:tcW w:w="0" w:type="dxa"/>
            <w:vAlign w:val="bottom"/>
          </w:tcPr>
          <w:p>
            <w:pPr>
              <w:spacing w:after="0"/>
              <w:rPr>
                <w:sz w:val="1"/>
                <w:szCs w:val="1"/>
                <w:color w:val="auto"/>
              </w:rPr>
            </w:pPr>
          </w:p>
        </w:tc>
      </w:tr>
      <w:tr>
        <w:trPr>
          <w:trHeight w:val="189"/>
        </w:trPr>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Sharon Spurlin</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Senior Vice President and Treasurer</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PAA FINANCE CORP.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Spurlin</w:t>
            </w:r>
          </w:p>
        </w:tc>
        <w:tc>
          <w:tcPr>
            <w:tcW w:w="0" w:type="dxa"/>
            <w:vAlign w:val="bottom"/>
          </w:tcPr>
          <w:p>
            <w:pPr>
              <w:spacing w:after="0"/>
              <w:rPr>
                <w:sz w:val="1"/>
                <w:szCs w:val="1"/>
                <w:color w:val="auto"/>
              </w:rPr>
            </w:pPr>
          </w:p>
        </w:tc>
      </w:tr>
      <w:tr>
        <w:trPr>
          <w:trHeight w:val="189"/>
        </w:trPr>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Sharon Spurlin</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restart"/>
          </w:tcPr>
          <w:p>
            <w:pPr>
              <w:ind w:left="3540"/>
              <w:spacing w:after="0"/>
              <w:rPr>
                <w:sz w:val="20"/>
                <w:szCs w:val="20"/>
                <w:color w:val="auto"/>
              </w:rPr>
            </w:pPr>
            <w:r>
              <w:rPr>
                <w:rFonts w:ascii="Times New Roman" w:cs="Times New Roman" w:eastAsia="Times New Roman" w:hAnsi="Times New Roman"/>
                <w:sz w:val="18"/>
                <w:szCs w:val="18"/>
                <w:i w:val="1"/>
                <w:iCs w:val="1"/>
                <w:color w:val="auto"/>
              </w:rPr>
              <w:t>PAA Signature Page to Underwriting Agreement</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8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Agreement is hereby</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confirmed and accepted by the Underwriters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the date first above written.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2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Citigroup Global Markets Inc.</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CIBC World Markets Corp.</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/s/Adam D. Bordner</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 /s/ Michael Kim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Adam D. Bordner</w:t>
            </w: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Kim</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and Head, US Investment Grade DCM</w:t>
            </w:r>
          </w:p>
        </w:tc>
      </w:t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2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RBC Capital Markets, LLC</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SMBC Nikko Securities America, Inc.</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18"/>
                <w:szCs w:val="18"/>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/s/ John M. Sconzo</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 Amanda Boggs </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M. Sconzo</w:t>
            </w: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Amanda Boggs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Underwriters’ Signature Page to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4"/>
            <w:vMerge w:val="restart"/>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97"/>
              </w:rPr>
              <w:t>SCHEDULE I</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4"/>
            <w:vMerge w:val="continue"/>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2031 Notes to be</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2036 Notes to be</w:t>
            </w:r>
          </w:p>
        </w:tc>
        <w:tc>
          <w:tcPr>
            <w:tcW w:w="0" w:type="dxa"/>
            <w:vAlign w:val="bottom"/>
          </w:tcPr>
          <w:p>
            <w:pPr>
              <w:spacing w:after="0"/>
              <w:rPr>
                <w:sz w:val="1"/>
                <w:szCs w:val="1"/>
                <w:color w:val="auto"/>
              </w:rPr>
            </w:pPr>
          </w:p>
        </w:tc>
      </w:tr>
      <w:tr>
        <w:trPr>
          <w:trHeight w:val="238"/>
        </w:trPr>
        <w:tc>
          <w:tcPr>
            <w:tcW w:w="50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8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44,625,000 </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66,938,000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44,625,000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66,938,000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44,625,000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66,937,000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44,625,000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66,937,000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Zions Direct, Inc.</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3,000,000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300,000,000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75"/>
              </w:rPr>
              <w:t> </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450,000,000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20"/>
                <w:szCs w:val="20"/>
                <w:color w:val="auto"/>
              </w:rPr>
            </w:pPr>
          </w:p>
        </w:tc>
        <w:tc>
          <w:tcPr>
            <w:tcW w:w="6200" w:type="dxa"/>
            <w:vAlign w:val="bottom"/>
            <w:gridSpan w:val="5"/>
            <w:vMerge w:val="restart"/>
          </w:tcPr>
          <w:p>
            <w:pPr>
              <w:jc w:val="center"/>
              <w:ind w:right="493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176"/>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5"/>
                <w:szCs w:val="15"/>
                <w:color w:val="auto"/>
              </w:rPr>
            </w:pPr>
          </w:p>
        </w:tc>
        <w:tc>
          <w:tcPr>
            <w:tcW w:w="62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No. 333-281967</w:t>
            </w:r>
          </w:p>
        </w:tc>
        <w:tc>
          <w:tcPr>
            <w:tcW w:w="0" w:type="dxa"/>
            <w:vAlign w:val="bottom"/>
          </w:tcPr>
          <w:p>
            <w:pPr>
              <w:spacing w:after="0"/>
              <w:rPr>
                <w:sz w:val="1"/>
                <w:szCs w:val="1"/>
                <w:color w:val="auto"/>
              </w:rPr>
            </w:pPr>
          </w:p>
        </w:tc>
      </w:tr>
      <w:tr>
        <w:trPr>
          <w:trHeight w:val="234"/>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10, 2025</w:t>
            </w:r>
          </w:p>
        </w:tc>
        <w:tc>
          <w:tcPr>
            <w:tcW w:w="0" w:type="dxa"/>
            <w:vAlign w:val="bottom"/>
          </w:tcPr>
          <w:p>
            <w:pPr>
              <w:spacing w:after="0"/>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8200" w:type="dxa"/>
            <w:vAlign w:val="bottom"/>
            <w:gridSpan w:val="6"/>
            <w:vMerge w:val="restart"/>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c>
          <w:tcPr>
            <w:tcW w:w="0" w:type="dxa"/>
            <w:vAlign w:val="bottom"/>
          </w:tcPr>
          <w:p>
            <w:pPr>
              <w:spacing w:after="0"/>
              <w:rPr>
                <w:sz w:val="1"/>
                <w:szCs w:val="1"/>
                <w:color w:val="auto"/>
              </w:rPr>
            </w:pPr>
          </w:p>
        </w:tc>
      </w:tr>
      <w:tr>
        <w:trPr>
          <w:trHeight w:val="194"/>
        </w:trPr>
        <w:tc>
          <w:tcPr>
            <w:tcW w:w="3040" w:type="dxa"/>
            <w:vAlign w:val="bottom"/>
          </w:tcPr>
          <w:p>
            <w:pPr>
              <w:spacing w:after="0"/>
              <w:rPr>
                <w:sz w:val="16"/>
                <w:szCs w:val="16"/>
                <w:color w:val="auto"/>
              </w:rPr>
            </w:pPr>
          </w:p>
        </w:tc>
        <w:tc>
          <w:tcPr>
            <w:tcW w:w="82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8200" w:type="dxa"/>
            <w:vAlign w:val="bottom"/>
            <w:gridSpan w:val="6"/>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w w:val="99"/>
              </w:rPr>
              <w:t>$300,000,000 4.700% Senior Notes due 2031</w:t>
            </w:r>
          </w:p>
        </w:tc>
        <w:tc>
          <w:tcPr>
            <w:tcW w:w="0" w:type="dxa"/>
            <w:vAlign w:val="bottom"/>
          </w:tcPr>
          <w:p>
            <w:pPr>
              <w:spacing w:after="0"/>
              <w:rPr>
                <w:sz w:val="1"/>
                <w:szCs w:val="1"/>
                <w:color w:val="auto"/>
              </w:rPr>
            </w:pPr>
          </w:p>
        </w:tc>
      </w:tr>
      <w:tr>
        <w:trPr>
          <w:trHeight w:val="238"/>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00" w:type="dxa"/>
            <w:vAlign w:val="bottom"/>
            <w:gridSpan w:val="6"/>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w w:val="99"/>
              </w:rPr>
              <w:t>$450,000,000 5.600% Senior Notes due 2036</w:t>
            </w:r>
          </w:p>
        </w:tc>
        <w:tc>
          <w:tcPr>
            <w:tcW w:w="0" w:type="dxa"/>
            <w:vAlign w:val="bottom"/>
          </w:tcPr>
          <w:p>
            <w:pPr>
              <w:spacing w:after="0"/>
              <w:rPr>
                <w:sz w:val="1"/>
                <w:szCs w:val="1"/>
                <w:color w:val="auto"/>
              </w:rPr>
            </w:pPr>
          </w:p>
        </w:tc>
      </w:tr>
      <w:tr>
        <w:trPr>
          <w:trHeight w:val="198"/>
        </w:trPr>
        <w:tc>
          <w:tcPr>
            <w:tcW w:w="304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Issuers:</w:t>
            </w:r>
          </w:p>
        </w:tc>
        <w:tc>
          <w:tcPr>
            <w:tcW w:w="2000" w:type="dxa"/>
            <w:vAlign w:val="bottom"/>
          </w:tcPr>
          <w:p>
            <w:pPr>
              <w:spacing w:after="0"/>
              <w:rPr>
                <w:sz w:val="18"/>
                <w:szCs w:val="18"/>
                <w:color w:val="auto"/>
              </w:rPr>
            </w:pPr>
          </w:p>
        </w:tc>
        <w:tc>
          <w:tcPr>
            <w:tcW w:w="62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   Plains All American Pipeline, L.P. and PAA Finance Corp.</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$750,000,000</w:t>
            </w: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000" w:type="dxa"/>
            <w:vAlign w:val="bottom"/>
          </w:tcPr>
          <w:p>
            <w:pPr>
              <w:spacing w:after="0"/>
              <w:rPr>
                <w:sz w:val="18"/>
                <w:szCs w:val="18"/>
                <w:color w:val="auto"/>
              </w:rPr>
            </w:pPr>
          </w:p>
        </w:tc>
        <w:tc>
          <w:tcPr>
            <w:tcW w:w="62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   $300,000,000 aggregate principal amount of 4.700% Senior Notes due 2031</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580" w:type="dxa"/>
            <w:vAlign w:val="bottom"/>
            <w:gridSpan w:val="4"/>
          </w:tcPr>
          <w:p>
            <w:pPr>
              <w:ind w:left="80"/>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$450,000,000 aggregate principal amount of 5.600% Senior Notes due 2036</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580" w:type="dxa"/>
            <w:vAlign w:val="bottom"/>
            <w:gridSpan w:val="4"/>
          </w:tcPr>
          <w:p>
            <w:pPr>
              <w:ind w:left="80"/>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auto"/>
            </w:tcBorders>
            <w:gridSpan w:val="2"/>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[Ratings Intentionally Omitted]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Security Type:</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Senior unsecured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Legal Format:</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SEC-registered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Pricing Date:</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November 10, 2025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(T+3):</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November 14, 2025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000" w:type="dxa"/>
            <w:vAlign w:val="bottom"/>
          </w:tcPr>
          <w:p>
            <w:pPr>
              <w:spacing w:after="0"/>
              <w:rPr>
                <w:sz w:val="18"/>
                <w:szCs w:val="18"/>
                <w:color w:val="auto"/>
              </w:rPr>
            </w:pPr>
          </w:p>
        </w:tc>
        <w:tc>
          <w:tcPr>
            <w:tcW w:w="62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   2031 Notes: January 15, 2031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2036 Notes: January 15, 2036</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2000" w:type="dxa"/>
            <w:vAlign w:val="bottom"/>
          </w:tcPr>
          <w:p>
            <w:pPr>
              <w:spacing w:after="0"/>
              <w:rPr>
                <w:sz w:val="18"/>
                <w:szCs w:val="18"/>
                <w:color w:val="auto"/>
              </w:rPr>
            </w:pPr>
          </w:p>
        </w:tc>
        <w:tc>
          <w:tcPr>
            <w:tcW w:w="62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   2031 Notes: UST 3.625% due October 31, 2030</w:t>
            </w:r>
          </w:p>
        </w:tc>
        <w:tc>
          <w:tcPr>
            <w:tcW w:w="0" w:type="dxa"/>
            <w:vAlign w:val="bottom"/>
          </w:tcPr>
          <w:p>
            <w:pPr>
              <w:spacing w:after="0"/>
              <w:rPr>
                <w:sz w:val="1"/>
                <w:szCs w:val="1"/>
                <w:color w:val="auto"/>
              </w:rPr>
            </w:pPr>
          </w:p>
        </w:tc>
      </w:tr>
      <w:tr>
        <w:trPr>
          <w:trHeight w:val="234"/>
        </w:trPr>
        <w:tc>
          <w:tcPr>
            <w:tcW w:w="3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2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2036 Notes: UST 4.250% due August 15, 2035</w:t>
            </w:r>
          </w:p>
        </w:tc>
        <w:tc>
          <w:tcPr>
            <w:tcW w:w="0" w:type="dxa"/>
            <w:vAlign w:val="bottom"/>
          </w:tcPr>
          <w:p>
            <w:pPr>
              <w:spacing w:after="0"/>
              <w:rPr>
                <w:sz w:val="1"/>
                <w:szCs w:val="1"/>
                <w:color w:val="auto"/>
              </w:rPr>
            </w:pPr>
          </w:p>
        </w:tc>
      </w:tr>
      <w:tr>
        <w:trPr>
          <w:trHeight w:val="255"/>
        </w:trPr>
        <w:tc>
          <w:tcPr>
            <w:tcW w:w="3040" w:type="dxa"/>
            <w:vAlign w:val="bottom"/>
            <w:vMerge w:val="continue"/>
          </w:tcPr>
          <w:p>
            <w:pPr>
              <w:spacing w:after="0"/>
              <w:rPr>
                <w:sz w:val="22"/>
                <w:szCs w:val="22"/>
                <w:color w:val="auto"/>
              </w:rPr>
            </w:pPr>
          </w:p>
        </w:tc>
        <w:tc>
          <w:tcPr>
            <w:tcW w:w="2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Yield:</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3.708%</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4.112%</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+102 bps</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+142 bps</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4.728%</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5.532%</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4.700%</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5.600%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99.872% (plus accrued interest of $2,585,000.00 from</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8, 2025)</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Notes: 100.518% (plus accrued interest of $4,620,000.00 from</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8, 2025)</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(after deducting the</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underwriting discount and excluding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$297,816,000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$449,406,000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U.S. Treasury + 20 bps</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U.S. Treasury + 25 bps</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Call at Par:</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On or after December 15, 2030</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2036</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On or after October 15, 2035</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January 15 and July 15, beginning on January 15, 2026</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2031 Notes: 72650R BR2 / US72650RBR21</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2036 Notes: 72650R BS0 / US72650RBS04</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CIBC World Markets Corp.</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Regions Securities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216"/>
        </w:trPr>
        <w:tc>
          <w:tcPr>
            <w:tcW w:w="2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Zions Direct, Inc.</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40" w:type="dxa"/>
            <w:vAlign w:val="bottom"/>
          </w:tcPr>
          <w:p>
            <w:pPr>
              <w:spacing w:after="0"/>
              <w:rPr>
                <w:sz w:val="20"/>
                <w:szCs w:val="20"/>
                <w:color w:val="auto"/>
              </w:rPr>
            </w:pPr>
          </w:p>
        </w:tc>
      </w:tr>
    </w:tbl>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320" w:top="220" w:right="9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the notes is expected to be made against payment therefor on or about November 14, 2025, which is the third business day following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of the notes (such settlement being referred to as “T+3”). Under Rule 15c6-1 of the Securities Exchange Act of 1934, as amended, trades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secondary market generally are required to settle in one business day unless the parties to any such trade expressly agree otherwise. Accordingly,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who wish to trade the notes on any date prior to the first business day before delivery will be required, by virtue of the fact that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initially will settle in T+3, to specify an alternate settlement cycle at the time of any such trade to prevent failed settlement and should consult their 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Citigroup Global Markets Inc. toll-free at 1-800-831-9146, CIBC World Markets Corp. toll-free at 1-800-282-0822, RBC Capital Markets, LLC toll-free at 1-866-375-6829 or SMBC Nikko Securities America, Inc. toll-free at 1-888-868-6856.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for retail investors in the European Economic Area (“</w:t>
      </w:r>
      <w:r>
        <w:rPr>
          <w:rFonts w:ascii="Times New Roman" w:cs="Times New Roman" w:eastAsia="Times New Roman" w:hAnsi="Times New Roman"/>
          <w:sz w:val="18"/>
          <w:szCs w:val="18"/>
          <w:b w:val="1"/>
          <w:bCs w:val="1"/>
          <w:u w:val="single" w:color="auto"/>
          <w:color w:val="auto"/>
        </w:rPr>
        <w:t>EEA</w:t>
      </w:r>
      <w:r>
        <w:rPr>
          <w:rFonts w:ascii="Times New Roman" w:cs="Times New Roman" w:eastAsia="Times New Roman" w:hAnsi="Times New Roman"/>
          <w:sz w:val="18"/>
          <w:szCs w:val="18"/>
          <w:color w:val="auto"/>
        </w:rPr>
        <w:t>”) or the United Kingdom. No key information document (KID) as required by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 No 1286/2014 (as amended, the “</w:t>
      </w:r>
      <w:r>
        <w:rPr>
          <w:rFonts w:ascii="Times New Roman" w:cs="Times New Roman" w:eastAsia="Times New Roman" w:hAnsi="Times New Roman"/>
          <w:sz w:val="18"/>
          <w:szCs w:val="18"/>
          <w:b w:val="1"/>
          <w:bCs w:val="1"/>
          <w:u w:val="single" w:color="auto"/>
          <w:color w:val="auto"/>
        </w:rPr>
        <w:t>PRIIPs Regulation</w:t>
      </w:r>
      <w:r>
        <w:rPr>
          <w:rFonts w:ascii="Times New Roman" w:cs="Times New Roman" w:eastAsia="Times New Roman" w:hAnsi="Times New Roman"/>
          <w:sz w:val="18"/>
          <w:szCs w:val="18"/>
          <w:color w:val="auto"/>
        </w:rPr>
        <w:t>”) or as required by the PRIIPs Regulation as it forms part of domestic UK law by virtue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(Withdrawal) Act 2018, as amended, has been prepared as not available to retail investors in the EEA or the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III</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Material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Midstream Canada ULC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Crude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Crude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8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0" w:type="dxa"/>
            <w:vAlign w:val="bottom"/>
          </w:tcPr>
          <w:p>
            <w:pPr>
              <w:spacing w:after="0"/>
              <w:rPr>
                <w:sz w:val="1"/>
                <w:szCs w:val="1"/>
                <w:color w:val="auto"/>
              </w:rPr>
            </w:pPr>
          </w:p>
        </w:tc>
      </w:tr>
      <w:tr>
        <w:trPr>
          <w:trHeight w:val="176"/>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0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Entity</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Jurisdiction in which registered or qualified</w:t>
            </w:r>
          </w:p>
        </w:tc>
        <w:tc>
          <w:tcPr>
            <w:tcW w:w="0" w:type="dxa"/>
            <w:vAlign w:val="bottom"/>
          </w:tcPr>
          <w:p>
            <w:pPr>
              <w:spacing w:after="0"/>
              <w:rPr>
                <w:sz w:val="1"/>
                <w:szCs w:val="1"/>
                <w:color w:val="auto"/>
              </w:rPr>
            </w:pPr>
          </w:p>
        </w:tc>
      </w:tr>
      <w:tr>
        <w:trPr>
          <w:trHeight w:val="191"/>
        </w:trPr>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Plains All American Pipeline, L.P.</w:t>
            </w:r>
          </w:p>
        </w:tc>
        <w:tc>
          <w:tcPr>
            <w:tcW w:w="10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5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Finance Corp.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GP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California, Illinois, Louisiana, Oklahoma,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GP Holdings,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Marketing,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 Louisiana, Oklahoma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Pipeline, L.P.</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 Louisiana, Oklahoma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Midstream Canada ULC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Alberta, Manitoba, Ontario, Saskatchewan, British Columbia, Quebec,</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Nova Scotia, New Brunswick</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Oryx Delaware Oil Transport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Oryx Midland Oil Gathering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Cactus II Pipeline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Plains Capline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Red River Pipeline Company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 Texas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Alpha Crude Holdings LLC</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undersigned, in his capacity as the Chief Financial Officer of Plains All American GP LLC, a Delaware limited liability company, which is the general partner of Plains AAP, L.P., a Delaware limited liability partnership, which is the sole member of PAA GP LLC, a Delaware limited liability company, which is the general partner of Plains All American Pipeline, L.P.,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September 30, 2025. In addition, as of the date of this certificate, the total debt of the Partnership is approximately $11.3 billion.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assigned to them in the Underwriting Agreement dated as of the date hereof 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Partnership, PAA Finance Corp., and Citigroup Global Markets Inc., CIBC World Markets Corp., RBC Capital Markets, LLC and SMBC Nikko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America, Inc. as the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affixed his signature as of the date first written above.</w:t>
      </w: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7"/>
                <w:szCs w:val="17"/>
                <w:color w:val="auto"/>
              </w:rPr>
            </w:pPr>
          </w:p>
        </w:tc>
        <w:tc>
          <w:tcPr>
            <w:tcW w:w="5620" w:type="dxa"/>
            <w:vAlign w:val="bottom"/>
          </w:tcPr>
          <w:p>
            <w:pPr>
              <w:spacing w:after="0"/>
              <w:rPr>
                <w:sz w:val="17"/>
                <w:szCs w:val="17"/>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89"/>
        </w:trPr>
        <w:tc>
          <w:tcPr>
            <w:tcW w:w="2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Al Swanson</w:t>
            </w:r>
          </w:p>
        </w:tc>
      </w:tr>
      <w:tr>
        <w:trPr>
          <w:trHeight w:val="21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gridSpan w:val="2"/>
          </w:tcPr>
          <w:p>
            <w:pPr>
              <w:ind w:left="2580"/>
              <w:spacing w:after="0"/>
              <w:rPr>
                <w:sz w:val="20"/>
                <w:szCs w:val="20"/>
                <w:color w:val="auto"/>
              </w:rPr>
            </w:pPr>
            <w:r>
              <w:rPr>
                <w:rFonts w:ascii="Times New Roman" w:cs="Times New Roman" w:eastAsia="Times New Roman" w:hAnsi="Times New Roman"/>
                <w:sz w:val="18"/>
                <w:szCs w:val="18"/>
                <w:color w:val="auto"/>
              </w:rPr>
              <w:t>Exhibit B-2</w:t>
            </w:r>
          </w:p>
        </w:tc>
      </w:tr>
      <w:tr>
        <w:trPr>
          <w:trHeight w:val="31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rPr>
                <w:sz w:val="24"/>
                <w:szCs w:val="24"/>
                <w:color w:val="auto"/>
              </w:rPr>
            </w:pPr>
          </w:p>
        </w:tc>
        <w:tc>
          <w:tcPr>
            <w:tcW w:w="5620" w:type="dxa"/>
            <w:vAlign w:val="bottom"/>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1450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7145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counsel to Plains All American Pipeline, L.P., a Delaware limited partnership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and PAA Finance Corp., a Delaware corporation and wholly owned subsidiary of the Partnership (“</w:t>
      </w:r>
      <w:r>
        <w:rPr>
          <w:rFonts w:ascii="Times New Roman" w:cs="Times New Roman" w:eastAsia="Times New Roman" w:hAnsi="Times New Roman"/>
          <w:sz w:val="18"/>
          <w:szCs w:val="18"/>
          <w:b w:val="1"/>
          <w:bCs w:val="1"/>
          <w:color w:val="auto"/>
        </w:rPr>
        <w:t>PAA 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with respect to certain legal matters in connection with the registration by the Issuers,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offer and sale by the Issuers of $750,000,000 aggregate principal amount of debt securities, consisting of an additional issuance of $300,000,000 aggregate principal amount of 4.700% senior unsecured notes due 2031 (the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 and $450,000,000 aggregate principal amount of 5.600% senior unsecured notes due 2036 (the “</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 and, together with the 2031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to be issued and sold pursuant to the Underwriting Agreement dated November 10, 2025, by and among the Issuers and the Underwriters named therein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Notes are being offered and sold pursuant to a prospectus supplement dated November 10, 2025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Rule 424(b)(5) on November 13, 2025, to the prospectus dated September 6, 2024, (such prospectus, as amended and supplemented by the Prospectus Supplement,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included in and forming part of the Registration Statement on Form S-3 (Registration No. 333-281967)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became automatically effective upon filing with the Commission on September 6, 2024. Capitalized terms used but not defined herein shall have the meanings given such terms in the Underwriting Agreement. This opinion is being furnished in connection with the requirements of Item 601(b)(5) of Regulation S-K under the Securities Act, and no opinion is expressed herein as to any matter pertaining to the contents of the Registration Statement or Prospectus, other than as expressly stated herein with respect to the issuance of the Notes.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Notes are to be issued as securities pursuant to that certain Indenture, dated as of September 25, 2002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among the Issuers and U.S. Bank Trust Company, National Association, as successor in interest,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Thirty-Fifth Supplemental Indenture thereto, dated as of September 8, 2025 (the “</w:t>
      </w:r>
      <w:r>
        <w:rPr>
          <w:rFonts w:ascii="Times New Roman" w:cs="Times New Roman" w:eastAsia="Times New Roman" w:hAnsi="Times New Roman"/>
          <w:sz w:val="18"/>
          <w:szCs w:val="18"/>
          <w:b w:val="1"/>
          <w:bCs w:val="1"/>
          <w:color w:val="auto"/>
        </w:rPr>
        <w:t>Thirty-Fifth Supplemental Indenture</w:t>
      </w:r>
      <w:r>
        <w:rPr>
          <w:rFonts w:ascii="Times New Roman" w:cs="Times New Roman" w:eastAsia="Times New Roman" w:hAnsi="Times New Roman"/>
          <w:sz w:val="18"/>
          <w:szCs w:val="18"/>
          <w:color w:val="auto"/>
        </w:rPr>
        <w:t>”) and the Thirty-Sixth Supplemental Indenture thereto, dated as of September 8, 2025 (together with the Thirty-Fifth Supplemental Indenture, the “</w:t>
      </w:r>
      <w:r>
        <w:rPr>
          <w:rFonts w:ascii="Times New Roman" w:cs="Times New Roman" w:eastAsia="Times New Roman" w:hAnsi="Times New Roman"/>
          <w:sz w:val="18"/>
          <w:szCs w:val="18"/>
          <w:b w:val="1"/>
          <w:bCs w:val="1"/>
          <w:color w:val="auto"/>
        </w:rPr>
        <w:t>Supplemental Indentures</w:t>
      </w:r>
      <w:r>
        <w:rPr>
          <w:rFonts w:ascii="Times New Roman" w:cs="Times New Roman" w:eastAsia="Times New Roman" w:hAnsi="Times New Roman"/>
          <w:sz w:val="18"/>
          <w:szCs w:val="18"/>
          <w:color w:val="auto"/>
        </w:rPr>
        <w:t>”), by and among the Issuers and the Trustee (the Base Indenture, as so supplemented by the Supplemental Indentures,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Vinson &amp; Elkins LLP Attorneys at Law</w:t>
            </w:r>
          </w:p>
        </w:tc>
        <w:tc>
          <w:tcPr>
            <w:tcW w:w="6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845 Texas Avenue, Suite 4700</w:t>
            </w:r>
          </w:p>
        </w:tc>
      </w:tr>
      <w:tr>
        <w:trPr>
          <w:trHeight w:val="200"/>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Austin   Dallas   Denver   Dubai   Dublin   Houston   London   Los Angeles</w:t>
            </w:r>
          </w:p>
        </w:tc>
        <w:tc>
          <w:tcPr>
            <w:tcW w:w="6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Houston, TX 77002</w:t>
            </w: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New York   Richmond   San Francisco   Tokyo Washington</w:t>
            </w:r>
          </w:p>
        </w:tc>
        <w:tc>
          <w:tcPr>
            <w:tcW w:w="606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Tel </w:t>
            </w:r>
            <w:r>
              <w:rPr>
                <w:rFonts w:ascii="Times New Roman" w:cs="Times New Roman" w:eastAsia="Times New Roman" w:hAnsi="Times New Roman"/>
                <w:sz w:val="16"/>
                <w:szCs w:val="16"/>
                <w:color w:val="auto"/>
              </w:rPr>
              <w:t>+1.713.758.2222  </w:t>
            </w:r>
            <w:r>
              <w:rPr>
                <w:rFonts w:ascii="Times New Roman" w:cs="Times New Roman" w:eastAsia="Times New Roman" w:hAnsi="Times New Roman"/>
                <w:sz w:val="16"/>
                <w:szCs w:val="16"/>
                <w:b w:val="1"/>
                <w:bCs w:val="1"/>
                <w:color w:val="auto"/>
              </w:rPr>
              <w:t xml:space="preserve"> Fax </w:t>
            </w:r>
            <w:r>
              <w:rPr>
                <w:rFonts w:ascii="Times New Roman" w:cs="Times New Roman" w:eastAsia="Times New Roman" w:hAnsi="Times New Roman"/>
                <w:sz w:val="16"/>
                <w:szCs w:val="16"/>
                <w:color w:val="auto"/>
              </w:rPr>
              <w:t>+1.713.758.2346 velaw.com</w:t>
            </w:r>
          </w:p>
        </w:tc>
      </w:tr>
      <w:tr>
        <w:trPr>
          <w:trHeight w:val="681"/>
        </w:trPr>
        <w:tc>
          <w:tcPr>
            <w:tcW w:w="51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Plains All American Pipeline, L.P.   November 14, 2025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42620" cy="248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42620" cy="24892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rendering the opinions set forth below, we have examined and relied upon (i) the Registration Statement, the Prospectus Supplement and the Prospectus; (ii) the Seventh Amended and Restated Agreement of Limited Partnership of the Partnership, dated as of October 10, 2017; (iii) the organizational certificates and the limited partnership or limited liability company agreements (as the case may be) of PAA GP LLC, a Delaware limited liability company (the “</w:t>
      </w:r>
      <w:r>
        <w:rPr>
          <w:rFonts w:ascii="Times New Roman" w:cs="Times New Roman" w:eastAsia="Times New Roman" w:hAnsi="Times New Roman"/>
          <w:sz w:val="18"/>
          <w:szCs w:val="18"/>
          <w:b w:val="1"/>
          <w:bCs w:val="1"/>
          <w:color w:val="auto"/>
        </w:rPr>
        <w:t>General Partner</w:t>
      </w:r>
      <w:r>
        <w:rPr>
          <w:rFonts w:ascii="Times New Roman" w:cs="Times New Roman" w:eastAsia="Times New Roman" w:hAnsi="Times New Roman"/>
          <w:sz w:val="18"/>
          <w:szCs w:val="18"/>
          <w:color w:val="auto"/>
        </w:rPr>
        <w:t>”), which is the general partner of the Partnership, of Plains AAP, L.P., a Delaware limited partnership (“</w:t>
      </w:r>
      <w:r>
        <w:rPr>
          <w:rFonts w:ascii="Times New Roman" w:cs="Times New Roman" w:eastAsia="Times New Roman" w:hAnsi="Times New Roman"/>
          <w:sz w:val="18"/>
          <w:szCs w:val="18"/>
          <w:b w:val="1"/>
          <w:bCs w:val="1"/>
          <w:color w:val="auto"/>
        </w:rPr>
        <w:t>Plains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AAP</w:t>
      </w:r>
      <w:r>
        <w:rPr>
          <w:rFonts w:ascii="Times New Roman" w:cs="Times New Roman" w:eastAsia="Times New Roman" w:hAnsi="Times New Roman"/>
          <w:sz w:val="18"/>
          <w:szCs w:val="18"/>
          <w:color w:val="auto"/>
        </w:rPr>
        <w:t>”), which owns a 100% membership interest in the General Partner, of Plains All American GP LLC, a Delaware limited liability company (“</w:t>
      </w:r>
      <w:r>
        <w:rPr>
          <w:rFonts w:ascii="Times New Roman" w:cs="Times New Roman" w:eastAsia="Times New Roman" w:hAnsi="Times New Roman"/>
          <w:sz w:val="18"/>
          <w:szCs w:val="18"/>
          <w:b w:val="1"/>
          <w:bCs w:val="1"/>
          <w:color w:val="auto"/>
        </w:rPr>
        <w:t>GP LLC</w:t>
      </w:r>
      <w:r>
        <w:rPr>
          <w:rFonts w:ascii="Times New Roman" w:cs="Times New Roman" w:eastAsia="Times New Roman" w:hAnsi="Times New Roman"/>
          <w:sz w:val="18"/>
          <w:szCs w:val="18"/>
          <w:color w:val="auto"/>
        </w:rPr>
        <w:t>”), which is the general partner of Plains AAP, of Plains GP Holdings, L.P., a Delaware limited partnership (“</w:t>
      </w:r>
      <w:r>
        <w:rPr>
          <w:rFonts w:ascii="Times New Roman" w:cs="Times New Roman" w:eastAsia="Times New Roman" w:hAnsi="Times New Roman"/>
          <w:sz w:val="18"/>
          <w:szCs w:val="18"/>
          <w:b w:val="1"/>
          <w:bCs w:val="1"/>
          <w:color w:val="auto"/>
        </w:rPr>
        <w:t>PAGP</w:t>
      </w:r>
      <w:r>
        <w:rPr>
          <w:rFonts w:ascii="Times New Roman" w:cs="Times New Roman" w:eastAsia="Times New Roman" w:hAnsi="Times New Roman"/>
          <w:sz w:val="18"/>
          <w:szCs w:val="18"/>
          <w:color w:val="auto"/>
        </w:rPr>
        <w:t>”), which owns a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interest in GP LLC, and of PAA GP Holdings, LLC, a Delaware limited liability company, which is the general partner of PAGP; (iv) the bylaws and certificate of incorporation of PAA Finance; (v) the Underwriting Agreement, a copy of which is being filed with the Commission, together with this Exhibit 5.1, as an exhibit to the Partnership’s Current Report on Form 8-K in connection with the closing of the sale of the Notes; (vi) the Base Indenture and the Supplemental Indentures; and (vii) such other certificates, statutes and other instruments and documents as we consider appropriate for purposes of the opinions hereafter expressed. In addition, we reviewed such questions of law as we considered appropriate.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and subject to the foregoing and the assumptions, limitations and qualifications set forth herein, we are of the opinion that when</w:t>
      </w:r>
    </w:p>
    <w:p>
      <w:pPr>
        <w:spacing w:after="0" w:line="27" w:lineRule="exact"/>
        <w:rPr>
          <w:sz w:val="20"/>
          <w:szCs w:val="20"/>
          <w:color w:val="auto"/>
        </w:rPr>
      </w:pPr>
    </w:p>
    <w:p>
      <w:pPr>
        <w:jc w:val="both"/>
        <w:ind w:firstLine="8"/>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Indentures have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have been duly authorized by all necessary limited partnership or corporate action of the Issuers, as applicable, and will constitute valid and legally binding obligations of the Issuers, enforceable against the Issuers in accordance with their terms.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expressed herein are qualified in the following respects:</w:t>
      </w:r>
    </w:p>
    <w:p>
      <w:pPr>
        <w:spacing w:after="0" w:line="225" w:lineRule="exact"/>
        <w:rPr>
          <w:sz w:val="20"/>
          <w:szCs w:val="20"/>
          <w:color w:val="auto"/>
        </w:rPr>
      </w:pPr>
    </w:p>
    <w:p>
      <w:pPr>
        <w:ind w:firstLine="656"/>
        <w:spacing w:after="0" w:line="282" w:lineRule="auto"/>
        <w:tabs>
          <w:tab w:leader="none" w:pos="137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Partnership.</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w:t>
      </w:r>
    </w:p>
    <w:p>
      <w:pPr>
        <w:jc w:val="both"/>
        <w:ind w:firstLine="8"/>
        <w:spacing w:after="0" w:line="253" w:lineRule="auto"/>
        <w:tabs>
          <w:tab w:leader="none" w:pos="3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on each such document examined by us are genuine, (iv) each certificate from governmental officials reviewed by us is accurate, complete and authentic, and all official public records are accurate and complete, (v) each natural person signing any document reviewed by us had the legal capacity to do so and each person signing in a representative capacity any document reviewed by us had authority to sign in such capacity and (vi) the Notes will be issued and sold in compliance with applicable federal and state securities laws and in the manner stated in the Prospectus and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Plains All American Pipeline, L.P.   November 14, 2025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42620" cy="248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42620" cy="248920"/>
                    </a:xfrm>
                    <a:prstGeom prst="rect">
                      <a:avLst/>
                    </a:prstGeom>
                    <a:noFill/>
                  </pic:spPr>
                </pic:pic>
              </a:graphicData>
            </a:graphic>
          </wp:anchor>
        </w:drawing>
      </w:r>
    </w:p>
    <w:p>
      <w:pPr>
        <w:spacing w:after="0" w:line="381" w:lineRule="exact"/>
        <w:rPr>
          <w:sz w:val="20"/>
          <w:szCs w:val="20"/>
          <w:color w:val="auto"/>
        </w:rPr>
      </w:pPr>
    </w:p>
    <w:p>
      <w:pPr>
        <w:jc w:val="both"/>
        <w:ind w:firstLine="656"/>
        <w:spacing w:after="0" w:line="261" w:lineRule="auto"/>
        <w:tabs>
          <w:tab w:leader="none" w:pos="15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limited in all respects to the laws of the State of New York, the Delaware General Corporation Law, the Delaware Revised Uniform Limited Partnership Act and the Delaware Limited Liability Company Act,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of counsel as Exhibit 5.1 to the Current Report on Form 8-K of the Partnership dated on or about the date hereof, and to the reference to our Firm under the heading “Legal Matters” in the Registration Statement,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8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04"/>
    </w:lvl>
  </w:abstractNum>
  <w:abstractNum w:abstractNumId="4">
    <w:nsid w:val="79E2A9E3"/>
    <w:multiLevelType w:val="hybridMultilevel"/>
    <w:lvl w:ilvl="0">
      <w:lvlJc w:val="left"/>
      <w:lvlText w:val="(%1)"/>
      <w:numFmt w:val="decimal"/>
      <w:start w:val="2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lvl w:ilvl="1">
      <w:lvlJc w:val="left"/>
      <w:lvlText w:val="%2."/>
      <w:numFmt w:val="upperLetter"/>
      <w:start w:val="1"/>
    </w:lvl>
  </w:abstractNum>
  <w:abstractNum w:abstractNumId="8">
    <w:nsid w:val="12200854"/>
    <w:multiLevelType w:val="hybridMultilevel"/>
    <w:lvl w:ilvl="0">
      <w:lvlJc w:val="left"/>
      <w:lvlText w:val="(%1)"/>
      <w:numFmt w:val="lowerRoman"/>
      <w:start w:val="3"/>
    </w:lvl>
    <w:lvl w:ilvl="1">
      <w:lvlJc w:val="left"/>
      <w:lvlText w:val="%2"/>
      <w:numFmt w:val="upperLetter"/>
      <w:start w:val="1"/>
    </w:lvl>
  </w:abstractNum>
  <w:abstractNum w:abstractNumId="9">
    <w:nsid w:val="4DB127F8"/>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jpeg"/><Relationship Id="rId70" Type="http://schemas.openxmlformats.org/officeDocument/2006/relationships/image" Target="media/image61.png"/><Relationship Id="rId71" Type="http://schemas.openxmlformats.org/officeDocument/2006/relationships/image" Target="media/image62.jpeg"/><Relationship Id="rId72" Type="http://schemas.openxmlformats.org/officeDocument/2006/relationships/image" Target="media/image63.png"/><Relationship Id="rId73" Type="http://schemas.openxmlformats.org/officeDocument/2006/relationships/image" Target="media/image64.png"/><Relationship Id="rId16" Type="http://schemas.openxmlformats.org/officeDocument/2006/relationships/hyperlink" Target="https://www.sec.gov/Archives/edgar/data/1070423/000110465925088257/tm2524999d4_ex4-1.htm" TargetMode="External"/><Relationship Id="rId17" Type="http://schemas.openxmlformats.org/officeDocument/2006/relationships/hyperlink" Target="https://www.sec.gov/Archives/edgar/data/1070423/000110465925088257/tm2524999d4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2025-11-14T13:25:07Z</dcterms:created>
  <dcterms:modified xsi:type="dcterms:W3CDTF">2025-11-14T13:25:07Z</dcterms:modified>
</cp:coreProperties>
</file>