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September 26, 2018</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0"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900" w:orient="portrait"/>
          <w:cols w:equalWidth="0" w:num="3">
            <w:col w:w="4020" w:space="720"/>
            <w:col w:w="2900" w:space="720"/>
            <w:col w:w="3100"/>
          </w:cols>
          <w:pgMar w:left="240" w:top="544" w:right="1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(Registrant’s telephone number, including area code)</w:t>
      </w:r>
    </w:p>
    <w:p>
      <w:pPr>
        <w:sectPr>
          <w:pgSz w:w="11900" w:h="16900" w:orient="portrait"/>
          <w:cols w:equalWidth="0" w:num="1">
            <w:col w:w="11460"/>
          </w:cols>
          <w:pgMar w:left="240" w:top="544" w:right="19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4"/>
          <w:szCs w:val="24"/>
          <w:color w:val="auto"/>
        </w:rPr>
      </w:pPr>
    </w:p>
    <w:p>
      <w:pPr>
        <w:ind w:right="100" w:firstLine="648"/>
        <w:spacing w:after="0" w:line="255" w:lineRule="auto"/>
        <w:rPr>
          <w:sz w:val="20"/>
          <w:szCs w:val="20"/>
          <w:color w:val="auto"/>
        </w:rPr>
      </w:pPr>
      <w:r>
        <w:rPr>
          <w:rFonts w:ascii="Arial" w:cs="Arial" w:eastAsia="Arial" w:hAnsi="Arial"/>
          <w:sz w:val="18"/>
          <w:szCs w:val="18"/>
          <w:color w:val="auto"/>
        </w:rPr>
        <w:t>On September 26, 2018, Amendment No. 1 (the “</w:t>
      </w:r>
      <w:r>
        <w:rPr>
          <w:rFonts w:ascii="Arial" w:cs="Arial" w:eastAsia="Arial" w:hAnsi="Arial"/>
          <w:sz w:val="18"/>
          <w:szCs w:val="18"/>
          <w:u w:val="single" w:color="auto"/>
          <w:color w:val="auto"/>
        </w:rPr>
        <w:t>AAP Amendment</w:t>
      </w:r>
      <w:r>
        <w:rPr>
          <w:rFonts w:ascii="Arial" w:cs="Arial" w:eastAsia="Arial" w:hAnsi="Arial"/>
          <w:sz w:val="18"/>
          <w:szCs w:val="18"/>
          <w:color w:val="auto"/>
        </w:rPr>
        <w:t>”) to the Eighth Amended and Restated Limited Partnership Agreement of Plains AAP, L.P. (the “</w:t>
      </w:r>
      <w:r>
        <w:rPr>
          <w:rFonts w:ascii="Arial" w:cs="Arial" w:eastAsia="Arial" w:hAnsi="Arial"/>
          <w:sz w:val="18"/>
          <w:szCs w:val="18"/>
          <w:u w:val="single" w:color="auto"/>
          <w:color w:val="auto"/>
        </w:rPr>
        <w:t>AAP LP Agreement</w:t>
      </w:r>
      <w:r>
        <w:rPr>
          <w:rFonts w:ascii="Arial" w:cs="Arial" w:eastAsia="Arial" w:hAnsi="Arial"/>
          <w:sz w:val="18"/>
          <w:szCs w:val="18"/>
          <w:color w:val="auto"/>
        </w:rPr>
        <w:t>”) was executed by its general partner, Plains All American GP LLC, to revise the definition of the term “Permitted Transfer” thereunder to allow any existing owner of less than 0.50% of the Partnership Group Interests (as defined in the AAP LP Agreement) to make transfers of their Partnership Group Interests (i) to certain family members, trusts and partnerships if such existing owner is a natural person, and (ii) to beneficial owners of such existing owner if such existing owner is not a natural person. Any such transfers will require approval of the board of directors of PAA GP Holdings LLC.</w:t>
      </w:r>
    </w:p>
    <w:p>
      <w:pPr>
        <w:spacing w:after="0" w:line="193"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full text of the AAP Amendment, which is filed as Exhibit 3.1 hereto and is incorporated herein by reference.</w:t>
      </w:r>
    </w:p>
    <w:p>
      <w:pPr>
        <w:spacing w:after="0" w:line="166"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ind w:left="280"/>
              <w:spacing w:after="0"/>
              <w:rPr>
                <w:sz w:val="20"/>
                <w:szCs w:val="20"/>
                <w:color w:val="auto"/>
              </w:rPr>
            </w:pPr>
            <w:r>
              <w:rPr>
                <w:rFonts w:ascii="Arial" w:cs="Arial" w:eastAsia="Arial" w:hAnsi="Arial"/>
                <w:sz w:val="18"/>
                <w:szCs w:val="18"/>
                <w:b w:val="1"/>
                <w:bCs w:val="1"/>
                <w:color w:val="auto"/>
              </w:rPr>
              <w:t>(d) Exhibits</w:t>
            </w:r>
          </w:p>
        </w:tc>
        <w:tc>
          <w:tcPr>
            <w:tcW w:w="26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2"/>
        </w:trPr>
        <w:tc>
          <w:tcPr>
            <w:tcW w:w="2060" w:type="dxa"/>
            <w:vAlign w:val="bottom"/>
          </w:tcPr>
          <w:p>
            <w:pPr>
              <w:ind w:left="560"/>
              <w:spacing w:after="0"/>
              <w:rPr>
                <w:sz w:val="20"/>
                <w:szCs w:val="20"/>
                <w:color w:val="auto"/>
              </w:rPr>
            </w:pPr>
            <w:r>
              <w:rPr>
                <w:rFonts w:ascii="Arial" w:cs="Arial" w:eastAsia="Arial" w:hAnsi="Arial"/>
                <w:sz w:val="18"/>
                <w:szCs w:val="18"/>
                <w:color w:val="auto"/>
              </w:rPr>
              <w:t>Exhibit 3.1</w:t>
            </w:r>
          </w:p>
        </w:tc>
        <w:tc>
          <w:tcPr>
            <w:tcW w:w="89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Amendment No. 1 dated September 26, 2018 to the Eighth Amended and Restated Limited Partnership Agreement of Plains</w:t>
              </w:r>
            </w:hyperlink>
          </w:p>
        </w:tc>
        <w:tc>
          <w:tcPr>
            <w:tcW w:w="440" w:type="dxa"/>
            <w:vAlign w:val="bottom"/>
          </w:tcPr>
          <w:p>
            <w:pPr>
              <w:spacing w:after="0"/>
              <w:rPr>
                <w:sz w:val="24"/>
                <w:szCs w:val="24"/>
                <w:color w:val="auto"/>
              </w:rPr>
            </w:pPr>
          </w:p>
        </w:tc>
      </w:tr>
      <w:tr>
        <w:trPr>
          <w:trHeight w:val="196"/>
        </w:trPr>
        <w:tc>
          <w:tcPr>
            <w:tcW w:w="2060" w:type="dxa"/>
            <w:vAlign w:val="bottom"/>
          </w:tcPr>
          <w:p>
            <w:pPr>
              <w:spacing w:after="0"/>
              <w:rPr>
                <w:sz w:val="17"/>
                <w:szCs w:val="17"/>
                <w:color w:val="auto"/>
              </w:rPr>
            </w:pPr>
          </w:p>
        </w:tc>
        <w:tc>
          <w:tcPr>
            <w:tcW w:w="26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AAP, L.P. dated November 15, 2016.</w:t>
              </w:r>
            </w:hyperlink>
          </w:p>
        </w:tc>
        <w:tc>
          <w:tcPr>
            <w:tcW w:w="6720" w:type="dxa"/>
            <w:vAlign w:val="bottom"/>
            <w:gridSpan w:val="2"/>
          </w:tcPr>
          <w:p>
            <w:pPr>
              <w:spacing w:after="0"/>
              <w:rPr>
                <w:sz w:val="17"/>
                <w:szCs w:val="17"/>
                <w:color w:val="auto"/>
              </w:rPr>
            </w:pPr>
          </w:p>
        </w:tc>
      </w:tr>
      <w:tr>
        <w:trPr>
          <w:trHeight w:val="453"/>
        </w:trPr>
        <w:tc>
          <w:tcPr>
            <w:tcW w:w="2060" w:type="dxa"/>
            <w:vAlign w:val="bottom"/>
          </w:tcPr>
          <w:p>
            <w:pPr>
              <w:spacing w:after="0"/>
              <w:rPr>
                <w:sz w:val="24"/>
                <w:szCs w:val="24"/>
                <w:color w:val="auto"/>
              </w:rPr>
            </w:pPr>
          </w:p>
        </w:tc>
        <w:tc>
          <w:tcPr>
            <w:tcW w:w="8960" w:type="dxa"/>
            <w:vAlign w:val="bottom"/>
            <w:gridSpan w:val="2"/>
          </w:tcPr>
          <w:p>
            <w:pPr>
              <w:jc w:val="right"/>
              <w:ind w:right="526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r>
      <w:tr>
        <w:trPr>
          <w:trHeight w:val="131"/>
        </w:trPr>
        <w:tc>
          <w:tcPr>
            <w:tcW w:w="206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6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-28575</wp:posOffset>
            </wp:positionV>
            <wp:extent cx="12700" cy="29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-28575</wp:posOffset>
            </wp:positionV>
            <wp:extent cx="12700" cy="2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60"/>
          </w:cols>
          <w:pgMar w:left="240" w:top="544" w:right="199" w:bottom="0" w:gutter="0" w:footer="0" w:header="0"/>
          <w:type w:val="continuous"/>
        </w:sectPr>
      </w:pPr>
    </w:p>
    <w:bookmarkStart w:id="1" w:name="page2"/>
    <w:bookmarkEnd w:id="1"/>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700" w:val="left"/>
          <w:tab w:leader="none" w:pos="6180" w:val="left"/>
        </w:tabs>
        <w:rPr>
          <w:sz w:val="20"/>
          <w:szCs w:val="20"/>
          <w:color w:val="auto"/>
        </w:rPr>
      </w:pPr>
      <w:r>
        <w:rPr>
          <w:rFonts w:ascii="Arial" w:cs="Arial" w:eastAsia="Arial" w:hAnsi="Arial"/>
          <w:sz w:val="18"/>
          <w:szCs w:val="18"/>
          <w:color w:val="auto"/>
        </w:rPr>
        <w:t>Date: October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580"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AMENDMENT NO. 1 TO THE</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EIGHTH AMENDED AND RESTATED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LIMITED PARTNERSHIP AGREEMENT OF</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PLAINS AAP, L.P.</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Amendment No. 1 (this “Amendment”) to the Eighth Amended and Restated Limited Partnership Agreement of Plains AAP, L.P., a Delaware limited partnership (the “Company”), dated as of November 15, 2016 (the “LP Agreement”), is made and entered into as of September 26, 2018. Capitalized terms used but not defined herein shall have the meaning given such terms in the LP Agreement.</w:t>
      </w:r>
    </w:p>
    <w:p>
      <w:pPr>
        <w:spacing w:after="0" w:line="177" w:lineRule="exact"/>
        <w:rPr>
          <w:sz w:val="20"/>
          <w:szCs w:val="20"/>
          <w:color w:val="auto"/>
        </w:rPr>
      </w:pPr>
    </w:p>
    <w:p>
      <w:pPr>
        <w:ind w:right="2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Section 11.2(a) of the LP Agreement provides that, except as otherwise expressly provided, the LP Agreement may not be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modified, superseded or restated without the approval of the General Partner, subject to specified exceptions requiring the approval of certain Partners;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changes contemplated by this Amendment do not require separate approval beyond that of the General Partner;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Holdings GP, acting on behalf of the General Partner, has approved this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pursuant to Section 11.2(a) of the Agreement, the Agreement is hereby amended as follows: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definition of Permitted Transfer in Article 1 of the LP Agreement is hereby amended and restated to read as follows: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w:t>
      </w:r>
    </w:p>
    <w:p>
      <w:pPr>
        <w:spacing w:after="0" w:line="225" w:lineRule="exact"/>
        <w:rPr>
          <w:sz w:val="20"/>
          <w:szCs w:val="20"/>
          <w:color w:val="auto"/>
        </w:rPr>
      </w:pPr>
    </w:p>
    <w:p>
      <w:pPr>
        <w:ind w:left="660" w:right="20" w:firstLine="645"/>
        <w:spacing w:after="0" w:line="297" w:lineRule="auto"/>
        <w:tabs>
          <w:tab w:leader="none" w:pos="1954"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 sole partners or members, as the case may be, are the Partner and/or any of the Persons described in clause (i) or clause (ii); </w:t>
      </w:r>
      <w:r>
        <w:rPr>
          <w:rFonts w:ascii="Arial" w:cs="Arial" w:eastAsia="Arial" w:hAnsi="Arial"/>
          <w:sz w:val="16"/>
          <w:szCs w:val="16"/>
          <w:i w:val="1"/>
          <w:iCs w:val="1"/>
          <w:color w:val="auto"/>
        </w:rPr>
        <w:t>provided</w:t>
      </w:r>
      <w:r>
        <w:rPr>
          <w:rFonts w:ascii="Arial" w:cs="Arial" w:eastAsia="Arial" w:hAnsi="Arial"/>
          <w:sz w:val="16"/>
          <w:szCs w:val="16"/>
          <w:color w:val="auto"/>
        </w:rPr>
        <w:t>, that in any of clauses (i), (ii) or (iii), the Partner transferring such Partnership Group Interest retains exclusive power to exercise all rights under this Agreement;</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 Transfer of a Partnership Group Interest by any Partner to the Partnership;</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1967"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a Transfer by a Partner to any Affiliate of such Partner;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transfer shall be a Permitted Transfer only so long as such Partnership Group Interest or is held by such Affiliate or is otherwise transferred in another Permitted Transfer;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660" w:right="280" w:firstLine="645"/>
        <w:spacing w:after="0" w:line="277" w:lineRule="auto"/>
        <w:tabs>
          <w:tab w:leader="none" w:pos="1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with respect to Class B Units, a Transfer permitted under the applicable Class B Restricted Unit Agreement and any Transfer of Vested Units in accordance with applicable securities laws;</w:t>
      </w:r>
    </w:p>
    <w:p>
      <w:pPr>
        <w:spacing w:after="0" w:line="170" w:lineRule="exact"/>
        <w:rPr>
          <w:rFonts w:ascii="Arial" w:cs="Arial" w:eastAsia="Arial" w:hAnsi="Arial"/>
          <w:sz w:val="18"/>
          <w:szCs w:val="18"/>
          <w:color w:val="auto"/>
        </w:rPr>
      </w:pPr>
    </w:p>
    <w:p>
      <w:pPr>
        <w:ind w:left="660" w:right="40" w:firstLine="645"/>
        <w:spacing w:after="0" w:line="259" w:lineRule="auto"/>
        <w:tabs>
          <w:tab w:leader="none" w:pos="1967"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(i) a Transfer by either of EMG or Kayne Anderson to one of its members or partners, as applicable or (ii) a Transfer by a Partner that has been approved by the Board and is being made in order to facilitate a bona fide charitable contribution or estate planning transaction; </w:t>
      </w:r>
      <w:r>
        <w:rPr>
          <w:rFonts w:ascii="Arial" w:cs="Arial" w:eastAsia="Arial" w:hAnsi="Arial"/>
          <w:sz w:val="18"/>
          <w:szCs w:val="18"/>
          <w:i w:val="1"/>
          <w:iCs w:val="1"/>
          <w:color w:val="auto"/>
        </w:rPr>
        <w:t>provided</w:t>
      </w:r>
      <w:r>
        <w:rPr>
          <w:rFonts w:ascii="Arial" w:cs="Arial" w:eastAsia="Arial" w:hAnsi="Arial"/>
          <w:sz w:val="18"/>
          <w:szCs w:val="18"/>
          <w:color w:val="auto"/>
        </w:rPr>
        <w:t>, in each case that such transferee agrees as a condition to such Transfer to effect, and actually effects, a substantially concurrent Exchange of such Partnership Group Interest;</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 Transfer by PAGP of Class A Units to an Affiliate of PAGP;</w:t>
      </w:r>
    </w:p>
    <w:p>
      <w:pPr>
        <w:spacing w:after="0" w:line="225" w:lineRule="exact"/>
        <w:rPr>
          <w:rFonts w:ascii="Arial" w:cs="Arial" w:eastAsia="Arial" w:hAnsi="Arial"/>
          <w:sz w:val="18"/>
          <w:szCs w:val="18"/>
          <w:color w:val="auto"/>
        </w:rPr>
      </w:pPr>
    </w:p>
    <w:p>
      <w:pPr>
        <w:ind w:left="660" w:right="320" w:firstLine="645"/>
        <w:spacing w:after="0" w:line="308" w:lineRule="auto"/>
        <w:tabs>
          <w:tab w:leader="none" w:pos="1977" w:val="left"/>
        </w:tabs>
        <w:numPr>
          <w:ilvl w:val="1"/>
          <w:numId w:val="2"/>
        </w:numPr>
        <w:rPr>
          <w:rFonts w:ascii="Arial" w:cs="Arial" w:eastAsia="Arial" w:hAnsi="Arial"/>
          <w:sz w:val="17"/>
          <w:szCs w:val="17"/>
          <w:color w:val="auto"/>
        </w:rPr>
      </w:pPr>
      <w:r>
        <w:rPr>
          <w:rFonts w:ascii="Arial" w:cs="Arial" w:eastAsia="Arial" w:hAnsi="Arial"/>
          <w:sz w:val="17"/>
          <w:szCs w:val="17"/>
          <w:color w:val="auto"/>
        </w:rPr>
        <w:t>a Transfer by PAA Management, L.P. of Partnership Group Interests to its partners or a Transfer by PAA Management, LLC of Partnership Group Interests to its members, in each case, pursuant to a voluntary dissolution and winding up process;</w:t>
      </w:r>
    </w:p>
    <w:p>
      <w:pPr>
        <w:spacing w:after="0" w:line="146" w:lineRule="exact"/>
        <w:rPr>
          <w:rFonts w:ascii="Arial" w:cs="Arial" w:eastAsia="Arial" w:hAnsi="Arial"/>
          <w:sz w:val="17"/>
          <w:szCs w:val="17"/>
          <w:color w:val="auto"/>
        </w:rPr>
      </w:pPr>
    </w:p>
    <w:p>
      <w:pPr>
        <w:ind w:left="660" w:right="240" w:firstLine="645"/>
        <w:spacing w:after="0" w:line="291" w:lineRule="auto"/>
        <w:tabs>
          <w:tab w:leader="none" w:pos="1964" w:val="left"/>
        </w:tabs>
        <w:numPr>
          <w:ilvl w:val="1"/>
          <w:numId w:val="2"/>
        </w:numPr>
        <w:rPr>
          <w:rFonts w:ascii="Arial" w:cs="Arial" w:eastAsia="Arial" w:hAnsi="Arial"/>
          <w:sz w:val="16"/>
          <w:szCs w:val="16"/>
          <w:color w:val="auto"/>
        </w:rPr>
      </w:pPr>
      <w:r>
        <w:rPr>
          <w:rFonts w:ascii="Arial" w:cs="Arial" w:eastAsia="Arial" w:hAnsi="Arial"/>
          <w:sz w:val="16"/>
          <w:szCs w:val="16"/>
          <w:color w:val="auto"/>
        </w:rPr>
        <w:t>a Transfer by a De Minimis Qualifying Partner of all or any portion of such De Minimis Qualifying Partner’s Partnership Group Interest to (i) in the case of a De Minimis Qualifying Partner who is a natural person, the individuals and entities described in clauses (a)(i)-</w:t>
      </w:r>
    </w:p>
    <w:p>
      <w:pPr>
        <w:ind w:left="660" w:right="100" w:hanging="4"/>
        <w:spacing w:after="0" w:line="252"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immediately above (it being understood that the term “spouse” shall include an ex-spouse if such Transfer is being made in connection with a divorce proceeding or settlement), and (ii) in the case of a De Minimis Qualifying Partner who is not a natural person, a Person who is a beneficial owner of such De Minimis Qualifying Partner and who is receiving such Transfer in respect of such beneficial ownership interest; provided, in each case, that such Transfer has been approved by the Board (as used herein, the term “De Minimis Qualifying Partner” shall mean any Partner that is a natural person and any Partner that is not a natural person who owns less than 0.50% of the total number of issued and outstanding Partnership Group Interests at such time); and</w:t>
      </w:r>
    </w:p>
    <w:p>
      <w:pPr>
        <w:spacing w:after="0" w:line="194" w:lineRule="exact"/>
        <w:rPr>
          <w:rFonts w:ascii="Arial" w:cs="Arial" w:eastAsia="Arial" w:hAnsi="Arial"/>
          <w:sz w:val="18"/>
          <w:szCs w:val="18"/>
          <w:color w:val="auto"/>
        </w:rPr>
      </w:pPr>
    </w:p>
    <w:p>
      <w:pPr>
        <w:ind w:left="1980" w:hanging="675"/>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a Transfer in accordance with the provisions of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-3528060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no Permitted Transfer shall be effective unless and until the transferee of the Partnership Group Interest or Class B Units so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complies with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Except in the case of a Permitted Transfer pursuant to clause (a) and (b) above, and subject to compliance with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 Permitted Transferee of the Partnership Group Interest or Class B Units subject to a Permitted Transfer shall become a substitute Limited Partner as described in </w:t>
      </w:r>
      <w:r>
        <w:rPr>
          <w:rFonts w:ascii="Arial" w:cs="Arial" w:eastAsia="Arial" w:hAnsi="Arial"/>
          <w:sz w:val="16"/>
          <w:szCs w:val="16"/>
          <w:u w:val="single" w:color="auto"/>
          <w:color w:val="auto"/>
        </w:rPr>
        <w:t>Section 7.4</w:t>
      </w:r>
      <w:r>
        <w:rPr>
          <w:rFonts w:ascii="Arial" w:cs="Arial" w:eastAsia="Arial" w:hAnsi="Arial"/>
          <w:sz w:val="16"/>
          <w:szCs w:val="16"/>
          <w:color w:val="auto"/>
        </w:rPr>
        <w:t>. No Permitted Transfer shall conflict with or result in any violation of any judgment, order, decree, statute, law, ordinance, rule or regulation or require the Partnership, if not currently subject, to become subject, or if currently subject, to become subject to a greater extent, to any statute, law, ordinance, rule or regulation, excluding matters of a ministerial nature that are not materially burdensome to the Partnership.</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Except as hereby amended, the LP Agreement shall remain in full force and effect.</w:t>
      </w:r>
    </w:p>
    <w:p>
      <w:pPr>
        <w:sectPr>
          <w:pgSz w:w="11900" w:h="16838" w:orient="portrait"/>
          <w:cols w:equalWidth="0" w:num="1">
            <w:col w:w="11420"/>
          </w:cols>
          <w:pgMar w:left="240" w:top="121" w:right="239" w:bottom="0" w:gutter="0" w:footer="0" w:header="0"/>
        </w:sectPr>
      </w:pPr>
    </w:p>
    <w:bookmarkStart w:id="3" w:name="page4"/>
    <w:bookmarkEnd w:id="3"/>
    <w:p>
      <w:pPr>
        <w:ind w:right="620" w:firstLine="648"/>
        <w:spacing w:after="0" w:line="282"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This Amendment shall be governed by, and interpreted in accordance with, the laws of the State of Delaware, all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being governed by such laws without regard to principles of conflicts of laws.</w:t>
      </w:r>
    </w:p>
    <w:p>
      <w:pPr>
        <w:spacing w:after="0" w:line="162"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If any provision of this Amendment is or becomes invalid, illegal or unenforceable in any respect, the validity, legality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remaining provisions contained herein shall not be effected thereby.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Amendment has been executed by the General Partner as of September 26,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GP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572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c>
          <w:tcPr>
            <w:tcW w:w="40" w:type="dxa"/>
            <w:vAlign w:val="bottom"/>
          </w:tcPr>
          <w:p>
            <w:pPr>
              <w:spacing w:after="0"/>
              <w:rPr>
                <w:sz w:val="20"/>
                <w:szCs w:val="20"/>
                <w:color w:val="auto"/>
              </w:rPr>
            </w:pPr>
          </w:p>
        </w:tc>
      </w:tr>
      <w:tr>
        <w:trPr>
          <w:trHeight w:val="195"/>
        </w:trPr>
        <w:tc>
          <w:tcPr>
            <w:tcW w:w="67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c>
          <w:tcPr>
            <w:tcW w:w="40" w:type="dxa"/>
            <w:vAlign w:val="bottom"/>
          </w:tcPr>
          <w:p>
            <w:pPr>
              <w:spacing w:after="0"/>
              <w:rPr>
                <w:sz w:val="16"/>
                <w:szCs w:val="16"/>
                <w:color w:val="auto"/>
              </w:rPr>
            </w:pPr>
          </w:p>
        </w:tc>
      </w:tr>
      <w:tr>
        <w:trPr>
          <w:trHeight w:val="230"/>
        </w:trPr>
        <w:tc>
          <w:tcPr>
            <w:tcW w:w="6760" w:type="dxa"/>
            <w:vAlign w:val="bottom"/>
          </w:tcPr>
          <w:p>
            <w:pPr>
              <w:ind w:left="5720"/>
              <w:spacing w:after="0"/>
              <w:rPr>
                <w:sz w:val="20"/>
                <w:szCs w:val="20"/>
                <w:color w:val="auto"/>
              </w:rPr>
            </w:pPr>
            <w:r>
              <w:rPr>
                <w:rFonts w:ascii="Arial" w:cs="Arial" w:eastAsia="Arial" w:hAnsi="Arial"/>
                <w:sz w:val="18"/>
                <w:szCs w:val="18"/>
                <w:color w:val="auto"/>
              </w:rPr>
              <w:t>Title:</w:t>
            </w:r>
          </w:p>
        </w:tc>
        <w:tc>
          <w:tcPr>
            <w:tcW w:w="46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6760" w:type="dxa"/>
            <w:vAlign w:val="bottom"/>
          </w:tcPr>
          <w:p>
            <w:pPr>
              <w:jc w:val="right"/>
              <w:ind w:right="910"/>
              <w:spacing w:after="0"/>
              <w:rPr>
                <w:sz w:val="20"/>
                <w:szCs w:val="20"/>
                <w:color w:val="auto"/>
              </w:rPr>
            </w:pPr>
            <w:r>
              <w:rPr>
                <w:rFonts w:ascii="Arial" w:cs="Arial" w:eastAsia="Arial" w:hAnsi="Arial"/>
                <w:sz w:val="18"/>
                <w:szCs w:val="18"/>
                <w:color w:val="auto"/>
              </w:rPr>
              <w:t>3</w:t>
            </w: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760" w:type="dxa"/>
            <w:vAlign w:val="bottom"/>
            <w:tcBorders>
              <w:bottom w:val="single" w:sz="8" w:color="808080"/>
            </w:tcBorders>
          </w:tcPr>
          <w:p>
            <w:pPr>
              <w:spacing w:after="0"/>
              <w:rPr>
                <w:sz w:val="11"/>
                <w:szCs w:val="11"/>
                <w:color w:val="auto"/>
              </w:rPr>
            </w:pPr>
          </w:p>
        </w:tc>
        <w:tc>
          <w:tcPr>
            <w:tcW w:w="4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1"/>
    </w:lvl>
  </w:abstractNum>
  <w:abstractNum w:abstractNumId="2">
    <w:nsid w:val="19495CFF"/>
    <w:multiLevelType w:val="hybridMultilevel"/>
    <w:lvl w:ilvl="0">
      <w:lvlJc w:val="left"/>
      <w:lvlText w:val="(%1)"/>
      <w:numFmt w:val="lowerLetter"/>
      <w:start w:val="61"/>
    </w:lvl>
    <w:lvl w:ilvl="1">
      <w:lvlJc w:val="left"/>
      <w:lvlText w:val="(%2)"/>
      <w:numFmt w:val="lowerLetter"/>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2020-01-11T19:55:40Z</dcterms:created>
  <dcterms:modified xsi:type="dcterms:W3CDTF">2020-01-11T19:55:40Z</dcterms:modified>
</cp:coreProperties>
</file>