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February 4, 2015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538" w:right="25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38" w:right="259" w:bottom="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713-646-4100</w:t>
      </w:r>
    </w:p>
    <w:p>
      <w:pPr>
        <w:sectPr>
          <w:pgSz w:w="11900" w:h="16838" w:orient="portrait"/>
          <w:cols w:equalWidth="0" w:num="1">
            <w:col w:w="11400"/>
          </w:cols>
          <w:pgMar w:left="240" w:top="538" w:right="259" w:bottom="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(d)</w:t>
        <w:tab/>
        <w:t>Exhibit 99.1 — Press Release dated February 4, 2015.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Plains All American Pipeline, L.P. (the “Partnership”) today issued a press release reporting its fourth-quarter and full-year 2014 results. We are furnishing the press release, attached as Exhibit 99.1, pursuant to Item 2.02 and Item 7.01 of Form 8-K. Pursuant to Item 7.01, we are also providing detailed guidance for financial performance for the first quarter and full year of 2015.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First Quarter and Full Year 2015 Guidance</w:t>
      </w:r>
    </w:p>
    <w:p>
      <w:pPr>
        <w:spacing w:after="0" w:line="229"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based our guidance for the three-month period ending March 31, 2015 and twelve-month period ending December 31, 2015 on assumptions and estimates that we believe are reasonable, given our assessment of historical trends (modified for changes in market conditions, including an assumption that crude oil prices will not meaningfully increase from current levels during 2015 which we expect to result in reduced drilling activity and reduced oil production growth),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February 3, 2015. We undertake no obligation to publicly update or revise any forward-looking statements.</w:t>
      </w:r>
    </w:p>
    <w:p>
      <w:pPr>
        <w:spacing w:after="0" w:line="186" w:lineRule="exact"/>
        <w:rPr>
          <w:sz w:val="24"/>
          <w:szCs w:val="24"/>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w:t>
      </w:r>
    </w:p>
    <w:p>
      <w:pPr>
        <w:sectPr>
          <w:pgSz w:w="11900" w:h="16838" w:orient="portrait"/>
          <w:cols w:equalWidth="0" w:num="1">
            <w:col w:w="11400"/>
          </w:cols>
          <w:pgMar w:left="240" w:top="538" w:right="259" w:bottom="0" w:gutter="0" w:footer="0" w:header="0"/>
          <w:type w:val="continuous"/>
        </w:sectPr>
      </w:pPr>
    </w:p>
    <w:bookmarkStart w:id="1" w:name="page2"/>
    <w:bookmarkEnd w:id="1"/>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EBITDA (as defined below in Note 1 to the “Operating and Financial Guidance” table) is a non-GAAP financial measure. Net income represents one of the two most directly comparable GAAP measures to EBITDA. In Note 9 below, we reconcile net income to EBITDA and adjusted EBITDA for the 2015 guidance periods presented. Cash flows from operating activities is the other most comparable GAAP measure. We do not, however, reconcile cash flows from operating activities to EBITDA, because such reconciliations are impractical for forecasted periods. We encourage you to visit our website at </w:t>
      </w:r>
      <w:r>
        <w:rPr>
          <w:rFonts w:ascii="Times New Roman" w:cs="Times New Roman" w:eastAsia="Times New Roman" w:hAnsi="Times New Roman"/>
          <w:sz w:val="18"/>
          <w:szCs w:val="18"/>
          <w:i w:val="1"/>
          <w:iCs w:val="1"/>
          <w:color w:val="auto"/>
        </w:rPr>
        <w:t xml:space="preserve">www.plainsallamerican.com </w:t>
      </w:r>
      <w:r>
        <w:rPr>
          <w:rFonts w:ascii="Times New Roman" w:cs="Times New Roman" w:eastAsia="Times New Roman" w:hAnsi="Times New Roman"/>
          <w:sz w:val="18"/>
          <w:szCs w:val="18"/>
          <w:color w:val="auto"/>
        </w:rPr>
        <w:t>(in particular the section under Investor Relations entitled “Guidance and Non-GAAP Reconciliations”), which 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reconciliation of EBITDA as well as certain other commonly used non-GAAP financial measures. These measures may exclude, for example,</w:t>
      </w:r>
    </w:p>
    <w:p>
      <w:pPr>
        <w:spacing w:after="0" w:line="7" w:lineRule="exact"/>
        <w:rPr>
          <w:sz w:val="20"/>
          <w:szCs w:val="20"/>
          <w:color w:val="auto"/>
        </w:rPr>
      </w:pPr>
    </w:p>
    <w:p>
      <w:pPr>
        <w:ind w:right="60" w:firstLine="8"/>
        <w:spacing w:after="0" w:line="252"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for obligations that are expected to be settled with the issuance of equity instruments, (ii) the mark-to-market of derivative instruments that are related to underlying activities in another period (or the reversal of such adjustments from a prior period), (iii) inventory valuation adjustments, (iv) items that are not indicative of our core operating results and business outlook and/or (v) other items that we believe should be excluded in understanding our core operating performance.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 xml:space="preserve">Guidance </w:t>
            </w:r>
            <w:r>
              <w:rPr>
                <w:rFonts w:ascii="Times New Roman" w:cs="Times New Roman" w:eastAsia="Times New Roman" w:hAnsi="Times New Roman"/>
                <w:sz w:val="8"/>
                <w:szCs w:val="8"/>
                <w:b w:val="1"/>
                <w:bCs w:val="1"/>
                <w:color w:val="auto"/>
              </w:rPr>
              <w:t>(a)</w:t>
            </w: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 Months Ending</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 Months Ending</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 31, 2015</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 31, 2015</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40" w:type="dxa"/>
            <w:vAlign w:val="bottom"/>
          </w:tcPr>
          <w:p>
            <w:pPr>
              <w:spacing w:after="0"/>
              <w:rPr>
                <w:sz w:val="12"/>
                <w:szCs w:val="12"/>
                <w:color w:val="auto"/>
              </w:rPr>
            </w:pPr>
          </w:p>
        </w:tc>
        <w:tc>
          <w:tcPr>
            <w:tcW w:w="82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40" w:type="dxa"/>
            <w:vAlign w:val="bottom"/>
          </w:tcPr>
          <w:p>
            <w:pPr>
              <w:spacing w:after="0"/>
              <w:rPr>
                <w:sz w:val="12"/>
                <w:szCs w:val="12"/>
                <w:color w:val="auto"/>
              </w:rPr>
            </w:pPr>
          </w:p>
        </w:tc>
        <w:tc>
          <w:tcPr>
            <w:tcW w:w="80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lef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Profit</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revenues (including equity earnings from unconsolidated</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entities)</w:t>
            </w:r>
          </w:p>
        </w:tc>
        <w:tc>
          <w:tcPr>
            <w:tcW w:w="4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999</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1,047</w:t>
            </w:r>
          </w:p>
        </w:tc>
        <w:tc>
          <w:tcPr>
            <w:tcW w:w="4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4,029</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Field operating costs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 net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3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w:t>
            </w:r>
          </w:p>
        </w:tc>
        <w:tc>
          <w:tcPr>
            <w:tcW w:w="2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Income to Limited Partners </w:t>
            </w:r>
            <w:r>
              <w:rPr>
                <w:rFonts w:ascii="Times New Roman" w:cs="Times New Roman" w:eastAsia="Times New Roman" w:hAnsi="Times New Roman"/>
                <w:sz w:val="23"/>
                <w:szCs w:val="23"/>
                <w:color w:val="auto"/>
                <w:vertAlign w:val="superscript"/>
              </w:rPr>
              <w:t>(b)</w:t>
            </w:r>
          </w:p>
        </w:tc>
        <w:tc>
          <w:tcPr>
            <w:tcW w:w="4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Basic Net Income Per Limited Partner Unit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378</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387</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Per Unit</w:t>
            </w:r>
          </w:p>
        </w:tc>
        <w:tc>
          <w:tcPr>
            <w:tcW w:w="4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0.57</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Borders>
              <w:lef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Diluted Net Income Per Limited Partner Unit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380</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389</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Per Unit</w:t>
            </w:r>
          </w:p>
        </w:tc>
        <w:tc>
          <w:tcPr>
            <w:tcW w:w="4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0.56</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538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598</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2,203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2,403</w:t>
            </w: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Items Impacting Comparability</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4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240" w:type="dxa"/>
            <w:vAlign w:val="bottom"/>
            <w:tcBorders>
              <w:left w:val="single" w:sz="8" w:color="auto"/>
            </w:tcBorders>
            <w:vMerge w:val="restart"/>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 Net Income attributable</w:t>
            </w: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000000"/>
          </w:tcPr>
          <w:p>
            <w:pPr>
              <w:spacing w:after="0"/>
              <w:rPr>
                <w:sz w:val="15"/>
                <w:szCs w:val="15"/>
                <w:color w:val="auto"/>
              </w:rPr>
            </w:pPr>
          </w:p>
        </w:tc>
        <w:tc>
          <w:tcPr>
            <w:tcW w:w="5240" w:type="dxa"/>
            <w:vAlign w:val="bottom"/>
            <w:tcBorders>
              <w:left w:val="single" w:sz="8" w:color="auto"/>
            </w:tcBorders>
            <w:vMerge w:val="continue"/>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gridSpan w:val="2"/>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61"/>
        </w:trPr>
        <w:tc>
          <w:tcPr>
            <w:tcW w:w="20" w:type="dxa"/>
            <w:vAlign w:val="bottom"/>
            <w:tcBorders>
              <w:bottom w:val="single" w:sz="8" w:color="auto"/>
            </w:tcBorders>
            <w:shd w:val="clear" w:color="auto" w:fill="000000"/>
          </w:tcPr>
          <w:p>
            <w:pPr>
              <w:spacing w:after="0"/>
              <w:rPr>
                <w:sz w:val="22"/>
                <w:szCs w:val="22"/>
                <w:color w:val="auto"/>
              </w:rPr>
            </w:pPr>
          </w:p>
        </w:tc>
        <w:tc>
          <w:tcPr>
            <w:tcW w:w="5240" w:type="dxa"/>
            <w:vAlign w:val="bottom"/>
            <w:tcBorders>
              <w:left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 PAA</w:t>
            </w:r>
          </w:p>
        </w:tc>
        <w:tc>
          <w:tcPr>
            <w:tcW w:w="480" w:type="dxa"/>
            <w:vAlign w:val="bottom"/>
            <w:tcBorders>
              <w:bottom w:val="single" w:sz="8" w:color="auto"/>
            </w:tcBorders>
            <w:gridSpan w:val="2"/>
            <w:vMerge w:val="continue"/>
            <w:shd w:val="clear" w:color="auto" w:fill="CCEEFF"/>
          </w:tcPr>
          <w:p>
            <w:pPr>
              <w:spacing w:after="0"/>
              <w:rPr>
                <w:sz w:val="22"/>
                <w:szCs w:val="22"/>
                <w:color w:val="auto"/>
              </w:rPr>
            </w:pPr>
          </w:p>
        </w:tc>
        <w:tc>
          <w:tcPr>
            <w:tcW w:w="1260" w:type="dxa"/>
            <w:vAlign w:val="bottom"/>
            <w:tcBorders>
              <w:bottom w:val="single" w:sz="8" w:color="auto"/>
            </w:tcBorders>
            <w:gridSpan w:val="2"/>
            <w:vMerge w:val="continue"/>
            <w:shd w:val="clear" w:color="auto" w:fill="CCEEFF"/>
          </w:tcPr>
          <w:p>
            <w:pPr>
              <w:spacing w:after="0"/>
              <w:rPr>
                <w:sz w:val="22"/>
                <w:szCs w:val="22"/>
                <w:color w:val="auto"/>
              </w:rPr>
            </w:pP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gridSpan w:val="2"/>
            <w:vMerge w:val="continue"/>
            <w:shd w:val="clear" w:color="auto" w:fill="CCEEFF"/>
          </w:tcPr>
          <w:p>
            <w:pPr>
              <w:spacing w:after="0"/>
              <w:rPr>
                <w:sz w:val="22"/>
                <w:szCs w:val="22"/>
                <w:color w:val="auto"/>
              </w:rPr>
            </w:pPr>
          </w:p>
        </w:tc>
        <w:tc>
          <w:tcPr>
            <w:tcW w:w="460" w:type="dxa"/>
            <w:vAlign w:val="bottom"/>
            <w:tcBorders>
              <w:bottom w:val="single" w:sz="8" w:color="auto"/>
            </w:tcBorders>
            <w:gridSpan w:val="2"/>
            <w:vMerge w:val="continue"/>
            <w:shd w:val="clear" w:color="auto" w:fill="CCEEFF"/>
          </w:tcPr>
          <w:p>
            <w:pPr>
              <w:spacing w:after="0"/>
              <w:rPr>
                <w:sz w:val="22"/>
                <w:szCs w:val="22"/>
                <w:color w:val="auto"/>
              </w:rPr>
            </w:pPr>
          </w:p>
        </w:tc>
        <w:tc>
          <w:tcPr>
            <w:tcW w:w="1180" w:type="dxa"/>
            <w:vAlign w:val="bottom"/>
            <w:tcBorders>
              <w:bottom w:val="single" w:sz="8" w:color="auto"/>
            </w:tcBorders>
            <w:gridSpan w:val="2"/>
            <w:vMerge w:val="continue"/>
            <w:shd w:val="clear" w:color="auto" w:fill="CCEEFF"/>
          </w:tcPr>
          <w:p>
            <w:pPr>
              <w:spacing w:after="0"/>
              <w:rPr>
                <w:sz w:val="22"/>
                <w:szCs w:val="22"/>
                <w:color w:val="auto"/>
              </w:rPr>
            </w:pP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920" w:type="dxa"/>
            <w:vAlign w:val="bottom"/>
            <w:tcBorders>
              <w:bottom w:val="single" w:sz="8" w:color="auto"/>
              <w:right w:val="single" w:sz="8" w:color="auto"/>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auto"/>
            </w:tcBorders>
            <w:shd w:val="clear" w:color="auto" w:fill="000000"/>
          </w:tcPr>
          <w:p>
            <w:pPr>
              <w:spacing w:after="0"/>
              <w:rPr>
                <w:sz w:val="17"/>
                <w:szCs w:val="17"/>
                <w:color w:val="auto"/>
              </w:rPr>
            </w:pPr>
          </w:p>
        </w:tc>
        <w:tc>
          <w:tcPr>
            <w:tcW w:w="5240" w:type="dxa"/>
            <w:vAlign w:val="bottom"/>
            <w:tcBorders>
              <w:left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Excluding Selected Items Impacting Comparability</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Segment Profit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4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1,190</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Facilities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570</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Supply and Logistics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5240" w:type="dxa"/>
            <w:vAlign w:val="bottom"/>
            <w:tcBorders>
              <w:top w:val="single" w:sz="8" w:color="CCEEFF"/>
              <w:left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5240" w:type="dxa"/>
            <w:vAlign w:val="bottom"/>
            <w:tcBorders>
              <w:lef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5240" w:type="dxa"/>
            <w:vAlign w:val="bottom"/>
            <w:tcBorders>
              <w:left w:val="single" w:sz="8" w:color="auto"/>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298</w:t>
            </w:r>
          </w:p>
        </w:tc>
        <w:tc>
          <w:tcPr>
            <w:tcW w:w="30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370</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1,279</w:t>
            </w:r>
          </w:p>
        </w:tc>
        <w:tc>
          <w:tcPr>
            <w:tcW w:w="2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1,527</w:t>
            </w:r>
          </w:p>
        </w:tc>
        <w:tc>
          <w:tcPr>
            <w:tcW w:w="120" w:type="dxa"/>
            <w:vAlign w:val="bottom"/>
            <w:tcBorders>
              <w:bottom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auto"/>
            </w:tcBorders>
            <w:shd w:val="clear" w:color="auto" w:fill="000000"/>
          </w:tcPr>
          <w:p>
            <w:pPr>
              <w:spacing w:after="0"/>
              <w:rPr>
                <w:sz w:val="17"/>
                <w:szCs w:val="17"/>
                <w:color w:val="auto"/>
              </w:rPr>
            </w:pPr>
          </w:p>
        </w:tc>
        <w:tc>
          <w:tcPr>
            <w:tcW w:w="5240" w:type="dxa"/>
            <w:vAlign w:val="bottom"/>
            <w:tcBorders>
              <w:left w:val="single" w:sz="8" w:color="auto"/>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7"/>
                <w:szCs w:val="17"/>
                <w:color w:val="auto"/>
              </w:rPr>
              <w:t xml:space="preserve">Basic Adjusted Net Income Per Limited Partner Unit </w:t>
            </w:r>
            <w:r>
              <w:rPr>
                <w:rFonts w:ascii="Times New Roman" w:cs="Times New Roman" w:eastAsia="Times New Roman" w:hAnsi="Times New Roman"/>
                <w:sz w:val="22"/>
                <w:szCs w:val="22"/>
                <w:color w:val="auto"/>
                <w:vertAlign w:val="superscript"/>
              </w:rPr>
              <w:t>(b)</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3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2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5240" w:type="dxa"/>
            <w:vAlign w:val="bottom"/>
            <w:tcBorders>
              <w:left w:val="single" w:sz="8" w:color="auto"/>
            </w:tcBorders>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Diluted Adjusted Net Income Per Limited Partner Unit </w:t>
            </w:r>
            <w:r>
              <w:rPr>
                <w:rFonts w:ascii="Times New Roman" w:cs="Times New Roman" w:eastAsia="Times New Roman" w:hAnsi="Times New Roman"/>
                <w:sz w:val="23"/>
                <w:szCs w:val="23"/>
                <w:color w:val="auto"/>
                <w:vertAlign w:val="superscript"/>
              </w:rPr>
              <w:t>(b)</w:t>
            </w: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5240" w:type="dxa"/>
            <w:vAlign w:val="bottom"/>
            <w:tcBorders>
              <w:left w:val="single" w:sz="8" w:color="auto"/>
              <w:bottom w:val="single" w:sz="8" w:color="auto"/>
            </w:tcBorders>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30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1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28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300" w:hanging="652"/>
        <w:spacing w:after="0" w:line="235" w:lineRule="auto"/>
        <w:tabs>
          <w:tab w:leader="none" w:pos="655"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assumed average foreign exchange rate is $1.20 Canadian to $1.00 U.S. for the three-month period ending March 31, 2015 and the twelve-month period ending December 31, 2015. The rate as of February 3, 2015 was $1.25 Canadian to $1.00 U.S. A $0.05 change in such average FX rate will impact annual adjusted EBITDA by approximately $10 million.</w:t>
      </w:r>
    </w:p>
    <w:p>
      <w:pPr>
        <w:sectPr>
          <w:pgSz w:w="11900" w:h="16838" w:orient="portrait"/>
          <w:cols w:equalWidth="0" w:num="1">
            <w:col w:w="11440"/>
          </w:cols>
          <w:pgMar w:left="240" w:top="121" w:right="219" w:bottom="146" w:gutter="0" w:footer="0" w:header="0"/>
        </w:sectPr>
      </w:pPr>
    </w:p>
    <w:bookmarkStart w:id="2" w:name="page3"/>
    <w:bookmarkEnd w:id="2"/>
    <w:p>
      <w:pPr>
        <w:spacing w:after="0" w:line="62" w:lineRule="exact"/>
        <w:rPr>
          <w:sz w:val="20"/>
          <w:szCs w:val="20"/>
          <w:color w:val="auto"/>
        </w:rPr>
      </w:pPr>
    </w:p>
    <w:p>
      <w:pPr>
        <w:ind w:left="660" w:right="80" w:hanging="652"/>
        <w:spacing w:after="0" w:line="239" w:lineRule="auto"/>
        <w:tabs>
          <w:tab w:leader="none" w:pos="64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Significant Assumptions: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Definitions.</w:t>
      </w:r>
    </w:p>
    <w:p>
      <w:pPr>
        <w:sectPr>
          <w:pgSz w:w="11900" w:h="16900" w:orient="portrait"/>
          <w:cols w:equalWidth="0" w:num="1">
            <w:col w:w="11380"/>
          </w:cols>
          <w:pgMar w:left="240" w:top="121" w:right="279" w:bottom="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Profit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DCF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Bbls/d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(GP)</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interest, taxes and depreciation and amortization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(including equity earnings, as applicable) less field operating costs and segment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Barrels per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 cubic feet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liquids. Includes ethane and natural gasoline products as well as propane and butane, which are often referred 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context requires, “general partner” or “GP” refers to any or all of (i) PAA GP LLC, the owner of our 2%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(ii) Plains AAP, L.P., the sole member of PAA GP LLC and owner of our incentive distribution rights and (iii) Plains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GP LLC, the general partner of Plains AAP, L.P.</w:t>
      </w:r>
    </w:p>
    <w:p>
      <w:pPr>
        <w:spacing w:after="0" w:line="200" w:lineRule="exact"/>
        <w:rPr>
          <w:sz w:val="20"/>
          <w:szCs w:val="20"/>
          <w:color w:val="auto"/>
        </w:rPr>
      </w:pPr>
    </w:p>
    <w:p>
      <w:pPr>
        <w:sectPr>
          <w:pgSz w:w="11900" w:h="16900" w:orient="portrait"/>
          <w:cols w:equalWidth="0" w:num="2">
            <w:col w:w="1520" w:space="560"/>
            <w:col w:w="9300"/>
          </w:cols>
          <w:pgMar w:left="240" w:top="121" w:right="279" w:bottom="0" w:gutter="0" w:footer="0" w:header="0"/>
          <w:type w:val="continuous"/>
        </w:sectPr>
      </w:pPr>
    </w:p>
    <w:p>
      <w:pPr>
        <w:spacing w:after="0" w:line="5" w:lineRule="exact"/>
        <w:rPr>
          <w:sz w:val="20"/>
          <w:szCs w:val="20"/>
          <w:color w:val="auto"/>
        </w:rPr>
      </w:pPr>
    </w:p>
    <w:p>
      <w:pPr>
        <w:ind w:left="660" w:right="620" w:hanging="328"/>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Segments</w:t>
      </w:r>
      <w:r>
        <w:rPr>
          <w:rFonts w:ascii="Times New Roman" w:cs="Times New Roman" w:eastAsia="Times New Roman" w:hAnsi="Times New Roman"/>
          <w:sz w:val="18"/>
          <w:szCs w:val="18"/>
          <w:color w:val="auto"/>
        </w:rPr>
        <w:t>. We manage our operations through three operating segments: Transportation, Facilities and Supply and Logistics.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is a brief explanation of the operating activities for each segment as well as key metrics.</w:t>
      </w:r>
    </w:p>
    <w:p>
      <w:pPr>
        <w:spacing w:after="0" w:line="158" w:lineRule="exact"/>
        <w:rPr>
          <w:rFonts w:ascii="Times New Roman" w:cs="Times New Roman" w:eastAsia="Times New Roman" w:hAnsi="Times New Roman"/>
          <w:sz w:val="18"/>
          <w:szCs w:val="18"/>
          <w:color w:val="auto"/>
        </w:rPr>
      </w:pPr>
    </w:p>
    <w:p>
      <w:pPr>
        <w:ind w:left="980" w:right="40" w:hanging="32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Transportation.</w:t>
      </w:r>
      <w:r>
        <w:rPr>
          <w:rFonts w:ascii="Times New Roman" w:cs="Times New Roman" w:eastAsia="Times New Roman" w:hAnsi="Times New Roman"/>
          <w:sz w:val="18"/>
          <w:szCs w:val="18"/>
          <w:color w:val="auto"/>
        </w:rPr>
        <w:t xml:space="preserve"> 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 Our transportation segment also includes our equity earnings from investments in Settoon Towing and the White Cliffs, Eagle Ford, BridgeTex, Butte and Frontier pipeline systems, in which we own interests ranging from 22% to 50%. We account for these investments under the equity method of accounting.</w:t>
      </w:r>
    </w:p>
    <w:p>
      <w:pPr>
        <w:spacing w:after="0" w:line="181" w:lineRule="exact"/>
        <w:rPr>
          <w:rFonts w:ascii="Times New Roman" w:cs="Times New Roman" w:eastAsia="Times New Roman" w:hAnsi="Times New Roman"/>
          <w:sz w:val="18"/>
          <w:szCs w:val="18"/>
          <w:color w:val="auto"/>
        </w:rPr>
      </w:pPr>
    </w:p>
    <w:p>
      <w:pPr>
        <w:ind w:left="98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volume estimates are based on historical trends, anticipated future operating performance and assumed completion of capital projects. Actual volumes will be influenced by maintenance schedules at refineries, drilling and completion activity levels, production trends, weather and other natural occurrences including hurricanes, changes in the quantity of inventory held in tanks, variations due to market structure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8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1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17"/>
        </w:trPr>
        <w:tc>
          <w:tcPr>
            <w:tcW w:w="5080" w:type="dxa"/>
            <w:vAlign w:val="bottom"/>
          </w:tcPr>
          <w:p>
            <w:pPr>
              <w:spacing w:after="0"/>
              <w:rPr>
                <w:sz w:val="10"/>
                <w:szCs w:val="10"/>
                <w:color w:val="auto"/>
              </w:rPr>
            </w:pPr>
          </w:p>
        </w:tc>
        <w:tc>
          <w:tcPr>
            <w:tcW w:w="1840" w:type="dxa"/>
            <w:vAlign w:val="bottom"/>
            <w:gridSpan w:val="3"/>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180" w:type="dxa"/>
            <w:vAlign w:val="bottom"/>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260" w:type="dxa"/>
            <w:vAlign w:val="bottom"/>
          </w:tcPr>
          <w:p>
            <w:pPr>
              <w:spacing w:after="0"/>
              <w:rPr>
                <w:sz w:val="10"/>
                <w:szCs w:val="10"/>
                <w:color w:val="auto"/>
              </w:rPr>
            </w:pPr>
          </w:p>
        </w:tc>
      </w:tr>
      <w:tr>
        <w:trPr>
          <w:trHeight w:val="149"/>
        </w:trPr>
        <w:tc>
          <w:tcPr>
            <w:tcW w:w="5080" w:type="dxa"/>
            <w:vAlign w:val="bottom"/>
          </w:tcPr>
          <w:p>
            <w:pPr>
              <w:spacing w:after="0"/>
              <w:rPr>
                <w:sz w:val="12"/>
                <w:szCs w:val="12"/>
                <w:color w:val="auto"/>
              </w:rPr>
            </w:pPr>
          </w:p>
        </w:tc>
        <w:tc>
          <w:tcPr>
            <w:tcW w:w="18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73"/>
        </w:trPr>
        <w:tc>
          <w:tcPr>
            <w:tcW w:w="5080" w:type="dxa"/>
            <w:vAlign w:val="bottom"/>
          </w:tcPr>
          <w:p>
            <w:pPr>
              <w:spacing w:after="0"/>
              <w:rPr>
                <w:sz w:val="15"/>
                <w:szCs w:val="15"/>
                <w:color w:val="auto"/>
              </w:rPr>
            </w:pPr>
          </w:p>
        </w:tc>
        <w:tc>
          <w:tcPr>
            <w:tcW w:w="18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 31, 2015</w:t>
            </w: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 31, 2015</w:t>
            </w: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Average Daily Volumes (MBbls/d)</w:t>
            </w: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Pipelines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American</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Bakken Area Systems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Basin / Mesa / Sunrise</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945</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BridgeTex</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Cactus</w:t>
            </w:r>
          </w:p>
        </w:tc>
        <w:tc>
          <w:tcPr>
            <w:tcW w:w="1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Capline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Eagle Ford Area Systems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 63 / 2000</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Manito</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Mid-Continent Area Systems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Permian Basin Area Systems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965</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Rainbow</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Rangeland</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Salt Lake City Area Systems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South Saskatchewan</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White Cliffs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Pipelines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Co-Ed</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r>
      <w:tr>
        <w:trPr>
          <w:trHeight w:val="23"/>
        </w:trPr>
        <w:tc>
          <w:tcPr>
            <w:tcW w:w="50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118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bl>
    <w:p>
      <w:pPr>
        <w:sectPr>
          <w:pgSz w:w="11900" w:h="16900" w:orient="portrait"/>
          <w:cols w:equalWidth="0" w:num="1">
            <w:col w:w="11380"/>
          </w:cols>
          <w:pgMar w:left="240" w:top="121" w:right="279" w:bottom="0" w:gutter="0" w:footer="0" w:header="0"/>
          <w:type w:val="continuous"/>
        </w:sectPr>
      </w:pPr>
    </w:p>
    <w:bookmarkStart w:id="3" w:name="page4"/>
    <w:bookmarkEnd w:id="3"/>
    <w:p>
      <w:pPr>
        <w:spacing w:after="0" w:line="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4,320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Trucking</w:t>
            </w: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w:t>
            </w:r>
          </w:p>
        </w:tc>
        <w:tc>
          <w:tcPr>
            <w:tcW w:w="5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Profit per Barrel ($/Bbl)</w:t>
            </w: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Selected Items Impacting Comparability</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0.62</w:t>
            </w:r>
            <w:r>
              <w:rPr>
                <w:rFonts w:ascii="Times New Roman" w:cs="Times New Roman" w:eastAsia="Times New Roman" w:hAnsi="Times New Roman"/>
                <w:sz w:val="11"/>
                <w:szCs w:val="11"/>
                <w:color w:val="auto"/>
              </w:rPr>
              <w:t>(1)</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0.68</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Mid-point of guidance.</w:t>
      </w:r>
    </w:p>
    <w:p>
      <w:pPr>
        <w:spacing w:after="0" w:line="195" w:lineRule="exact"/>
        <w:rPr>
          <w:rFonts w:ascii="Times New Roman" w:cs="Times New Roman" w:eastAsia="Times New Roman" w:hAnsi="Times New Roman"/>
          <w:sz w:val="23"/>
          <w:szCs w:val="23"/>
          <w:color w:val="auto"/>
          <w:vertAlign w:val="superscript"/>
        </w:rPr>
      </w:pPr>
    </w:p>
    <w:p>
      <w:pPr>
        <w:ind w:left="980" w:right="24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Our Facilities segment operations generally consist of fee-based activities associated with providing storage, terminalling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82" w:lineRule="exact"/>
        <w:rPr>
          <w:rFonts w:ascii="Times New Roman" w:cs="Times New Roman" w:eastAsia="Times New Roman" w:hAnsi="Times New Roman"/>
          <w:sz w:val="18"/>
          <w:szCs w:val="18"/>
          <w:color w:val="auto"/>
        </w:rPr>
      </w:pPr>
    </w:p>
    <w:p>
      <w:pPr>
        <w:ind w:left="98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 Adjusted segment profit is forecasted using the volume assumptions in the table below, priced at forecasted rates, less estimated field operating costs and G&amp;A expenses. Field operating costs do not include depreciation.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20" w:type="dxa"/>
            <w:vAlign w:val="bottom"/>
          </w:tcPr>
          <w:p>
            <w:pPr>
              <w:spacing w:after="0"/>
              <w:rPr>
                <w:sz w:val="10"/>
                <w:szCs w:val="10"/>
                <w:color w:val="auto"/>
              </w:rPr>
            </w:pPr>
          </w:p>
        </w:tc>
        <w:tc>
          <w:tcPr>
            <w:tcW w:w="1160" w:type="dxa"/>
            <w:vAlign w:val="bottom"/>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2"/>
                <w:szCs w:val="12"/>
                <w:color w:val="auto"/>
              </w:rPr>
            </w:pPr>
          </w:p>
        </w:tc>
        <w:tc>
          <w:tcPr>
            <w:tcW w:w="14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Mar 31, 2015</w:t>
            </w:r>
          </w:p>
        </w:tc>
        <w:tc>
          <w:tcPr>
            <w:tcW w:w="120" w:type="dxa"/>
            <w:vAlign w:val="bottom"/>
          </w:tcPr>
          <w:p>
            <w:pPr>
              <w:spacing w:after="0"/>
              <w:rPr>
                <w:sz w:val="15"/>
                <w:szCs w:val="15"/>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Data</w:t>
            </w: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Crude Oil, Refined Products, and NGL Terminalling and Storage</w:t>
            </w:r>
          </w:p>
        </w:tc>
        <w:tc>
          <w:tcPr>
            <w:tcW w:w="1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(MMBbls/Mo.)</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Rail Load / Unload Volumes (MBbls/d)</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Natural Gas Storage (Bcf/Mo.)</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NGL Fractionation (MBbls/d)</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Facilities Activities Total</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Avg. Capacity (MMBbls/Mo.)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per Barrel ($/Bbl)</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Excluding Selected Items Impacting Comparability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0.35</w:t>
            </w:r>
            <w:r>
              <w:rPr>
                <w:rFonts w:ascii="Times New Roman" w:cs="Times New Roman" w:eastAsia="Times New Roman" w:hAnsi="Times New Roman"/>
                <w:sz w:val="11"/>
                <w:szCs w:val="11"/>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0.38</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300" w:hanging="320"/>
        <w:spacing w:after="0" w:line="241" w:lineRule="auto"/>
        <w:tabs>
          <w:tab w:leader="none" w:pos="1287" w:val="left"/>
        </w:tabs>
        <w:numPr>
          <w:ilvl w:val="2"/>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69" w:lineRule="exact"/>
        <w:rPr>
          <w:rFonts w:ascii="Times New Roman" w:cs="Times New Roman" w:eastAsia="Times New Roman" w:hAnsi="Times New Roman"/>
          <w:sz w:val="23"/>
          <w:szCs w:val="23"/>
          <w:color w:val="auto"/>
          <w:vertAlign w:val="superscript"/>
        </w:rPr>
      </w:pPr>
    </w:p>
    <w:p>
      <w:pPr>
        <w:ind w:left="1300" w:hanging="320"/>
        <w:spacing w:after="0"/>
        <w:tabs>
          <w:tab w:leader="none" w:pos="1300" w:val="left"/>
        </w:tabs>
        <w:numPr>
          <w:ilvl w:val="2"/>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Mid-point of guidance.</w:t>
      </w:r>
    </w:p>
    <w:p>
      <w:pPr>
        <w:spacing w:after="0" w:line="195"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7"/>
          <w:szCs w:val="17"/>
          <w:i w:val="1"/>
          <w:iCs w:val="1"/>
          <w:color w:val="auto"/>
        </w:rPr>
        <w:t>Supply and Logistics</w:t>
      </w:r>
      <w:r>
        <w:rPr>
          <w:rFonts w:ascii="Times New Roman" w:cs="Times New Roman" w:eastAsia="Times New Roman" w:hAnsi="Times New Roman"/>
          <w:sz w:val="17"/>
          <w:szCs w:val="17"/>
          <w:color w:val="auto"/>
        </w:rPr>
        <w:t>. Our Supply and Logistics segment operations generally consist of the following merchant-related activities:</w:t>
      </w:r>
    </w:p>
    <w:p>
      <w:pPr>
        <w:spacing w:after="0" w:line="227" w:lineRule="exact"/>
        <w:rPr>
          <w:rFonts w:ascii="Times New Roman" w:cs="Times New Roman" w:eastAsia="Times New Roman" w:hAnsi="Times New Roman"/>
          <w:sz w:val="23"/>
          <w:szCs w:val="23"/>
          <w:color w:val="auto"/>
          <w:vertAlign w:val="superscript"/>
        </w:rPr>
      </w:pPr>
    </w:p>
    <w:p>
      <w:pPr>
        <w:ind w:left="1220" w:right="320" w:hanging="321"/>
        <w:spacing w:after="0" w:line="282" w:lineRule="auto"/>
        <w:tabs>
          <w:tab w:leader="none" w:pos="11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61"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storage of inventory during contango market conditions and the seasonal storage of NGL and natural gas;</w:t>
      </w:r>
    </w:p>
    <w:p>
      <w:pPr>
        <w:spacing w:after="0" w:line="225"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NGL from producers, refiners, processors and other marketers;</w:t>
      </w:r>
    </w:p>
    <w:p>
      <w:pPr>
        <w:spacing w:after="0" w:line="225"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or exchange of crude oil and NGL at various points along the distribution chain to refiners or other resellers;</w:t>
      </w:r>
    </w:p>
    <w:p>
      <w:pPr>
        <w:spacing w:after="0" w:line="225" w:lineRule="exact"/>
        <w:rPr>
          <w:rFonts w:ascii="Times New Roman" w:cs="Times New Roman" w:eastAsia="Times New Roman" w:hAnsi="Times New Roman"/>
          <w:sz w:val="18"/>
          <w:szCs w:val="18"/>
          <w:color w:val="auto"/>
        </w:rPr>
      </w:pPr>
    </w:p>
    <w:p>
      <w:pPr>
        <w:ind w:left="1220" w:right="260" w:hanging="321"/>
        <w:spacing w:after="0" w:line="282" w:lineRule="auto"/>
        <w:tabs>
          <w:tab w:leader="none" w:pos="11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61"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of natural gas.</w:t>
      </w:r>
    </w:p>
    <w:p>
      <w:pPr>
        <w:spacing w:after="0" w:line="22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March 31, 2015 and for the twelve-month period ending December 31, 2015 reflect current and anticipated market structure as well as seasonal, weather-related and other anticipated variations in crude oil, NGL and natural gas sales. Variations in weather, market structure or volatility could cause actual results to differ materially from forecasted results.</w:t>
      </w:r>
    </w:p>
    <w:p>
      <w:pPr>
        <w:sectPr>
          <w:pgSz w:w="11900" w:h="16843" w:orient="portrait"/>
          <w:cols w:equalWidth="0" w:num="1">
            <w:col w:w="11400"/>
          </w:cols>
          <w:pgMar w:left="240" w:top="140" w:right="259" w:bottom="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43" w:orient="portrait"/>
          <w:cols w:equalWidth="0" w:num="1">
            <w:col w:w="11400"/>
          </w:cols>
          <w:pgMar w:left="240" w:top="140" w:right="259" w:bottom="0" w:gutter="0" w:footer="0" w:header="0"/>
          <w:type w:val="continuous"/>
        </w:sectPr>
      </w:pPr>
    </w:p>
    <w:bookmarkStart w:id="4" w:name="page5"/>
    <w:bookmarkEnd w:id="4"/>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forecast adjusted segment profit using the volume assumptions stated below, as well as estimates of unit margins, field operating costs, G&amp;A expenses and carrying costs for hedged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spacing w:after="0" w:line="181" w:lineRule="exact"/>
        <w:rPr>
          <w:sz w:val="20"/>
          <w:szCs w:val="20"/>
          <w:color w:val="auto"/>
        </w:rPr>
      </w:pPr>
    </w:p>
    <w:tbl>
      <w:tblPr>
        <w:tblLayout w:type="fixed"/>
        <w:tblInd w:w="16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11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 31, 2015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Average Daily Volumes (MBbls/d)</w:t>
            </w: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NGL Sales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Segment Profit per Barrel ($/Bbl)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Excluding Selected Items Impacting Comparability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w:t>
            </w:r>
            <w:r>
              <w:rPr>
                <w:rFonts w:ascii="Times New Roman" w:cs="Times New Roman" w:eastAsia="Times New Roman" w:hAnsi="Times New Roman"/>
                <w:sz w:val="11"/>
                <w:szCs w:val="11"/>
                <w:color w:val="auto"/>
              </w:rPr>
              <w:t>(1)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Mid-point of guidance.</w:t>
      </w:r>
    </w:p>
    <w:p>
      <w:pPr>
        <w:spacing w:after="0" w:line="195" w:lineRule="exact"/>
        <w:rPr>
          <w:rFonts w:ascii="Times New Roman" w:cs="Times New Roman" w:eastAsia="Times New Roman" w:hAnsi="Times New Roman"/>
          <w:sz w:val="23"/>
          <w:szCs w:val="23"/>
          <w:color w:val="auto"/>
          <w:vertAlign w:val="superscript"/>
        </w:rPr>
      </w:pPr>
    </w:p>
    <w:p>
      <w:pPr>
        <w:ind w:left="340" w:right="80" w:hanging="332"/>
        <w:spacing w:after="0" w:line="26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We forecast depreciation and amortization based on our existing depreciable assets, forecasted capital expenditures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projected in-service dates. Depreciation may also vary due to gains and losses on intermittent sales of assets, asset retirement obligations, asset impairments, acceleration of depreciation or foreign exchange rates.</w:t>
      </w:r>
    </w:p>
    <w:p>
      <w:pPr>
        <w:spacing w:after="0" w:line="173" w:lineRule="exact"/>
        <w:rPr>
          <w:rFonts w:ascii="Times New Roman" w:cs="Times New Roman" w:eastAsia="Times New Roman" w:hAnsi="Times New Roman"/>
          <w:sz w:val="18"/>
          <w:szCs w:val="18"/>
          <w:color w:val="auto"/>
        </w:rPr>
      </w:pPr>
    </w:p>
    <w:p>
      <w:pPr>
        <w:ind w:left="340" w:right="6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and Acquisitions. </w:t>
      </w:r>
      <w:r>
        <w:rPr>
          <w:rFonts w:ascii="Times New Roman" w:cs="Times New Roman" w:eastAsia="Times New Roman" w:hAnsi="Times New Roman"/>
          <w:sz w:val="18"/>
          <w:szCs w:val="18"/>
          <w:color w:val="auto"/>
        </w:rPr>
        <w:t>Although acquisitions constitute a key element of our growth strategy, the forecasted results and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do not include any forecasts for acquisitions that we may commit to after the date hereof. We forecast capital expenditures during the calendar year of 2015 to be approximately $1.85 billion for expansion projects with an additional $205 to $225 million for maintenance capital projects. The following are some of the more notable projects and forecasted expenditures for the year ending December 31, 2015:</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Calendar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Expansion Capital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Permian Basin Area Projects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Ft. Sask Facility Projects / NGL Line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 Rail Terminal Projects </w:t>
            </w:r>
            <w:r>
              <w:rPr>
                <w:rFonts w:ascii="Times New Roman" w:cs="Times New Roman" w:eastAsia="Times New Roman" w:hAnsi="Times New Roman"/>
                <w:sz w:val="23"/>
                <w:szCs w:val="23"/>
                <w:color w:val="auto"/>
                <w:vertAlign w:val="superscript"/>
              </w:rPr>
              <w:t>(1)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Diamond Pipeline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Cactus Pipeline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Eagle Ford JV Project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Red River Pipeline (Cushing to Longview)</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Cowboy Pipeline (Cheyenne to Carr)</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Eagle Ford Area Projects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Line 63 Reactivation</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Cushing Terminal Expansions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Projects</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Potential Adjustments for Timing / Scope Refinement </w:t>
            </w:r>
            <w:r>
              <w:rPr>
                <w:rFonts w:ascii="Times New Roman" w:cs="Times New Roman" w:eastAsia="Times New Roman" w:hAnsi="Times New Roman"/>
                <w:sz w:val="23"/>
                <w:szCs w:val="23"/>
                <w:color w:val="auto"/>
                <w:vertAlign w:val="superscript"/>
              </w:rPr>
              <w:t>(2)</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$100 + $100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Projected Expansion Capital Expenditures</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$1,750 - $1,950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$205 - $225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9"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railcar purchases and projects located in or near St. James, LA and Kerrobert, Canada.</w:t>
      </w:r>
    </w:p>
    <w:p>
      <w:pPr>
        <w:spacing w:after="0" w:line="167" w:lineRule="exact"/>
        <w:rPr>
          <w:rFonts w:ascii="Times New Roman" w:cs="Times New Roman" w:eastAsia="Times New Roman" w:hAnsi="Times New Roman"/>
          <w:sz w:val="23"/>
          <w:szCs w:val="23"/>
          <w:color w:val="auto"/>
          <w:vertAlign w:val="superscript"/>
        </w:rPr>
      </w:pPr>
    </w:p>
    <w:p>
      <w:pPr>
        <w:ind w:left="1300" w:hanging="320"/>
        <w:spacing w:after="0"/>
        <w:tabs>
          <w:tab w:leader="none" w:pos="13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Potential variation to current capital costs estimates may result from (i) changes to project design, (ii) final cost of materials and labor and</w:t>
      </w:r>
    </w:p>
    <w:p>
      <w:pPr>
        <w:spacing w:after="0" w:line="1" w:lineRule="exact"/>
        <w:rPr>
          <w:rFonts w:ascii="Times New Roman" w:cs="Times New Roman" w:eastAsia="Times New Roman" w:hAnsi="Times New Roman"/>
          <w:sz w:val="23"/>
          <w:szCs w:val="23"/>
          <w:color w:val="auto"/>
          <w:vertAlign w:val="superscript"/>
        </w:rPr>
      </w:pPr>
    </w:p>
    <w:p>
      <w:pPr>
        <w:ind w:left="1620" w:hanging="315"/>
        <w:spacing w:after="0"/>
        <w:tabs>
          <w:tab w:leader="none" w:pos="1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incurrence of costs due to uncontrollable factors such as permits, regulatory approvals and weather.</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right="180" w:hanging="332"/>
        <w:spacing w:after="0" w:line="28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Structure. </w:t>
      </w:r>
      <w:r>
        <w:rPr>
          <w:rFonts w:ascii="Times New Roman" w:cs="Times New Roman" w:eastAsia="Times New Roman" w:hAnsi="Times New Roman"/>
          <w:sz w:val="18"/>
          <w:szCs w:val="18"/>
          <w:color w:val="auto"/>
        </w:rPr>
        <w:t>This guidance is based on our capital structure as of December 31, 2014 and adjusted for estimated equity issuances and senior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to fund our capital program.</w:t>
      </w:r>
    </w:p>
    <w:p>
      <w:pPr>
        <w:spacing w:after="0" w:line="158" w:lineRule="exact"/>
        <w:rPr>
          <w:rFonts w:ascii="Times New Roman" w:cs="Times New Roman" w:eastAsia="Times New Roman" w:hAnsi="Times New Roman"/>
          <w:sz w:val="18"/>
          <w:szCs w:val="18"/>
          <w:color w:val="auto"/>
        </w:rPr>
      </w:pPr>
    </w:p>
    <w:p>
      <w:pPr>
        <w:ind w:left="340" w:hanging="332"/>
        <w:spacing w:after="0" w:line="26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Debt balances are projected based on estimated cash flows, estimated distribution rates, estimated capital expenditures for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expansion projects, anticipated equity proceeds, expected timing of collections and payments and forecasted levels of inventory and other working capital sources and uses. Interest rate assumptions for variable-rate debt are based on the LIBOR curve as of late January 2015.</w:t>
      </w:r>
    </w:p>
    <w:p>
      <w:pPr>
        <w:spacing w:after="0" w:line="175" w:lineRule="exact"/>
        <w:rPr>
          <w:rFonts w:ascii="Times New Roman" w:cs="Times New Roman" w:eastAsia="Times New Roman" w:hAnsi="Times New Roman"/>
          <w:sz w:val="18"/>
          <w:szCs w:val="18"/>
          <w:color w:val="auto"/>
        </w:rPr>
      </w:pPr>
    </w:p>
    <w:p>
      <w:pPr>
        <w:ind w:left="34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is net of amounts capitalized for expansion capital projects and does not include interest on borrowings for hedged inventory. We treat interest on hedged inventory borrowings as carrying costs of crude oil, NGL, and natural gas and include it in purchases and related costs. Interest expense includes an assumed fixed rate senior note offering in 2015.</w:t>
      </w:r>
    </w:p>
    <w:p>
      <w:pPr>
        <w:sectPr>
          <w:pgSz w:w="11900" w:h="16838" w:orient="portrait"/>
          <w:cols w:equalWidth="0" w:num="1">
            <w:col w:w="11340"/>
          </w:cols>
          <w:pgMar w:left="240" w:top="729" w:right="319" w:bottom="68" w:gutter="0" w:footer="0" w:header="0"/>
        </w:sectPr>
      </w:pPr>
    </w:p>
    <w:bookmarkStart w:id="5" w:name="page6"/>
    <w:bookmarkEnd w:id="5"/>
    <w:p>
      <w:pPr>
        <w:ind w:left="340" w:hanging="314"/>
        <w:spacing w:after="0"/>
        <w:tabs>
          <w:tab w:leader="none" w:pos="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expect our Canadian income tax expense to be approximately $37 million and $94 million for the three-month period ending</w:t>
      </w:r>
    </w:p>
    <w:p>
      <w:pPr>
        <w:spacing w:after="0" w:line="29" w:lineRule="exact"/>
        <w:rPr>
          <w:rFonts w:ascii="Times New Roman" w:cs="Times New Roman" w:eastAsia="Times New Roman" w:hAnsi="Times New Roman"/>
          <w:sz w:val="18"/>
          <w:szCs w:val="18"/>
          <w:color w:val="auto"/>
        </w:rPr>
      </w:pPr>
    </w:p>
    <w:p>
      <w:pPr>
        <w:ind w:left="34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2015 and twelve-month period ending December 31, 2015, respectively, of which approximately $31 million and $81 million, respectively, is classified as a current income tax expense. For the twelve-month period ending December 31, 2015 we expect to have deferred tax expense of $13 million. All or part of the annual income tax expense of $94 million may result in a tax credit to our equity holders.</w:t>
      </w:r>
    </w:p>
    <w:p>
      <w:pPr>
        <w:spacing w:after="0" w:line="184"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Equity-Indexed Compensation Plans. </w:t>
      </w:r>
      <w:r>
        <w:rPr>
          <w:rFonts w:ascii="Times New Roman" w:cs="Times New Roman" w:eastAsia="Times New Roman" w:hAnsi="Times New Roman"/>
          <w:sz w:val="18"/>
          <w:szCs w:val="18"/>
          <w:color w:val="auto"/>
        </w:rPr>
        <w:t>The majority of grants outstanding under our various equity-indexed compensation plans contain vesting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February 3, 2015, estimated vesting dates range from February 2015 to August 2019 and annualized benchmark distribution levels range from $2.075 to $3.20.</w:t>
      </w:r>
    </w:p>
    <w:p>
      <w:pPr>
        <w:spacing w:after="0" w:line="182" w:lineRule="exact"/>
        <w:rPr>
          <w:rFonts w:ascii="Times New Roman" w:cs="Times New Roman" w:eastAsia="Times New Roman" w:hAnsi="Times New Roman"/>
          <w:sz w:val="18"/>
          <w:szCs w:val="18"/>
          <w:color w:val="auto"/>
        </w:rPr>
      </w:pPr>
    </w:p>
    <w:p>
      <w:pPr>
        <w:ind w:left="34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8, 2015, we declared an annualized distribution of $2.70 payable on February 13, 2015 to our unitholders of record as of January 30, 2015. For the purposes of guidance, we have made the assessment that an annualized $2.90 distribution level is probable of occurring, and accordingly, guidance includes an accrual over the applicable service period at an assumed market price of $50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our then current probability assessment regarding distributions, and (iv) new equity-indexed compensation award grants, including the timing of such grant issuances. For example, a $2 change in the unit price would change the first-quarter equity-indexed compensation expense by approximately $5 million and the full year equity-indexed compensation expense by approximately $6 million. Therefore, actual net income could differ from our projections.</w:t>
      </w:r>
    </w:p>
    <w:p>
      <w:pPr>
        <w:spacing w:after="0" w:line="183" w:lineRule="exact"/>
        <w:rPr>
          <w:rFonts w:ascii="Times New Roman" w:cs="Times New Roman" w:eastAsia="Times New Roman" w:hAnsi="Times New Roman"/>
          <w:sz w:val="18"/>
          <w:szCs w:val="18"/>
          <w:color w:val="auto"/>
        </w:rPr>
      </w:pPr>
    </w:p>
    <w:p>
      <w:pPr>
        <w:ind w:left="340" w:right="280" w:hanging="332"/>
        <w:spacing w:after="0" w:line="284"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Reconciliation of Net Income to EBITDA and Adjusted EBITDA. </w:t>
      </w:r>
      <w:r>
        <w:rPr>
          <w:rFonts w:ascii="Times New Roman" w:cs="Times New Roman" w:eastAsia="Times New Roman" w:hAnsi="Times New Roman"/>
          <w:sz w:val="18"/>
          <w:szCs w:val="18"/>
          <w:color w:val="auto"/>
        </w:rPr>
        <w:t>The following table reconciles net income to EBITDA and Adjusted EBITDA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three-month period ending March 31, 2015 and the twelve-month period ending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4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3 Months Ending</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 Months Ending</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Mar 31, 2015</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 31, 2015</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80" w:type="dxa"/>
            <w:vAlign w:val="bottom"/>
          </w:tcPr>
          <w:p>
            <w:pPr>
              <w:spacing w:after="0"/>
              <w:rPr>
                <w:sz w:val="12"/>
                <w:szCs w:val="12"/>
                <w:color w:val="auto"/>
              </w:rPr>
            </w:pPr>
          </w:p>
        </w:tc>
        <w:tc>
          <w:tcPr>
            <w:tcW w:w="88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to EBITDA and Adjusted EBITDA</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287</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39</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EBITDA</w:t>
            </w:r>
          </w:p>
        </w:tc>
        <w:tc>
          <w:tcPr>
            <w:tcW w:w="5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538</w:t>
            </w:r>
          </w:p>
        </w:tc>
        <w:tc>
          <w:tcPr>
            <w:tcW w:w="3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Selected Items Impacting Comparability of EBITDA</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12</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550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40" w:right="100" w:hanging="332"/>
        <w:spacing w:after="0" w:line="284"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Implied DCF. </w:t>
      </w:r>
      <w:r>
        <w:rPr>
          <w:rFonts w:ascii="Times New Roman" w:cs="Times New Roman" w:eastAsia="Times New Roman" w:hAnsi="Times New Roman"/>
          <w:sz w:val="18"/>
          <w:szCs w:val="18"/>
          <w:color w:val="auto"/>
        </w:rPr>
        <w:t>The following table reconciles adjusted EBITDA to implied DCF for the three-month period ending March 31, 2015 and the twelve-month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ending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Mid-Point Guidance</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 31, 2015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 31, 2015</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2,350</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Implied DCF</w:t>
            </w:r>
          </w:p>
        </w:tc>
        <w:tc>
          <w:tcPr>
            <w:tcW w:w="1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Associated Risks</w:t>
      </w:r>
    </w:p>
    <w:p>
      <w:pPr>
        <w:spacing w:after="0" w:line="229" w:lineRule="exact"/>
        <w:rPr>
          <w:sz w:val="20"/>
          <w:szCs w:val="20"/>
          <w:color w:val="auto"/>
        </w:rPr>
      </w:pPr>
    </w:p>
    <w:p>
      <w:pPr>
        <w:ind w:right="80" w:firstLine="285"/>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growth projects;</w:t>
      </w:r>
    </w:p>
    <w:p>
      <w:pPr>
        <w:spacing w:after="0" w:line="22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ectPr>
          <w:pgSz w:w="11900" w:h="16838" w:orient="portrait"/>
          <w:cols w:equalWidth="0" w:num="1">
            <w:col w:w="11460"/>
          </w:cols>
          <w:pgMar w:left="240" w:top="119" w:right="199" w:bottom="0" w:gutter="0" w:footer="0" w:header="0"/>
        </w:sectPr>
      </w:pPr>
    </w:p>
    <w:bookmarkStart w:id="6" w:name="page7"/>
    <w:bookmarkEnd w:id="6"/>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25"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225"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22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25"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facilities, including our ability to satisfy our contractual obligations to our customers at our facilities;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225"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61"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40" w:firstLine="28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32"/>
        </w:trPr>
        <w:tc>
          <w:tcPr>
            <w:tcW w:w="3700" w:type="dxa"/>
            <w:vAlign w:val="bottom"/>
          </w:tcPr>
          <w:p>
            <w:pPr>
              <w:spacing w:after="0"/>
              <w:rPr>
                <w:sz w:val="24"/>
                <w:szCs w:val="24"/>
                <w:color w:val="auto"/>
              </w:rPr>
            </w:pPr>
          </w:p>
        </w:tc>
        <w:tc>
          <w:tcPr>
            <w:tcW w:w="25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3700" w:type="dxa"/>
            <w:vAlign w:val="bottom"/>
          </w:tcPr>
          <w:p>
            <w:pPr>
              <w:spacing w:after="0"/>
              <w:rPr>
                <w:sz w:val="24"/>
                <w:szCs w:val="24"/>
                <w:color w:val="auto"/>
              </w:rPr>
            </w:pPr>
          </w:p>
        </w:tc>
        <w:tc>
          <w:tcPr>
            <w:tcW w:w="25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AAP, L. P., its sole member</w:t>
            </w:r>
          </w:p>
        </w:tc>
      </w:tr>
      <w:tr>
        <w:trPr>
          <w:trHeight w:val="432"/>
        </w:trPr>
        <w:tc>
          <w:tcPr>
            <w:tcW w:w="3700" w:type="dxa"/>
            <w:vAlign w:val="bottom"/>
          </w:tcPr>
          <w:p>
            <w:pPr>
              <w:spacing w:after="0"/>
              <w:rPr>
                <w:sz w:val="24"/>
                <w:szCs w:val="24"/>
                <w:color w:val="auto"/>
              </w:rPr>
            </w:pPr>
          </w:p>
        </w:tc>
        <w:tc>
          <w:tcPr>
            <w:tcW w:w="25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2015</w:t>
            </w:r>
          </w:p>
        </w:tc>
        <w:tc>
          <w:tcPr>
            <w:tcW w:w="25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Sharon Spurlin</w:t>
            </w:r>
          </w:p>
        </w:tc>
      </w:tr>
      <w:tr>
        <w:trPr>
          <w:trHeight w:val="189"/>
        </w:trPr>
        <w:tc>
          <w:tcPr>
            <w:tcW w:w="3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Vice President and Treasurer</w:t>
            </w:r>
          </w:p>
        </w:tc>
      </w:tr>
    </w:tbl>
    <w:p>
      <w:pPr>
        <w:sectPr>
          <w:pgSz w:w="11900" w:h="16838"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148590</wp:posOffset>
            </wp:positionV>
            <wp:extent cx="6346190" cy="866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619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Plains GP Holdings Report Fourth-Quarter and Full-Year 2014 Results</w:t>
      </w:r>
    </w:p>
    <w:p>
      <w:pPr>
        <w:spacing w:after="0" w:line="216" w:lineRule="exact"/>
        <w:rPr>
          <w:sz w:val="20"/>
          <w:szCs w:val="20"/>
          <w:color w:val="auto"/>
        </w:rPr>
      </w:pPr>
    </w:p>
    <w:p>
      <w:pPr>
        <w:ind w:right="300" w:firstLine="702"/>
        <w:spacing w:after="0" w:line="282" w:lineRule="auto"/>
        <w:rPr>
          <w:sz w:val="20"/>
          <w:szCs w:val="20"/>
          <w:color w:val="auto"/>
        </w:rPr>
      </w:pPr>
      <w:r>
        <w:rPr>
          <w:rFonts w:ascii="Times New Roman" w:cs="Times New Roman" w:eastAsia="Times New Roman" w:hAnsi="Times New Roman"/>
          <w:sz w:val="18"/>
          <w:szCs w:val="18"/>
          <w:color w:val="auto"/>
        </w:rPr>
        <w:t>(Houston — February 4, 2015) Plains All American Pipeline, L.P. (NYSE: PAA) and Plains GP Holdings (NYSE: PAGP) today reported fourth-quarter and full-year 2014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0.67</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4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c>
          <w:tcPr>
            <w:tcW w:w="4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2,289</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adjusted net income per limited partner</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unit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unit declared for the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0.6750</w:t>
            </w:r>
          </w:p>
        </w:tc>
        <w:tc>
          <w:tcPr>
            <w:tcW w:w="4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0.6150</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left="660" w:right="200" w:hanging="652"/>
        <w:spacing w:after="0" w:line="241"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18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“2014 represents another year of solid execution for PAA, as we delivered results in line with to slightly ahead of the midpoint of our guidance for both the fourth quarter and full year, excluding the impact of a fourth quarter acquisition,” stated Greg L. Armstrong, Chairman and CEO of Plains All American. “These results were underpinned by solid performance in our Transportation and Supply and Logistics segments.”</w:t>
      </w:r>
    </w:p>
    <w:p>
      <w:pPr>
        <w:spacing w:after="0" w:line="16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Armstrong noted that following PAA’s November earnings conference call, crude oil and natural gas liquids prices decreased approximately 40%, which resulted in significant reductions in the outlook for producer drilling activities in 2015 — in many cases ranging from 30% to 40% below 2014 levels.</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“PAA is well positioned to manage through industry down cycles; however, we are not immune to the adverse impacts of a major step change in commodity prices that is accompanied by a similar change in producers’ activity levels. Accordingly, we have reduced the midpoint of our acquisition adjusted EBITDA guidance for 2015 by 6.5%, from just over $2.5 billion, as furnished on November 5th, to $2.35 billion and revised our distribution growth target for 2015. We are currently targeting distribution growth for PAA of 7% for 2015, which would equate to a distribution increase for PAGP of approximately 21%.”</w:t>
      </w:r>
    </w:p>
    <w:p>
      <w:pPr>
        <w:spacing w:after="0" w:line="17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Armstrong stated that the updated guidance midpoint represented an increase of approximately 7% over 2014 results and is based on 2015 WTI oil prices hovering around $50 per barrel for all of 2015 and the expectation that producer drilling activities will be materially reduced relative to 2014. WTI prices averaged approximately $93 per barrel in 2014.</w:t>
      </w:r>
    </w:p>
    <w:p>
      <w:pPr>
        <w:spacing w:after="0" w:line="16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“While the duration of the current down-cycle is unknown, our confidence in the North American crude oil resource base and its ultimate development remains high. As we look ahead, PAA remains well positioned to continue to grow and strengthen its business through organic growth projects and also to actively pursue attractive acquisition opportunities. For 2015, we are targeting an expansion capital plan of $1.85 billion, down approximately 9% from the $2.03 billion spent in 2014. Importantly, PAA enters 2015 with a strong balance sheet, credit metrics that are consistent with or favorable to our targeted levels and $3.6 billion of committed liquidity.”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553"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selected PAA financial information by segment for the fourth quarter and full year of 2014: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6"/>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6"/>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40" w:type="dxa"/>
            <w:vAlign w:val="bottom"/>
          </w:tcPr>
          <w:p>
            <w:pPr>
              <w:spacing w:after="0"/>
              <w:rPr>
                <w:sz w:val="10"/>
                <w:szCs w:val="10"/>
                <w:color w:val="auto"/>
              </w:rPr>
            </w:pPr>
          </w:p>
        </w:tc>
        <w:tc>
          <w:tcPr>
            <w:tcW w:w="900" w:type="dxa"/>
            <w:vAlign w:val="bottom"/>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Selected items impacting the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comparability of segment profit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270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151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i w:val="1"/>
                <w:iCs w:val="1"/>
                <w:color w:val="auto"/>
              </w:rPr>
              <w:t>173</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214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169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adjusted</w:t>
            </w:r>
          </w:p>
        </w:tc>
        <w:tc>
          <w:tcPr>
            <w:tcW w:w="16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26%</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-11%</w:t>
            </w:r>
          </w:p>
        </w:tc>
        <w:tc>
          <w:tcPr>
            <w:tcW w:w="14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i w:val="1"/>
                <w:iCs w:val="1"/>
                <w:color w:val="auto"/>
              </w:rPr>
              <w:t>-17%</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segment profit versus 2013 period</w:t>
            </w: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40" w:type="dxa"/>
            <w:vAlign w:val="bottom"/>
          </w:tcPr>
          <w:p>
            <w:pPr>
              <w:spacing w:after="0"/>
              <w:rPr>
                <w:sz w:val="10"/>
                <w:szCs w:val="10"/>
                <w:color w:val="auto"/>
              </w:rPr>
            </w:pPr>
          </w:p>
        </w:tc>
        <w:tc>
          <w:tcPr>
            <w:tcW w:w="900" w:type="dxa"/>
            <w:vAlign w:val="bottom"/>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Selected items impacting the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comparability of segment profit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950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597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i w:val="1"/>
                <w:iCs w:val="1"/>
                <w:color w:val="auto"/>
              </w:rPr>
              <w:t>651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760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629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adjusted</w:t>
            </w:r>
          </w:p>
        </w:tc>
        <w:tc>
          <w:tcPr>
            <w:tcW w:w="16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25%</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-5%</w:t>
            </w:r>
          </w:p>
        </w:tc>
        <w:tc>
          <w:tcPr>
            <w:tcW w:w="14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i w:val="1"/>
                <w:iCs w:val="1"/>
                <w:color w:val="auto"/>
              </w:rPr>
              <w:t>-27%</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segment profit versus 2013 period</w:t>
            </w: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9"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20" w:right="200" w:hanging="25"/>
        <w:spacing w:after="0" w:line="261" w:lineRule="auto"/>
        <w:rPr>
          <w:sz w:val="20"/>
          <w:szCs w:val="20"/>
          <w:color w:val="auto"/>
        </w:rPr>
      </w:pPr>
      <w:r>
        <w:rPr>
          <w:rFonts w:ascii="Times New Roman" w:cs="Times New Roman" w:eastAsia="Times New Roman" w:hAnsi="Times New Roman"/>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200" w:lineRule="exact"/>
        <w:rPr>
          <w:sz w:val="20"/>
          <w:szCs w:val="20"/>
          <w:color w:val="auto"/>
        </w:rPr>
      </w:pPr>
    </w:p>
    <w:p>
      <w:pPr>
        <w:sectPr>
          <w:pgSz w:w="11900" w:h="16838" w:orient="portrait"/>
          <w:cols w:equalWidth="0" w:num="2">
            <w:col w:w="140" w:space="500"/>
            <w:col w:w="10780"/>
          </w:cols>
          <w:pgMar w:left="240" w:top="121" w:right="239" w:bottom="9" w:gutter="0" w:footer="0" w:header="0"/>
          <w:type w:val="continuous"/>
        </w:sectPr>
      </w:pPr>
    </w:p>
    <w:p>
      <w:pPr>
        <w:spacing w:after="0" w:line="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Fourth-quarter 2014 Transportation adjusted segment profit increased 26% versus comparable 2013 results. This increase was primarily driven by higher crude oil pipeline volumes associated with North American crude oil production and recently completed organic growth projects, increased tariff rates on certain of our crude oil pipelines and the acquisition of a 50% interest in the BridgeTex pipeline completed in November 2014.</w:t>
      </w:r>
    </w:p>
    <w:p>
      <w:pPr>
        <w:spacing w:after="0" w:line="17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Fourth-quarter 2014 Facilities adjusted segment profit decreased 11% versus comparable 2013 results. This decrease was primarily due to the impact of recontracting capacity originally contracted at higher rates within our natural gas storage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Fourth-quarter 2014 Supply and Logistics adjusted segment profit decreased by approximately 17% relative to comparable 2013 results. This decrease was primarily related to less favorable NGL and crude oil market conditions in the fourth quarter of 2014 compared to the same 2013 period. These impacts were partially offset by growth in crude oil lease gathering volumes.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included at the end of this release. Information regarding PAGP’s distributions is reflected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Q4 2014</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Q3 2014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Q4 2013</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(non-prorated)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share declared for the period</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0.20300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0.19075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0.15979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Q4 2014 distribution percentage growth over previous benchmarks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880" w:type="dxa"/>
            <w:vAlign w:val="bottom"/>
            <w:tcBorders>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9" w:gutter="0" w:footer="0" w:header="0"/>
          <w:type w:val="continuous"/>
        </w:sectPr>
      </w:pPr>
    </w:p>
    <w:bookmarkStart w:id="10" w:name="page11"/>
    <w:bookmarkEnd w:id="10"/>
    <w:p>
      <w:pPr>
        <w:ind w:left="660" w:right="260" w:hanging="652"/>
        <w:spacing w:after="0" w:line="229" w:lineRule="auto"/>
        <w:tabs>
          <w:tab w:leader="none" w:pos="634"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 full fourth quarter 2013 distribution per Class A share (before proration), assuming PAGP’s ownership interest in PAA’s general partner was for the full fourth quarter of 2013.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PAA and PAGP will hold a conference call on February 5, 2015 (see details below). Prior to this conference call, PAA will furnish a current report on Form 8-K, which will include material in this news release as well as PAA’s financial and operational guidance for the first quarter and full year of 2015. A copy of the Form 8-K will be available at www.plainsallamerican.com, where PAA and PAGP routinely post important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PAA and PAGP conference call will be held at 10:00 a.m. EST on Thursday, February 5, 2015 to discuss the following items:</w:t>
      </w:r>
    </w:p>
    <w:p>
      <w:pPr>
        <w:spacing w:after="0" w:line="225"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fourth-quarter and full-year 2014 performance;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major expansion projects;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liquidity;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guidance for the first quarter and full year of 2015;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and PAGP’s outlook for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Access Instructions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To access the Internet webcast of the conference call, please go to www.plainsallamerican.com, choose “Investor Relations,” and then choose “Events and Presentations.” Following the live webcast, the call will be archived for a period of sixty (60) days on the website.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Alternatively, access to the live conference call is available by dialing toll free (800) 230-1085. International callers should dial (612) 288-0340. No password is required. The slide presentation accompanying the conference call will be available a few minutes prior to the call under the “Events and Presentations” tab of the PAA and PAGP Investor Relations sections of the above referenced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Telephonic Replay Instructions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To listen to a telephonic replay of the conference call, please dial (800) 475-6701, or (320) 365-3844 for international callers, and enter replay access code 349000. The replay will be available beginning Thursday, February 5, 2015, at approximately 12:00 p.m. EST and will continue until 11:59 p.m. EST on March 5,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inventory valuation adjustments, (iv) items that are not indicative of our core operating results and business outlook and/or (v)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9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Annual Report on Form 10-K.</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“Plains All American Pipeline, L.P.” under the “Investor Relations” link on the home page, select the “Guidance &amp; Non-GAAP Reconciliations” link and navigate to the “Non-GAAP Reconciliations” tab.</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256" w:gutter="0" w:footer="0" w:header="0"/>
        </w:sectPr>
      </w:pPr>
    </w:p>
    <w:bookmarkStart w:id="11" w:name="page12"/>
    <w:bookmarkEnd w:id="11"/>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failure to implement or capitalize, or delays in implementing or capitalizing, on planned growth projects;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effects of competition;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weather interference with business operations or project construction, including the impact of extreme weather events or conditions; continued creditworthiness of, and performance by, our counterparties, including financial institutions and trading companies with which we do business; maintenance of our credit rating and ability to receive open credit from our suppliers and trade counterparties;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non-utilization of our assets and facilities; increased costs, or lack of 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4.1 million barrels per day of crude oil and NGL on its pipelines. PAA is headquartered in Houston, Texas.</w:t>
      </w:r>
    </w:p>
    <w:p>
      <w:pPr>
        <w:spacing w:after="0" w:line="18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7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36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9,459</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10,631</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43,464</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8,384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39,500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1,456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8,929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580" w:right="23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1,791</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700" w:type="dxa"/>
            <w:vAlign w:val="bottom"/>
          </w:tcPr>
          <w:p>
            <w:pPr>
              <w:spacing w:after="0"/>
              <w:rPr>
                <w:sz w:val="22"/>
                <w:szCs w:val="22"/>
                <w:color w:val="auto"/>
              </w:rPr>
            </w:pPr>
          </w:p>
        </w:tc>
        <w:tc>
          <w:tcPr>
            <w:tcW w:w="1320" w:type="dxa"/>
            <w:vAlign w:val="bottom"/>
            <w:gridSpan w:val="2"/>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900" w:type="dxa"/>
            <w:vAlign w:val="bottom"/>
            <w:gridSpan w:val="2"/>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884</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GENERAL PARTNER</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5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NET INCOME PER LIMITED PARTNER UNIT</w:t>
            </w: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0.67</w:t>
            </w:r>
          </w:p>
        </w:tc>
        <w:tc>
          <w:tcPr>
            <w:tcW w:w="900" w:type="dxa"/>
            <w:vAlign w:val="bottom"/>
            <w:gridSpan w:val="2"/>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132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0.67</w:t>
            </w:r>
          </w:p>
        </w:tc>
        <w:tc>
          <w:tcPr>
            <w:tcW w:w="900" w:type="dxa"/>
            <w:vAlign w:val="bottom"/>
            <w:gridSpan w:val="2"/>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40" w:type="dxa"/>
            <w:vAlign w:val="bottom"/>
            <w:gridSpan w:val="3"/>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BASIC WEIGHTED AVERAGE LIMITED PARTNER UNITS</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367</w:t>
            </w:r>
          </w:p>
        </w:tc>
        <w:tc>
          <w:tcPr>
            <w:tcW w:w="34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40" w:type="dxa"/>
            <w:vAlign w:val="bottom"/>
            <w:gridSpan w:val="3"/>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DILUTED WEIGHTED AVERAGE LIMITED PARTNER UNITS</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RESULTS</w:t>
            </w: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6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millions, except per unit data)</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gridSpan w:val="5"/>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PAA</w:t>
            </w: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900" w:type="dxa"/>
            <w:vAlign w:val="bottom"/>
            <w:gridSpan w:val="2"/>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1,347</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34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ADJUSTED NET INCOME PER LIMITED PARTNER</w:t>
            </w:r>
          </w:p>
        </w:tc>
        <w:tc>
          <w:tcPr>
            <w:tcW w:w="540" w:type="dxa"/>
            <w:vAlign w:val="bottom"/>
            <w:vMerge w:val="restart"/>
            <w:shd w:val="clear" w:color="auto" w:fill="CCEEFF"/>
          </w:tcPr>
          <w:p>
            <w:pPr>
              <w:spacing w:after="0"/>
              <w:rPr>
                <w:sz w:val="16"/>
                <w:szCs w:val="16"/>
                <w:color w:val="auto"/>
              </w:rPr>
            </w:pPr>
          </w:p>
        </w:tc>
        <w:tc>
          <w:tcPr>
            <w:tcW w:w="780" w:type="dxa"/>
            <w:vAlign w:val="bottom"/>
            <w:vMerge w:val="restart"/>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vMerge w:val="restart"/>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0.76</w:t>
            </w:r>
          </w:p>
        </w:tc>
        <w:tc>
          <w:tcPr>
            <w:tcW w:w="36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UNIT</w:t>
            </w:r>
          </w:p>
        </w:tc>
        <w:tc>
          <w:tcPr>
            <w:tcW w:w="7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2,200</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556"/>
              <w:spacing w:after="0"/>
              <w:rPr>
                <w:sz w:val="20"/>
                <w:szCs w:val="20"/>
                <w:color w:val="auto"/>
              </w:rPr>
            </w:pPr>
            <w:r>
              <w:rPr>
                <w:rFonts w:ascii="Times New Roman" w:cs="Times New Roman" w:eastAsia="Times New Roman" w:hAnsi="Times New Roman"/>
                <w:sz w:val="18"/>
                <w:szCs w:val="18"/>
                <w:color w:val="auto"/>
              </w:rPr>
              <w:t>– more –</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02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3220" w:type="dxa"/>
            <w:vAlign w:val="bottom"/>
            <w:gridSpan w:val="9"/>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(713) 646-4100 / (866) 809-1291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12,272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4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12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11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17" w:right="1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8,133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partners’ capital</w:t>
            </w:r>
          </w:p>
        </w:tc>
        <w:tc>
          <w:tcPr>
            <w:tcW w:w="19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9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1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8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8,762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book capitalization</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1920" w:type="dxa"/>
            <w:vAlign w:val="bottom"/>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3"/>
            <w:vMerge w:val="continue"/>
          </w:tcPr>
          <w:p>
            <w:pPr>
              <w:spacing w:after="0"/>
              <w:rPr>
                <w:sz w:val="20"/>
                <w:szCs w:val="20"/>
                <w:color w:val="auto"/>
              </w:rPr>
            </w:pPr>
          </w:p>
        </w:tc>
        <w:tc>
          <w:tcPr>
            <w:tcW w:w="192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18,240</w:t>
            </w:r>
          </w:p>
        </w:tc>
        <w:tc>
          <w:tcPr>
            <w:tcW w:w="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15,531</w:t>
            </w:r>
          </w:p>
        </w:tc>
        <w:tc>
          <w:tcPr>
            <w:tcW w:w="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debt-to-total book capitalization, including short-term debt</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 more –</w:t>
            </w: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3020" w:type="dxa"/>
            <w:vAlign w:val="bottom"/>
            <w:gridSpan w:val="4"/>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(713) 646-4100 / (866) 809-1291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16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6"/>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9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Equity-indexed compensation expense - operations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 general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 segment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shd w:val="clear" w:color="auto" w:fill="CCEEFF"/>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profit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6"/>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9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Equity-indexed compensation expense - operations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 general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 segment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shd w:val="clear" w:color="auto" w:fill="CCEEFF"/>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profit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14" w:name="page15"/>
    <w:bookmarkEnd w:id="14"/>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27" w:lineRule="exact"/>
        <w:rPr>
          <w:sz w:val="20"/>
          <w:szCs w:val="20"/>
          <w:color w:val="auto"/>
        </w:rPr>
      </w:pPr>
    </w:p>
    <w:p>
      <w:pPr>
        <w:ind w:left="20" w:right="40" w:hanging="11"/>
        <w:spacing w:after="0" w:line="250" w:lineRule="auto"/>
        <w:rPr>
          <w:sz w:val="20"/>
          <w:szCs w:val="20"/>
          <w:color w:val="auto"/>
        </w:rPr>
      </w:pPr>
      <w:r>
        <w:rPr>
          <w:rFonts w:ascii="Times New Roman" w:cs="Times New Roman" w:eastAsia="Times New Roman" w:hAnsi="Times New Roman"/>
          <w:sz w:val="18"/>
          <w:szCs w:val="18"/>
          <w:color w:val="auto"/>
        </w:rPr>
        <w:t>Field operating costs and Segment general and administrative expenses exclude equity-indexed compensation expense, which is presented separately in the table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20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223520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72" w:orient="portrait"/>
          <w:cols w:equalWidth="0" w:num="2">
            <w:col w:w="140" w:space="500"/>
            <w:col w:w="1078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160" w:type="dxa"/>
            <w:vAlign w:val="bottom"/>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Borders>
              <w:bottom w:val="single" w:sz="8" w:color="auto"/>
            </w:tcBorders>
            <w:gridSpan w:val="3"/>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6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Transportation activities (average daily volumes in thousands of barrels</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Tariff activities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 American</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Bakken Area Systems</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Basin / Mesa / Sunrise</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737</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BridgeTex</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Capline</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Eagle Ford Area Systems</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Line 63 / Line 2000</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Manito</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Mid-Continent Area Systems</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370</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293</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Permian Basin Area Systems</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764</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703</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Rainbow</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Rangeland</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Salt Lake City Area Systems</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Saskatchewan</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White Cliffs</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829</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688</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NGL Pipelines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Co-Ed</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Refined Products Pipelines</w:t>
            </w:r>
          </w:p>
        </w:tc>
        <w:tc>
          <w:tcPr>
            <w:tcW w:w="142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7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Tariff activities total</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4,192</w:t>
            </w: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3,730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Trucking</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50"/>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 activities total</w:t>
            </w:r>
          </w:p>
        </w:tc>
        <w:tc>
          <w:tcPr>
            <w:tcW w:w="7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4,314</w:t>
            </w:r>
          </w:p>
        </w:tc>
        <w:tc>
          <w:tcPr>
            <w:tcW w:w="280" w:type="dxa"/>
            <w:vAlign w:val="bottom"/>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3,859</w:t>
            </w:r>
          </w:p>
        </w:tc>
        <w:tc>
          <w:tcPr>
            <w:tcW w:w="28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8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Facilities activities (average monthly volumes):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Crude oil, refined products and NGL terminalling and storage (average</w:t>
            </w:r>
          </w:p>
        </w:tc>
        <w:tc>
          <w:tcPr>
            <w:tcW w:w="7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monthly capacity in millions of barrels)</w:t>
            </w:r>
          </w:p>
        </w:tc>
        <w:tc>
          <w:tcPr>
            <w:tcW w:w="700" w:type="dxa"/>
            <w:vAlign w:val="bottom"/>
            <w:gridSpan w:val="2"/>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160"/>
              <w:spacing w:after="0" w:line="191" w:lineRule="exact"/>
              <w:rPr>
                <w:sz w:val="20"/>
                <w:szCs w:val="20"/>
                <w:color w:val="auto"/>
              </w:rPr>
            </w:pPr>
            <w:r>
              <w:rPr>
                <w:rFonts w:ascii="Times New Roman" w:cs="Times New Roman" w:eastAsia="Times New Roman" w:hAnsi="Times New Roman"/>
                <w:sz w:val="18"/>
                <w:szCs w:val="18"/>
                <w:color w:val="auto"/>
              </w:rPr>
              <w:t>Rail load / unload volumes (average volumes in thousands of barrels per</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vMerge w:val="restart"/>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day)</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88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7"/>
                <w:szCs w:val="17"/>
                <w:color w:val="auto"/>
              </w:rPr>
              <w:t>Natural gas storage (average monthly working capacity in billions of cubic</w:t>
            </w:r>
          </w:p>
        </w:tc>
        <w:tc>
          <w:tcPr>
            <w:tcW w:w="7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vMerge w:val="restart"/>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vMerge w:val="restart"/>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feet)</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CCEEFF"/>
            </w:tcBorders>
            <w:vMerge w:val="continue"/>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tcPr>
          <w:p>
            <w:pPr>
              <w:ind w:left="160"/>
              <w:spacing w:after="0" w:line="196" w:lineRule="exact"/>
              <w:rPr>
                <w:sz w:val="20"/>
                <w:szCs w:val="20"/>
                <w:color w:val="auto"/>
              </w:rPr>
            </w:pPr>
            <w:r>
              <w:rPr>
                <w:rFonts w:ascii="Times New Roman" w:cs="Times New Roman" w:eastAsia="Times New Roman" w:hAnsi="Times New Roman"/>
                <w:sz w:val="18"/>
                <w:szCs w:val="18"/>
                <w:color w:val="auto"/>
              </w:rPr>
              <w:t>NGL fractionation (average volumes in thousands of barrels per day)</w:t>
            </w:r>
          </w:p>
        </w:tc>
        <w:tc>
          <w:tcPr>
            <w:tcW w:w="7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80" w:type="dxa"/>
            <w:vAlign w:val="bottom"/>
            <w:tcBorders>
              <w:bottom w:val="single" w:sz="8" w:color="CCEEFF"/>
            </w:tcBorders>
            <w:vMerge w:val="continue"/>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2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2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80" w:type="dxa"/>
            <w:vAlign w:val="bottom"/>
            <w:shd w:val="clear" w:color="auto" w:fill="CCEEFF"/>
          </w:tcPr>
          <w:p>
            <w:pPr>
              <w:ind w:left="160"/>
              <w:spacing w:after="0" w:line="116" w:lineRule="exact"/>
              <w:rPr>
                <w:sz w:val="20"/>
                <w:szCs w:val="20"/>
                <w:color w:val="auto"/>
              </w:rPr>
            </w:pPr>
            <w:r>
              <w:rPr>
                <w:rFonts w:ascii="Times New Roman" w:cs="Times New Roman" w:eastAsia="Times New Roman" w:hAnsi="Times New Roman"/>
                <w:sz w:val="13"/>
                <w:szCs w:val="13"/>
                <w:color w:val="auto"/>
              </w:rPr>
              <w:t>Facilities activities total (average monthly volumes in millions of barrels)</w:t>
            </w:r>
          </w:p>
        </w:tc>
        <w:tc>
          <w:tcPr>
            <w:tcW w:w="7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7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14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(2)</w:t>
            </w:r>
          </w:p>
        </w:tc>
        <w:tc>
          <w:tcPr>
            <w:tcW w:w="7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6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Supply and Logistics activities (average daily volumes in thousands of</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barrels 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870</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NGL sales</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272</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Waterborne cargos</w:t>
            </w:r>
          </w:p>
        </w:tc>
        <w:tc>
          <w:tcPr>
            <w:tcW w:w="142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Supply and Logistics activities total</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2" w:orient="portrait"/>
          <w:cols w:equalWidth="0" w:num="1">
            <w:col w:w="11420"/>
          </w:cols>
          <w:pgMar w:left="240" w:top="121" w:right="239" w:bottom="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400" w:hanging="11"/>
        <w:spacing w:after="0" w:line="261" w:lineRule="auto"/>
        <w:rPr>
          <w:sz w:val="20"/>
          <w:szCs w:val="20"/>
          <w:color w:val="auto"/>
        </w:rPr>
      </w:pPr>
      <w:r>
        <w:rPr>
          <w:rFonts w:ascii="Times New Roman" w:cs="Times New Roman" w:eastAsia="Times New Roman" w:hAnsi="Times New Roman"/>
          <w:sz w:val="18"/>
          <w:szCs w:val="18"/>
          <w:color w:val="auto"/>
        </w:rPr>
        <w:t>Volumes associated with assets employed through acquisitions and expansion capital represent total volumes (attributable to our interest) for the number of days or months we employed the assets divided by the number of days or months in the period.</w:t>
      </w:r>
    </w:p>
    <w:p>
      <w:pPr>
        <w:ind w:right="120" w:hanging="11"/>
        <w:spacing w:after="0" w:line="277" w:lineRule="auto"/>
        <w:rPr>
          <w:sz w:val="20"/>
          <w:szCs w:val="20"/>
          <w:color w:val="auto"/>
        </w:rPr>
      </w:pPr>
      <w:r>
        <w:rPr>
          <w:rFonts w:ascii="Times New Roman" w:cs="Times New Roman" w:eastAsia="Times New Roman" w:hAnsi="Times New Roman"/>
          <w:sz w:val="17"/>
          <w:szCs w:val="17"/>
          <w:color w:val="auto"/>
        </w:rPr>
        <w:t>Facilities activities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w:t>
      </w:r>
    </w:p>
    <w:p>
      <w:pPr>
        <w:sectPr>
          <w:pgSz w:w="11900" w:h="16872" w:orient="portrait"/>
          <w:cols w:equalWidth="0" w:num="2">
            <w:col w:w="140" w:space="520"/>
            <w:col w:w="10760"/>
          </w:cols>
          <w:pgMar w:left="240" w:top="121" w:right="239" w:bottom="0" w:gutter="0" w:footer="0" w:header="0"/>
          <w:type w:val="continuous"/>
        </w:sectPr>
      </w:pPr>
    </w:p>
    <w:bookmarkStart w:id="15" w:name="page16"/>
    <w:bookmarkEnd w:id="15"/>
    <w:p>
      <w:pPr>
        <w:ind w:left="660" w:right="60"/>
        <w:spacing w:after="0" w:line="282" w:lineRule="auto"/>
        <w:rPr>
          <w:sz w:val="20"/>
          <w:szCs w:val="20"/>
          <w:color w:val="auto"/>
        </w:rPr>
      </w:pPr>
      <w:r>
        <w:rPr>
          <w:rFonts w:ascii="Times New Roman" w:cs="Times New Roman" w:eastAsia="Times New Roman" w:hAnsi="Times New Roman"/>
          <w:sz w:val="18"/>
          <w:szCs w:val="18"/>
          <w:color w:val="auto"/>
        </w:rPr>
        <w:t>volumes in millions; and (iv) NGL fractionation volumes multiplied by the number of days in the period and divided by the number of months in the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right="40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LIMITED PARTNER UNIT </w:t>
      </w:r>
      <w:r>
        <w:rPr>
          <w:rFonts w:ascii="Times New Roman" w:cs="Times New Roman" w:eastAsia="Times New Roman" w:hAnsi="Times New Roman"/>
          <w:sz w:val="18"/>
          <w:szCs w:val="18"/>
          <w:color w:val="auto"/>
        </w:rPr>
        <w:t>(in millions, except per unit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per Limited Partner Unit</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92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w:t>
            </w:r>
          </w:p>
        </w:tc>
        <w:tc>
          <w:tcPr>
            <w:tcW w:w="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1,384</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884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and distributions to participating</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limited partners in accordance with application of the</w:t>
            </w: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74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vMerge w:val="restart"/>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878</w:t>
            </w:r>
          </w:p>
        </w:tc>
        <w:tc>
          <w:tcPr>
            <w:tcW w:w="340" w:type="dxa"/>
            <w:vAlign w:val="bottom"/>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two-class method for MLPs</w:t>
            </w: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limited partner units outstanding</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limited partner unit</w:t>
            </w:r>
          </w:p>
        </w:tc>
        <w:tc>
          <w:tcPr>
            <w:tcW w:w="920" w:type="dxa"/>
            <w:vAlign w:val="bottom"/>
            <w:gridSpan w:val="2"/>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0.67</w:t>
            </w:r>
          </w:p>
        </w:tc>
        <w:tc>
          <w:tcPr>
            <w:tcW w:w="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92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w:t>
            </w:r>
          </w:p>
        </w:tc>
        <w:tc>
          <w:tcPr>
            <w:tcW w:w="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1,384</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884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and distributions to participating</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limited partners in accordance with application of the</w:t>
            </w: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74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vMerge w:val="restart"/>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878</w:t>
            </w:r>
          </w:p>
        </w:tc>
        <w:tc>
          <w:tcPr>
            <w:tcW w:w="340" w:type="dxa"/>
            <w:vAlign w:val="bottom"/>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two-class method for MLPs</w:t>
            </w: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limited partner units outstanding</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Effect of dilutive securities: Weighted average LTIP units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limited partner units outstanding</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369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limited partner unit</w:t>
            </w:r>
          </w:p>
        </w:tc>
        <w:tc>
          <w:tcPr>
            <w:tcW w:w="920" w:type="dxa"/>
            <w:vAlign w:val="bottom"/>
            <w:gridSpan w:val="2"/>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0.67</w:t>
            </w:r>
          </w:p>
        </w:tc>
        <w:tc>
          <w:tcPr>
            <w:tcW w:w="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20" w:right="80" w:hanging="11"/>
        <w:spacing w:after="0" w:line="255" w:lineRule="auto"/>
        <w:rPr>
          <w:sz w:val="20"/>
          <w:szCs w:val="20"/>
          <w:color w:val="auto"/>
        </w:rPr>
      </w:pPr>
      <w:r>
        <w:rPr>
          <w:rFonts w:ascii="Times New Roman" w:cs="Times New Roman" w:eastAsia="Times New Roman" w:hAnsi="Times New Roman"/>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3" w:lineRule="exact"/>
        <w:rPr>
          <w:sz w:val="20"/>
          <w:szCs w:val="20"/>
          <w:color w:val="auto"/>
        </w:rPr>
      </w:pPr>
    </w:p>
    <w:p>
      <w:pPr>
        <w:ind w:left="20" w:right="100" w:hanging="11"/>
        <w:spacing w:after="0" w:line="254" w:lineRule="auto"/>
        <w:rPr>
          <w:sz w:val="20"/>
          <w:szCs w:val="20"/>
          <w:color w:val="auto"/>
        </w:rPr>
      </w:pPr>
      <w:r>
        <w:rPr>
          <w:rFonts w:ascii="Times New Roman" w:cs="Times New Roman" w:eastAsia="Times New Roman" w:hAnsi="Times New Roman"/>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8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223520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ectPr>
          <w:pgSz w:w="11900" w:h="16838" w:orient="portrait"/>
          <w:cols w:equalWidth="0" w:num="1">
            <w:col w:w="11420"/>
          </w:cols>
          <w:pgMar w:left="240" w:top="121" w:right="239" w:bottom="0" w:gutter="0" w:footer="0" w:header="0"/>
          <w:type w:val="continuous"/>
        </w:sectPr>
      </w:pPr>
    </w:p>
    <w:p>
      <w:pPr>
        <w:spacing w:after="0" w:line="200" w:lineRule="exact"/>
        <w:rPr>
          <w:sz w:val="20"/>
          <w:szCs w:val="20"/>
          <w:color w:val="auto"/>
        </w:rPr>
      </w:pPr>
    </w:p>
    <w:p>
      <w:pPr>
        <w:ind w:left="6540"/>
        <w:spacing w:after="0"/>
        <w:tabs>
          <w:tab w:leader="none" w:pos="934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Twelve Months Ended</w:t>
      </w:r>
    </w:p>
    <w:p>
      <w:pPr>
        <w:sectPr>
          <w:pgSz w:w="11900" w:h="16838" w:orient="portrait"/>
          <w:cols w:equalWidth="0" w:num="1">
            <w:col w:w="11420"/>
          </w:cols>
          <w:pgMar w:left="240" w:top="121" w:right="23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 Income/(Loss)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Gains/(losses) from derivative activities net of inventory valuation</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(2)</w:t>
            </w:r>
          </w:p>
        </w:tc>
        <w:tc>
          <w:tcPr>
            <w:tcW w:w="78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Long-term inventory valuation adjustments </w:t>
            </w:r>
            <w:r>
              <w:rPr>
                <w:rFonts w:ascii="Times New Roman" w:cs="Times New Roman" w:eastAsia="Times New Roman" w:hAnsi="Times New Roman"/>
                <w:sz w:val="23"/>
                <w:szCs w:val="23"/>
                <w:color w:val="auto"/>
                <w:vertAlign w:val="superscript"/>
              </w:rPr>
              <w:t>(3)</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(4)</w:t>
            </w: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on foreign currency revaluation</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on selected items impacting comparability</w:t>
            </w: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 net income attributable to</w:t>
            </w: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880" w:type="dxa"/>
            <w:vAlign w:val="bottom"/>
            <w:vMerge w:val="continue"/>
          </w:tcPr>
          <w:p>
            <w:pPr>
              <w:spacing w:after="0"/>
              <w:rPr>
                <w:sz w:val="15"/>
                <w:szCs w:val="15"/>
                <w:color w:val="auto"/>
              </w:rPr>
            </w:pPr>
          </w:p>
        </w:tc>
        <w:tc>
          <w:tcPr>
            <w:tcW w:w="780" w:type="dxa"/>
            <w:vAlign w:val="bottom"/>
            <w:vMerge w:val="restart"/>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PAA</w:t>
            </w:r>
          </w:p>
        </w:tc>
        <w:tc>
          <w:tcPr>
            <w:tcW w:w="78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Impact to basic net income per limited partner unit</w:t>
            </w:r>
          </w:p>
        </w:tc>
        <w:tc>
          <w:tcPr>
            <w:tcW w:w="78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0.10</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Impact to diluted net income per limited partner unit</w:t>
            </w:r>
          </w:p>
        </w:tc>
        <w:tc>
          <w:tcPr>
            <w:tcW w:w="78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14"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27" w:lineRule="exact"/>
        <w:rPr>
          <w:sz w:val="20"/>
          <w:szCs w:val="20"/>
          <w:color w:val="auto"/>
        </w:rPr>
      </w:pPr>
    </w:p>
    <w:p>
      <w:pPr>
        <w:ind w:left="20" w:right="560" w:hanging="11"/>
        <w:spacing w:after="0" w:line="250" w:lineRule="auto"/>
        <w:rPr>
          <w:sz w:val="20"/>
          <w:szCs w:val="20"/>
          <w:color w:val="auto"/>
        </w:rPr>
      </w:pPr>
      <w:r>
        <w:rPr>
          <w:rFonts w:ascii="Times New Roman" w:cs="Times New Roman" w:eastAsia="Times New Roman" w:hAnsi="Times New Roman"/>
          <w:sz w:val="18"/>
          <w:szCs w:val="18"/>
          <w:color w:val="auto"/>
        </w:rPr>
        <w:t>Includes mark-to-market gains and losses resulting from derivative instruments that are related to underlying activities in future periods or the reversal of mark-to-market gains and losses from the prior period, net of inventory valuation adjustments, as applicable.</w:t>
      </w:r>
    </w:p>
    <w:p>
      <w:pPr>
        <w:spacing w:after="0" w:line="1" w:lineRule="exact"/>
        <w:rPr>
          <w:sz w:val="20"/>
          <w:szCs w:val="20"/>
          <w:color w:val="auto"/>
        </w:rPr>
      </w:pPr>
    </w:p>
    <w:p>
      <w:pPr>
        <w:ind w:left="20" w:right="460" w:hanging="11"/>
        <w:spacing w:after="0" w:line="250" w:lineRule="auto"/>
        <w:rPr>
          <w:sz w:val="20"/>
          <w:szCs w:val="20"/>
          <w:color w:val="auto"/>
        </w:rPr>
      </w:pPr>
      <w:r>
        <w:rPr>
          <w:rFonts w:ascii="Times New Roman" w:cs="Times New Roman" w:eastAsia="Times New Roman" w:hAnsi="Times New Roman"/>
          <w:sz w:val="18"/>
          <w:szCs w:val="18"/>
          <w:color w:val="auto"/>
        </w:rPr>
        <w:t>Includes changes in the average cost of long-term inventory that result from fluctuations in market prices. Long-term inventory is comprised of minimum inventory requirements in third-party assets and other working inventory that is needed for our commercial operations.</w:t>
      </w:r>
    </w:p>
    <w:p>
      <w:pPr>
        <w:spacing w:after="0" w:line="1"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 Includes other immaterial selected items impacting comparability, as well as the noncontrolling interests’ portion of selected items.</w:t>
      </w:r>
    </w:p>
    <w:p>
      <w:pPr>
        <w:spacing w:after="0" w:line="18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1560"/>
        <w:spacing w:after="0"/>
        <w:tabs>
          <w:tab w:leader="none" w:pos="4060" w:val="left"/>
          <w:tab w:leader="none" w:pos="61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223520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14"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right="32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ADJUSTED BASIC AND DILUTED EARNINGS PER LIMITED PARTNER UNIT </w:t>
      </w:r>
      <w:r>
        <w:rPr>
          <w:rFonts w:ascii="Times New Roman" w:cs="Times New Roman" w:eastAsia="Times New Roman" w:hAnsi="Times New Roman"/>
          <w:sz w:val="18"/>
          <w:szCs w:val="18"/>
          <w:color w:val="auto"/>
        </w:rPr>
        <w:t>(in millions, except per unit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Adjusted Net Income per Limited Partner Unit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84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6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1,384</w:t>
            </w:r>
          </w:p>
        </w:tc>
        <w:tc>
          <w:tcPr>
            <w:tcW w:w="4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net income attributable to PAA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net income available to limited partners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limited partners’ net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limited partner units outstanding</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adjusted net income per limited partner unit</w:t>
            </w:r>
          </w:p>
        </w:tc>
        <w:tc>
          <w:tcPr>
            <w:tcW w:w="84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6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0.76</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42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Limited Partner Unit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84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6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1,384</w:t>
            </w:r>
          </w:p>
        </w:tc>
        <w:tc>
          <w:tcPr>
            <w:tcW w:w="4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net income attributable to PAA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net income available to limited partners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limited partners’ net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limited partner units outstanding</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 per limited partner unit</w:t>
            </w:r>
          </w:p>
        </w:tc>
        <w:tc>
          <w:tcPr>
            <w:tcW w:w="84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6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0.76</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w:t>
            </w:r>
          </w:p>
        </w:tc>
        <w:tc>
          <w:tcPr>
            <w:tcW w:w="42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14" w:right="239" w:bottom="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27" w:lineRule="exact"/>
        <w:rPr>
          <w:sz w:val="20"/>
          <w:szCs w:val="20"/>
          <w:color w:val="auto"/>
        </w:rPr>
      </w:pPr>
    </w:p>
    <w:p>
      <w:pPr>
        <w:ind w:left="20" w:right="60" w:hanging="23"/>
        <w:spacing w:after="0" w:line="290" w:lineRule="auto"/>
        <w:rPr>
          <w:sz w:val="20"/>
          <w:szCs w:val="20"/>
          <w:color w:val="auto"/>
        </w:rPr>
      </w:pPr>
      <w:r>
        <w:rPr>
          <w:rFonts w:ascii="Times New Roman" w:cs="Times New Roman" w:eastAsia="Times New Roman" w:hAnsi="Times New Roman"/>
          <w:sz w:val="17"/>
          <w:szCs w:val="17"/>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w:t>
      </w:r>
    </w:p>
    <w:p>
      <w:pPr>
        <w:sectPr>
          <w:pgSz w:w="11900" w:h="16838" w:orient="portrait"/>
          <w:cols w:equalWidth="0" w:num="2">
            <w:col w:w="140" w:space="500"/>
            <w:col w:w="10780"/>
          </w:cols>
          <w:pgMar w:left="240" w:top="114" w:right="239" w:bottom="0" w:gutter="0" w:footer="0" w:header="0"/>
          <w:type w:val="continuous"/>
        </w:sectPr>
      </w:pPr>
    </w:p>
    <w:bookmarkStart w:id="17" w:name="page18"/>
    <w:bookmarkEnd w:id="17"/>
    <w:p>
      <w:pPr>
        <w:spacing w:after="0" w:line="62"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general partner, limited partners and participating securities in accordance with the contractual terms of the partnership agreement and as further prescribed under the two-class method.</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DATA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980" w:type="dxa"/>
            <w:vAlign w:val="bottom"/>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65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4"/>
        </w:trPr>
        <w:tc>
          <w:tcPr>
            <w:tcW w:w="65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to Earnings Before Interest, Taxes, Depreciation and Amortization</w:t>
            </w: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(“EBITDA”) and Excluding Selected Items Impacting Comparability</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8"/>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 Reconciliations</w:t>
            </w: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Income tax expense</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70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EBITDA </w:t>
            </w:r>
            <w:r>
              <w:rPr>
                <w:rFonts w:ascii="Times New Roman" w:cs="Times New Roman" w:eastAsia="Times New Roman" w:hAnsi="Times New Roman"/>
                <w:sz w:val="23"/>
                <w:szCs w:val="23"/>
                <w:color w:val="auto"/>
                <w:vertAlign w:val="superscript"/>
              </w:rPr>
              <w:t>(1)</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980" w:type="dxa"/>
            <w:vAlign w:val="bottom"/>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65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to Implied Distributable Cash Flow (“DCF”)</w:t>
            </w: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w:t>
            </w: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w:t>
            </w:r>
          </w:p>
        </w:tc>
        <w:tc>
          <w:tcPr>
            <w:tcW w:w="7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earnings in unconsolidated entities, net of distributions</w:t>
            </w:r>
          </w:p>
        </w:tc>
        <w:tc>
          <w:tcPr>
            <w:tcW w:w="7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5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Implied DCF</w:t>
            </w:r>
          </w:p>
        </w:tc>
        <w:tc>
          <w:tcPr>
            <w:tcW w:w="7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distributions that pertain to the current period’s net income, which are paid in the subsequent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 Reconciliation</w:t>
            </w:r>
          </w:p>
        </w:tc>
        <w:tc>
          <w:tcPr>
            <w:tcW w:w="1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8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664</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2,289</w:t>
            </w:r>
          </w:p>
        </w:tc>
        <w:tc>
          <w:tcPr>
            <w:tcW w:w="4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items to reconcile to cash flows from operating activities: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 more –</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6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00" w:type="dxa"/>
            <w:vAlign w:val="bottom"/>
          </w:tcPr>
          <w:p>
            <w:pPr>
              <w:spacing w:after="0"/>
              <w:rPr>
                <w:sz w:val="20"/>
                <w:szCs w:val="20"/>
                <w:color w:val="auto"/>
              </w:rPr>
            </w:pPr>
          </w:p>
        </w:tc>
        <w:tc>
          <w:tcPr>
            <w:tcW w:w="2600" w:type="dxa"/>
            <w:vAlign w:val="bottom"/>
            <w:gridSpan w:val="7"/>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(713) 646-4100 / (866) 809-1291</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466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88" w:lineRule="exact"/>
        <w:rPr>
          <w:sz w:val="20"/>
          <w:szCs w:val="20"/>
          <w:color w:val="auto"/>
        </w:rPr>
      </w:pPr>
    </w:p>
    <w:tbl>
      <w:tblPr>
        <w:tblLayout w:type="fixed"/>
        <w:tblInd w:w="322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60" w:type="dxa"/>
            <w:vAlign w:val="bottom"/>
          </w:tcPr>
          <w:p>
            <w:pPr>
              <w:spacing w:after="0"/>
              <w:rPr>
                <w:sz w:val="13"/>
                <w:szCs w:val="13"/>
                <w:color w:val="auto"/>
              </w:rPr>
            </w:pPr>
          </w:p>
        </w:tc>
      </w:tr>
      <w:tr>
        <w:trPr>
          <w:trHeight w:val="173"/>
        </w:trPr>
        <w:tc>
          <w:tcPr>
            <w:tcW w:w="9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960" w:type="dxa"/>
            <w:vAlign w:val="bottom"/>
            <w:tcBorders>
              <w:bottom w:val="single" w:sz="8" w:color="auto"/>
            </w:tcBorders>
          </w:tcPr>
          <w:p>
            <w:pPr>
              <w:spacing w:after="0"/>
              <w:rPr>
                <w:sz w:val="15"/>
                <w:szCs w:val="15"/>
                <w:color w:val="auto"/>
              </w:rPr>
            </w:pPr>
          </w:p>
        </w:tc>
      </w:tr>
      <w:tr>
        <w:trPr>
          <w:trHeight w:val="172"/>
        </w:trPr>
        <w:tc>
          <w:tcPr>
            <w:tcW w:w="9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10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PAGP</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PAGP</w:t>
            </w:r>
          </w:p>
        </w:tc>
      </w:tr>
    </w:tbl>
    <w:p>
      <w:pPr>
        <w:sectPr>
          <w:pgSz w:w="11900" w:h="16900" w:orient="portrait"/>
          <w:cols w:equalWidth="0" w:num="1">
            <w:col w:w="11460"/>
          </w:cols>
          <w:pgMar w:left="240" w:top="121" w:right="199" w:bottom="0" w:gutter="0" w:footer="0" w:header="0"/>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9,459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9,459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8,384</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8,929</w:t>
            </w:r>
          </w:p>
        </w:tc>
        <w:tc>
          <w:tcPr>
            <w:tcW w:w="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earnings in unconsolidated</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entities</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income attributable to</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w:t>
            </w: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vMerge w:val="continue"/>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15"/>
                <w:szCs w:val="15"/>
                <w:color w:val="auto"/>
              </w:rPr>
            </w:pPr>
          </w:p>
        </w:tc>
        <w:tc>
          <w:tcPr>
            <w:tcW w:w="62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w:t>
            </w:r>
          </w:p>
        </w:tc>
        <w:tc>
          <w:tcPr>
            <w:tcW w:w="5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(1,314)</w:t>
            </w: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 PAGP</w:t>
            </w:r>
          </w:p>
        </w:tc>
        <w:tc>
          <w:tcPr>
            <w:tcW w:w="28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74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BASIC NET INCOME PER CLASS A SHARE</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NET INCOME PER CLASS A SHARE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BASIC WEIGHTED AVERAGE CLASS A SHARES OUTSTANDING</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gridSpan w:val="5"/>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DILUTED WEIGHTED AVERAGE CLASS A SHARES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28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12,272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1,735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930</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top w:val="single" w:sz="8" w:color="auto"/>
              <w:bottom w:val="single" w:sz="8" w:color="auto"/>
            </w:tcBorders>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net of unamortized discount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8,757</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3"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14,065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8,133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7,666</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partners’ capital</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300" w:type="dxa"/>
            <w:vAlign w:val="bottom"/>
          </w:tcPr>
          <w:p>
            <w:pPr>
              <w:spacing w:after="0"/>
              <w:rPr>
                <w:sz w:val="18"/>
                <w:szCs w:val="18"/>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DISTRIBUTION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Q4 2014 PAGP DISTRIBUTION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Q4 2014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GP Distribution/LP Unit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LP Units Outstanding at 1/30/15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Net Distribution from PAA to AAP </w:t>
            </w:r>
            <w:r>
              <w:rPr>
                <w:rFonts w:ascii="Times New Roman" w:cs="Times New Roman" w:eastAsia="Times New Roman" w:hAnsi="Times New Roman"/>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Available for Distribution by 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Distributions to AAP Partners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AAP Owners &amp; AAP Management (68.2% economic interest)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PAGP (31.8%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PAGP Class A Shares Outstanding at 1/30/15</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PAGP Distribution/Class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0.20300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recalculate due to rounding.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AAP, L.P. (“AAP”) is the general partner of PAA.</w:t>
      </w:r>
    </w:p>
    <w:p>
      <w:pPr>
        <w:spacing w:after="0" w:line="20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jc w:val="right"/>
        <w:ind w:right="2200"/>
        <w:spacing w:after="0"/>
        <w:tabs>
          <w:tab w:leader="none" w:pos="4480" w:val="left"/>
          <w:tab w:leader="none" w:pos="236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223520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60"/>
            <w:col w:w="10720"/>
          </w:cols>
          <w:pgMar w:left="240" w:top="140"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right="47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per Class A Share</w:t>
            </w: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Class A Share</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 for diluted net income per Class A share:</w:t>
            </w: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198"/>
        </w:trPr>
        <w:tc>
          <w:tcPr>
            <w:tcW w:w="76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Incremental net income attributable to PAGP resulting from assumed conversion of AAP units</w:t>
            </w: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AAP Management units</w:t>
            </w:r>
          </w:p>
        </w:tc>
        <w:tc>
          <w:tcPr>
            <w:tcW w:w="7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0"/>
        </w:trPr>
        <w:tc>
          <w:tcPr>
            <w:tcW w:w="7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diluted net income per Class A share:</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 average number of Class A shares outstanding</w:t>
            </w:r>
          </w:p>
        </w:tc>
        <w:tc>
          <w:tcPr>
            <w:tcW w:w="7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shares resulting from assumed conversion of AAP units and AAP Management units</w:t>
            </w:r>
          </w:p>
        </w:tc>
        <w:tc>
          <w:tcPr>
            <w:tcW w:w="7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7660" w:type="dxa"/>
            <w:vAlign w:val="bottom"/>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Effect of dilutive securities: Weighted average LTIP shares </w:t>
            </w:r>
            <w:r>
              <w:rPr>
                <w:rFonts w:ascii="Times New Roman" w:cs="Times New Roman" w:eastAsia="Times New Roman" w:hAnsi="Times New Roman"/>
                <w:sz w:val="23"/>
                <w:szCs w:val="23"/>
                <w:color w:val="auto"/>
                <w:vertAlign w:val="superscript"/>
              </w:rPr>
              <w:t>(1)</w:t>
            </w:r>
          </w:p>
        </w:tc>
        <w:tc>
          <w:tcPr>
            <w:tcW w:w="7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 average number of Class A shares outstanding</w:t>
            </w:r>
          </w:p>
        </w:tc>
        <w:tc>
          <w:tcPr>
            <w:tcW w:w="7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840" w:type="dxa"/>
            <w:vAlign w:val="bottom"/>
            <w:gridSpan w:val="2"/>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2014, there were less than 0.1 million weighted average dilutive LTIP shares outstanding.</w:t>
      </w:r>
    </w:p>
    <w:p>
      <w:pPr>
        <w:spacing w:after="0" w:line="197"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Ryan Smith</w:t>
            </w:r>
          </w:p>
        </w:tc>
        <w:tc>
          <w:tcPr>
            <w:tcW w:w="2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Al Swanson</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 Investor Relations</w:t>
            </w:r>
          </w:p>
        </w:tc>
        <w:tc>
          <w:tcPr>
            <w:tcW w:w="69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Executive Vice President, CFO</w:t>
            </w:r>
          </w:p>
        </w:tc>
        <w:tc>
          <w:tcPr>
            <w:tcW w:w="4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(866) 809-1291</w:t>
            </w:r>
          </w:p>
        </w:tc>
        <w:tc>
          <w:tcPr>
            <w:tcW w:w="69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(800) 564-3036</w:t>
            </w:r>
          </w:p>
        </w:tc>
        <w:tc>
          <w:tcPr>
            <w:tcW w:w="40" w:type="dxa"/>
            <w:vAlign w:val="bottom"/>
          </w:tcPr>
          <w:p>
            <w:pPr>
              <w:spacing w:after="0"/>
              <w:rPr>
                <w:sz w:val="20"/>
                <w:szCs w:val="20"/>
                <w:color w:val="auto"/>
              </w:rPr>
            </w:pPr>
          </w:p>
        </w:tc>
      </w:tr>
      <w:tr>
        <w:trPr>
          <w:trHeight w:val="432"/>
        </w:trPr>
        <w:tc>
          <w:tcPr>
            <w:tcW w:w="45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450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470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(713) 646-4100 / (866) 809-1291</w:t>
            </w:r>
          </w:p>
        </w:tc>
        <w:tc>
          <w:tcPr>
            <w:tcW w:w="40" w:type="dxa"/>
            <w:vAlign w:val="bottom"/>
          </w:tcPr>
          <w:p>
            <w:pPr>
              <w:spacing w:after="0"/>
              <w:rPr>
                <w:sz w:val="20"/>
                <w:szCs w:val="20"/>
                <w:color w:val="auto"/>
              </w:rPr>
            </w:pPr>
          </w:p>
        </w:tc>
      </w:tr>
      <w:tr>
        <w:trPr>
          <w:trHeight w:val="326"/>
        </w:trPr>
        <w:tc>
          <w:tcPr>
            <w:tcW w:w="450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lowerRoman"/>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lowerLetter"/>
      <w:start w:val="2"/>
    </w:lvl>
  </w:abstractNum>
  <w:abstractNum w:abstractNumId="4">
    <w:nsid w:val="41A7C4C9"/>
    <w:multiLevelType w:val="hybridMultilevel"/>
    <w:lvl w:ilvl="0">
      <w:lvlJc w:val="left"/>
      <w:lvlText w:val="%1."/>
      <w:numFmt w:val="decimal"/>
      <w:start w:val="2"/>
    </w:lvl>
    <w:lvl w:ilvl="1">
      <w:lvlJc w:val="left"/>
      <w:lvlText w:val="%2"/>
      <w:numFmt w:val="lowerLetter"/>
      <w:start w:val="1"/>
    </w:lvl>
  </w:abstractNum>
  <w:abstractNum w:abstractNumId="5">
    <w:nsid w:val="6B68079A"/>
    <w:multiLevelType w:val="hybridMultilevel"/>
    <w:lvl w:ilvl="0">
      <w:lvlJc w:val="left"/>
      <w:lvlText w:val="%1"/>
      <w:numFmt w:val="lowerLetter"/>
      <w:start w:val="1"/>
    </w:lvl>
    <w:lvl w:ilvl="1">
      <w:lvlJc w:val="left"/>
      <w:lvlText w:val="(%2)"/>
      <w:numFmt w:val="decimal"/>
      <w:start w:val="1"/>
    </w:lvl>
  </w:abstractNum>
  <w:abstractNum w:abstractNumId="6">
    <w:nsid w:val="4E6AFB66"/>
    <w:multiLevelType w:val="hybridMultilevel"/>
    <w:lvl w:ilvl="0">
      <w:lvlJc w:val="left"/>
      <w:lvlText w:val="%1."/>
      <w:numFmt w:val="lowerLetter"/>
      <w:start w:val="2"/>
    </w:lvl>
    <w:lvl w:ilvl="1">
      <w:lvlJc w:val="left"/>
      <w:lvlText w:val="%2"/>
      <w:numFmt w:val="decimal"/>
      <w:start w:val="1"/>
    </w:lvl>
  </w:abstractNum>
  <w:abstractNum w:abstractNumId="7">
    <w:nsid w:val="25E45D32"/>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8">
    <w:nsid w:val="519B500D"/>
    <w:multiLevelType w:val="hybridMultilevel"/>
    <w:lvl w:ilvl="0">
      <w:lvlJc w:val="left"/>
      <w:lvlText w:val="%1"/>
      <w:numFmt w:val="decimal"/>
      <w:start w:val="1"/>
    </w:lvl>
    <w:lvl w:ilvl="1">
      <w:lvlJc w:val="left"/>
      <w:lvlText w:val="(%2)"/>
      <w:numFmt w:val="decimal"/>
      <w:start w:val="1"/>
    </w:lvl>
  </w:abstractNum>
  <w:abstractNum w:abstractNumId="9">
    <w:nsid w:val="431BD7B7"/>
    <w:multiLevelType w:val="hybridMultilevel"/>
    <w:lvl w:ilvl="0">
      <w:lvlJc w:val="left"/>
      <w:lvlText w:val="%1."/>
      <w:numFmt w:val="decimal"/>
      <w:start w:val="3"/>
    </w:lvl>
    <w:lvl w:ilvl="1">
      <w:lvlJc w:val="left"/>
      <w:lvlText w:val="%2"/>
      <w:numFmt w:val="decimal"/>
      <w:start w:val="1"/>
    </w:lvl>
  </w:abstractNum>
  <w:abstractNum w:abstractNumId="10">
    <w:nsid w:val="3F2DBA31"/>
    <w:multiLevelType w:val="hybridMultilevel"/>
    <w:lvl w:ilvl="0">
      <w:lvlJc w:val="left"/>
      <w:lvlText w:val="(%1)"/>
      <w:numFmt w:val="decimal"/>
      <w:start w:val="1"/>
    </w:lvl>
    <w:lvl w:ilvl="1">
      <w:lvlJc w:val="left"/>
      <w:lvlText w:val="(%2)"/>
      <w:numFmt w:val="lowerRoman"/>
      <w:start w:val="3"/>
    </w:lvl>
  </w:abstractNum>
  <w:abstractNum w:abstractNumId="11">
    <w:nsid w:val="7C83E458"/>
    <w:multiLevelType w:val="hybridMultilevel"/>
    <w:lvl w:ilvl="0">
      <w:lvlJc w:val="left"/>
      <w:lvlText w:val="%1."/>
      <w:numFmt w:val="decimal"/>
      <w:start w:val="5"/>
    </w:lvl>
  </w:abstractNum>
  <w:abstractNum w:abstractNumId="12">
    <w:nsid w:val="257130A3"/>
    <w:multiLevelType w:val="hybridMultilevel"/>
    <w:lvl w:ilvl="0">
      <w:lvlJc w:val="left"/>
      <w:lvlText w:val="%1"/>
      <w:numFmt w:val="decimal"/>
      <w:start w:val="1"/>
    </w:lvl>
    <w:lvl w:ilvl="1">
      <w:lvlJc w:val="left"/>
      <w:lvlText w:val="%2."/>
      <w:numFmt w:val="decimal"/>
      <w:start w:val="7"/>
    </w:lvl>
  </w:abstractNum>
  <w:abstractNum w:abstractNumId="13">
    <w:nsid w:val="62BBD95A"/>
    <w:multiLevelType w:val="hybridMultilevel"/>
    <w:lvl w:ilvl="0">
      <w:lvlJc w:val="left"/>
      <w:lvlText w:val="%1."/>
      <w:numFmt w:val="decimal"/>
      <w:start w:val="8"/>
    </w:lvl>
    <w:lvl w:ilvl="1">
      <w:lvlJc w:val="left"/>
      <w:lvlText w:val="%2"/>
      <w:numFmt w:val="decimal"/>
      <w:start w:val="1"/>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2020-01-22T13:00:21Z</dcterms:created>
  <dcterms:modified xsi:type="dcterms:W3CDTF">2020-01-22T13:00:21Z</dcterms:modified>
</cp:coreProperties>
</file>