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39"/>
        <w:spacing w:after="0"/>
        <w:tabs>
          <w:tab w:leader="none" w:pos="220" w:val="left"/>
        </w:tabs>
        <w:rPr>
          <w:sz w:val="20"/>
          <w:szCs w:val="20"/>
          <w:color w:val="auto"/>
        </w:rPr>
      </w:pPr>
      <w:r>
        <w:rPr>
          <w:rFonts w:ascii="Arial" w:cs="Arial" w:eastAsia="Arial" w:hAnsi="Arial"/>
          <w:sz w:val="17"/>
          <w:szCs w:val="17"/>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80" w:hanging="58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80"/>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45"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80" w:hanging="580"/>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00" w:hanging="519"/>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580" w:right="260" w:hanging="580"/>
        <w:spacing w:after="0" w:line="265"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678180</wp:posOffset>
            </wp:positionH>
            <wp:positionV relativeFrom="paragraph">
              <wp:posOffset>152400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-130175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-413385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-695960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-1382395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-1665605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-1948180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-2368550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-2651760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364490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615315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683895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November 2, 2016</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0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3720" w:type="dxa"/>
            <w:vAlign w:val="bottom"/>
          </w:tcPr>
          <w:p>
            <w:pPr>
              <w:jc w:val="right"/>
              <w:ind w:right="1490"/>
              <w:spacing w:after="0"/>
              <w:rPr>
                <w:sz w:val="20"/>
                <w:szCs w:val="20"/>
                <w:color w:val="auto"/>
              </w:rPr>
            </w:pPr>
            <w:r>
              <w:rPr>
                <w:rFonts w:ascii="Arial" w:cs="Arial" w:eastAsia="Arial" w:hAnsi="Arial"/>
                <w:sz w:val="18"/>
                <w:szCs w:val="18"/>
                <w:b w:val="1"/>
                <w:bCs w:val="1"/>
                <w:color w:val="auto"/>
              </w:rPr>
              <w:t>1-14569</w:t>
            </w: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76-0582150</w:t>
            </w:r>
          </w:p>
        </w:tc>
      </w:tr>
    </w:tbl>
    <w:p>
      <w:pPr>
        <w:sectPr>
          <w:pgSz w:w="11900" w:h="16870" w:orient="portrait"/>
          <w:cols w:equalWidth="0" w:num="1">
            <w:col w:w="11360"/>
          </w:cols>
          <w:pgMar w:left="260" w:top="225" w:right="279" w:bottom="0" w:gutter="0" w:footer="0" w:header="0"/>
        </w:sectPr>
      </w:pPr>
    </w:p>
    <w:bookmarkStart w:id="1" w:name="page2"/>
    <w:bookmarkEnd w:id="1"/>
    <w:p>
      <w:pPr>
        <w:ind w:left="8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35" w:lineRule="exact"/>
        <w:rPr>
          <w:sz w:val="20"/>
          <w:szCs w:val="20"/>
          <w:color w:val="auto"/>
        </w:rPr>
      </w:pPr>
    </w:p>
    <w:p>
      <w:pPr>
        <w:sectPr>
          <w:pgSz w:w="11900" w:h="16838" w:orient="portrait"/>
          <w:cols w:equalWidth="0" w:num="3">
            <w:col w:w="4020" w:space="720"/>
            <w:col w:w="2900" w:space="720"/>
            <w:col w:w="3060"/>
          </w:cols>
          <w:pgMar w:left="240" w:top="125" w:right="239" w:bottom="0" w:gutter="0" w:footer="0" w:header="0"/>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420"/>
          </w:cols>
          <w:pgMar w:left="240" w:top="125" w:right="239" w:bottom="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 99.1 — Press Release dated November 2,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Plains All American Pipeline, L.P. (the “Partnership”, “PAA”) today issued a press release reporting its third-quarter 2016 results. We are furnishing the press release, attached as Exhibit 99.1, pursuant to Item 2.02 and Item 7.01 of Form 8-K. Pursuant to Item 7.01, we are also providing detailed guidance of financial performance for the fourth quarter and full year of 2016 and preliminary guidance for 2017. In accordance with General Instruction B.2. of Form 8-K, the information presented herein under Item 2.02 and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the 2016 Fourth-Quarter and Full Year 2017 Preliminary Guidance</w:t>
      </w:r>
    </w:p>
    <w:p>
      <w:pPr>
        <w:spacing w:after="0" w:line="229" w:lineRule="exact"/>
        <w:rPr>
          <w:sz w:val="20"/>
          <w:szCs w:val="20"/>
          <w:color w:val="auto"/>
        </w:rPr>
      </w:pPr>
    </w:p>
    <w:p>
      <w:pPr>
        <w:ind w:firstLine="648"/>
        <w:spacing w:after="0" w:line="280" w:lineRule="auto"/>
        <w:rPr>
          <w:sz w:val="20"/>
          <w:szCs w:val="20"/>
          <w:color w:val="auto"/>
        </w:rPr>
      </w:pPr>
      <w:r>
        <w:rPr>
          <w:rFonts w:ascii="Arial" w:cs="Arial" w:eastAsia="Arial" w:hAnsi="Arial"/>
          <w:sz w:val="16"/>
          <w:szCs w:val="16"/>
          <w:color w:val="auto"/>
        </w:rPr>
        <w:t>We based our guidance for the three-month and twelve-month periods ending December 31, 2016 on assumptions and estimates that we believe are reasonable, given our assessment of historical trends (modified for changes in market conditions, including an assumption that competitive crude oil and NGL market conditions continue), business cycles and other reasonably available information. Projections covering multi-quarter periods contemplate inter-period changes in future performance resulting from new expansion projects, seasonal operational changes (such as NGL sales) and acquisition synergies. Our 2016 guidance and our preliminary 2017 guidance do not include the impact of any pending or future acquisitions. Such guidance is also based on the assumption that the simplification transaction announced on July 11, 2016 by PAA and PAGP closes on November 15</w:t>
      </w:r>
      <w:r>
        <w:rPr>
          <w:rFonts w:ascii="Arial" w:cs="Arial" w:eastAsia="Arial" w:hAnsi="Arial"/>
          <w:sz w:val="20"/>
          <w:szCs w:val="20"/>
          <w:color w:val="auto"/>
          <w:vertAlign w:val="superscript"/>
        </w:rPr>
        <w:t>th</w:t>
      </w:r>
      <w:r>
        <w:rPr>
          <w:rFonts w:ascii="Arial" w:cs="Arial" w:eastAsia="Arial" w:hAnsi="Arial"/>
          <w:sz w:val="16"/>
          <w:szCs w:val="16"/>
          <w:color w:val="auto"/>
        </w:rPr>
        <w:t>, 2016. Our assumptions and future performance, however, are both subject to a wide range of business risks and uncertainties, so we can provide no assurance that assumed events or outcomes will actually take place as assumed or that actual performance will fall within the guidance ranges. Please refer to information under the caption “Forward-Looking Statements” included in this document. These risks and uncertainties, as well as other unforeseeable risks and uncertainties, could cause our actual results to differ materially from those in the following table. The operating and financial guidance provided in the following pages is given as of the date hereof, based on information known to us as of November 1, 2016. We undertake no obligation to publicly update or revise any forward-looking statements.</w:t>
      </w:r>
    </w:p>
    <w:p>
      <w:pPr>
        <w:spacing w:after="0" w:line="178"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earnings before interest, taxes, depreciation and amortization (“adjusted EBITDA”) and implied distributable cash flow (“DCF”).</w:t>
      </w:r>
    </w:p>
    <w:p>
      <w:pPr>
        <w:spacing w:after="0" w:line="147"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basic and diluted adjusted net income per common unit and adjusted segment profit, as they are measurements that investors, rating agencies and debt holders have indicated are useful in assessing us and our results of operations. The calculation of these non-GAAP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(“MVC’s”)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w:t>
      </w:r>
    </w:p>
    <w:p>
      <w:pPr>
        <w:sectPr>
          <w:pgSz w:w="11900" w:h="16838" w:orient="portrait"/>
          <w:cols w:equalWidth="0" w:num="1">
            <w:col w:w="11420"/>
          </w:cols>
          <w:pgMar w:left="240" w:top="125" w:right="239" w:bottom="0" w:gutter="0" w:footer="0" w:header="0"/>
          <w:type w:val="continuous"/>
        </w:sectPr>
      </w:pPr>
    </w:p>
    <w:bookmarkStart w:id="2" w:name="page3"/>
    <w:bookmarkEnd w:id="2"/>
    <w:p>
      <w:pPr>
        <w:spacing w:after="0" w:line="5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measures. We consider an understanding of these selected items impacting comparability to be material to the evaluation of our operating results and prospects.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Our definition and calculation of certain non-GAAP financial measures may not be comparable to similarly-titled measures of other companies. Net income represents the most directly comparable GAAP measure to EBITDA. In Note 9, we reconcile net income to EBITDA, adjusted EBITDA and Implied DCF for the periods presented. In addition, we encourage you to visit our website at </w:t>
      </w:r>
      <w:r>
        <w:rPr>
          <w:rFonts w:ascii="Arial" w:cs="Arial" w:eastAsia="Arial" w:hAnsi="Arial"/>
          <w:sz w:val="17"/>
          <w:szCs w:val="17"/>
          <w:i w:val="1"/>
          <w:iCs w:val="1"/>
          <w:color w:val="auto"/>
        </w:rPr>
        <w:t>www.plainsallamerican.com</w:t>
      </w:r>
      <w:r>
        <w:rPr>
          <w:rFonts w:ascii="Arial" w:cs="Arial" w:eastAsia="Arial" w:hAnsi="Arial"/>
          <w:sz w:val="17"/>
          <w:szCs w:val="17"/>
          <w:color w:val="auto"/>
        </w:rPr>
        <w:t xml:space="preserve"> (in particular the section under “Financial Information” entitled “Non-GAAP Reconciliations” within the “Investor Relations” tab), which presents a reconciliation of EBITDA as well as certain other commonly used non-GAAP and supplemental financial measures.</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Operating and Financial Guidance</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(in millions, except per unit data)</w:t>
      </w:r>
    </w:p>
    <w:p>
      <w:pPr>
        <w:spacing w:after="0" w:line="178" w:lineRule="exact"/>
        <w:rPr>
          <w:sz w:val="20"/>
          <w:szCs w:val="20"/>
          <w:color w:val="auto"/>
        </w:rPr>
      </w:pPr>
    </w:p>
    <w:tbl>
      <w:tblPr>
        <w:tblLayout w:type="fixed"/>
        <w:tblInd w:w="98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Actual</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5"/>
          </w:tcPr>
          <w:p>
            <w:pPr>
              <w:ind w:left="340"/>
              <w:spacing w:after="0"/>
              <w:rPr>
                <w:sz w:val="20"/>
                <w:szCs w:val="20"/>
                <w:color w:val="auto"/>
              </w:rPr>
            </w:pPr>
            <w:r>
              <w:rPr>
                <w:rFonts w:ascii="Arial" w:cs="Arial" w:eastAsia="Arial" w:hAnsi="Arial"/>
                <w:sz w:val="14"/>
                <w:szCs w:val="14"/>
                <w:b w:val="1"/>
                <w:bCs w:val="1"/>
                <w:color w:val="auto"/>
              </w:rPr>
              <w:t xml:space="preserve">Guidance </w:t>
            </w:r>
            <w:r>
              <w:rPr>
                <w:rFonts w:ascii="Arial" w:cs="Arial" w:eastAsia="Arial" w:hAnsi="Arial"/>
                <w:sz w:val="17"/>
                <w:szCs w:val="17"/>
                <w:b w:val="1"/>
                <w:bCs w:val="1"/>
                <w:color w:val="auto"/>
                <w:vertAlign w:val="superscript"/>
              </w:rPr>
              <w:t>(a)</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52"/>
              <w:spacing w:after="0" w:line="119" w:lineRule="exact"/>
              <w:rPr>
                <w:sz w:val="20"/>
                <w:szCs w:val="20"/>
                <w:color w:val="auto"/>
              </w:rPr>
            </w:pPr>
            <w:r>
              <w:rPr>
                <w:rFonts w:ascii="Arial" w:cs="Arial" w:eastAsia="Arial" w:hAnsi="Arial"/>
                <w:sz w:val="13"/>
                <w:szCs w:val="13"/>
                <w:b w:val="1"/>
                <w:bCs w:val="1"/>
                <w:color w:val="auto"/>
              </w:rPr>
              <w:t>9 Months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820" w:type="dxa"/>
            <w:vAlign w:val="bottom"/>
            <w:tcBorders>
              <w:top w:val="single" w:sz="8" w:color="auto"/>
            </w:tcBorders>
            <w:gridSpan w:val="5"/>
          </w:tcPr>
          <w:p>
            <w:pPr>
              <w:jc w:val="right"/>
              <w:ind w:right="580"/>
              <w:spacing w:after="0" w:line="119" w:lineRule="exact"/>
              <w:rPr>
                <w:sz w:val="20"/>
                <w:szCs w:val="20"/>
                <w:color w:val="auto"/>
              </w:rPr>
            </w:pPr>
            <w:r>
              <w:rPr>
                <w:rFonts w:ascii="Arial" w:cs="Arial" w:eastAsia="Arial" w:hAnsi="Arial"/>
                <w:sz w:val="13"/>
                <w:szCs w:val="13"/>
                <w:b w:val="1"/>
                <w:bCs w:val="1"/>
                <w:color w:val="auto"/>
              </w:rPr>
              <w:t>3 Months Ending</w:t>
            </w:r>
          </w:p>
        </w:tc>
        <w:tc>
          <w:tcPr>
            <w:tcW w:w="18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5"/>
          </w:tcPr>
          <w:p>
            <w:pPr>
              <w:jc w:val="right"/>
              <w:ind w:right="251"/>
              <w:spacing w:after="0" w:line="119" w:lineRule="exact"/>
              <w:rPr>
                <w:sz w:val="20"/>
                <w:szCs w:val="20"/>
                <w:color w:val="auto"/>
              </w:rPr>
            </w:pPr>
            <w:r>
              <w:rPr>
                <w:rFonts w:ascii="Arial" w:cs="Arial" w:eastAsia="Arial" w:hAnsi="Arial"/>
                <w:sz w:val="13"/>
                <w:szCs w:val="13"/>
                <w:b w:val="1"/>
                <w:bCs w:val="1"/>
                <w:color w:val="auto"/>
              </w:rPr>
              <w:t>12 Months Ending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 31, 2016</w:t>
            </w:r>
          </w:p>
        </w:tc>
        <w:tc>
          <w:tcPr>
            <w:tcW w:w="180" w:type="dxa"/>
            <w:vAlign w:val="bottom"/>
          </w:tcPr>
          <w:p>
            <w:pPr>
              <w:spacing w:after="0"/>
              <w:rPr>
                <w:sz w:val="14"/>
                <w:szCs w:val="14"/>
                <w:color w:val="auto"/>
              </w:rPr>
            </w:pPr>
          </w:p>
        </w:tc>
        <w:tc>
          <w:tcPr>
            <w:tcW w:w="17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 31,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2"/>
              </w:rPr>
              <w:t>Sep 30, 2016</w:t>
            </w: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Low</w:t>
            </w: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Low</w:t>
            </w: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 Profit</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ind w:left="160"/>
              <w:spacing w:after="0" w:line="201" w:lineRule="exact"/>
              <w:rPr>
                <w:sz w:val="20"/>
                <w:szCs w:val="20"/>
                <w:color w:val="auto"/>
              </w:rPr>
            </w:pPr>
            <w:r>
              <w:rPr>
                <w:rFonts w:ascii="Arial" w:cs="Arial" w:eastAsia="Arial" w:hAnsi="Arial"/>
                <w:sz w:val="18"/>
                <w:szCs w:val="18"/>
                <w:color w:val="auto"/>
              </w:rPr>
              <w:t>Net revenues (including equity earnings in</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2,364</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943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983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3,307</w:t>
            </w:r>
          </w:p>
        </w:tc>
        <w:tc>
          <w:tcPr>
            <w:tcW w:w="140" w:type="dxa"/>
            <w:vAlign w:val="bottom"/>
          </w:tcPr>
          <w:p>
            <w:pPr>
              <w:spacing w:after="0"/>
              <w:rPr>
                <w:sz w:val="20"/>
                <w:szCs w:val="20"/>
                <w:color w:val="auto"/>
              </w:rPr>
            </w:pP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(285)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79"/>
              </w:rPr>
              <w:t>607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(351)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(471)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 net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269</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w w:val="79"/>
              </w:rPr>
              <w:t>331</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interests</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PAA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599</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w:t>
            </w: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w w:val="79"/>
              </w:rPr>
              <w:t>330</w:t>
            </w: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867</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line="216" w:lineRule="exact"/>
              <w:rPr>
                <w:sz w:val="20"/>
                <w:szCs w:val="20"/>
                <w:color w:val="auto"/>
              </w:rPr>
            </w:pPr>
            <w:r>
              <w:rPr>
                <w:rFonts w:ascii="Arial" w:cs="Arial" w:eastAsia="Arial" w:hAnsi="Arial"/>
                <w:sz w:val="18"/>
                <w:szCs w:val="18"/>
                <w:color w:val="auto"/>
              </w:rPr>
              <w:t xml:space="preserve">Net income allocated to common unitholders </w:t>
            </w:r>
            <w:r>
              <w:rPr>
                <w:rFonts w:ascii="Arial" w:cs="Arial" w:eastAsia="Arial" w:hAnsi="Arial"/>
                <w:sz w:val="23"/>
                <w:szCs w:val="23"/>
                <w:color w:val="auto"/>
                <w:vertAlign w:val="superscript"/>
              </w:rPr>
              <w:t>(b)</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296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345</w:t>
            </w: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line="216" w:lineRule="exact"/>
              <w:rPr>
                <w:sz w:val="20"/>
                <w:szCs w:val="20"/>
                <w:color w:val="auto"/>
              </w:rPr>
            </w:pPr>
            <w:r>
              <w:rPr>
                <w:rFonts w:ascii="Arial" w:cs="Arial" w:eastAsia="Arial" w:hAnsi="Arial"/>
                <w:sz w:val="18"/>
                <w:szCs w:val="18"/>
                <w:color w:val="auto"/>
              </w:rPr>
              <w:t xml:space="preserve">Basic net income per common unit </w:t>
            </w:r>
            <w:r>
              <w:rPr>
                <w:rFonts w:ascii="Arial" w:cs="Arial" w:eastAsia="Arial" w:hAnsi="Arial"/>
                <w:sz w:val="23"/>
                <w:szCs w:val="23"/>
                <w:color w:val="auto"/>
                <w:vertAlign w:val="superscript"/>
              </w:rPr>
              <w:t>(b)</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w w:val="94"/>
              </w:rPr>
              <w:t xml:space="preserve">Weighted average common units outstanding </w:t>
            </w:r>
            <w:r>
              <w:rPr>
                <w:rFonts w:ascii="Arial" w:cs="Arial" w:eastAsia="Arial" w:hAnsi="Arial"/>
                <w:sz w:val="23"/>
                <w:szCs w:val="23"/>
                <w:color w:val="auto"/>
                <w:w w:val="94"/>
                <w:vertAlign w:val="superscript"/>
              </w:rPr>
              <w:t>(c)</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Net income per common unit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0.27</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0.45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0.74</w:t>
            </w: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line="216" w:lineRule="exact"/>
              <w:rPr>
                <w:sz w:val="20"/>
                <w:szCs w:val="20"/>
                <w:color w:val="auto"/>
              </w:rPr>
            </w:pPr>
            <w:r>
              <w:rPr>
                <w:rFonts w:ascii="Arial" w:cs="Arial" w:eastAsia="Arial" w:hAnsi="Arial"/>
                <w:sz w:val="18"/>
                <w:szCs w:val="18"/>
                <w:color w:val="auto"/>
              </w:rPr>
              <w:t>Diluted net income per common unit</w:t>
            </w:r>
            <w:r>
              <w:rPr>
                <w:rFonts w:ascii="Arial" w:cs="Arial" w:eastAsia="Arial" w:hAnsi="Arial"/>
                <w:sz w:val="23"/>
                <w:szCs w:val="23"/>
                <w:color w:val="auto"/>
                <w:vertAlign w:val="superscript"/>
              </w:rPr>
              <w:t>(b)</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w w:val="94"/>
              </w:rPr>
              <w:t xml:space="preserve">Weighted average common units outstanding </w:t>
            </w:r>
            <w:r>
              <w:rPr>
                <w:rFonts w:ascii="Arial" w:cs="Arial" w:eastAsia="Arial" w:hAnsi="Arial"/>
                <w:sz w:val="23"/>
                <w:szCs w:val="23"/>
                <w:color w:val="auto"/>
                <w:w w:val="94"/>
                <w:vertAlign w:val="superscript"/>
              </w:rPr>
              <w:t>(c)</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Net income per common unit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0.27</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0.35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0.45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0.74</w:t>
            </w: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EBITDA</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1,307</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557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607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1,864</w:t>
            </w:r>
          </w:p>
        </w:tc>
        <w:tc>
          <w:tcPr>
            <w:tcW w:w="140" w:type="dxa"/>
            <w:vAlign w:val="bottom"/>
          </w:tcPr>
          <w:p>
            <w:pPr>
              <w:spacing w:after="0"/>
              <w:rPr>
                <w:sz w:val="22"/>
                <w:szCs w:val="22"/>
                <w:color w:val="auto"/>
              </w:rPr>
            </w:pP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Selected Items Impacting Comparability</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Losses from derivative activities net of</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valuation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w:t>
            </w: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Long-term inventory costing adjustments</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Deficiencies under minimum volume</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net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Equity-indexed compensation expense</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Net gain/(loss) on foreign currency revaluation</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tcPr>
          <w:p>
            <w:pPr>
              <w:ind w:left="340"/>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vMerge w:val="continue"/>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(224)</w:t>
            </w:r>
          </w:p>
        </w:tc>
        <w:tc>
          <w:tcPr>
            <w:tcW w:w="26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(12)</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(12)</w:t>
            </w: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(236)</w:t>
            </w:r>
          </w:p>
        </w:tc>
        <w:tc>
          <w:tcPr>
            <w:tcW w:w="240" w:type="dxa"/>
            <w:vAlign w:val="bottom"/>
            <w:gridSpan w:val="2"/>
            <w:vMerge w:val="restart"/>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20" w:type="dxa"/>
            <w:vAlign w:val="bottom"/>
          </w:tcPr>
          <w:p>
            <w:pPr>
              <w:ind w:left="520"/>
              <w:spacing w:after="0"/>
              <w:rPr>
                <w:sz w:val="20"/>
                <w:szCs w:val="20"/>
                <w:color w:val="auto"/>
              </w:rPr>
            </w:pPr>
            <w:r>
              <w:rPr>
                <w:rFonts w:ascii="Arial" w:cs="Arial" w:eastAsia="Arial" w:hAnsi="Arial"/>
                <w:sz w:val="18"/>
                <w:szCs w:val="18"/>
                <w:color w:val="auto"/>
              </w:rPr>
              <w:t>EBITDA</w:t>
            </w:r>
          </w:p>
        </w:tc>
        <w:tc>
          <w:tcPr>
            <w:tcW w:w="140" w:type="dxa"/>
            <w:vAlign w:val="bottom"/>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840" w:type="dxa"/>
            <w:vAlign w:val="bottom"/>
            <w:gridSpan w:val="2"/>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800" w:type="dxa"/>
            <w:vAlign w:val="bottom"/>
            <w:gridSpan w:val="2"/>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760" w:type="dxa"/>
            <w:vAlign w:val="bottom"/>
            <w:gridSpan w:val="2"/>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7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20" w:type="dxa"/>
            <w:vAlign w:val="bottom"/>
            <w:tcBorders>
              <w:top w:val="single" w:sz="8" w:color="CCEEFF"/>
            </w:tcBorders>
            <w:shd w:val="clear" w:color="auto" w:fill="CCEEFF"/>
          </w:tcPr>
          <w:p>
            <w:pPr>
              <w:ind w:left="160"/>
              <w:spacing w:after="0" w:line="156" w:lineRule="exact"/>
              <w:rPr>
                <w:sz w:val="20"/>
                <w:szCs w:val="20"/>
                <w:color w:val="auto"/>
              </w:rPr>
            </w:pPr>
            <w:r>
              <w:rPr>
                <w:rFonts w:ascii="Arial" w:cs="Arial" w:eastAsia="Arial" w:hAnsi="Arial"/>
                <w:sz w:val="18"/>
                <w:szCs w:val="18"/>
                <w:color w:val="auto"/>
              </w:rPr>
              <w:t>Tax effect on selected items impacting</w:t>
            </w:r>
          </w:p>
        </w:tc>
        <w:tc>
          <w:tcPr>
            <w:tcW w:w="1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comparability</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tcPr>
          <w:p>
            <w:pPr>
              <w:ind w:left="340"/>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vMerge w:val="continue"/>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(184)</w:t>
            </w:r>
          </w:p>
        </w:tc>
        <w:tc>
          <w:tcPr>
            <w:tcW w:w="26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(12)</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(12)</w:t>
            </w: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(196)</w:t>
            </w:r>
          </w:p>
        </w:tc>
        <w:tc>
          <w:tcPr>
            <w:tcW w:w="240" w:type="dxa"/>
            <w:vAlign w:val="bottom"/>
            <w:gridSpan w:val="2"/>
            <w:vMerge w:val="restart"/>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20" w:type="dxa"/>
            <w:vAlign w:val="bottom"/>
          </w:tcPr>
          <w:p>
            <w:pPr>
              <w:ind w:left="520"/>
              <w:spacing w:after="0"/>
              <w:rPr>
                <w:sz w:val="20"/>
                <w:szCs w:val="20"/>
                <w:color w:val="auto"/>
              </w:rPr>
            </w:pPr>
            <w:r>
              <w:rPr>
                <w:rFonts w:ascii="Arial" w:cs="Arial" w:eastAsia="Arial" w:hAnsi="Arial"/>
                <w:sz w:val="18"/>
                <w:szCs w:val="18"/>
                <w:color w:val="auto"/>
              </w:rPr>
              <w:t>net income attributable to PAA</w:t>
            </w:r>
          </w:p>
        </w:tc>
        <w:tc>
          <w:tcPr>
            <w:tcW w:w="140" w:type="dxa"/>
            <w:vAlign w:val="bottom"/>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840" w:type="dxa"/>
            <w:vAlign w:val="bottom"/>
            <w:gridSpan w:val="2"/>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800" w:type="dxa"/>
            <w:vAlign w:val="bottom"/>
            <w:gridSpan w:val="2"/>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760" w:type="dxa"/>
            <w:vAlign w:val="bottom"/>
            <w:gridSpan w:val="2"/>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7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820" w:type="dxa"/>
            <w:vAlign w:val="bottom"/>
          </w:tcPr>
          <w:p>
            <w:pPr>
              <w:spacing w:after="0" w:line="198" w:lineRule="exact"/>
              <w:rPr>
                <w:sz w:val="20"/>
                <w:szCs w:val="20"/>
                <w:color w:val="auto"/>
              </w:rPr>
            </w:pPr>
            <w:r>
              <w:rPr>
                <w:rFonts w:ascii="Arial" w:cs="Arial" w:eastAsia="Arial" w:hAnsi="Arial"/>
                <w:sz w:val="18"/>
                <w:szCs w:val="18"/>
                <w:b w:val="1"/>
                <w:bCs w:val="1"/>
                <w:color w:val="auto"/>
              </w:rPr>
              <w:t>Excluding Selected Items Impacting</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b w:val="1"/>
                <w:bCs w:val="1"/>
                <w:color w:val="auto"/>
              </w:rPr>
              <w:t>Comparability</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Adjusted segment profit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Transportation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825</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273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1,083</w:t>
            </w:r>
          </w:p>
        </w:tc>
        <w:tc>
          <w:tcPr>
            <w:tcW w:w="140" w:type="dxa"/>
            <w:vAlign w:val="bottom"/>
          </w:tcPr>
          <w:p>
            <w:pPr>
              <w:spacing w:after="0"/>
              <w:rPr>
                <w:sz w:val="18"/>
                <w:szCs w:val="18"/>
                <w:color w:val="auto"/>
              </w:rPr>
            </w:pP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Facilities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Supply and Logistics</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 (expense), net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79"/>
              </w:rPr>
              <w:t>619</w:t>
            </w: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Adjusted net income attributable to PAA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783</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280</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ind w:left="340"/>
              <w:spacing w:after="0" w:line="196" w:lineRule="exact"/>
              <w:rPr>
                <w:sz w:val="20"/>
                <w:szCs w:val="20"/>
                <w:color w:val="auto"/>
              </w:rPr>
            </w:pPr>
            <w:r>
              <w:rPr>
                <w:rFonts w:ascii="Arial" w:cs="Arial" w:eastAsia="Arial" w:hAnsi="Arial"/>
                <w:sz w:val="18"/>
                <w:szCs w:val="18"/>
                <w:color w:val="auto"/>
                <w:w w:val="79"/>
              </w:rPr>
              <w:t>342</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1,063</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97" w:orient="portrait"/>
          <w:cols w:equalWidth="0" w:num="1">
            <w:col w:w="11320"/>
          </w:cols>
          <w:pgMar w:left="240" w:top="125" w:right="339" w:bottom="0" w:gutter="0" w:footer="0" w:header="0"/>
        </w:sectPr>
      </w:pPr>
    </w:p>
    <w:bookmarkStart w:id="3" w:name="page4"/>
    <w:bookmarkEnd w:id="3"/>
    <w:p>
      <w:pPr>
        <w:spacing w:after="0" w:line="62" w:lineRule="exact"/>
        <w:rPr>
          <w:sz w:val="20"/>
          <w:szCs w:val="20"/>
          <w:color w:val="auto"/>
        </w:rPr>
      </w:pPr>
    </w:p>
    <w:tbl>
      <w:tblPr>
        <w:tblLayout w:type="fixed"/>
        <w:tblInd w:w="980" w:type="dxa"/>
        <w:tblCellMar>
          <w:top w:w="0" w:type="dxa"/>
          <w:left w:w="0" w:type="dxa"/>
          <w:bottom w:w="0" w:type="dxa"/>
          <w:right w:w="0" w:type="dxa"/>
        </w:tblCellMar>
      </w:tblPr>
      <w:tr>
        <w:trPr>
          <w:trHeight w:val="304"/>
        </w:trPr>
        <w:tc>
          <w:tcPr>
            <w:tcW w:w="3840" w:type="dxa"/>
            <w:vAlign w:val="bottom"/>
          </w:tcPr>
          <w:p>
            <w:pPr>
              <w:spacing w:after="0"/>
              <w:rPr>
                <w:sz w:val="20"/>
                <w:szCs w:val="20"/>
                <w:color w:val="auto"/>
              </w:rPr>
            </w:pPr>
            <w:r>
              <w:rPr>
                <w:rFonts w:ascii="Arial" w:cs="Arial" w:eastAsia="Arial" w:hAnsi="Arial"/>
                <w:sz w:val="18"/>
                <w:szCs w:val="18"/>
                <w:color w:val="auto"/>
              </w:rPr>
              <w:t xml:space="preserve">Basic adjusted net income per common unit </w:t>
            </w:r>
            <w:r>
              <w:rPr>
                <w:rFonts w:ascii="Arial" w:cs="Arial" w:eastAsia="Arial" w:hAnsi="Arial"/>
                <w:sz w:val="23"/>
                <w:szCs w:val="23"/>
                <w:color w:val="auto"/>
                <w:vertAlign w:val="superscript"/>
              </w:rPr>
              <w:t>(b)</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0.73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0.38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0.47</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1.16</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r>
      <w:tr>
        <w:trPr>
          <w:trHeight w:val="197"/>
        </w:trPr>
        <w:tc>
          <w:tcPr>
            <w:tcW w:w="3840" w:type="dxa"/>
            <w:vAlign w:val="bottom"/>
            <w:tcBorders>
              <w:top w:val="single" w:sz="8" w:color="CCEEFF"/>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Diluted adjusted net income per common unit </w:t>
            </w:r>
            <w:r>
              <w:rPr>
                <w:rFonts w:ascii="Arial" w:cs="Arial" w:eastAsia="Arial" w:hAnsi="Arial"/>
                <w:sz w:val="22"/>
                <w:szCs w:val="22"/>
                <w:color w:val="auto"/>
                <w:vertAlign w:val="superscript"/>
              </w:rPr>
              <w:t>(b)(c)</w:t>
            </w: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w w:val="79"/>
              </w:rPr>
              <w:t>0.47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w w:val="79"/>
              </w:rPr>
              <w:t>1.15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 w:right="280" w:hanging="492"/>
        <w:spacing w:after="0" w:line="269" w:lineRule="auto"/>
        <w:tabs>
          <w:tab w:leader="none" w:pos="50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The assumed average foreign exchange rate is $1.30 Canadian dollar (CAD) to $1.00 U.S. dollar (USD) for the three-month period ending December 31, 2016. The rate as of November 1, 2016 was $1.34 CAD to $1.00 USD. We do not anticipate that fluctuations in the foreign exchange rate will have significant impact on aggregate reported financial results, but such fluctuations will result in variations between segments.</w:t>
      </w:r>
    </w:p>
    <w:p>
      <w:pPr>
        <w:spacing w:after="0" w:line="181" w:lineRule="exact"/>
        <w:rPr>
          <w:rFonts w:ascii="Arial" w:cs="Arial" w:eastAsia="Arial" w:hAnsi="Arial"/>
          <w:sz w:val="21"/>
          <w:szCs w:val="21"/>
          <w:color w:val="auto"/>
          <w:vertAlign w:val="superscript"/>
        </w:rPr>
      </w:pPr>
    </w:p>
    <w:p>
      <w:pPr>
        <w:ind w:left="500" w:right="120" w:hanging="492"/>
        <w:spacing w:after="0" w:line="277" w:lineRule="auto"/>
        <w:tabs>
          <w:tab w:leader="none" w:pos="50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For purposes of determining net income per common unit, Net Income Attributable to PAA is allocated among our Series A Preferred Unitholders, Common Unitholders and General Partner interest as prescribed by applicable authoritative accounting guidance for calculating earnings per unit including application of the two-class method in accordance with applicable authoritative accounting guidance. Under the two-class method, we allocate Net Income Attributable to PAA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the partnership agreement and as further prescribed under the two-class method. See Note 5 for additional information regarding our assumed capital structure for three month period ending December 31, 2016.</w:t>
      </w:r>
    </w:p>
    <w:p>
      <w:pPr>
        <w:spacing w:after="0" w:line="175" w:lineRule="exact"/>
        <w:rPr>
          <w:rFonts w:ascii="Arial" w:cs="Arial" w:eastAsia="Arial" w:hAnsi="Arial"/>
          <w:sz w:val="21"/>
          <w:szCs w:val="21"/>
          <w:color w:val="auto"/>
          <w:vertAlign w:val="superscript"/>
        </w:rPr>
      </w:pPr>
    </w:p>
    <w:p>
      <w:pPr>
        <w:ind w:left="500" w:hanging="492"/>
        <w:spacing w:after="0"/>
        <w:tabs>
          <w:tab w:leader="none" w:pos="50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Basic and diluted weighted average common units outstanding for the three- and twelve-month periods ending December 31, 2016 are calculated giving effect to the Simplification Transactions and assume the associated units are outstanding for the fourth quarter of 2016. See Note 5 for additional information regarding our assumed capital structure for three month period ending December 31, 2016. Diluted net income per common unit is computed based on the weighted average number of common units outstanding plus the effect of dilutive potential units outstanding during the period using the two-class method, unless the effects of such units are anti-dilutive.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Notes and Significant Assumptions:</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i w:val="1"/>
          <w:iCs w:val="1"/>
          <w:color w:val="auto"/>
        </w:rPr>
        <w:t>Definitions.</w:t>
      </w:r>
    </w:p>
    <w:p>
      <w:pPr>
        <w:sectPr>
          <w:pgSz w:w="11900" w:h="16900" w:orient="portrait"/>
          <w:cols w:equalWidth="0" w:num="1">
            <w:col w:w="11420"/>
          </w:cols>
          <w:pgMar w:left="240" w:top="91"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Segment Profit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DCF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Bbls/d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Bcf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NGL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G&amp;A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 (GP)</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Earnings before interest, taxes and depreciation and amortization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(including equity earnings in unconsolidated entities, as applicable) less segment field operating costs and general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administrative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Distributable cash flow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Barrels per 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 cubic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Billion cubic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incentive plan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Natural gas liquids, including ethane and natural gasoline products as well as propane and butane, which are often referred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liquefied petroleum gas (LPG). When used in this document NGL refers to all NGL products including LPG.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As the context requires, “general partner” or “GP” refers to any or all of (i) PAA GP LLC, the owner of our 2% general partner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(ii) Plains AAP, L.P., the sole member of PAA GP LLC and owner of our incentive distribution rights and (iii) Plains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 American GP LLC, the general partner of Plains AAP, L.P.</w:t>
      </w:r>
    </w:p>
    <w:p>
      <w:pPr>
        <w:spacing w:after="0" w:line="200" w:lineRule="exact"/>
        <w:rPr>
          <w:sz w:val="20"/>
          <w:szCs w:val="20"/>
          <w:color w:val="auto"/>
        </w:rPr>
      </w:pPr>
    </w:p>
    <w:p>
      <w:pPr>
        <w:sectPr>
          <w:pgSz w:w="11900" w:h="16900" w:orient="portrait"/>
          <w:cols w:equalWidth="0" w:num="2">
            <w:col w:w="1520" w:space="700"/>
            <w:col w:w="9200"/>
          </w:cols>
          <w:pgMar w:left="240" w:top="91" w:right="239" w:bottom="0" w:gutter="0" w:footer="0" w:header="0"/>
          <w:type w:val="continuous"/>
        </w:sectPr>
      </w:pPr>
    </w:p>
    <w:p>
      <w:pPr>
        <w:spacing w:after="0" w:line="11" w:lineRule="exact"/>
        <w:rPr>
          <w:sz w:val="20"/>
          <w:szCs w:val="20"/>
          <w:color w:val="auto"/>
        </w:rPr>
      </w:pPr>
    </w:p>
    <w:p>
      <w:pPr>
        <w:ind w:left="340" w:right="2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Operating Segments</w:t>
      </w:r>
      <w:r>
        <w:rPr>
          <w:rFonts w:ascii="Arial" w:cs="Arial" w:eastAsia="Arial" w:hAnsi="Arial"/>
          <w:sz w:val="18"/>
          <w:szCs w:val="18"/>
          <w:color w:val="auto"/>
        </w:rPr>
        <w:t>. We manage our operations through three operating segments: Transportation, Facilities, and Supply and Logistics. The following is</w:t>
      </w:r>
      <w:r>
        <w:rPr>
          <w:rFonts w:ascii="Arial" w:cs="Arial" w:eastAsia="Arial" w:hAnsi="Arial"/>
          <w:sz w:val="18"/>
          <w:szCs w:val="18"/>
          <w:i w:val="1"/>
          <w:iCs w:val="1"/>
          <w:color w:val="auto"/>
        </w:rPr>
        <w:t xml:space="preserve"> </w:t>
      </w:r>
      <w:r>
        <w:rPr>
          <w:rFonts w:ascii="Arial" w:cs="Arial" w:eastAsia="Arial" w:hAnsi="Arial"/>
          <w:sz w:val="18"/>
          <w:szCs w:val="18"/>
          <w:color w:val="auto"/>
        </w:rPr>
        <w:t>a brief explanation of the operating activities for each segment as well as key metrics.</w:t>
      </w:r>
    </w:p>
    <w:p>
      <w:pPr>
        <w:spacing w:after="0" w:line="170" w:lineRule="exact"/>
        <w:rPr>
          <w:rFonts w:ascii="Arial" w:cs="Arial" w:eastAsia="Arial" w:hAnsi="Arial"/>
          <w:sz w:val="18"/>
          <w:szCs w:val="18"/>
          <w:color w:val="auto"/>
        </w:rPr>
      </w:pPr>
    </w:p>
    <w:p>
      <w:pPr>
        <w:ind w:left="980" w:right="20" w:hanging="324"/>
        <w:spacing w:after="0" w:line="297" w:lineRule="auto"/>
        <w:tabs>
          <w:tab w:leader="none" w:pos="970"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Transportation. </w:t>
      </w:r>
      <w:r>
        <w:rPr>
          <w:rFonts w:ascii="Arial" w:cs="Arial" w:eastAsia="Arial" w:hAnsi="Arial"/>
          <w:sz w:val="16"/>
          <w:szCs w:val="16"/>
          <w:color w:val="auto"/>
        </w:rPr>
        <w:t>Our Transportation segment operations generally consist of fee-based activities associated with transporting crude oil and NGL</w:t>
      </w:r>
      <w:r>
        <w:rPr>
          <w:rFonts w:ascii="Arial" w:cs="Arial" w:eastAsia="Arial" w:hAnsi="Arial"/>
          <w:sz w:val="16"/>
          <w:szCs w:val="16"/>
          <w:i w:val="1"/>
          <w:iCs w:val="1"/>
          <w:color w:val="auto"/>
        </w:rPr>
        <w:t xml:space="preserve"> </w:t>
      </w:r>
      <w:r>
        <w:rPr>
          <w:rFonts w:ascii="Arial" w:cs="Arial" w:eastAsia="Arial" w:hAnsi="Arial"/>
          <w:sz w:val="16"/>
          <w:szCs w:val="16"/>
          <w:color w:val="auto"/>
        </w:rPr>
        <w:t>on pipelines, gathering systems, trucks and barges. The Transportation segment generates revenue through a combination of tariffs, third-party pipeline capacity agreements and other transportation fees. Our transportation segment also includes equity earnings from our investments in the entities that own BridgeTex, Cheyenne, Eagle Ford, Frontier, Saddlehorn, STACK, White Cliffs, and Butte pipeline systems as well as Settoon Towing, in which we own interests ranging from 22% to 50%. We account for these investments under the equity method of accounting.</w:t>
      </w:r>
    </w:p>
    <w:p>
      <w:pPr>
        <w:spacing w:after="0" w:line="158" w:lineRule="exact"/>
        <w:rPr>
          <w:rFonts w:ascii="Arial" w:cs="Arial" w:eastAsia="Arial" w:hAnsi="Arial"/>
          <w:sz w:val="16"/>
          <w:szCs w:val="16"/>
          <w:color w:val="auto"/>
        </w:rPr>
      </w:pPr>
    </w:p>
    <w:p>
      <w:pPr>
        <w:ind w:left="980" w:right="60"/>
        <w:spacing w:after="0" w:line="290" w:lineRule="auto"/>
        <w:rPr>
          <w:rFonts w:ascii="Arial" w:cs="Arial" w:eastAsia="Arial" w:hAnsi="Arial"/>
          <w:sz w:val="16"/>
          <w:szCs w:val="16"/>
          <w:color w:val="auto"/>
        </w:rPr>
      </w:pPr>
      <w:r>
        <w:rPr>
          <w:rFonts w:ascii="Arial" w:cs="Arial" w:eastAsia="Arial" w:hAnsi="Arial"/>
          <w:sz w:val="16"/>
          <w:szCs w:val="16"/>
          <w:color w:val="auto"/>
        </w:rPr>
        <w:t>Pipeline volume estimates are based on historical trends, anticipated future operating performance and assumed completion of capital projects. Actual volumes will be influenced by maintenance schedules at refineries, drilling and completion activity levels, production trends, weather and other natural occurrences including hurricanes, changes in the quantity of inventory held in tanks, variations due to market structure and other external factors beyond our control. We forecast adjusted segment profit using the volume assumptions in the following table, priced at forecasted tariff rates, less estimated field operating costs and G&amp;A expenses. Field operating costs do not include depreciation. Actual adjusted segment profit could vary materially depending on the level and mix of volumes transported or expenses incurred during the period, as well as any differences between forecasted and actual recognition of minimum volume commitments. The following table summarizes our total transportation volumes and is broken down by crude oil geographic area as well as total NGL and trucking volumes.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Actual</w:t>
            </w:r>
          </w:p>
        </w:tc>
        <w:tc>
          <w:tcPr>
            <w:tcW w:w="1560" w:type="dxa"/>
            <w:vAlign w:val="bottom"/>
            <w:gridSpan w:val="3"/>
          </w:tcPr>
          <w:p>
            <w:pPr>
              <w:ind w:left="960"/>
              <w:spacing w:after="0"/>
              <w:rPr>
                <w:sz w:val="20"/>
                <w:szCs w:val="20"/>
                <w:color w:val="auto"/>
              </w:rPr>
            </w:pPr>
            <w:r>
              <w:rPr>
                <w:rFonts w:ascii="Arial" w:cs="Arial" w:eastAsia="Arial" w:hAnsi="Arial"/>
                <w:sz w:val="14"/>
                <w:szCs w:val="14"/>
                <w:b w:val="1"/>
                <w:bCs w:val="1"/>
                <w:color w:val="auto"/>
                <w:w w:val="90"/>
              </w:rPr>
              <w:t>Guidance</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19"/>
        </w:trPr>
        <w:tc>
          <w:tcPr>
            <w:tcW w:w="350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9 Months</w:t>
            </w:r>
          </w:p>
        </w:tc>
        <w:tc>
          <w:tcPr>
            <w:tcW w:w="120" w:type="dxa"/>
            <w:vAlign w:val="bottom"/>
          </w:tcPr>
          <w:p>
            <w:pPr>
              <w:spacing w:after="0"/>
              <w:rPr>
                <w:sz w:val="10"/>
                <w:szCs w:val="10"/>
                <w:color w:val="auto"/>
              </w:rPr>
            </w:pPr>
          </w:p>
        </w:tc>
        <w:tc>
          <w:tcPr>
            <w:tcW w:w="1560" w:type="dxa"/>
            <w:vAlign w:val="bottom"/>
            <w:tcBorders>
              <w:top w:val="single" w:sz="8" w:color="auto"/>
            </w:tcBorders>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3 Months</w:t>
            </w:r>
          </w:p>
        </w:tc>
        <w:tc>
          <w:tcPr>
            <w:tcW w:w="940" w:type="dxa"/>
            <w:vAlign w:val="bottom"/>
            <w:tcBorders>
              <w:top w:val="single" w:sz="8" w:color="auto"/>
            </w:tcBorders>
          </w:tcPr>
          <w:p>
            <w:pPr>
              <w:jc w:val="center"/>
              <w:ind w:right="105"/>
              <w:spacing w:after="0" w:line="119" w:lineRule="exact"/>
              <w:rPr>
                <w:sz w:val="20"/>
                <w:szCs w:val="20"/>
                <w:color w:val="auto"/>
              </w:rPr>
            </w:pPr>
            <w:r>
              <w:rPr>
                <w:rFonts w:ascii="Arial" w:cs="Arial" w:eastAsia="Arial" w:hAnsi="Arial"/>
                <w:sz w:val="13"/>
                <w:szCs w:val="13"/>
                <w:b w:val="1"/>
                <w:bCs w:val="1"/>
                <w:color w:val="auto"/>
                <w:w w:val="99"/>
              </w:rPr>
              <w:t>12 Months</w:t>
            </w:r>
          </w:p>
        </w:tc>
        <w:tc>
          <w:tcPr>
            <w:tcW w:w="280" w:type="dxa"/>
            <w:vAlign w:val="bottom"/>
          </w:tcPr>
          <w:p>
            <w:pPr>
              <w:spacing w:after="0"/>
              <w:rPr>
                <w:sz w:val="10"/>
                <w:szCs w:val="10"/>
                <w:color w:val="auto"/>
              </w:rPr>
            </w:pPr>
          </w:p>
        </w:tc>
      </w:tr>
      <w:tr>
        <w:trPr>
          <w:trHeight w:val="149"/>
        </w:trPr>
        <w:tc>
          <w:tcPr>
            <w:tcW w:w="350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c>
          <w:tcPr>
            <w:tcW w:w="15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Ending</w:t>
            </w: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Ending</w:t>
            </w:r>
          </w:p>
        </w:tc>
      </w:tr>
      <w:tr>
        <w:trPr>
          <w:trHeight w:val="171"/>
        </w:trPr>
        <w:tc>
          <w:tcPr>
            <w:tcW w:w="35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Sep 30, 2016</w:t>
            </w:r>
          </w:p>
        </w:tc>
        <w:tc>
          <w:tcPr>
            <w:tcW w:w="15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Dec 31, 2016</w:t>
            </w: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Dec 31, 2016</w:t>
            </w:r>
          </w:p>
        </w:tc>
      </w:tr>
      <w:tr>
        <w:trPr>
          <w:trHeight w:val="196"/>
        </w:trPr>
        <w:tc>
          <w:tcPr>
            <w:tcW w:w="3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daily volumes (MBbls/d)</w:t>
            </w: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Volumes from tariff activities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pipelines (by region):</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350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(1)</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2,129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2,250</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2,159</w:t>
            </w:r>
          </w:p>
        </w:tc>
      </w:tr>
      <w:tr>
        <w:trPr>
          <w:trHeight w:val="165"/>
        </w:trPr>
        <w:tc>
          <w:tcPr>
            <w:tcW w:w="3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bl>
    <w:p>
      <w:pPr>
        <w:sectPr>
          <w:pgSz w:w="11900" w:h="16900" w:orient="portrait"/>
          <w:cols w:equalWidth="0" w:num="1">
            <w:col w:w="11420"/>
          </w:cols>
          <w:pgMar w:left="240" w:top="91" w:right="239" w:bottom="0" w:gutter="0" w:footer="0" w:header="0"/>
          <w:type w:val="continuous"/>
        </w:sectPr>
      </w:pPr>
    </w:p>
    <w:bookmarkStart w:id="4" w:name="page5"/>
    <w:bookmarkEnd w:id="4"/>
    <w:p>
      <w:pPr>
        <w:spacing w:after="0" w:line="1" w:lineRule="exact"/>
        <w:rPr>
          <w:sz w:val="20"/>
          <w:szCs w:val="20"/>
          <w:color w:val="auto"/>
        </w:rPr>
      </w:pPr>
    </w:p>
    <w:tbl>
      <w:tblPr>
        <w:tblLayout w:type="fixed"/>
        <w:tblInd w:w="964"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3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w:t>
            </w:r>
          </w:p>
        </w:tc>
        <w:tc>
          <w:tcPr>
            <w:tcW w:w="4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Western</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4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Gulf Coast</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538</w:t>
            </w:r>
          </w:p>
        </w:tc>
        <w:tc>
          <w:tcPr>
            <w:tcW w:w="4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365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Canada</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384</w:t>
            </w:r>
          </w:p>
        </w:tc>
        <w:tc>
          <w:tcPr>
            <w:tcW w:w="4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390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NGL pipelines</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4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volumes from tariff activities</w:t>
            </w: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4,546</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Trucking</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4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segment total volumes</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Adjusted segment profit per barrel ($/Bbl)</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0.65</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0.62</w:t>
            </w:r>
            <w:r>
              <w:rPr>
                <w:rFonts w:ascii="Arial" w:cs="Arial" w:eastAsia="Arial" w:hAnsi="Arial"/>
                <w:sz w:val="11"/>
                <w:szCs w:val="11"/>
                <w:color w:val="auto"/>
              </w:rPr>
              <w:t>(2)</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0.64</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Adjusted segment profit (excluding MVC</w:t>
            </w: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0.60</w:t>
            </w: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0.62</w:t>
            </w:r>
            <w:r>
              <w:rPr>
                <w:rFonts w:ascii="Arial" w:cs="Arial" w:eastAsia="Arial" w:hAnsi="Arial"/>
                <w:sz w:val="23"/>
                <w:szCs w:val="23"/>
                <w:color w:val="auto"/>
                <w:vertAlign w:val="superscript"/>
              </w:rPr>
              <w:t>(2)</w:t>
            </w:r>
          </w:p>
        </w:tc>
        <w:tc>
          <w:tcPr>
            <w:tcW w:w="4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0.61</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selected item) per barrel ($/Bbl)</w:t>
            </w:r>
          </w:p>
        </w:tc>
        <w:tc>
          <w:tcPr>
            <w:tcW w:w="42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205740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4" w:hanging="320"/>
        <w:spacing w:after="0"/>
        <w:tabs>
          <w:tab w:leader="none" w:pos="644" w:val="left"/>
        </w:tabs>
        <w:numPr>
          <w:ilvl w:val="1"/>
          <w:numId w:val="9"/>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1" w:lineRule="exact"/>
        <w:rPr>
          <w:rFonts w:ascii="Arial" w:cs="Arial" w:eastAsia="Arial" w:hAnsi="Arial"/>
          <w:sz w:val="23"/>
          <w:szCs w:val="23"/>
          <w:color w:val="auto"/>
          <w:vertAlign w:val="superscript"/>
        </w:rPr>
      </w:pPr>
    </w:p>
    <w:p>
      <w:pPr>
        <w:ind w:left="644" w:hanging="320"/>
        <w:spacing w:after="0" w:line="194" w:lineRule="auto"/>
        <w:tabs>
          <w:tab w:leader="none" w:pos="644" w:val="left"/>
        </w:tabs>
        <w:numPr>
          <w:ilvl w:val="1"/>
          <w:numId w:val="9"/>
        </w:numPr>
        <w:rPr>
          <w:rFonts w:ascii="Arial" w:cs="Arial" w:eastAsia="Arial" w:hAnsi="Arial"/>
          <w:sz w:val="23"/>
          <w:szCs w:val="23"/>
          <w:color w:val="auto"/>
          <w:vertAlign w:val="superscript"/>
        </w:rPr>
      </w:pPr>
      <w:r>
        <w:rPr>
          <w:rFonts w:ascii="Arial" w:cs="Arial" w:eastAsia="Arial" w:hAnsi="Arial"/>
          <w:sz w:val="18"/>
          <w:szCs w:val="18"/>
          <w:color w:val="auto"/>
        </w:rPr>
        <w:t>Represents the midpoint of guidance.</w:t>
      </w:r>
    </w:p>
    <w:p>
      <w:pPr>
        <w:spacing w:after="0" w:line="202" w:lineRule="exact"/>
        <w:rPr>
          <w:rFonts w:ascii="Arial" w:cs="Arial" w:eastAsia="Arial" w:hAnsi="Arial"/>
          <w:sz w:val="23"/>
          <w:szCs w:val="23"/>
          <w:color w:val="auto"/>
          <w:vertAlign w:val="superscript"/>
        </w:rPr>
      </w:pPr>
    </w:p>
    <w:p>
      <w:pPr>
        <w:ind w:left="324" w:right="260" w:hanging="324"/>
        <w:spacing w:after="0" w:line="259" w:lineRule="auto"/>
        <w:tabs>
          <w:tab w:leader="none" w:pos="324"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Facilities</w:t>
      </w:r>
      <w:r>
        <w:rPr>
          <w:rFonts w:ascii="Arial" w:cs="Arial" w:eastAsia="Arial" w:hAnsi="Arial"/>
          <w:sz w:val="18"/>
          <w:szCs w:val="18"/>
          <w:color w:val="auto"/>
        </w:rPr>
        <w:t>. Our Facilities segment operations generally consist of fee-based activities associated with providing storage, terminalling and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86" w:lineRule="exact"/>
        <w:rPr>
          <w:rFonts w:ascii="Arial" w:cs="Arial" w:eastAsia="Arial" w:hAnsi="Arial"/>
          <w:sz w:val="18"/>
          <w:szCs w:val="18"/>
          <w:color w:val="auto"/>
        </w:rPr>
      </w:pPr>
    </w:p>
    <w:p>
      <w:pPr>
        <w:ind w:left="324"/>
        <w:spacing w:after="0" w:line="293" w:lineRule="auto"/>
        <w:rPr>
          <w:rFonts w:ascii="Arial" w:cs="Arial" w:eastAsia="Arial" w:hAnsi="Arial"/>
          <w:sz w:val="18"/>
          <w:szCs w:val="18"/>
          <w:color w:val="auto"/>
        </w:rPr>
      </w:pPr>
      <w:r>
        <w:rPr>
          <w:rFonts w:ascii="Arial" w:cs="Arial" w:eastAsia="Arial" w:hAnsi="Arial"/>
          <w:sz w:val="16"/>
          <w:szCs w:val="16"/>
          <w:color w:val="auto"/>
        </w:rPr>
        <w:t>Revenues generated in this segment primarily include (i) fees that are generated from storage capacity agreements, (ii) terminal throughput fees that are generated when we receive crude oil, refined products or NGL from one connecting source and deliver the applicable product to another connecting carrier, (iii) loading and unloading fees at our rail terminals, (iv) fees from NGL fractionation and isomerization services, (v) fees from natural gas and condensate processing services and (vi) fees associated with natural gas park and loan activities, interruptible storage services and wheeling and balancing services. Adjusted segment profit is forecasted using the volume assumptions in the following table, priced at forecasted rates, less estimated field operating costs and G&amp;A expenses. Field operating costs do not include depreciation.</w:t>
      </w:r>
    </w:p>
    <w:p>
      <w:pPr>
        <w:sectPr>
          <w:pgSz w:w="11900" w:h="16838" w:orient="portrait"/>
          <w:cols w:equalWidth="0" w:num="1">
            <w:col w:w="10764"/>
          </w:cols>
          <w:pgMar w:left="896" w:top="9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164"/>
        <w:spacing w:after="0"/>
        <w:rPr>
          <w:sz w:val="20"/>
          <w:szCs w:val="20"/>
          <w:color w:val="auto"/>
        </w:rPr>
      </w:pPr>
      <w:r>
        <w:rPr>
          <w:rFonts w:ascii="Arial" w:cs="Arial" w:eastAsia="Arial" w:hAnsi="Arial"/>
          <w:sz w:val="18"/>
          <w:szCs w:val="18"/>
          <w:color w:val="auto"/>
        </w:rPr>
        <w:t>Operating Data</w:t>
      </w:r>
    </w:p>
    <w:p>
      <w:pPr>
        <w:spacing w:after="0" w:line="23" w:lineRule="exact"/>
        <w:rPr>
          <w:sz w:val="20"/>
          <w:szCs w:val="20"/>
          <w:color w:val="auto"/>
        </w:rPr>
      </w:pPr>
    </w:p>
    <w:p>
      <w:pPr>
        <w:jc w:val="both"/>
        <w:ind w:left="1704" w:hanging="179"/>
        <w:spacing w:after="0" w:line="248" w:lineRule="auto"/>
        <w:rPr>
          <w:sz w:val="20"/>
          <w:szCs w:val="20"/>
          <w:color w:val="auto"/>
        </w:rPr>
      </w:pPr>
      <w:r>
        <w:rPr>
          <w:rFonts w:ascii="Arial" w:cs="Arial" w:eastAsia="Arial" w:hAnsi="Arial"/>
          <w:sz w:val="18"/>
          <w:szCs w:val="18"/>
          <w:color w:val="auto"/>
        </w:rPr>
        <w:t>Crude oil, refined products and NGL terminalling and storage capacity (MMBbls/Mo.)</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Actual</w:t>
            </w:r>
          </w:p>
        </w:tc>
        <w:tc>
          <w:tcPr>
            <w:tcW w:w="2180" w:type="dxa"/>
            <w:vAlign w:val="bottom"/>
            <w:gridSpan w:val="3"/>
          </w:tcPr>
          <w:p>
            <w:pPr>
              <w:ind w:left="800"/>
              <w:spacing w:after="0"/>
              <w:rPr>
                <w:sz w:val="20"/>
                <w:szCs w:val="20"/>
                <w:color w:val="auto"/>
              </w:rPr>
            </w:pPr>
            <w:r>
              <w:rPr>
                <w:rFonts w:ascii="Arial" w:cs="Arial" w:eastAsia="Arial" w:hAnsi="Arial"/>
                <w:sz w:val="14"/>
                <w:szCs w:val="14"/>
                <w:b w:val="1"/>
                <w:bCs w:val="1"/>
                <w:color w:val="auto"/>
              </w:rPr>
              <w:t>Guidance</w:t>
            </w:r>
          </w:p>
        </w:tc>
      </w:tr>
      <w:tr>
        <w:trPr>
          <w:trHeight w:val="119"/>
        </w:trPr>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9 Months</w:t>
            </w:r>
          </w:p>
        </w:tc>
        <w:tc>
          <w:tcPr>
            <w:tcW w:w="200" w:type="dxa"/>
            <w:vAlign w:val="bottom"/>
          </w:tcPr>
          <w:p>
            <w:pPr>
              <w:spacing w:after="0"/>
              <w:rPr>
                <w:sz w:val="10"/>
                <w:szCs w:val="10"/>
                <w:color w:val="auto"/>
              </w:rPr>
            </w:pPr>
          </w:p>
        </w:tc>
        <w:tc>
          <w:tcPr>
            <w:tcW w:w="124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3 Months</w:t>
            </w:r>
          </w:p>
        </w:tc>
        <w:tc>
          <w:tcPr>
            <w:tcW w:w="9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12 Months</w:t>
            </w:r>
          </w:p>
        </w:tc>
      </w:tr>
      <w:tr>
        <w:trPr>
          <w:trHeight w:val="149"/>
        </w:trPr>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Ending</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Ending</w:t>
            </w:r>
          </w:p>
        </w:tc>
      </w:tr>
      <w:tr>
        <w:trPr>
          <w:trHeight w:val="171"/>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Sep 30, 2016</w:t>
            </w:r>
          </w:p>
        </w:tc>
        <w:tc>
          <w:tcPr>
            <w:tcW w:w="2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 31, 2016</w:t>
            </w:r>
          </w:p>
        </w:tc>
        <w:tc>
          <w:tcPr>
            <w:tcW w:w="2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 31,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-2248535</wp:posOffset>
            </wp:positionH>
            <wp:positionV relativeFrom="paragraph">
              <wp:posOffset>-8255</wp:posOffset>
            </wp:positionV>
            <wp:extent cx="448500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85005" cy="13716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both"/>
        <w:ind w:left="600"/>
        <w:spacing w:after="0"/>
        <w:tabs>
          <w:tab w:leader="none" w:pos="1820" w:val="left"/>
          <w:tab w:leader="none" w:pos="29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107</w:t>
      </w:r>
    </w:p>
    <w:p>
      <w:pPr>
        <w:spacing w:after="0" w:line="31" w:lineRule="exact"/>
        <w:rPr>
          <w:sz w:val="20"/>
          <w:szCs w:val="20"/>
          <w:color w:val="auto"/>
        </w:rPr>
      </w:pPr>
    </w:p>
    <w:p>
      <w:pPr>
        <w:sectPr>
          <w:pgSz w:w="11900" w:h="16838" w:orient="portrait"/>
          <w:cols w:equalWidth="0" w:num="2">
            <w:col w:w="4184" w:space="520"/>
            <w:col w:w="6060"/>
          </w:cols>
          <w:pgMar w:left="896" w:top="91" w:right="239" w:bottom="0" w:gutter="0" w:footer="0" w:header="0"/>
          <w:type w:val="continuous"/>
        </w:sectPr>
      </w:pPr>
    </w:p>
    <w:tbl>
      <w:tblPr>
        <w:tblLayout w:type="fixed"/>
        <w:tblInd w:w="1164" w:type="dxa"/>
        <w:tblCellMar>
          <w:top w:w="0" w:type="dxa"/>
          <w:left w:w="0" w:type="dxa"/>
          <w:bottom w:w="0" w:type="dxa"/>
          <w:right w:w="0" w:type="dxa"/>
        </w:tblCellMar>
      </w:tblPr>
      <w:tr>
        <w:trPr>
          <w:trHeight w:val="230"/>
        </w:trPr>
        <w:tc>
          <w:tcPr>
            <w:tcW w:w="3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Rail load / unload volumes (MBbls/d)</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ind w:left="360"/>
              <w:spacing w:after="0"/>
              <w:rPr>
                <w:sz w:val="20"/>
                <w:szCs w:val="20"/>
                <w:color w:val="auto"/>
              </w:rPr>
            </w:pPr>
            <w:r>
              <w:rPr>
                <w:rFonts w:ascii="Arial" w:cs="Arial" w:eastAsia="Arial" w:hAnsi="Arial"/>
                <w:sz w:val="18"/>
                <w:szCs w:val="18"/>
                <w:color w:val="auto"/>
              </w:rPr>
              <w:t>Natural gas storage capacity (Bcf/Mo.)</w:t>
            </w: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540" w:type="dxa"/>
            <w:vAlign w:val="bottom"/>
            <w:tcBorders>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NGL fractionation volumes (MBbls/d)</w:t>
            </w:r>
          </w:p>
        </w:tc>
        <w:tc>
          <w:tcPr>
            <w:tcW w:w="3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w:t>
            </w:r>
          </w:p>
        </w:tc>
        <w:tc>
          <w:tcPr>
            <w:tcW w:w="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w:t>
            </w: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w:t>
            </w:r>
          </w:p>
        </w:tc>
        <w:tc>
          <w:tcPr>
            <w:tcW w:w="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ind w:left="180"/>
              <w:spacing w:after="0"/>
              <w:rPr>
                <w:sz w:val="20"/>
                <w:szCs w:val="20"/>
                <w:color w:val="auto"/>
              </w:rPr>
            </w:pPr>
            <w:r>
              <w:rPr>
                <w:rFonts w:ascii="Arial" w:cs="Arial" w:eastAsia="Arial" w:hAnsi="Arial"/>
                <w:sz w:val="18"/>
                <w:szCs w:val="18"/>
                <w:color w:val="auto"/>
              </w:rPr>
              <w:t>Facilities segment total volumes</w:t>
            </w: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5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Avg. Capacity (MMBbls/Mo.)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segment profit per barrel ($/Bbl)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0.41</w:t>
            </w:r>
            <w:r>
              <w:rPr>
                <w:rFonts w:ascii="Arial" w:cs="Arial" w:eastAsia="Arial" w:hAnsi="Arial"/>
                <w:sz w:val="11"/>
                <w:szCs w:val="11"/>
                <w:color w:val="auto"/>
              </w:rPr>
              <w:t>(2)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0.43</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Adjusted segment profit (excluding MVC</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0.42</w:t>
            </w: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0.41</w:t>
            </w:r>
            <w:r>
              <w:rPr>
                <w:rFonts w:ascii="Arial" w:cs="Arial" w:eastAsia="Arial" w:hAnsi="Arial"/>
                <w:sz w:val="23"/>
                <w:szCs w:val="23"/>
                <w:color w:val="auto"/>
                <w:vertAlign w:val="superscript"/>
              </w:rPr>
              <w:t>(2)</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0.42</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selected item) per barrel ($/Bbl)</w:t>
            </w:r>
          </w:p>
        </w:tc>
        <w:tc>
          <w:tcPr>
            <w:tcW w:w="320" w:type="dxa"/>
            <w:vAlign w:val="bottom"/>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205740</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44" w:right="20" w:hanging="320"/>
        <w:spacing w:after="0"/>
        <w:tabs>
          <w:tab w:leader="none" w:pos="631"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2" w:lineRule="exact"/>
        <w:rPr>
          <w:rFonts w:ascii="Arial" w:cs="Arial" w:eastAsia="Arial" w:hAnsi="Arial"/>
          <w:sz w:val="23"/>
          <w:szCs w:val="23"/>
          <w:color w:val="auto"/>
          <w:vertAlign w:val="superscript"/>
        </w:rPr>
      </w:pPr>
    </w:p>
    <w:p>
      <w:pPr>
        <w:ind w:left="644" w:hanging="320"/>
        <w:spacing w:after="0" w:line="196" w:lineRule="auto"/>
        <w:tabs>
          <w:tab w:leader="none" w:pos="644"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Represents the midpoint of guidance.</w:t>
      </w:r>
    </w:p>
    <w:p>
      <w:pPr>
        <w:spacing w:after="0" w:line="202"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64" w:hanging="240"/>
        <w:spacing w:after="0"/>
        <w:tabs>
          <w:tab w:leader="none" w:pos="564"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Supply and Logistics. </w:t>
      </w:r>
      <w:r>
        <w:rPr>
          <w:rFonts w:ascii="Arial" w:cs="Arial" w:eastAsia="Arial" w:hAnsi="Arial"/>
          <w:sz w:val="17"/>
          <w:szCs w:val="17"/>
          <w:color w:val="auto"/>
        </w:rPr>
        <w:t>Our Supply and Logistics segment operations generally consist of the following merchant-related activities:</w:t>
      </w:r>
    </w:p>
    <w:p>
      <w:pPr>
        <w:spacing w:after="0" w:line="236" w:lineRule="exact"/>
        <w:rPr>
          <w:rFonts w:ascii="Arial" w:cs="Arial" w:eastAsia="Arial" w:hAnsi="Arial"/>
          <w:sz w:val="17"/>
          <w:szCs w:val="17"/>
          <w:color w:val="auto"/>
        </w:rPr>
      </w:pPr>
    </w:p>
    <w:p>
      <w:pPr>
        <w:ind w:left="1044" w:right="160" w:hanging="233"/>
        <w:spacing w:after="0" w:line="277" w:lineRule="auto"/>
        <w:tabs>
          <w:tab w:leader="none" w:pos="10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purchase of U.S. and Canadian crude oil at the wellhead, the bulk purchase of crude oil at pipeline, terminal and rail facilities and the purchase of cargos at their load port and various other locations in transit;</w:t>
      </w:r>
    </w:p>
    <w:p>
      <w:pPr>
        <w:spacing w:after="0" w:line="170" w:lineRule="exact"/>
        <w:rPr>
          <w:rFonts w:ascii="Arial" w:cs="Arial" w:eastAsia="Arial" w:hAnsi="Arial"/>
          <w:sz w:val="18"/>
          <w:szCs w:val="18"/>
          <w:color w:val="auto"/>
        </w:rPr>
      </w:pPr>
    </w:p>
    <w:p>
      <w:pPr>
        <w:ind w:left="1024" w:hanging="213"/>
        <w:spacing w:after="0"/>
        <w:tabs>
          <w:tab w:leader="none" w:pos="1024"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storage of inventory during contango market conditions and the seasonal storage of NGL and natural gas;</w:t>
      </w:r>
    </w:p>
    <w:p>
      <w:pPr>
        <w:spacing w:after="0" w:line="225" w:lineRule="exact"/>
        <w:rPr>
          <w:rFonts w:ascii="Arial" w:cs="Arial" w:eastAsia="Arial" w:hAnsi="Arial"/>
          <w:sz w:val="18"/>
          <w:szCs w:val="18"/>
          <w:color w:val="auto"/>
        </w:rPr>
      </w:pPr>
    </w:p>
    <w:p>
      <w:pPr>
        <w:ind w:left="1024" w:hanging="213"/>
        <w:spacing w:after="0"/>
        <w:tabs>
          <w:tab w:leader="none" w:pos="1024"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purchase of NGL from producers, refiners, processors and other marketers;</w:t>
      </w:r>
    </w:p>
    <w:p>
      <w:pPr>
        <w:spacing w:after="0" w:line="225" w:lineRule="exact"/>
        <w:rPr>
          <w:rFonts w:ascii="Arial" w:cs="Arial" w:eastAsia="Arial" w:hAnsi="Arial"/>
          <w:sz w:val="18"/>
          <w:szCs w:val="18"/>
          <w:color w:val="auto"/>
        </w:rPr>
      </w:pPr>
    </w:p>
    <w:p>
      <w:pPr>
        <w:ind w:left="1024" w:hanging="213"/>
        <w:spacing w:after="0"/>
        <w:tabs>
          <w:tab w:leader="none" w:pos="1024"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resale or exchange of crude oil and NGL at various points along the distribution chain to refiners or other resellers;</w:t>
      </w:r>
    </w:p>
    <w:p>
      <w:pPr>
        <w:sectPr>
          <w:pgSz w:w="11900" w:h="16838" w:orient="portrait"/>
          <w:cols w:equalWidth="0" w:num="1">
            <w:col w:w="10764"/>
          </w:cols>
          <w:pgMar w:left="896" w:top="91" w:right="239" w:bottom="0" w:gutter="0" w:footer="0" w:header="0"/>
          <w:type w:val="continuous"/>
        </w:sectPr>
      </w:pPr>
    </w:p>
    <w:bookmarkStart w:id="5" w:name="page6"/>
    <w:bookmarkEnd w:id="5"/>
    <w:p>
      <w:pPr>
        <w:spacing w:after="0" w:line="166" w:lineRule="exact"/>
        <w:rPr>
          <w:sz w:val="20"/>
          <w:szCs w:val="20"/>
          <w:color w:val="auto"/>
        </w:rPr>
      </w:pPr>
    </w:p>
    <w:p>
      <w:pPr>
        <w:ind w:left="1692" w:right="320" w:hanging="233"/>
        <w:spacing w:after="0" w:line="308" w:lineRule="auto"/>
        <w:tabs>
          <w:tab w:leader="none" w:pos="165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transportation of crude oil and NGL on trucks, barges, railcars, pipelines and ocean-going vessels from various delivery points, market hub locations or directly to end users such as refineries, processors and fractionation facilities; and</w:t>
      </w:r>
    </w:p>
    <w:p>
      <w:pPr>
        <w:spacing w:after="0" w:line="146" w:lineRule="exact"/>
        <w:rPr>
          <w:rFonts w:ascii="Arial" w:cs="Arial" w:eastAsia="Arial" w:hAnsi="Arial"/>
          <w:sz w:val="17"/>
          <w:szCs w:val="17"/>
          <w:color w:val="auto"/>
        </w:rPr>
      </w:pPr>
    </w:p>
    <w:p>
      <w:pPr>
        <w:ind w:left="1672" w:hanging="213"/>
        <w:spacing w:after="0"/>
        <w:tabs>
          <w:tab w:leader="none" w:pos="16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purchase and sale of natural gas.</w:t>
      </w:r>
    </w:p>
    <w:p>
      <w:pPr>
        <w:spacing w:after="0" w:line="225" w:lineRule="exact"/>
        <w:rPr>
          <w:sz w:val="20"/>
          <w:szCs w:val="20"/>
          <w:color w:val="auto"/>
        </w:rPr>
      </w:pPr>
    </w:p>
    <w:p>
      <w:pPr>
        <w:ind w:left="972" w:right="40"/>
        <w:spacing w:after="0" w:line="290" w:lineRule="auto"/>
        <w:rPr>
          <w:sz w:val="20"/>
          <w:szCs w:val="20"/>
          <w:color w:val="auto"/>
        </w:rPr>
      </w:pPr>
      <w:r>
        <w:rPr>
          <w:rFonts w:ascii="Arial" w:cs="Arial" w:eastAsia="Arial" w:hAnsi="Arial"/>
          <w:sz w:val="16"/>
          <w:szCs w:val="16"/>
          <w:color w:val="auto"/>
        </w:rPr>
        <w:t>We characterize a substantial portion of our baseline profit generated by our Supply and Logistics segment as fee equivalent. This portion of the segment profit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and carrying costs for hedged inventory as well as any operating and G&amp;A expenses. The level of profit associated with a portion of the other activities we conduct in the Supply and Logistics segment is influenced by overall market structure and the degree of market volatility as well as variable operating expenses. Forecasted operating results for the three-month period ending December 31, 2016 reflect current market structure as well as seasonal, weather-related and other anticipated variations in crude oil, NGL and natural gas sales. Variations in weather, market structure or volatility could cause actual results to differ materially from forecasted results.</w:t>
      </w:r>
    </w:p>
    <w:p>
      <w:pPr>
        <w:spacing w:after="0" w:line="166" w:lineRule="exact"/>
        <w:rPr>
          <w:sz w:val="20"/>
          <w:szCs w:val="20"/>
          <w:color w:val="auto"/>
        </w:rPr>
      </w:pPr>
    </w:p>
    <w:p>
      <w:pPr>
        <w:ind w:left="972"/>
        <w:spacing w:after="0" w:line="293" w:lineRule="auto"/>
        <w:rPr>
          <w:sz w:val="20"/>
          <w:szCs w:val="20"/>
          <w:color w:val="auto"/>
        </w:rPr>
      </w:pPr>
      <w:r>
        <w:rPr>
          <w:rFonts w:ascii="Arial" w:cs="Arial" w:eastAsia="Arial" w:hAnsi="Arial"/>
          <w:sz w:val="16"/>
          <w:szCs w:val="16"/>
          <w:color w:val="auto"/>
        </w:rPr>
        <w:t>We forecast adjusted segment profit using the volume assumptions stated below, as well as estimates of unit margins, field operating costs, G&amp;A expenses and carrying costs for hedged inventory, based on current and anticipated market conditions. Actual volumes are influenced by temporary market-driven storage and withdrawal of crude oil, maintenance schedules at refineries, actual production levels, weather and other external factors beyond our control. Field operating costs do not include depreciation. Realized unit margins for any given lease-gathered barrel could vary significantly based on a variety of factors including location and quality differentials as well as contract structure. Accordingly, the projected adjusted segment profit per barrel can vary significantly even if aggregate volumes are in line with the forecasted levels.</w:t>
      </w:r>
    </w:p>
    <w:p>
      <w:pPr>
        <w:spacing w:after="0" w:line="157" w:lineRule="exact"/>
        <w:rPr>
          <w:sz w:val="20"/>
          <w:szCs w:val="20"/>
          <w:color w:val="auto"/>
        </w:rPr>
      </w:pPr>
    </w:p>
    <w:tbl>
      <w:tblPr>
        <w:tblLayout w:type="fixed"/>
        <w:tblInd w:w="1292"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Actual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Guidance</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19"/>
        </w:trPr>
        <w:tc>
          <w:tcPr>
            <w:tcW w:w="3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9"/>
              <w:spacing w:after="0" w:line="119" w:lineRule="exact"/>
              <w:rPr>
                <w:sz w:val="20"/>
                <w:szCs w:val="20"/>
                <w:color w:val="auto"/>
              </w:rPr>
            </w:pPr>
            <w:r>
              <w:rPr>
                <w:rFonts w:ascii="Arial" w:cs="Arial" w:eastAsia="Arial" w:hAnsi="Arial"/>
                <w:sz w:val="13"/>
                <w:szCs w:val="13"/>
                <w:b w:val="1"/>
                <w:bCs w:val="1"/>
                <w:color w:val="auto"/>
              </w:rPr>
              <w:t>9 Months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3 Months</w:t>
            </w: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97"/>
              <w:spacing w:after="0" w:line="119" w:lineRule="exact"/>
              <w:rPr>
                <w:sz w:val="20"/>
                <w:szCs w:val="20"/>
                <w:color w:val="auto"/>
              </w:rPr>
            </w:pPr>
            <w:r>
              <w:rPr>
                <w:rFonts w:ascii="Arial" w:cs="Arial" w:eastAsia="Arial" w:hAnsi="Arial"/>
                <w:sz w:val="13"/>
                <w:szCs w:val="13"/>
                <w:b w:val="1"/>
                <w:bCs w:val="1"/>
                <w:color w:val="auto"/>
              </w:rPr>
              <w:t>12 Months</w:t>
            </w:r>
          </w:p>
        </w:tc>
        <w:tc>
          <w:tcPr>
            <w:tcW w:w="280" w:type="dxa"/>
            <w:vAlign w:val="bottom"/>
          </w:tcPr>
          <w:p>
            <w:pPr>
              <w:spacing w:after="0"/>
              <w:rPr>
                <w:sz w:val="10"/>
                <w:szCs w:val="10"/>
                <w:color w:val="auto"/>
              </w:rPr>
            </w:pPr>
          </w:p>
        </w:tc>
      </w:tr>
      <w:tr>
        <w:trPr>
          <w:trHeight w:val="149"/>
        </w:trPr>
        <w:tc>
          <w:tcPr>
            <w:tcW w:w="3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Ending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Ending</w:t>
            </w:r>
          </w:p>
        </w:tc>
      </w:tr>
      <w:tr>
        <w:trPr>
          <w:trHeight w:val="171"/>
        </w:trPr>
        <w:tc>
          <w:tcPr>
            <w:tcW w:w="3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Sep 30, 2016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 31, 2016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Dec 31, 2016</w:t>
            </w:r>
          </w:p>
        </w:tc>
      </w:tr>
      <w:tr>
        <w:trPr>
          <w:trHeight w:val="196"/>
        </w:trPr>
        <w:tc>
          <w:tcPr>
            <w:tcW w:w="3640" w:type="dxa"/>
            <w:vAlign w:val="bottom"/>
            <w:tcBorders>
              <w:top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Average daily volumes (MBbls/d)</w:t>
            </w: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Crude oil lease gathering purchases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894</w:t>
            </w: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NGL sales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w:t>
            </w: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Waterborne cargos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r>
      <w:tr>
        <w:trPr>
          <w:trHeight w:val="210"/>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Supply and Logistics total segment volumes</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7"/>
        </w:trPr>
        <w:tc>
          <w:tcPr>
            <w:tcW w:w="3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Adjusted segment profit per barrel ($/Bbl)</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r>
              <w:rPr>
                <w:rFonts w:ascii="Arial" w:cs="Arial" w:eastAsia="Arial" w:hAnsi="Arial"/>
                <w:sz w:val="11"/>
                <w:szCs w:val="11"/>
                <w:color w:val="auto"/>
              </w:rPr>
              <w:t>(1)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0.88</w:t>
            </w:r>
            <w:r>
              <w:rPr>
                <w:rFonts w:ascii="Arial" w:cs="Arial" w:eastAsia="Arial" w:hAnsi="Arial"/>
                <w:sz w:val="11"/>
                <w:szCs w:val="11"/>
                <w:color w:val="auto"/>
              </w:rPr>
              <w:t>(1)</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972"/>
        <w:spacing w:after="0"/>
        <w:tabs>
          <w:tab w:leader="none" w:pos="1272" w:val="left"/>
        </w:tabs>
        <w:rPr>
          <w:sz w:val="20"/>
          <w:szCs w:val="20"/>
          <w:color w:val="auto"/>
        </w:rPr>
      </w:pP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Represents the midpoint of guidance.</w:t>
      </w: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32" w:right="140" w:hanging="332"/>
        <w:spacing w:after="0" w:line="264" w:lineRule="auto"/>
        <w:tabs>
          <w:tab w:leader="none" w:pos="332"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We forecast depreciation and amortization based on our existing depreciable assets, forecasted capital expenditures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projected in-service dates. Depreciation may also vary due to gains and losses on intermittent sales of assets, asset retirement obligations, asset impairments, and acceleration of depreciation or foreign exchange rates.</w:t>
      </w:r>
    </w:p>
    <w:p>
      <w:pPr>
        <w:spacing w:after="0" w:line="181" w:lineRule="exact"/>
        <w:rPr>
          <w:rFonts w:ascii="Arial" w:cs="Arial" w:eastAsia="Arial" w:hAnsi="Arial"/>
          <w:sz w:val="18"/>
          <w:szCs w:val="18"/>
          <w:color w:val="auto"/>
        </w:rPr>
      </w:pPr>
    </w:p>
    <w:p>
      <w:pPr>
        <w:ind w:left="332" w:right="20" w:hanging="332"/>
        <w:spacing w:after="0" w:line="276" w:lineRule="auto"/>
        <w:tabs>
          <w:tab w:leader="none" w:pos="332"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Capital Expenditures and Acquisitions. </w:t>
      </w:r>
      <w:r>
        <w:rPr>
          <w:rFonts w:ascii="Arial" w:cs="Arial" w:eastAsia="Arial" w:hAnsi="Arial"/>
          <w:sz w:val="17"/>
          <w:szCs w:val="17"/>
          <w:color w:val="auto"/>
        </w:rPr>
        <w:t>Although acquisitions constitute a key element of our growth strategy, the forecasted results and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do not include any forecasts for acquisitions that we may commit to after the date hereof. We forecast capital expenditures during calendar year 2016 to be approximately $1.425 billion for expansion projects with an additional $175 million to $185 million for maintenance capital projects. During the first nine months of 2016, we invested $1.065 billion and $128 million for expansion and maintenance projects, respectively. The following are some of the more notable projects and forecasted expenditures for the year ending December 31, 2016:</w:t>
      </w:r>
    </w:p>
    <w:p>
      <w:pPr>
        <w:spacing w:after="0" w:line="164" w:lineRule="exact"/>
        <w:rPr>
          <w:sz w:val="20"/>
          <w:szCs w:val="20"/>
          <w:color w:val="auto"/>
        </w:rPr>
      </w:pPr>
    </w:p>
    <w:tbl>
      <w:tblPr>
        <w:tblLayout w:type="fixed"/>
        <w:tblInd w:w="1952"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Calendar 2016</w:t>
            </w:r>
          </w:p>
        </w:tc>
      </w:tr>
      <w:tr>
        <w:trPr>
          <w:trHeight w:val="142"/>
        </w:trPr>
        <w:tc>
          <w:tcPr>
            <w:tcW w:w="504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Expansion Capital</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 Red River Pipeline (Cushing to Longview)</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$310</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 Fort Saskatchewan Facility Projects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205</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 Permian Basin Area Pipeline Projects</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185</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 Saddlehorn Pipeline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125</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 Diamond Pipeline</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105</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 Cushing Terminal Expansions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 St. James Terminal Expansions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 Caddo Pipeline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 Eagle Ford JV Project</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 Cactus Pipeline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 Other Projects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295</w:t>
            </w:r>
          </w:p>
        </w:tc>
        <w:tc>
          <w:tcPr>
            <w:tcW w:w="100" w:type="dxa"/>
            <w:vAlign w:val="bottom"/>
            <w:tcBorders>
              <w:bottom w:val="single" w:sz="8" w:color="CCEEFF"/>
            </w:tcBorders>
          </w:tcPr>
          <w:p>
            <w:pPr>
              <w:spacing w:after="0"/>
              <w:rPr>
                <w:sz w:val="18"/>
                <w:szCs w:val="18"/>
                <w:color w:val="auto"/>
              </w:rPr>
            </w:pPr>
          </w:p>
        </w:tc>
      </w:tr>
      <w:tr>
        <w:trPr>
          <w:trHeight w:val="210"/>
        </w:trPr>
        <w:tc>
          <w:tcPr>
            <w:tcW w:w="50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$1,425</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Borders>
              <w:bottom w:val="single" w:sz="8" w:color="CCEEFF"/>
            </w:tcBorders>
          </w:tcPr>
          <w:p>
            <w:pPr>
              <w:spacing w:after="0" w:line="216" w:lineRule="exact"/>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23"/>
                <w:szCs w:val="23"/>
                <w:color w:val="auto"/>
                <w:vertAlign w:val="superscript"/>
              </w:rPr>
              <w:t>(1)</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$50 + $50</w:t>
            </w:r>
          </w:p>
        </w:tc>
        <w:tc>
          <w:tcPr>
            <w:tcW w:w="100" w:type="dxa"/>
            <w:vAlign w:val="bottom"/>
            <w:tcBorders>
              <w:bottom w:val="single" w:sz="8" w:color="CCEEFF"/>
            </w:tcBorders>
          </w:tcPr>
          <w:p>
            <w:pPr>
              <w:spacing w:after="0"/>
              <w:rPr>
                <w:sz w:val="18"/>
                <w:szCs w:val="18"/>
                <w:color w:val="auto"/>
              </w:rPr>
            </w:pPr>
          </w:p>
        </w:tc>
      </w:tr>
      <w:tr>
        <w:trPr>
          <w:trHeight w:val="21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Projected Expansion Capital Expenditures</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$1,375 - $1,475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 Expenditures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$175 - $185</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1292" w:hanging="320"/>
        <w:spacing w:after="0"/>
        <w:tabs>
          <w:tab w:leader="none" w:pos="1292" w:val="left"/>
        </w:tabs>
        <w:numPr>
          <w:ilvl w:val="1"/>
          <w:numId w:val="15"/>
        </w:numPr>
        <w:rPr>
          <w:rFonts w:ascii="Arial" w:cs="Arial" w:eastAsia="Arial" w:hAnsi="Arial"/>
          <w:sz w:val="21"/>
          <w:szCs w:val="21"/>
          <w:color w:val="auto"/>
          <w:vertAlign w:val="superscript"/>
        </w:rPr>
      </w:pPr>
      <w:r>
        <w:rPr>
          <w:rFonts w:ascii="Arial" w:cs="Arial" w:eastAsia="Arial" w:hAnsi="Arial"/>
          <w:sz w:val="16"/>
          <w:szCs w:val="16"/>
          <w:color w:val="auto"/>
        </w:rPr>
        <w:t>Potential variation to current capital costs estimates may result from (i) changes to project design, (ii) final cost of materials and labor and</w:t>
      </w:r>
    </w:p>
    <w:p>
      <w:pPr>
        <w:spacing w:after="0" w:line="1" w:lineRule="exact"/>
        <w:rPr>
          <w:rFonts w:ascii="Arial" w:cs="Arial" w:eastAsia="Arial" w:hAnsi="Arial"/>
          <w:sz w:val="21"/>
          <w:szCs w:val="21"/>
          <w:color w:val="auto"/>
          <w:vertAlign w:val="superscript"/>
        </w:rPr>
      </w:pPr>
    </w:p>
    <w:p>
      <w:pPr>
        <w:ind w:left="1612" w:hanging="315"/>
        <w:spacing w:after="0"/>
        <w:tabs>
          <w:tab w:leader="none" w:pos="1612" w:val="left"/>
        </w:tabs>
        <w:numPr>
          <w:ilvl w:val="2"/>
          <w:numId w:val="15"/>
        </w:numPr>
        <w:rPr>
          <w:rFonts w:ascii="Arial" w:cs="Arial" w:eastAsia="Arial" w:hAnsi="Arial"/>
          <w:sz w:val="18"/>
          <w:szCs w:val="18"/>
          <w:color w:val="auto"/>
        </w:rPr>
      </w:pPr>
      <w:r>
        <w:rPr>
          <w:rFonts w:ascii="Arial" w:cs="Arial" w:eastAsia="Arial" w:hAnsi="Arial"/>
          <w:sz w:val="18"/>
          <w:szCs w:val="18"/>
          <w:color w:val="auto"/>
        </w:rPr>
        <w:t>timing of incurrence of costs due to uncontrollable factors such as receipt of permits, or regulatory approvals and weather.</w:t>
      </w:r>
    </w:p>
    <w:p>
      <w:pPr>
        <w:spacing w:after="0" w:line="209" w:lineRule="exact"/>
        <w:rPr>
          <w:rFonts w:ascii="Arial" w:cs="Arial" w:eastAsia="Arial" w:hAnsi="Arial"/>
          <w:sz w:val="18"/>
          <w:szCs w:val="18"/>
          <w:color w:val="auto"/>
        </w:rPr>
      </w:pPr>
    </w:p>
    <w:p>
      <w:pPr>
        <w:ind w:left="332" w:right="140" w:hanging="332"/>
        <w:spacing w:after="0" w:line="325" w:lineRule="auto"/>
        <w:tabs>
          <w:tab w:leader="none" w:pos="332"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Capital Structure. </w:t>
      </w:r>
      <w:r>
        <w:rPr>
          <w:rFonts w:ascii="Arial" w:cs="Arial" w:eastAsia="Arial" w:hAnsi="Arial"/>
          <w:sz w:val="16"/>
          <w:szCs w:val="16"/>
          <w:color w:val="auto"/>
        </w:rPr>
        <w:t>This guidance is based on our capital structure as of September 30, 2016, adjusted for estimated potential equity issuances and senior</w:t>
      </w:r>
      <w:r>
        <w:rPr>
          <w:rFonts w:ascii="Arial" w:cs="Arial" w:eastAsia="Arial" w:hAnsi="Arial"/>
          <w:sz w:val="16"/>
          <w:szCs w:val="16"/>
          <w:i w:val="1"/>
          <w:iCs w:val="1"/>
          <w:color w:val="auto"/>
        </w:rPr>
        <w:t xml:space="preserve"> </w:t>
      </w:r>
      <w:r>
        <w:rPr>
          <w:rFonts w:ascii="Arial" w:cs="Arial" w:eastAsia="Arial" w:hAnsi="Arial"/>
          <w:sz w:val="16"/>
          <w:szCs w:val="16"/>
          <w:color w:val="auto"/>
        </w:rPr>
        <w:t>note offerings. This guidance further assumes that the simplification transaction announced by PAA and PAGP on July 11, 2016 closes on November 15</w:t>
      </w:r>
      <w:r>
        <w:rPr>
          <w:rFonts w:ascii="Arial" w:cs="Arial" w:eastAsia="Arial" w:hAnsi="Arial"/>
          <w:sz w:val="20"/>
          <w:szCs w:val="20"/>
          <w:color w:val="auto"/>
          <w:vertAlign w:val="superscript"/>
        </w:rPr>
        <w:t>th</w:t>
      </w:r>
      <w:r>
        <w:rPr>
          <w:rFonts w:ascii="Arial" w:cs="Arial" w:eastAsia="Arial" w:hAnsi="Arial"/>
          <w:sz w:val="16"/>
          <w:szCs w:val="16"/>
          <w:color w:val="auto"/>
        </w:rPr>
        <w:t>, 2016, and in connection with such closing PAA issues or agrees to issue 245.5 million common units to AAP in exchange for the</w:t>
      </w:r>
    </w:p>
    <w:p>
      <w:pPr>
        <w:sectPr>
          <w:pgSz w:w="11900" w:h="17004" w:orient="portrait"/>
          <w:cols w:equalWidth="0" w:num="1">
            <w:col w:w="11392"/>
          </w:cols>
          <w:pgMar w:left="248" w:top="125" w:right="259" w:bottom="0" w:gutter="0" w:footer="0" w:header="0"/>
        </w:sectPr>
      </w:pPr>
    </w:p>
    <w:bookmarkStart w:id="6" w:name="page7"/>
    <w:bookmarkEnd w:id="6"/>
    <w:p>
      <w:pPr>
        <w:ind w:left="340" w:right="220"/>
        <w:spacing w:after="0" w:line="264" w:lineRule="auto"/>
        <w:rPr>
          <w:sz w:val="20"/>
          <w:szCs w:val="20"/>
          <w:color w:val="auto"/>
        </w:rPr>
      </w:pPr>
      <w:r>
        <w:rPr>
          <w:rFonts w:ascii="Arial" w:cs="Arial" w:eastAsia="Arial" w:hAnsi="Arial"/>
          <w:sz w:val="18"/>
          <w:szCs w:val="18"/>
          <w:color w:val="auto"/>
        </w:rPr>
        <w:t>cancellation of the incentive distribution rights in PAA that are owned by AAP, and the conversion of the 2% general partner interest in PAA indirectly held by AAP into a non-economic general partner interest in PAA and the assumption by PAA of AAP’s outstanding third party bank debt (the “AAP Debt Assumption”).</w:t>
      </w:r>
    </w:p>
    <w:p>
      <w:pPr>
        <w:spacing w:after="0" w:line="181" w:lineRule="exact"/>
        <w:rPr>
          <w:sz w:val="20"/>
          <w:szCs w:val="20"/>
          <w:color w:val="auto"/>
        </w:rPr>
      </w:pPr>
    </w:p>
    <w:p>
      <w:pPr>
        <w:ind w:left="340" w:right="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Debt balances, which assume the AAP Debt Assumption takes place in connection with the closing of the simplification transaction on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15</w:t>
      </w:r>
      <w:r>
        <w:rPr>
          <w:rFonts w:ascii="Arial" w:cs="Arial" w:eastAsia="Arial" w:hAnsi="Arial"/>
          <w:sz w:val="23"/>
          <w:szCs w:val="23"/>
          <w:color w:val="auto"/>
          <w:vertAlign w:val="superscript"/>
        </w:rPr>
        <w:t>th</w:t>
      </w:r>
      <w:r>
        <w:rPr>
          <w:rFonts w:ascii="Arial" w:cs="Arial" w:eastAsia="Arial" w:hAnsi="Arial"/>
          <w:sz w:val="18"/>
          <w:szCs w:val="18"/>
          <w:color w:val="auto"/>
        </w:rPr>
        <w:t>, 2016 as described in Note 5, are projected based on estimated cash flows, estimated distribution rates, estimated capital expenditures for maintenance and expansion projects, anticipated equity proceeds from the continuous offering program, expected timing of collections and payments and forecasted levels of inventory and other working capital sources and uses. Interest rate assumptions for variable-rate debt are based on the LIBOR curve as of late October 2016.</w:t>
      </w:r>
    </w:p>
    <w:p>
      <w:pPr>
        <w:spacing w:after="0" w:line="204" w:lineRule="exact"/>
        <w:rPr>
          <w:rFonts w:ascii="Arial" w:cs="Arial" w:eastAsia="Arial" w:hAnsi="Arial"/>
          <w:sz w:val="18"/>
          <w:szCs w:val="18"/>
          <w:color w:val="auto"/>
        </w:rPr>
      </w:pPr>
    </w:p>
    <w:p>
      <w:pPr>
        <w:ind w:left="340" w:right="220"/>
        <w:spacing w:after="0" w:line="342" w:lineRule="auto"/>
        <w:rPr>
          <w:rFonts w:ascii="Arial" w:cs="Arial" w:eastAsia="Arial" w:hAnsi="Arial"/>
          <w:sz w:val="18"/>
          <w:szCs w:val="18"/>
          <w:color w:val="auto"/>
        </w:rPr>
      </w:pPr>
      <w:r>
        <w:rPr>
          <w:rFonts w:ascii="Arial" w:cs="Arial" w:eastAsia="Arial" w:hAnsi="Arial"/>
          <w:sz w:val="16"/>
          <w:szCs w:val="16"/>
          <w:color w:val="auto"/>
        </w:rPr>
        <w:t>Interest expense is net of amounts capitalized for expansion capital projects and does not include interest on borrowings for hedged inventory. We treat interest on hedged inventory borrowings as carrying costs of crude oil, NGL, and natural gas and include it in purchases and related costs.</w:t>
      </w:r>
    </w:p>
    <w:p>
      <w:pPr>
        <w:spacing w:after="0" w:line="123" w:lineRule="exact"/>
        <w:rPr>
          <w:rFonts w:ascii="Arial" w:cs="Arial" w:eastAsia="Arial" w:hAnsi="Arial"/>
          <w:sz w:val="18"/>
          <w:szCs w:val="18"/>
          <w:color w:val="auto"/>
        </w:rPr>
      </w:pPr>
    </w:p>
    <w:p>
      <w:pPr>
        <w:ind w:left="340" w:right="140" w:hanging="314"/>
        <w:spacing w:after="0" w:line="259" w:lineRule="auto"/>
        <w:tabs>
          <w:tab w:leader="none" w:pos="344"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We expect our Canadian income tax expense to be approximately $45 million and $60 million for the three-month and twelve-month</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ending December 31, 2016, respectively, of which approximately $23 million and $68 million, respectively, is classified as a current income tax expense. For the twelve-month period ending December 31, 2016 we expect to have a deferred tax benefit of $8 million. All or part of the annual income tax expense of $60 million may result in a tax credit to our equity holders.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340" w:right="28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Equity-Indexed Compensation Plans. </w:t>
      </w:r>
      <w:r>
        <w:rPr>
          <w:rFonts w:ascii="Arial" w:cs="Arial" w:eastAsia="Arial" w:hAnsi="Arial"/>
          <w:sz w:val="18"/>
          <w:szCs w:val="18"/>
          <w:color w:val="auto"/>
        </w:rPr>
        <w:t>Certain grants outstanding under our various equity-indexed compensation plans contain vesting criteria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a combination of performance benchmarks and service periods. The grants will vest in various percentages, typically on the later to occur of specified vesting dates and the dates on which minimum distribution levels are reached.</w:t>
      </w:r>
    </w:p>
    <w:p>
      <w:pPr>
        <w:spacing w:after="0" w:line="181" w:lineRule="exact"/>
        <w:rPr>
          <w:rFonts w:ascii="Arial" w:cs="Arial" w:eastAsia="Arial" w:hAnsi="Arial"/>
          <w:sz w:val="18"/>
          <w:szCs w:val="18"/>
          <w:color w:val="auto"/>
        </w:rPr>
      </w:pPr>
    </w:p>
    <w:p>
      <w:pPr>
        <w:ind w:left="340" w:right="20"/>
        <w:spacing w:after="0" w:line="264" w:lineRule="auto"/>
        <w:rPr>
          <w:rFonts w:ascii="Arial" w:cs="Arial" w:eastAsia="Arial" w:hAnsi="Arial"/>
          <w:sz w:val="18"/>
          <w:szCs w:val="18"/>
          <w:color w:val="auto"/>
        </w:rPr>
      </w:pPr>
      <w:r>
        <w:rPr>
          <w:rFonts w:ascii="Arial" w:cs="Arial" w:eastAsia="Arial" w:hAnsi="Arial"/>
          <w:sz w:val="18"/>
          <w:szCs w:val="18"/>
          <w:color w:val="auto"/>
        </w:rPr>
        <w:t>Guidance assumes a market price of $31 per unit as well as an accrual associated with awards that will vest on a certain date. A $2 change in the unit price would change the fourth-quarter equity-indexed compensation expense by approximately $2 million. Therefore, actual net income could differ from our projections.</w:t>
      </w:r>
    </w:p>
    <w:p>
      <w:pPr>
        <w:spacing w:after="0" w:line="181" w:lineRule="exact"/>
        <w:rPr>
          <w:rFonts w:ascii="Arial" w:cs="Arial" w:eastAsia="Arial" w:hAnsi="Arial"/>
          <w:sz w:val="18"/>
          <w:szCs w:val="18"/>
          <w:color w:val="auto"/>
        </w:rPr>
      </w:pPr>
    </w:p>
    <w:p>
      <w:pPr>
        <w:ind w:left="340" w:right="66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Reconciliation of Net Income to EBITDA, Adjusted EBITDA, and Implied DCF. </w:t>
      </w:r>
      <w:r>
        <w:rPr>
          <w:rFonts w:ascii="Arial" w:cs="Arial" w:eastAsia="Arial" w:hAnsi="Arial"/>
          <w:sz w:val="18"/>
          <w:szCs w:val="18"/>
          <w:color w:val="auto"/>
        </w:rPr>
        <w:t>The following table reconciles net income to EBITDA,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 and Implied DCF for the indicated periods.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Actual</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4"/>
          </w:tcPr>
          <w:p>
            <w:pPr>
              <w:jc w:val="right"/>
              <w:ind w:right="65"/>
              <w:spacing w:after="0"/>
              <w:rPr>
                <w:sz w:val="20"/>
                <w:szCs w:val="20"/>
                <w:color w:val="auto"/>
              </w:rPr>
            </w:pPr>
            <w:r>
              <w:rPr>
                <w:rFonts w:ascii="Arial" w:cs="Arial" w:eastAsia="Arial" w:hAnsi="Arial"/>
                <w:sz w:val="14"/>
                <w:szCs w:val="14"/>
                <w:b w:val="1"/>
                <w:bCs w:val="1"/>
                <w:color w:val="auto"/>
              </w:rPr>
              <w:t>Guidance</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75"/>
              <w:spacing w:after="0" w:line="119" w:lineRule="exact"/>
              <w:rPr>
                <w:sz w:val="20"/>
                <w:szCs w:val="20"/>
                <w:color w:val="auto"/>
              </w:rPr>
            </w:pPr>
            <w:r>
              <w:rPr>
                <w:rFonts w:ascii="Arial" w:cs="Arial" w:eastAsia="Arial" w:hAnsi="Arial"/>
                <w:sz w:val="13"/>
                <w:szCs w:val="13"/>
                <w:b w:val="1"/>
                <w:bCs w:val="1"/>
                <w:color w:val="auto"/>
              </w:rPr>
              <w:t>9 Months</w:t>
            </w:r>
          </w:p>
        </w:tc>
        <w:tc>
          <w:tcPr>
            <w:tcW w:w="2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3 Months Ending</w:t>
            </w:r>
          </w:p>
        </w:tc>
        <w:tc>
          <w:tcPr>
            <w:tcW w:w="7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260" w:type="dxa"/>
            <w:vAlign w:val="bottom"/>
            <w:tcBorders>
              <w:top w:val="single" w:sz="8" w:color="auto"/>
            </w:tcBorders>
            <w:gridSpan w:val="5"/>
          </w:tcPr>
          <w:p>
            <w:pPr>
              <w:jc w:val="right"/>
              <w:ind w:right="631"/>
              <w:spacing w:after="0" w:line="119" w:lineRule="exact"/>
              <w:rPr>
                <w:sz w:val="20"/>
                <w:szCs w:val="20"/>
                <w:color w:val="auto"/>
              </w:rPr>
            </w:pPr>
            <w:r>
              <w:rPr>
                <w:rFonts w:ascii="Arial" w:cs="Arial" w:eastAsia="Arial" w:hAnsi="Arial"/>
                <w:sz w:val="13"/>
                <w:szCs w:val="13"/>
                <w:b w:val="1"/>
                <w:bCs w:val="1"/>
                <w:color w:val="auto"/>
              </w:rPr>
              <w:t>12 Months Ending</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Ended</w:t>
            </w: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4"/>
                <w:szCs w:val="14"/>
                <w:b w:val="1"/>
                <w:bCs w:val="1"/>
                <w:color w:val="auto"/>
              </w:rPr>
              <w:t>Dec 31, 2016</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Dec 31, 2016</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0"/>
              </w:rPr>
              <w:t>Sep 30, 2016</w:t>
            </w: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Low</w:t>
            </w: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w w:val="96"/>
              </w:rPr>
              <w:t>High</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Low</w:t>
            </w: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Reconciliation to EBITDA, Adjusted EBITDA and</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Implied DCF</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602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269</w:t>
            </w:r>
          </w:p>
        </w:tc>
        <w:tc>
          <w:tcPr>
            <w:tcW w:w="400" w:type="dxa"/>
            <w:vAlign w:val="bottom"/>
          </w:tcPr>
          <w:p>
            <w:pPr>
              <w:jc w:val="right"/>
              <w:ind w:right="214"/>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331</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871</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EBITDA</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28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w w:val="97"/>
              </w:rPr>
              <w:t>Selected items impacting comparability of EBITDA</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224</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ind w:left="360"/>
              <w:spacing w:after="0" w:line="23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(1)</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(327)</w:t>
            </w:r>
          </w:p>
        </w:tc>
        <w:tc>
          <w:tcPr>
            <w:tcW w:w="2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c>
          <w:tcPr>
            <w:tcW w:w="2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(443)</w:t>
            </w:r>
          </w:p>
        </w:tc>
        <w:tc>
          <w:tcPr>
            <w:tcW w:w="2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(439)</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 capital</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Current income tax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Pr>
          <w:p>
            <w:pPr>
              <w:ind w:left="180"/>
              <w:spacing w:after="0"/>
              <w:rPr>
                <w:sz w:val="20"/>
                <w:szCs w:val="20"/>
                <w:color w:val="auto"/>
              </w:rPr>
            </w:pPr>
            <w:r>
              <w:rPr>
                <w:rFonts w:ascii="Arial" w:cs="Arial" w:eastAsia="Arial" w:hAnsi="Arial"/>
                <w:sz w:val="18"/>
                <w:szCs w:val="18"/>
                <w:color w:val="auto"/>
              </w:rPr>
              <w:t>Implied DCF</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2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Excludes certain non-cash items impacting interest expense such as amortization of debt issuance costs and terminated interest rate swaps.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2017 Guidance</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There have been recent indications that the current industry cycle for crude oil markets has stabilized and upstream activity levels are increasing in certain regions. However, certain of these positive developments will impact the midstream sector on a delayed basis. Additionally, as production growth returns in certain basins impacted by shippers with minimum volume commitments (MVCs) in excess of volumes they control, a meaningful portion of the incremental production will go to fill current MVC shortfalls on either PAA’s or competitors’ pipelines and therefore will not have a linear impact on transportation revenues. Accordingly, as a result of these factors and uncertainty generally, we anticipate the next nine months or more will continue to be challenging for the midstream sector and competition for the marginal crude oil and NGL barrel will remain high, resulting in continued margin compression.</w:t>
      </w:r>
    </w:p>
    <w:p>
      <w:pPr>
        <w:spacing w:after="0" w:line="165"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Adjusted EBITDA also reflects reductions associated with recent and anticipated assets sales and assets contributed to joint ventures, which are reported on the equity method of accounting. The impact on DCF of these reductions is partially offset by associated reductions in maintenance capital and adding back distributions in excess of our share of joint venture income. On that basis, our preliminary 2017 guidance forecast is as follows:</w:t>
      </w:r>
    </w:p>
    <w:p>
      <w:pPr>
        <w:spacing w:after="0" w:line="143" w:lineRule="exact"/>
        <w:rPr>
          <w:sz w:val="20"/>
          <w:szCs w:val="20"/>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 $2.3 billion</w:t>
      </w:r>
    </w:p>
    <w:p>
      <w:pPr>
        <w:spacing w:after="0" w:line="27"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Maintenance Capital: </w:t>
      </w:r>
      <w:r>
        <w:rPr>
          <w:rFonts w:ascii="Arial" w:cs="Arial" w:eastAsia="Arial" w:hAnsi="Arial"/>
          <w:sz w:val="18"/>
          <w:szCs w:val="18"/>
          <w:color w:val="auto"/>
        </w:rPr>
        <w:t>+/- $180 million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Cash Interest Expense: </w:t>
      </w:r>
      <w:r>
        <w:rPr>
          <w:rFonts w:ascii="Arial" w:cs="Arial" w:eastAsia="Arial" w:hAnsi="Arial"/>
          <w:sz w:val="18"/>
          <w:szCs w:val="18"/>
          <w:color w:val="auto"/>
        </w:rPr>
        <w:t>+/- $470 million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Income Taxes &amp; Other, net: </w:t>
      </w:r>
      <w:r>
        <w:rPr>
          <w:rFonts w:ascii="Arial" w:cs="Arial" w:eastAsia="Arial" w:hAnsi="Arial"/>
          <w:sz w:val="18"/>
          <w:szCs w:val="18"/>
          <w:color w:val="auto"/>
        </w:rPr>
        <w:t>+/- $50 million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Implied Distributable Cash Flow: </w:t>
      </w:r>
      <w:r>
        <w:rPr>
          <w:rFonts w:ascii="Arial" w:cs="Arial" w:eastAsia="Arial" w:hAnsi="Arial"/>
          <w:sz w:val="18"/>
          <w:szCs w:val="18"/>
          <w:color w:val="auto"/>
        </w:rPr>
        <w:t>+/- $1.6 billion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Expansion Capital: </w:t>
      </w:r>
      <w:r>
        <w:rPr>
          <w:rFonts w:ascii="Arial" w:cs="Arial" w:eastAsia="Arial" w:hAnsi="Arial"/>
          <w:sz w:val="18"/>
          <w:szCs w:val="18"/>
          <w:color w:val="auto"/>
        </w:rPr>
        <w:t>$500 million - $700 million</w:t>
      </w:r>
    </w:p>
    <w:p>
      <w:pPr>
        <w:sectPr>
          <w:pgSz w:w="11900" w:h="16838" w:orient="portrait"/>
          <w:cols w:equalWidth="0" w:num="1">
            <w:col w:w="11420"/>
          </w:cols>
          <w:pgMar w:left="240" w:top="125" w:right="239" w:bottom="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285"/>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jc w:val="both"/>
        <w:ind w:left="340" w:right="80" w:hanging="332"/>
        <w:spacing w:after="0" w:line="286" w:lineRule="auto"/>
        <w:tabs>
          <w:tab w:leader="none" w:pos="304"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65" w:lineRule="exact"/>
        <w:rPr>
          <w:rFonts w:ascii="Arial" w:cs="Arial" w:eastAsia="Arial" w:hAnsi="Arial"/>
          <w:sz w:val="17"/>
          <w:szCs w:val="17"/>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340" w:right="240" w:hanging="332"/>
        <w:spacing w:after="0" w:line="277" w:lineRule="auto"/>
        <w:tabs>
          <w:tab w:leader="none" w:pos="3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or other event, including attacks on our electronic and computer systems;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340" w:right="300" w:hanging="332"/>
        <w:spacing w:after="0" w:line="308" w:lineRule="auto"/>
        <w:tabs>
          <w:tab w:leader="none" w:pos="30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46" w:lineRule="exact"/>
        <w:rPr>
          <w:rFonts w:ascii="Arial" w:cs="Arial" w:eastAsia="Arial" w:hAnsi="Arial"/>
          <w:sz w:val="17"/>
          <w:szCs w:val="17"/>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continued creditworthiness of, and performance by, our counterparties, including financial institutions and trading companies with which we do business;</w:t>
      </w:r>
    </w:p>
    <w:p>
      <w:pPr>
        <w:spacing w:after="0" w:line="248" w:lineRule="exact"/>
        <w:rPr>
          <w:rFonts w:ascii="Arial" w:cs="Arial" w:eastAsia="Arial" w:hAnsi="Arial"/>
          <w:sz w:val="16"/>
          <w:szCs w:val="16"/>
          <w:color w:val="auto"/>
        </w:rPr>
      </w:pPr>
    </w:p>
    <w:p>
      <w:pPr>
        <w:ind w:left="340" w:right="660" w:hanging="332"/>
        <w:spacing w:after="0" w:line="277" w:lineRule="auto"/>
        <w:tabs>
          <w:tab w:leader="none" w:pos="3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340" w:right="360" w:hanging="332"/>
        <w:spacing w:after="0" w:line="277" w:lineRule="auto"/>
        <w:tabs>
          <w:tab w:leader="none" w:pos="3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hanging="29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including our ability to satisfy our contractual obligations to our customers;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340" w:right="680" w:hanging="332"/>
        <w:spacing w:after="0" w:line="277" w:lineRule="auto"/>
        <w:tabs>
          <w:tab w:leader="none" w:pos="3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340" w:right="480" w:hanging="332"/>
        <w:spacing w:after="0" w:line="277" w:lineRule="auto"/>
        <w:tabs>
          <w:tab w:leader="none" w:pos="3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ectPr>
          <w:pgSz w:w="11900" w:h="16838" w:orient="portrait"/>
          <w:cols w:equalWidth="0" w:num="1">
            <w:col w:w="11380"/>
          </w:cols>
          <w:pgMar w:left="240" w:top="341" w:right="279" w:bottom="0" w:gutter="0" w:footer="0" w:header="0"/>
        </w:sectPr>
      </w:pPr>
    </w:p>
    <w:bookmarkStart w:id="8" w:name="page9"/>
    <w:bookmarkEnd w:id="8"/>
    <w:p>
      <w:pPr>
        <w:ind w:right="38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80" w:firstLine="28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720" w:type="dxa"/>
            <w:vAlign w:val="bottom"/>
            <w:gridSpan w:val="2"/>
          </w:tcPr>
          <w:p>
            <w:pPr>
              <w:ind w:left="208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4"/>
                <w:szCs w:val="24"/>
                <w:color w:val="auto"/>
              </w:rPr>
            </w:pPr>
          </w:p>
        </w:tc>
        <w:tc>
          <w:tcPr>
            <w:tcW w:w="258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700" w:type="dxa"/>
            <w:vAlign w:val="bottom"/>
          </w:tcPr>
          <w:p>
            <w:pPr>
              <w:spacing w:after="0"/>
              <w:rPr>
                <w:sz w:val="24"/>
                <w:szCs w:val="24"/>
                <w:color w:val="auto"/>
              </w:rPr>
            </w:pPr>
          </w:p>
        </w:tc>
        <w:tc>
          <w:tcPr>
            <w:tcW w:w="258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PLAINS AAP, L. P., its sole member</w:t>
            </w:r>
          </w:p>
        </w:tc>
        <w:tc>
          <w:tcPr>
            <w:tcW w:w="40" w:type="dxa"/>
            <w:vAlign w:val="bottom"/>
          </w:tcPr>
          <w:p>
            <w:pPr>
              <w:spacing w:after="0"/>
              <w:rPr>
                <w:sz w:val="24"/>
                <w:szCs w:val="24"/>
                <w:color w:val="auto"/>
              </w:rPr>
            </w:pPr>
          </w:p>
        </w:tc>
      </w:tr>
      <w:tr>
        <w:trPr>
          <w:trHeight w:val="432"/>
        </w:trPr>
        <w:tc>
          <w:tcPr>
            <w:tcW w:w="3700" w:type="dxa"/>
            <w:vAlign w:val="bottom"/>
          </w:tcPr>
          <w:p>
            <w:pPr>
              <w:spacing w:after="0"/>
              <w:rPr>
                <w:sz w:val="24"/>
                <w:szCs w:val="24"/>
                <w:color w:val="auto"/>
              </w:rPr>
            </w:pPr>
          </w:p>
        </w:tc>
        <w:tc>
          <w:tcPr>
            <w:tcW w:w="258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2, 2016</w:t>
            </w:r>
          </w:p>
        </w:tc>
        <w:tc>
          <w:tcPr>
            <w:tcW w:w="258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Spurlin</w:t>
            </w:r>
          </w:p>
        </w:tc>
        <w:tc>
          <w:tcPr>
            <w:tcW w:w="40" w:type="dxa"/>
            <w:vAlign w:val="bottom"/>
          </w:tcPr>
          <w:p>
            <w:pPr>
              <w:spacing w:after="0"/>
              <w:rPr>
                <w:sz w:val="24"/>
                <w:szCs w:val="24"/>
                <w:color w:val="auto"/>
              </w:rPr>
            </w:pPr>
          </w:p>
        </w:tc>
      </w:tr>
      <w:tr>
        <w:trPr>
          <w:trHeight w:val="195"/>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Sharon Spurlin</w:t>
            </w:r>
          </w:p>
        </w:tc>
        <w:tc>
          <w:tcPr>
            <w:tcW w:w="40" w:type="dxa"/>
            <w:vAlign w:val="bottom"/>
          </w:tcPr>
          <w:p>
            <w:pPr>
              <w:spacing w:after="0"/>
              <w:rPr>
                <w:sz w:val="16"/>
                <w:szCs w:val="16"/>
                <w:color w:val="auto"/>
              </w:rPr>
            </w:pPr>
          </w:p>
        </w:tc>
      </w:t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88"/>
              </w:rPr>
              <w:t>Title:</w:t>
            </w:r>
            <w:r>
              <w:rPr>
                <w:rFonts w:ascii="Arial" w:cs="Arial" w:eastAsia="Arial" w:hAnsi="Arial"/>
                <w:sz w:val="18"/>
                <w:szCs w:val="18"/>
                <w:i w:val="1"/>
                <w:iCs w:val="1"/>
                <w:color w:val="auto"/>
                <w:w w:val="88"/>
              </w:rPr>
              <w:t>Vice President and Treasurer</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4"/>
                <w:szCs w:val="24"/>
                <w:color w:val="auto"/>
              </w:rPr>
            </w:pPr>
          </w:p>
        </w:tc>
        <w:tc>
          <w:tcPr>
            <w:tcW w:w="2580" w:type="dxa"/>
            <w:vAlign w:val="bottom"/>
          </w:tcPr>
          <w:p>
            <w:pPr>
              <w:ind w:left="1920"/>
              <w:spacing w:after="0"/>
              <w:rPr>
                <w:sz w:val="20"/>
                <w:szCs w:val="20"/>
                <w:color w:val="auto"/>
              </w:rPr>
            </w:pPr>
            <w:r>
              <w:rPr>
                <w:rFonts w:ascii="Arial" w:cs="Arial" w:eastAsia="Arial" w:hAnsi="Arial"/>
                <w:sz w:val="18"/>
                <w:szCs w:val="18"/>
                <w:color w:val="auto"/>
              </w:rPr>
              <w:t>12</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00" w:type="dxa"/>
            <w:vAlign w:val="bottom"/>
            <w:tcBorders>
              <w:bottom w:val="single" w:sz="8" w:color="808080"/>
            </w:tcBorders>
          </w:tcPr>
          <w:p>
            <w:pPr>
              <w:spacing w:after="0"/>
              <w:rPr>
                <w:sz w:val="11"/>
                <w:szCs w:val="11"/>
                <w:color w:val="auto"/>
              </w:rPr>
            </w:pPr>
          </w:p>
        </w:tc>
        <w:tc>
          <w:tcPr>
            <w:tcW w:w="258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6174740" cy="831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7474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 and Plains GP Holdings Report Third-Quarter 2016 Results</w:t>
      </w:r>
    </w:p>
    <w:p>
      <w:pPr>
        <w:spacing w:after="0" w:line="229" w:lineRule="exact"/>
        <w:rPr>
          <w:sz w:val="20"/>
          <w:szCs w:val="20"/>
          <w:color w:val="auto"/>
        </w:rPr>
      </w:pPr>
    </w:p>
    <w:p>
      <w:pPr>
        <w:ind w:right="40" w:firstLine="706"/>
        <w:spacing w:after="0" w:line="277" w:lineRule="auto"/>
        <w:rPr>
          <w:sz w:val="20"/>
          <w:szCs w:val="20"/>
          <w:color w:val="auto"/>
        </w:rPr>
      </w:pPr>
      <w:r>
        <w:rPr>
          <w:rFonts w:ascii="Arial" w:cs="Arial" w:eastAsia="Arial" w:hAnsi="Arial"/>
          <w:sz w:val="18"/>
          <w:szCs w:val="18"/>
          <w:color w:val="auto"/>
        </w:rPr>
        <w:t>(Houston — November 2, 2016) Plains All American Pipeline, L.P. (NYSE: PAA) and Plains GP Holdings (NYSE: PAGP) today reported third-quarter 2016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Nine Months Ended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ind w:left="30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0.24</w:t>
            </w:r>
          </w:p>
        </w:tc>
        <w:tc>
          <w:tcPr>
            <w:tcW w:w="1200" w:type="dxa"/>
            <w:vAlign w:val="bottom"/>
            <w:tcBorders>
              <w:right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67%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0.27</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0.53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common units outstanding</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w:t>
            </w:r>
          </w:p>
        </w:tc>
        <w:tc>
          <w:tcPr>
            <w:tcW w:w="120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42"/>
        </w:trPr>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Nine Months Ended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ind w:left="30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0.28</w:t>
            </w:r>
          </w:p>
        </w:tc>
        <w:tc>
          <w:tcPr>
            <w:tcW w:w="1200" w:type="dxa"/>
            <w:vAlign w:val="bottom"/>
            <w:tcBorders>
              <w:right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39%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0.72</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1.11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w:t>
            </w:r>
          </w:p>
        </w:tc>
        <w:tc>
          <w:tcPr>
            <w:tcW w:w="1200" w:type="dxa"/>
            <w:vAlign w:val="bottom"/>
            <w:tcBorders>
              <w:right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1,307</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497</w:t>
            </w:r>
          </w:p>
        </w:tc>
        <w:tc>
          <w:tcPr>
            <w:tcW w:w="120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1,531</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1,605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common unit declared for the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700</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380" w:type="dxa"/>
            <w:vAlign w:val="bottom"/>
            <w:tcBorders>
              <w:top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1"/>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60" w:hanging="332"/>
        <w:spacing w:after="0"/>
        <w:tabs>
          <w:tab w:leader="none" w:pos="32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204"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“PAA reported third-quarter adjusted EBITDA of $450 million, which included solid performance in our fee-based Facilities segment and in-line performance from our fee-based Transportation segment, offset by Supply and Logistics segment performance that was below the low-end of our third quarter guidance. Our third quarter Supply and Logistics segment was impacted by a combination of delayed EBITDA recognition associated with our NGL inventory costing and the timing of crude oil sales, as well as lower than forecasted EBITDA as a result of continued margin compression and less favorable market conditions for both our crude oil and NGL activities,” said Greg Armstrong, Chairman and CEO of Plains All American.</w:t>
      </w:r>
    </w:p>
    <w:p>
      <w:pPr>
        <w:sectPr>
          <w:pgSz w:w="11900" w:h="16838" w:orient="portrait"/>
          <w:cols w:equalWidth="0" w:num="1">
            <w:col w:w="11460"/>
          </w:cols>
          <w:pgMar w:left="240" w:top="125" w:right="19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“Looking forward, we are encouraged by recent signals that indicate the current industry cycle has reached a bottom and are supportive of PAA’s positive intermediate-to-long term view. However, we continue to anticipate a challenging midstream environment over the near term and we have incorporated those expectations into our forward guidance.”</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Armstrong noted that in response to the industry downturn that began approximately two years ago, PAA had taken a number of actions to mitigate the adverse impacts and position PAA to manage through challenging market conditions. Such actions include:</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Reducing capital commitments through scope changes and project deferrals;</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Selling non-core assets and entering into strategic joint ventures which collectively raised approximately $550 million, reduced PAA’s capital commitments by approximately $600 million and secured complementary partners/shippers;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Securing $1.6 billion of non-conventional financing;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Intensifying efforts to capture incremental gathering and transportation barrels; and</w:t>
      </w:r>
    </w:p>
    <w:p>
      <w:pPr>
        <w:spacing w:after="0" w:line="225" w:lineRule="exact"/>
        <w:rPr>
          <w:rFonts w:ascii="Arial" w:cs="Arial" w:eastAsia="Arial" w:hAnsi="Arial"/>
          <w:sz w:val="18"/>
          <w:szCs w:val="18"/>
          <w:color w:val="auto"/>
        </w:rPr>
      </w:pPr>
    </w:p>
    <w:p>
      <w:pPr>
        <w:ind w:left="660" w:right="180" w:hanging="328"/>
        <w:spacing w:after="0" w:line="264" w:lineRule="auto"/>
        <w:tabs>
          <w:tab w:leader="none" w:pos="6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Lowering its incremental cost of equity capital by executing an agreement to eliminate PAA’s incentive distribution rights and, in connection therewith, resetting PAA’s annualized distribution from $2.80 to $2.20 per common unit, which resulted in a $320 million annual reduction in cash distributions.</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Armstrong continued “As a result of these actions, we believe PAA is positioned to manage through the balance of the down-cycle, benefit significantly during a recovery as U.S. &amp; Canadian oil production increases and capitalize on attractive opportunities.”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selected PAA financial information by segment for the third quarter and first nine months of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w:t>
      </w:r>
    </w:p>
    <w:p>
      <w:pPr>
        <w:sectPr>
          <w:pgSz w:w="11900" w:h="16838" w:orient="portrait"/>
          <w:cols w:equalWidth="0" w:num="1">
            <w:col w:w="11400"/>
          </w:cols>
          <w:pgMar w:left="240" w:top="125" w:right="259" w:bottom="1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Reported segment profit/(loss)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Selected items impacting</w:t>
      </w:r>
    </w:p>
    <w:p>
      <w:pPr>
        <w:spacing w:after="0" w:line="23" w:lineRule="exact"/>
        <w:rPr>
          <w:sz w:val="20"/>
          <w:szCs w:val="20"/>
          <w:color w:val="auto"/>
        </w:rPr>
      </w:pPr>
    </w:p>
    <w:p>
      <w:pPr>
        <w:ind w:left="380" w:right="400"/>
        <w:spacing w:after="0" w:line="220" w:lineRule="auto"/>
        <w:rPr>
          <w:sz w:val="20"/>
          <w:szCs w:val="20"/>
          <w:color w:val="auto"/>
        </w:rPr>
      </w:pPr>
      <w:r>
        <w:rPr>
          <w:rFonts w:ascii="Arial" w:cs="Arial" w:eastAsia="Arial" w:hAnsi="Arial"/>
          <w:sz w:val="18"/>
          <w:szCs w:val="18"/>
          <w:color w:val="auto"/>
        </w:rPr>
        <w:t xml:space="preserve">comparability of segment profit </w:t>
      </w:r>
      <w:r>
        <w:rPr>
          <w:rFonts w:ascii="Arial" w:cs="Arial" w:eastAsia="Arial" w:hAnsi="Arial"/>
          <w:sz w:val="23"/>
          <w:szCs w:val="23"/>
          <w:color w:val="auto"/>
          <w:vertAlign w:val="superscript"/>
        </w:rPr>
        <w:t>(2)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Adjusted segment profit/(loss)</w:t>
      </w:r>
    </w:p>
    <w:p>
      <w:pPr>
        <w:spacing w:after="0" w:line="20" w:lineRule="exact"/>
        <w:rPr>
          <w:sz w:val="20"/>
          <w:szCs w:val="20"/>
          <w:color w:val="auto"/>
        </w:rPr>
      </w:pPr>
    </w:p>
    <w:p>
      <w:pPr>
        <w:ind w:left="180" w:hanging="181"/>
        <w:spacing w:after="0" w:line="271" w:lineRule="auto"/>
        <w:rPr>
          <w:sz w:val="20"/>
          <w:szCs w:val="20"/>
          <w:color w:val="auto"/>
        </w:rPr>
      </w:pPr>
      <w:r>
        <w:rPr>
          <w:rFonts w:ascii="Arial" w:cs="Arial" w:eastAsia="Arial" w:hAnsi="Arial"/>
          <w:sz w:val="17"/>
          <w:szCs w:val="17"/>
          <w:b w:val="1"/>
          <w:bCs w:val="1"/>
          <w:i w:val="1"/>
          <w:iCs w:val="1"/>
          <w:color w:val="auto"/>
        </w:rPr>
        <w:t>Percentage change in reported segment profit/(loss) versus 2015 period</w:t>
      </w:r>
    </w:p>
    <w:p>
      <w:pPr>
        <w:ind w:left="180" w:hanging="181"/>
        <w:spacing w:after="0" w:line="277" w:lineRule="auto"/>
        <w:rPr>
          <w:sz w:val="20"/>
          <w:szCs w:val="20"/>
          <w:color w:val="auto"/>
        </w:rPr>
      </w:pPr>
      <w:r>
        <w:rPr>
          <w:rFonts w:ascii="Arial" w:cs="Arial" w:eastAsia="Arial" w:hAnsi="Arial"/>
          <w:sz w:val="17"/>
          <w:szCs w:val="17"/>
          <w:b w:val="1"/>
          <w:bCs w:val="1"/>
          <w:i w:val="1"/>
          <w:iCs w:val="1"/>
          <w:color w:val="auto"/>
        </w:rPr>
        <w:t>Percentage change in adjusted segment profit/(loss) versus 2015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0" w:right="620" w:hanging="181"/>
        <w:spacing w:after="0" w:line="300" w:lineRule="auto"/>
        <w:rPr>
          <w:sz w:val="20"/>
          <w:szCs w:val="20"/>
          <w:color w:val="auto"/>
        </w:rPr>
      </w:pPr>
      <w:r>
        <w:rPr>
          <w:rFonts w:ascii="Arial" w:cs="Arial" w:eastAsia="Arial" w:hAnsi="Arial"/>
          <w:sz w:val="16"/>
          <w:szCs w:val="16"/>
          <w:color w:val="auto"/>
        </w:rPr>
        <w:t>Reported segment profit Selected items impacting</w:t>
      </w:r>
    </w:p>
    <w:p>
      <w:pPr>
        <w:ind w:left="380" w:right="400"/>
        <w:spacing w:after="0" w:line="220" w:lineRule="auto"/>
        <w:rPr>
          <w:sz w:val="20"/>
          <w:szCs w:val="20"/>
          <w:color w:val="auto"/>
        </w:rPr>
      </w:pPr>
      <w:r>
        <w:rPr>
          <w:rFonts w:ascii="Arial" w:cs="Arial" w:eastAsia="Arial" w:hAnsi="Arial"/>
          <w:sz w:val="18"/>
          <w:szCs w:val="18"/>
          <w:color w:val="auto"/>
        </w:rPr>
        <w:t xml:space="preserve">comparability of segment profit </w:t>
      </w:r>
      <w:r>
        <w:rPr>
          <w:rFonts w:ascii="Arial" w:cs="Arial" w:eastAsia="Arial" w:hAnsi="Arial"/>
          <w:sz w:val="23"/>
          <w:szCs w:val="23"/>
          <w:color w:val="auto"/>
          <w:vertAlign w:val="superscript"/>
        </w:rPr>
        <w:t>(2)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Adjusted segment profit</w:t>
      </w:r>
    </w:p>
    <w:p>
      <w:pPr>
        <w:spacing w:after="0" w:line="20" w:lineRule="exact"/>
        <w:rPr>
          <w:sz w:val="20"/>
          <w:szCs w:val="20"/>
          <w:color w:val="auto"/>
        </w:rPr>
      </w:pPr>
    </w:p>
    <w:p>
      <w:pPr>
        <w:ind w:left="180" w:right="340" w:hanging="181"/>
        <w:spacing w:after="0" w:line="256" w:lineRule="auto"/>
        <w:rPr>
          <w:sz w:val="20"/>
          <w:szCs w:val="20"/>
          <w:color w:val="auto"/>
        </w:rPr>
      </w:pPr>
      <w:r>
        <w:rPr>
          <w:rFonts w:ascii="Arial" w:cs="Arial" w:eastAsia="Arial" w:hAnsi="Arial"/>
          <w:sz w:val="18"/>
          <w:szCs w:val="18"/>
          <w:b w:val="1"/>
          <w:bCs w:val="1"/>
          <w:i w:val="1"/>
          <w:iCs w:val="1"/>
          <w:color w:val="auto"/>
        </w:rPr>
        <w:t>Percentage change in reported segment profit versus 2015 period</w:t>
      </w:r>
    </w:p>
    <w:p>
      <w:pPr>
        <w:ind w:left="180" w:right="340" w:hanging="181"/>
        <w:spacing w:after="0" w:line="255" w:lineRule="auto"/>
        <w:rPr>
          <w:sz w:val="20"/>
          <w:szCs w:val="20"/>
          <w:color w:val="auto"/>
        </w:rPr>
      </w:pPr>
      <w:r>
        <w:rPr>
          <w:rFonts w:ascii="Arial" w:cs="Arial" w:eastAsia="Arial" w:hAnsi="Arial"/>
          <w:sz w:val="18"/>
          <w:szCs w:val="18"/>
          <w:b w:val="1"/>
          <w:bCs w:val="1"/>
          <w:i w:val="1"/>
          <w:iCs w:val="1"/>
          <w:color w:val="auto"/>
        </w:rPr>
        <w:t>Percentage change in adjusted segment profit versus 2015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 2016</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 2015</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11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7"/>
              </w:rPr>
              <w:t>Transportation</w:t>
            </w:r>
          </w:p>
        </w:tc>
        <w:tc>
          <w:tcPr>
            <w:tcW w:w="16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Facilities</w:t>
            </w:r>
          </w:p>
        </w:tc>
        <w:tc>
          <w:tcPr>
            <w:tcW w:w="18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56"/>
              <w:spacing w:after="0" w:line="119" w:lineRule="exact"/>
              <w:rPr>
                <w:sz w:val="20"/>
                <w:szCs w:val="20"/>
                <w:color w:val="auto"/>
              </w:rPr>
            </w:pPr>
            <w:r>
              <w:rPr>
                <w:rFonts w:ascii="Arial" w:cs="Arial" w:eastAsia="Arial" w:hAnsi="Arial"/>
                <w:sz w:val="13"/>
                <w:szCs w:val="13"/>
                <w:b w:val="1"/>
                <w:bCs w:val="1"/>
                <w:color w:val="auto"/>
                <w:w w:val="99"/>
              </w:rPr>
              <w:t>Supply and</w:t>
            </w:r>
          </w:p>
        </w:tc>
        <w:tc>
          <w:tcPr>
            <w:tcW w:w="300" w:type="dxa"/>
            <w:vAlign w:val="bottom"/>
            <w:tcBorders>
              <w:right w:val="single" w:sz="8" w:color="auto"/>
            </w:tcBorders>
            <w:gridSpan w:val="2"/>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5"/>
              </w:rPr>
              <w:t>Transportation</w:t>
            </w:r>
          </w:p>
        </w:tc>
        <w:tc>
          <w:tcPr>
            <w:tcW w:w="6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w w:val="99"/>
              </w:rPr>
              <w:t>Supply and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Borders>
              <w:right w:val="single" w:sz="8" w:color="auto"/>
            </w:tcBorders>
            <w:gridSpan w:val="2"/>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7"/>
              </w:rPr>
              <w:t>Logistics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00" w:type="dxa"/>
            <w:vAlign w:val="bottom"/>
            <w:tcBorders>
              <w:right w:val="single" w:sz="8" w:color="auto"/>
            </w:tcBorders>
            <w:gridSpan w:val="2"/>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i w:val="1"/>
                <w:iCs w:val="1"/>
                <w:color w:val="auto"/>
              </w:rPr>
              <w:t>18%</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8"/>
                <w:szCs w:val="18"/>
                <w:b w:val="1"/>
                <w:bCs w:val="1"/>
                <w:i w:val="1"/>
                <w:iCs w:val="1"/>
                <w:color w:val="auto"/>
              </w:rPr>
              <w:t>(107)%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17%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i w:val="1"/>
                <w:iCs w:val="1"/>
                <w:color w:val="auto"/>
              </w:rPr>
              <w:t>16%</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8"/>
                <w:szCs w:val="18"/>
                <w:b w:val="1"/>
                <w:bCs w:val="1"/>
                <w:i w:val="1"/>
                <w:iCs w:val="1"/>
                <w:color w:val="auto"/>
              </w:rPr>
              <w:t>(118)%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4"/>
              </w:rPr>
              <w:t>Nine Months Ended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 2016</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 2015</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130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w w:val="97"/>
              </w:rPr>
              <w:t>Transportation</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Facilities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56"/>
              <w:spacing w:after="0" w:line="119" w:lineRule="exact"/>
              <w:rPr>
                <w:sz w:val="20"/>
                <w:szCs w:val="20"/>
                <w:color w:val="auto"/>
              </w:rPr>
            </w:pPr>
            <w:r>
              <w:rPr>
                <w:rFonts w:ascii="Arial" w:cs="Arial" w:eastAsia="Arial" w:hAnsi="Arial"/>
                <w:sz w:val="13"/>
                <w:szCs w:val="13"/>
                <w:b w:val="1"/>
                <w:bCs w:val="1"/>
                <w:color w:val="auto"/>
                <w:w w:val="99"/>
              </w:rPr>
              <w:t>Supply and</w:t>
            </w:r>
          </w:p>
        </w:tc>
        <w:tc>
          <w:tcPr>
            <w:tcW w:w="300" w:type="dxa"/>
            <w:vAlign w:val="bottom"/>
            <w:tcBorders>
              <w:right w:val="single" w:sz="8" w:color="auto"/>
            </w:tcBorders>
            <w:gridSpan w:val="2"/>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Transportation</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w w:val="99"/>
              </w:rPr>
              <w:t>Supply and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right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87"/>
              </w:rPr>
              <w:t>Logistics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24"/>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2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12%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i w:val="1"/>
                <w:iCs w:val="1"/>
                <w:color w:val="auto"/>
              </w:rPr>
              <w:t>13%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8"/>
                <w:szCs w:val="18"/>
                <w:b w:val="1"/>
                <w:bCs w:val="1"/>
                <w:i w:val="1"/>
                <w:iCs w:val="1"/>
                <w:color w:val="auto"/>
              </w:rPr>
              <w:t>(95)%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i w:val="1"/>
                <w:iCs w:val="1"/>
                <w:color w:val="auto"/>
              </w:rPr>
              <w:t>13%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8"/>
                <w:szCs w:val="18"/>
                <w:b w:val="1"/>
                <w:bCs w:val="1"/>
                <w:i w:val="1"/>
                <w:iCs w:val="1"/>
                <w:color w:val="auto"/>
              </w:rPr>
              <w:t>(49)%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-3627120</wp:posOffset>
            </wp:positionV>
            <wp:extent cx="72466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-3069590</wp:posOffset>
            </wp:positionV>
            <wp:extent cx="72466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-2503805</wp:posOffset>
            </wp:positionV>
            <wp:extent cx="7246620" cy="411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-1551305</wp:posOffset>
            </wp:positionV>
            <wp:extent cx="72466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-994410</wp:posOffset>
            </wp:positionV>
            <wp:extent cx="72466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-427990</wp:posOffset>
            </wp:positionV>
            <wp:extent cx="7246620" cy="411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ectPr>
          <w:pgSz w:w="11900" w:h="16838" w:orient="portrait"/>
          <w:cols w:equalWidth="0" w:num="2">
            <w:col w:w="2620" w:space="260"/>
            <w:col w:w="8520"/>
          </w:cols>
          <w:pgMar w:left="240" w:top="125" w:right="259" w:bottom="103" w:gutter="0" w:footer="0" w:header="0"/>
          <w:type w:val="continuous"/>
        </w:sectPr>
      </w:pPr>
    </w:p>
    <w:bookmarkStart w:id="10" w:name="page11"/>
    <w:bookmarkEnd w:id="10"/>
    <w:p>
      <w:pPr>
        <w:ind w:left="340" w:right="260" w:hanging="332"/>
        <w:spacing w:after="0" w:line="238" w:lineRule="auto"/>
        <w:tabs>
          <w:tab w:leader="none" w:pos="328"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w:t>
      </w:r>
    </w:p>
    <w:p>
      <w:pPr>
        <w:ind w:left="320" w:hanging="312"/>
        <w:spacing w:after="0" w:line="196" w:lineRule="auto"/>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PAGP’s sole assets are its ownership interest in PAA’s general partner and incentive distribution rights.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Q3 2016</w:t>
            </w:r>
          </w:p>
        </w:tc>
        <w:tc>
          <w:tcPr>
            <w:tcW w:w="26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Q2 2016</w:t>
            </w:r>
          </w:p>
        </w:tc>
        <w:tc>
          <w:tcPr>
            <w:tcW w:w="240" w:type="dxa"/>
            <w:vAlign w:val="bottom"/>
          </w:tcPr>
          <w:p>
            <w:pPr>
              <w:spacing w:after="0"/>
              <w:rPr>
                <w:sz w:val="14"/>
                <w:szCs w:val="14"/>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Q3 2015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1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0.2065</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20"/>
                <w:szCs w:val="20"/>
                <w:color w:val="auto"/>
              </w:rPr>
            </w:pPr>
            <w:r>
              <w:rPr>
                <w:rFonts w:ascii="Arial" w:cs="Arial" w:eastAsia="Arial" w:hAnsi="Arial"/>
                <w:sz w:val="18"/>
                <w:szCs w:val="18"/>
                <w:b w:val="1"/>
                <w:bCs w:val="1"/>
                <w:color w:val="auto"/>
                <w:w w:val="92"/>
              </w:rPr>
              <w:t>Q3 2016 distribution percentage change from prior periods</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100" w:type="dxa"/>
            <w:vAlign w:val="bottom"/>
            <w:gridSpan w:val="2"/>
            <w:vMerge w:val="restart"/>
          </w:tcPr>
          <w:p>
            <w:pPr>
              <w:jc w:val="right"/>
              <w:ind w:right="650"/>
              <w:spacing w:after="0"/>
              <w:rPr>
                <w:sz w:val="20"/>
                <w:szCs w:val="20"/>
                <w:color w:val="auto"/>
              </w:rPr>
            </w:pPr>
            <w:r>
              <w:rPr>
                <w:rFonts w:ascii="Arial" w:cs="Arial" w:eastAsia="Arial" w:hAnsi="Arial"/>
                <w:sz w:val="18"/>
                <w:szCs w:val="18"/>
                <w:color w:val="auto"/>
              </w:rPr>
              <w:t>– more –</w:t>
            </w: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tcPr>
          <w:p>
            <w:pPr>
              <w:spacing w:after="0"/>
              <w:rPr>
                <w:sz w:val="24"/>
                <w:szCs w:val="24"/>
                <w:color w:val="auto"/>
              </w:rPr>
            </w:pPr>
          </w:p>
        </w:tc>
        <w:tc>
          <w:tcPr>
            <w:tcW w:w="210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6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68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21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4"/>
              </w:rPr>
              <w:t>Houston, Texas 77002</w:t>
            </w:r>
          </w:p>
        </w:tc>
        <w:tc>
          <w:tcPr>
            <w:tcW w:w="2760" w:type="dxa"/>
            <w:vAlign w:val="bottom"/>
            <w:gridSpan w:val="4"/>
          </w:tcPr>
          <w:p>
            <w:pPr>
              <w:jc w:val="right"/>
              <w:ind w:right="336"/>
              <w:spacing w:after="0"/>
              <w:rPr>
                <w:sz w:val="20"/>
                <w:szCs w:val="20"/>
                <w:color w:val="auto"/>
              </w:rPr>
            </w:pPr>
            <w:r>
              <w:rPr>
                <w:rFonts w:ascii="Arial" w:cs="Arial" w:eastAsia="Arial" w:hAnsi="Arial"/>
                <w:sz w:val="18"/>
                <w:szCs w:val="18"/>
                <w:b w:val="1"/>
                <w:bCs w:val="1"/>
                <w:color w:val="auto"/>
                <w:w w:val="96"/>
              </w:rPr>
              <w:t>713-646-4100 / 866-809-1291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468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PAA and PAGP will hold a conference call on November 3, 2016 (see details below). Prior to this conference call, PAA will furnish a current report on Form 8-K, which will include material in this news release as well as PAA’s financial and operational guidance for the fourth quarter and full year of 2016. A copy of the Form 8-K will be available at www.plainsallamerican.com, where PAA and PAGP routinely post important information.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PAA and PAGP conference call will be held at 11:00 a.m. ET on Thursday, November 3, 2016 to discuss the following items:</w:t>
      </w:r>
    </w:p>
    <w:p>
      <w:pPr>
        <w:spacing w:after="0" w:line="225"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PAA’s third-quarter 2016 performance;</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and operating guidance for the fourth quarter and full year of 2016;</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Capitalization and liquidity;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2017 Preliminary Guidance;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To access the internet webcast of the conference call, please go to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earnings before interest, taxes, depreciation and amortization (“adjusted EBITDA”) and implied distributable cash flow (“DCF”).</w:t>
      </w:r>
    </w:p>
    <w:p>
      <w:pPr>
        <w:spacing w:after="0" w:line="147"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basic and diluted adjusted net income per common unit and adjusted segment profit, as they are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w:t>
      </w:r>
    </w:p>
    <w:p>
      <w:pPr>
        <w:sectPr>
          <w:pgSz w:w="11900" w:h="16838" w:orient="portrait"/>
          <w:cols w:equalWidth="0" w:num="1">
            <w:col w:w="11460"/>
          </w:cols>
          <w:pgMar w:left="240" w:top="125" w:right="199" w:bottom="0" w:gutter="0" w:footer="0" w:header="0"/>
        </w:sectPr>
      </w:pPr>
    </w:p>
    <w:bookmarkStart w:id="11" w:name="page12"/>
    <w:bookmarkEnd w:id="11"/>
    <w:p>
      <w:pPr>
        <w:ind w:right="260"/>
        <w:spacing w:after="0" w:line="264" w:lineRule="auto"/>
        <w:rPr>
          <w:sz w:val="20"/>
          <w:szCs w:val="20"/>
          <w:color w:val="auto"/>
        </w:rPr>
      </w:pPr>
      <w:r>
        <w:rPr>
          <w:rFonts w:ascii="Arial" w:cs="Arial" w:eastAsia="Arial" w:hAnsi="Arial"/>
          <w:sz w:val="18"/>
          <w:szCs w:val="18"/>
          <w:color w:val="auto"/>
        </w:rPr>
        <w:t>items impacting comparability may impact certain non-GAAP financial measures, referred to as adjusted results, but not impact other non-GAAP financial measures. We consider an understanding of these selected items impacting comparability to be material to the evaluation of our operating results and prospects.</w:t>
      </w:r>
    </w:p>
    <w:p>
      <w:pPr>
        <w:spacing w:after="0" w:line="181" w:lineRule="exact"/>
        <w:rPr>
          <w:sz w:val="20"/>
          <w:szCs w:val="20"/>
          <w:color w:val="auto"/>
        </w:rPr>
      </w:pPr>
    </w:p>
    <w:p>
      <w:pPr>
        <w:ind w:right="280" w:firstLine="648"/>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measures are reconciled to the most comparable measures as reported in accordance with GAAP for the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EBITDA as well as certain other commonly used non-GAAP and supplemental financial measures.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 the effects of competition; failure to implement or capitalize, or delays in implementing or capitalizing, on expansion projects; unanticipated changes in crude oil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or other event, including attacks on our electronic and computer systems; maintenance of our credit rating and ability to receive open credit from our suppliers and trade counterparties;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and facilities; increased costs, or lack of availability, of insurance; weather interference with business operations or project construction, including the impact of extreme weather events or conditions;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effectiveness of our risk management activities; shortages or cost increases of supplies, materials or labor; the impact of current and future laws, rulings, governmental regulations, accounting standards and statements, and related interpretations; fluctuations in the debt and equity markets, including the price of our units at the time of 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17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4.6 million barrels per day of crude oil and NGL in its Transportation segment. PAA is headquartered in Houston, Texas.</w:t>
      </w:r>
    </w:p>
    <w:p>
      <w:pPr>
        <w:spacing w:after="0" w:line="188"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5000" w:type="dxa"/>
        <w:tblCellMar>
          <w:top w:w="0" w:type="dxa"/>
          <w:left w:w="0" w:type="dxa"/>
          <w:bottom w:w="0" w:type="dxa"/>
          <w:right w:w="0" w:type="dxa"/>
        </w:tblCellMar>
      </w:tblPr>
      <w:tr>
        <w:trPr>
          <w:trHeight w:val="161"/>
        </w:trPr>
        <w:tc>
          <w:tcPr>
            <w:tcW w:w="2200" w:type="dxa"/>
            <w:vAlign w:val="bottom"/>
            <w:gridSpan w:val="3"/>
          </w:tcPr>
          <w:p>
            <w:pPr>
              <w:jc w:val="center"/>
              <w:ind w:left="768"/>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140" w:type="dxa"/>
            <w:vAlign w:val="bottom"/>
            <w:gridSpan w:val="3"/>
          </w:tcPr>
          <w:p>
            <w:pPr>
              <w:jc w:val="center"/>
              <w:ind w:right="788"/>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2200" w:type="dxa"/>
            <w:vAlign w:val="bottom"/>
            <w:tcBorders>
              <w:bottom w:val="single" w:sz="8" w:color="auto"/>
            </w:tcBorders>
            <w:gridSpan w:val="3"/>
          </w:tcPr>
          <w:p>
            <w:pPr>
              <w:jc w:val="center"/>
              <w:ind w:left="76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center"/>
              <w:ind w:right="788"/>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1360" w:type="dxa"/>
            <w:vAlign w:val="bottom"/>
            <w:tcBorders>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2015</w:t>
            </w:r>
          </w:p>
        </w:tc>
      </w:tr>
    </w:tbl>
    <w:p>
      <w:pPr>
        <w:sectPr>
          <w:pgSz w:w="11900" w:h="16838" w:orient="portrait"/>
          <w:cols w:equalWidth="0" w:num="1">
            <w:col w:w="11420"/>
          </w:cols>
          <w:pgMar w:left="240" w:top="125" w:right="239" w:bottom="0" w:gutter="0" w:footer="0" w:header="0"/>
        </w:sectPr>
      </w:pPr>
    </w:p>
    <w:bookmarkStart w:id="12" w:name="page13"/>
    <w:bookmarkEnd w:id="12"/>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0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5,551</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14,231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4,429</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12,000</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15,591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893</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210</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3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4,821</w:t>
            </w: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13,454</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349</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777</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(113)</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(339)</w:t>
            </w:r>
          </w:p>
        </w:tc>
        <w:tc>
          <w:tcPr>
            <w:tcW w:w="4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299</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617</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602</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Net income allocated to common unitholders — Basic</w:t>
            </w:r>
          </w:p>
        </w:tc>
        <w:tc>
          <w:tcPr>
            <w:tcW w:w="90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162</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common units outstanding</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401</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Basic net income per common unit</w:t>
            </w:r>
          </w:p>
        </w:tc>
        <w:tc>
          <w:tcPr>
            <w:tcW w:w="90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0.40</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0.25</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0.27</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0.54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Net income allocated to common unitholders — Diluted</w:t>
            </w:r>
          </w:p>
        </w:tc>
        <w:tc>
          <w:tcPr>
            <w:tcW w:w="90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162</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weighted average common units outstanding</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402</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Diluted net income per common unit</w:t>
            </w:r>
          </w:p>
        </w:tc>
        <w:tc>
          <w:tcPr>
            <w:tcW w:w="90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0.40</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0.24</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0.27</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640" w:hanging="332"/>
        <w:spacing w:after="0" w:line="251" w:lineRule="auto"/>
        <w:tabs>
          <w:tab w:leader="none" w:pos="328"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The 2015 periods have been retroactively adjusted to reflect the reclassification of the amortization of debt issuance costs from “Depreciation and amortization” to “Interest expense, net” as a result of our adoption of revised debt issuance costs guidance issued by the FASB.</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Includes gains and losses on asset dispositions and asset impairments.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4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1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783</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0.28</w:t>
            </w:r>
          </w:p>
        </w:tc>
        <w:tc>
          <w:tcPr>
            <w:tcW w:w="1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0.72</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w:t>
            </w:r>
          </w:p>
        </w:tc>
        <w:tc>
          <w:tcPr>
            <w:tcW w:w="1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 more –</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80" w:type="dxa"/>
            <w:vAlign w:val="bottom"/>
          </w:tcPr>
          <w:p>
            <w:pPr>
              <w:ind w:left="2280"/>
              <w:spacing w:after="0"/>
              <w:rPr>
                <w:sz w:val="20"/>
                <w:szCs w:val="20"/>
                <w:color w:val="auto"/>
              </w:rPr>
            </w:pPr>
            <w:r>
              <w:rPr>
                <w:rFonts w:ascii="Arial" w:cs="Arial" w:eastAsia="Arial" w:hAnsi="Arial"/>
                <w:sz w:val="18"/>
                <w:szCs w:val="18"/>
                <w:b w:val="1"/>
                <w:bCs w:val="1"/>
                <w:color w:val="auto"/>
                <w:w w:val="99"/>
              </w:rPr>
              <w:t>333 Clay Street, Suite 1600</w:t>
            </w:r>
          </w:p>
        </w:tc>
        <w:tc>
          <w:tcPr>
            <w:tcW w:w="20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8"/>
              </w:rPr>
              <w:t>Houston, Texas 77002</w:t>
            </w:r>
          </w:p>
        </w:tc>
        <w:tc>
          <w:tcPr>
            <w:tcW w:w="180" w:type="dxa"/>
            <w:vAlign w:val="bottom"/>
          </w:tcPr>
          <w:p>
            <w:pPr>
              <w:spacing w:after="0"/>
              <w:rPr>
                <w:sz w:val="19"/>
                <w:szCs w:val="19"/>
                <w:color w:val="auto"/>
              </w:rPr>
            </w:pPr>
          </w:p>
        </w:tc>
        <w:tc>
          <w:tcPr>
            <w:tcW w:w="2340" w:type="dxa"/>
            <w:vAlign w:val="bottom"/>
            <w:gridSpan w:val="4"/>
          </w:tcPr>
          <w:p>
            <w:pPr>
              <w:jc w:val="right"/>
              <w:spacing w:after="0"/>
              <w:rPr>
                <w:sz w:val="20"/>
                <w:szCs w:val="20"/>
                <w:color w:val="auto"/>
              </w:rPr>
            </w:pPr>
            <w:r>
              <w:rPr>
                <w:rFonts w:ascii="Arial" w:cs="Arial" w:eastAsia="Arial" w:hAnsi="Arial"/>
                <w:sz w:val="18"/>
                <w:szCs w:val="18"/>
                <w:b w:val="1"/>
                <w:bCs w:val="1"/>
                <w:color w:val="auto"/>
                <w:w w:val="94"/>
              </w:rPr>
              <w:t>713-646-4100 / 866-809-1291</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4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Current assets</w:t>
            </w:r>
          </w:p>
        </w:tc>
        <w:tc>
          <w:tcPr>
            <w:tcW w:w="2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3,773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2,969</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13,811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13,474</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Goodwill</w:t>
            </w: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2,353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2,405</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Linefill and base gas</w:t>
            </w: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899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2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309</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r>
    </w:tbl>
    <w:p>
      <w:pPr>
        <w:sectPr>
          <w:pgSz w:w="11900" w:h="16925" w:orient="portrait"/>
          <w:cols w:equalWidth="0" w:num="1">
            <w:col w:w="11460"/>
          </w:cols>
          <w:pgMar w:left="240" w:top="356" w:right="19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Current liabilities</w:t>
            </w:r>
          </w:p>
        </w:tc>
        <w:tc>
          <w:tcPr>
            <w:tcW w:w="22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4,077</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discounts and debt issuance costs</w:t>
            </w:r>
          </w:p>
        </w:tc>
        <w:tc>
          <w:tcPr>
            <w:tcW w:w="1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9,130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 long-term debt</w:t>
            </w:r>
          </w:p>
        </w:tc>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504</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7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14,433</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Partners’ capital excluding noncontrolling interests</w:t>
            </w:r>
          </w:p>
        </w:tc>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9,016</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partners’ capital</w:t>
            </w:r>
          </w:p>
        </w:tc>
        <w:tc>
          <w:tcPr>
            <w:tcW w:w="176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9,074</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17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23,507</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CAPITALIZATION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Long-term debt</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9,634</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Partners’ capital</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9,074</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7,939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book capitalization</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spacing w:after="0"/>
              <w:rPr>
                <w:sz w:val="20"/>
                <w:szCs w:val="20"/>
                <w:color w:val="auto"/>
              </w:rPr>
            </w:pPr>
            <w:r>
              <w:rPr>
                <w:rFonts w:ascii="Arial" w:cs="Arial" w:eastAsia="Arial" w:hAnsi="Arial"/>
                <w:sz w:val="18"/>
                <w:szCs w:val="18"/>
                <w:color w:val="auto"/>
              </w:rPr>
              <w:t>Total book capitalization, including short-term debt</w:t>
            </w:r>
          </w:p>
        </w:tc>
        <w:tc>
          <w:tcPr>
            <w:tcW w:w="22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Borders>
              <w:bottom w:val="single" w:sz="8" w:color="CCEEFF"/>
            </w:tcBorders>
            <w:vMerge w:val="continue"/>
          </w:tcPr>
          <w:p>
            <w:pPr>
              <w:spacing w:after="0"/>
              <w:rPr>
                <w:sz w:val="20"/>
                <w:szCs w:val="20"/>
                <w:color w:val="auto"/>
              </w:rPr>
            </w:pPr>
          </w:p>
        </w:tc>
        <w:tc>
          <w:tcPr>
            <w:tcW w:w="22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20,092</w:t>
            </w:r>
          </w:p>
        </w:tc>
        <w:tc>
          <w:tcPr>
            <w:tcW w:w="2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19,313</w:t>
            </w: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Long-term debt-to-total book capitalization</w:t>
            </w:r>
          </w:p>
        </w:tc>
        <w:tc>
          <w:tcPr>
            <w:tcW w:w="1980" w:type="dxa"/>
            <w:vAlign w:val="bottom"/>
          </w:tcPr>
          <w:p>
            <w:pPr>
              <w:spacing w:after="0"/>
              <w:rPr>
                <w:sz w:val="18"/>
                <w:szCs w:val="18"/>
                <w:color w:val="auto"/>
              </w:rPr>
            </w:pPr>
          </w:p>
        </w:tc>
        <w:tc>
          <w:tcPr>
            <w:tcW w:w="3700" w:type="dxa"/>
            <w:vAlign w:val="bottom"/>
          </w:tcPr>
          <w:p>
            <w:pPr>
              <w:jc w:val="right"/>
              <w:ind w:right="550"/>
              <w:spacing w:after="0"/>
              <w:rPr>
                <w:sz w:val="20"/>
                <w:szCs w:val="20"/>
                <w:color w:val="auto"/>
              </w:rPr>
            </w:pPr>
            <w:r>
              <w:rPr>
                <w:rFonts w:ascii="Arial" w:cs="Arial" w:eastAsia="Arial" w:hAnsi="Arial"/>
                <w:sz w:val="18"/>
                <w:szCs w:val="18"/>
                <w:color w:val="auto"/>
              </w:rPr>
              <w:t>51%</w:t>
            </w: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1980" w:type="dxa"/>
            <w:vAlign w:val="bottom"/>
            <w:shd w:val="clear" w:color="auto" w:fill="CCEEFF"/>
          </w:tcPr>
          <w:p>
            <w:pPr>
              <w:spacing w:after="0"/>
              <w:rPr>
                <w:sz w:val="18"/>
                <w:szCs w:val="18"/>
                <w:color w:val="auto"/>
              </w:rPr>
            </w:pPr>
          </w:p>
        </w:tc>
        <w:tc>
          <w:tcPr>
            <w:tcW w:w="37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r>
      <w:tr>
        <w:trPr>
          <w:trHeight w:val="432"/>
        </w:trPr>
        <w:tc>
          <w:tcPr>
            <w:tcW w:w="4740" w:type="dxa"/>
            <w:vAlign w:val="bottom"/>
          </w:tcPr>
          <w:p>
            <w:pPr>
              <w:spacing w:after="0"/>
              <w:rPr>
                <w:sz w:val="24"/>
                <w:szCs w:val="24"/>
                <w:color w:val="auto"/>
              </w:rPr>
            </w:pPr>
          </w:p>
        </w:tc>
        <w:tc>
          <w:tcPr>
            <w:tcW w:w="1980" w:type="dxa"/>
            <w:vAlign w:val="bottom"/>
          </w:tcPr>
          <w:p>
            <w:pPr>
              <w:ind w:left="660"/>
              <w:spacing w:after="0"/>
              <w:rPr>
                <w:sz w:val="20"/>
                <w:szCs w:val="20"/>
                <w:color w:val="auto"/>
              </w:rPr>
            </w:pPr>
            <w:r>
              <w:rPr>
                <w:rFonts w:ascii="Arial" w:cs="Arial" w:eastAsia="Arial" w:hAnsi="Arial"/>
                <w:sz w:val="18"/>
                <w:szCs w:val="18"/>
                <w:color w:val="auto"/>
              </w:rPr>
              <w:t>– more –</w:t>
            </w:r>
          </w:p>
        </w:tc>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474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1980" w:type="dxa"/>
            <w:vAlign w:val="bottom"/>
          </w:tcPr>
          <w:p>
            <w:pPr>
              <w:ind w:left="80"/>
              <w:spacing w:after="0"/>
              <w:rPr>
                <w:sz w:val="20"/>
                <w:szCs w:val="20"/>
                <w:color w:val="auto"/>
              </w:rPr>
            </w:pPr>
            <w:r>
              <w:rPr>
                <w:rFonts w:ascii="Arial" w:cs="Arial" w:eastAsia="Arial" w:hAnsi="Arial"/>
                <w:sz w:val="18"/>
                <w:szCs w:val="18"/>
                <w:b w:val="1"/>
                <w:bCs w:val="1"/>
                <w:color w:val="auto"/>
                <w:w w:val="99"/>
              </w:rPr>
              <w:t>Houston, Texas 77002</w:t>
            </w:r>
          </w:p>
        </w:tc>
        <w:tc>
          <w:tcPr>
            <w:tcW w:w="3700" w:type="dxa"/>
            <w:vAlign w:val="bottom"/>
          </w:tcPr>
          <w:p>
            <w:pPr>
              <w:jc w:val="right"/>
              <w:ind w:right="1210"/>
              <w:spacing w:after="0"/>
              <w:rPr>
                <w:sz w:val="20"/>
                <w:szCs w:val="20"/>
                <w:color w:val="auto"/>
              </w:rPr>
            </w:pPr>
            <w:r>
              <w:rPr>
                <w:rFonts w:ascii="Arial" w:cs="Arial" w:eastAsia="Arial" w:hAnsi="Arial"/>
                <w:sz w:val="18"/>
                <w:szCs w:val="18"/>
                <w:b w:val="1"/>
                <w:bCs w:val="1"/>
                <w:color w:val="auto"/>
                <w:w w:val="99"/>
              </w:rPr>
              <w:t>713-646-4100 / 866-809-1291</w:t>
            </w: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30"/>
        </w:trPr>
        <w:tc>
          <w:tcPr>
            <w:tcW w:w="474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3"/>
          </w:tcPr>
          <w:p>
            <w:pPr>
              <w:jc w:val="center"/>
              <w:ind w:left="773"/>
              <w:spacing w:after="0"/>
              <w:rPr>
                <w:sz w:val="20"/>
                <w:szCs w:val="20"/>
                <w:color w:val="auto"/>
              </w:rPr>
            </w:pPr>
            <w:r>
              <w:rPr>
                <w:rFonts w:ascii="Arial" w:cs="Arial" w:eastAsia="Arial" w:hAnsi="Arial"/>
                <w:sz w:val="14"/>
                <w:szCs w:val="14"/>
                <w:b w:val="1"/>
                <w:bCs w:val="1"/>
                <w:color w:val="auto"/>
                <w:w w:val="93"/>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tcBorders>
              <w:bottom w:val="single" w:sz="8" w:color="auto"/>
            </w:tcBorders>
            <w:gridSpan w:val="3"/>
          </w:tcPr>
          <w:p>
            <w:pPr>
              <w:jc w:val="center"/>
              <w:ind w:left="753"/>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gridSpan w:val="2"/>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8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Transportation segment (average daily volumes in thousands</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of barrels per day):</w:t>
            </w:r>
          </w:p>
        </w:tc>
        <w:tc>
          <w:tcPr>
            <w:tcW w:w="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Volumes from tariff activities</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 (by region):</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520" w:type="dxa"/>
            <w:vAlign w:val="bottom"/>
          </w:tcPr>
          <w:p>
            <w:pPr>
              <w:jc w:val="right"/>
              <w:spacing w:after="0"/>
              <w:rPr>
                <w:sz w:val="20"/>
                <w:szCs w:val="20"/>
                <w:color w:val="auto"/>
              </w:rPr>
            </w:pPr>
            <w:r>
              <w:rPr>
                <w:rFonts w:ascii="Arial" w:cs="Arial" w:eastAsia="Arial" w:hAnsi="Arial"/>
                <w:sz w:val="18"/>
                <w:szCs w:val="18"/>
                <w:color w:val="auto"/>
              </w:rPr>
              <w:t>2,162</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1,885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2,129</w:t>
            </w:r>
          </w:p>
        </w:tc>
        <w:tc>
          <w:tcPr>
            <w:tcW w:w="5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263</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Western</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194</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196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193</w:t>
            </w:r>
          </w:p>
        </w:tc>
        <w:tc>
          <w:tcPr>
            <w:tcW w:w="5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475</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448</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Gulf Coast</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423</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576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538</w:t>
            </w:r>
          </w:p>
        </w:tc>
        <w:tc>
          <w:tcPr>
            <w:tcW w:w="5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(2)</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403</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393</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Canada</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379</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384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384</w:t>
            </w:r>
          </w:p>
        </w:tc>
        <w:tc>
          <w:tcPr>
            <w:tcW w:w="5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NGL pipelines</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185</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182</w:t>
            </w:r>
          </w:p>
        </w:tc>
        <w:tc>
          <w:tcPr>
            <w:tcW w:w="5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volumes from tariff activities</w:t>
            </w: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Trucking</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118</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112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113</w:t>
            </w:r>
          </w:p>
        </w:tc>
        <w:tc>
          <w:tcPr>
            <w:tcW w:w="5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segment total volumes</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Crude oil, refined products and NGL terminalling and storage</w:t>
            </w:r>
          </w:p>
        </w:tc>
        <w:tc>
          <w:tcPr>
            <w:tcW w:w="820" w:type="dxa"/>
            <w:vAlign w:val="bottom"/>
            <w:gridSpan w:val="2"/>
            <w:vMerge w:val="restart"/>
          </w:tcPr>
          <w:p>
            <w:pPr>
              <w:ind w:left="260"/>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17"/>
                <w:szCs w:val="17"/>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100</w:t>
            </w: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106</w:t>
            </w:r>
          </w:p>
        </w:tc>
        <w:tc>
          <w:tcPr>
            <w:tcW w:w="520" w:type="dxa"/>
            <w:vAlign w:val="bottom"/>
          </w:tcPr>
          <w:p>
            <w:pPr>
              <w:spacing w:after="0"/>
              <w:rPr>
                <w:sz w:val="17"/>
                <w:szCs w:val="17"/>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(average monthly capacity in millions of barrels)</w:t>
            </w:r>
          </w:p>
        </w:tc>
        <w:tc>
          <w:tcPr>
            <w:tcW w:w="840" w:type="dxa"/>
            <w:vAlign w:val="bottom"/>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80" w:type="dxa"/>
            <w:vAlign w:val="bottom"/>
            <w:tcBorders>
              <w:top w:val="single" w:sz="8" w:color="CCEEFF"/>
            </w:tcBorders>
            <w:shd w:val="clear" w:color="auto" w:fill="CCEEFF"/>
          </w:tcPr>
          <w:p>
            <w:pPr>
              <w:ind w:left="160"/>
              <w:spacing w:after="0" w:line="156" w:lineRule="exact"/>
              <w:rPr>
                <w:sz w:val="20"/>
                <w:szCs w:val="20"/>
                <w:color w:val="auto"/>
              </w:rPr>
            </w:pPr>
            <w:r>
              <w:rPr>
                <w:rFonts w:ascii="Arial" w:cs="Arial" w:eastAsia="Arial" w:hAnsi="Arial"/>
                <w:sz w:val="18"/>
                <w:szCs w:val="18"/>
                <w:color w:val="auto"/>
                <w:w w:val="98"/>
              </w:rPr>
              <w:t>Rail load / unload volumes (average volumes in thousands of</w:t>
            </w:r>
          </w:p>
        </w:tc>
        <w:tc>
          <w:tcPr>
            <w:tcW w:w="8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80" w:type="dxa"/>
            <w:vAlign w:val="bottom"/>
            <w:tcBorders>
              <w:top w:val="single" w:sz="8" w:color="CCEEFF"/>
            </w:tcBorders>
            <w:vMerge w:val="restart"/>
            <w:shd w:val="clear" w:color="auto" w:fill="CCEEFF"/>
          </w:tcPr>
          <w:p>
            <w:pPr>
              <w:spacing w:after="0"/>
              <w:rPr>
                <w:sz w:val="13"/>
                <w:szCs w:val="13"/>
                <w:color w:val="auto"/>
              </w:rPr>
            </w:pP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top w:val="single" w:sz="8" w:color="CCEEFF"/>
            </w:tcBorders>
            <w:vMerge w:val="restart"/>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barrels per day)</w:t>
            </w:r>
          </w:p>
        </w:tc>
        <w:tc>
          <w:tcPr>
            <w:tcW w:w="5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bottom w:val="single" w:sz="8" w:color="CCEEFF"/>
            </w:tcBorders>
            <w:vMerge w:val="restart"/>
          </w:tcPr>
          <w:p>
            <w:pPr>
              <w:ind w:left="160"/>
              <w:spacing w:after="0" w:line="195" w:lineRule="exact"/>
              <w:rPr>
                <w:sz w:val="20"/>
                <w:szCs w:val="20"/>
                <w:color w:val="auto"/>
              </w:rPr>
            </w:pPr>
            <w:r>
              <w:rPr>
                <w:rFonts w:ascii="Arial" w:cs="Arial" w:eastAsia="Arial" w:hAnsi="Arial"/>
                <w:sz w:val="18"/>
                <w:szCs w:val="18"/>
                <w:color w:val="auto"/>
              </w:rPr>
              <w:t>Natural gas storage (average monthly working capacity in</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98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billions of cubic feet)</w:t>
            </w:r>
          </w:p>
        </w:tc>
        <w:tc>
          <w:tcPr>
            <w:tcW w:w="8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8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rPr>
              <w:t>NGL fractionation (average volumes in thousands of barrels</w:t>
            </w:r>
          </w:p>
        </w:tc>
        <w:tc>
          <w:tcPr>
            <w:tcW w:w="8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260"/>
              <w:spacing w:after="0"/>
              <w:rPr>
                <w:sz w:val="20"/>
                <w:szCs w:val="20"/>
                <w:color w:val="auto"/>
              </w:rPr>
            </w:pPr>
            <w:r>
              <w:rPr>
                <w:rFonts w:ascii="Arial" w:cs="Arial" w:eastAsia="Arial" w:hAnsi="Arial"/>
                <w:sz w:val="18"/>
                <w:szCs w:val="18"/>
                <w:color w:val="auto"/>
              </w:rPr>
              <w:t>119</w:t>
            </w:r>
          </w:p>
        </w:tc>
        <w:tc>
          <w:tcPr>
            <w:tcW w:w="5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80" w:type="dxa"/>
            <w:vAlign w:val="bottom"/>
            <w:shd w:val="clear" w:color="auto" w:fill="CCEEFF"/>
          </w:tcPr>
          <w:p>
            <w:pPr>
              <w:spacing w:after="0"/>
              <w:rPr>
                <w:sz w:val="13"/>
                <w:szCs w:val="13"/>
                <w:color w:val="auto"/>
              </w:rPr>
            </w:pPr>
          </w:p>
        </w:tc>
        <w:tc>
          <w:tcPr>
            <w:tcW w:w="16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113</w:t>
            </w:r>
          </w:p>
        </w:tc>
        <w:tc>
          <w:tcPr>
            <w:tcW w:w="5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per day)</w:t>
            </w:r>
          </w:p>
        </w:tc>
        <w:tc>
          <w:tcPr>
            <w:tcW w:w="82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w w:val="97"/>
              </w:rPr>
              <w:t>Facilities segment total volumes (average monthly volumes in</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w w:val="79"/>
              </w:rPr>
              <w:t>131</w:t>
            </w:r>
          </w:p>
        </w:tc>
        <w:tc>
          <w:tcPr>
            <w:tcW w:w="3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vMerge w:val="continue"/>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w:t>
            </w:r>
          </w:p>
        </w:tc>
        <w:tc>
          <w:tcPr>
            <w:tcW w:w="2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0" w:right="19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20" w:type="dxa"/>
            <w:vAlign w:val="bottom"/>
          </w:tcPr>
          <w:p>
            <w:pPr>
              <w:spacing w:after="0"/>
              <w:rPr>
                <w:sz w:val="24"/>
                <w:szCs w:val="24"/>
                <w:color w:val="auto"/>
              </w:rPr>
            </w:pPr>
          </w:p>
        </w:tc>
        <w:tc>
          <w:tcPr>
            <w:tcW w:w="4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 xml:space="preserve">millions of barrels) </w:t>
            </w:r>
            <w:r>
              <w:rPr>
                <w:rFonts w:ascii="Arial" w:cs="Arial" w:eastAsia="Arial" w:hAnsi="Arial"/>
                <w:sz w:val="23"/>
                <w:szCs w:val="23"/>
                <w:color w:val="auto"/>
                <w:vertAlign w:val="superscript"/>
              </w:rPr>
              <w:t>(3)</w:t>
            </w:r>
          </w:p>
        </w:tc>
        <w:tc>
          <w:tcPr>
            <w:tcW w:w="1360" w:type="dxa"/>
            <w:vAlign w:val="bottom"/>
            <w:tcBorders>
              <w:bottom w:val="single" w:sz="8" w:color="auto"/>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980" w:type="dxa"/>
            <w:vAlign w:val="bottom"/>
          </w:tcPr>
          <w:p>
            <w:pPr>
              <w:spacing w:after="0" w:line="198" w:lineRule="exact"/>
              <w:rPr>
                <w:sz w:val="20"/>
                <w:szCs w:val="20"/>
                <w:color w:val="auto"/>
              </w:rPr>
            </w:pPr>
            <w:r>
              <w:rPr>
                <w:rFonts w:ascii="Arial" w:cs="Arial" w:eastAsia="Arial" w:hAnsi="Arial"/>
                <w:sz w:val="18"/>
                <w:szCs w:val="18"/>
                <w:b w:val="1"/>
                <w:bCs w:val="1"/>
                <w:color w:val="auto"/>
              </w:rPr>
              <w:t>Supply and Logistics segment (average daily volumes in</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Pr>
          <w:p>
            <w:pPr>
              <w:ind w:left="160"/>
              <w:spacing w:after="0"/>
              <w:rPr>
                <w:sz w:val="20"/>
                <w:szCs w:val="20"/>
                <w:color w:val="auto"/>
              </w:rPr>
            </w:pPr>
            <w:r>
              <w:rPr>
                <w:rFonts w:ascii="Arial" w:cs="Arial" w:eastAsia="Arial" w:hAnsi="Arial"/>
                <w:sz w:val="18"/>
                <w:szCs w:val="18"/>
                <w:b w:val="1"/>
                <w:bCs w:val="1"/>
                <w:color w:val="auto"/>
              </w:rPr>
              <w:t>thousands of barrels per day):</w:t>
            </w: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Crude oil lease gathering purchases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NGL sales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207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183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230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Waterborne cargos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Supply and Logistics segment total volumes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22"/>
          <w:szCs w:val="22"/>
          <w:color w:val="auto"/>
          <w:vertAlign w:val="superscript"/>
        </w:rPr>
      </w:pPr>
      <w:r>
        <w:rPr>
          <w:rFonts w:ascii="Arial" w:cs="Arial" w:eastAsia="Arial" w:hAnsi="Arial"/>
          <w:sz w:val="17"/>
          <w:szCs w:val="17"/>
          <w:color w:val="auto"/>
        </w:rPr>
        <w:t>Average volumes are calculated as total volumes for the period (attributable to our interest) divided by the number of days or months in the period.</w:t>
      </w:r>
    </w:p>
    <w:p>
      <w:pPr>
        <w:spacing w:after="0" w:line="1" w:lineRule="exact"/>
        <w:rPr>
          <w:rFonts w:ascii="Arial" w:cs="Arial" w:eastAsia="Arial" w:hAnsi="Arial"/>
          <w:sz w:val="22"/>
          <w:szCs w:val="22"/>
          <w:color w:val="auto"/>
          <w:vertAlign w:val="superscript"/>
        </w:rPr>
      </w:pPr>
    </w:p>
    <w:p>
      <w:pPr>
        <w:ind w:left="320" w:hanging="312"/>
        <w:spacing w:after="0" w:line="194" w:lineRule="auto"/>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 w:lineRule="exact"/>
        <w:rPr>
          <w:rFonts w:ascii="Arial" w:cs="Arial" w:eastAsia="Arial" w:hAnsi="Arial"/>
          <w:sz w:val="23"/>
          <w:szCs w:val="23"/>
          <w:color w:val="auto"/>
          <w:vertAlign w:val="superscript"/>
        </w:rPr>
      </w:pPr>
    </w:p>
    <w:p>
      <w:pPr>
        <w:ind w:left="340" w:right="320" w:hanging="332"/>
        <w:spacing w:after="0" w:line="267" w:lineRule="auto"/>
        <w:tabs>
          <w:tab w:leader="none" w:pos="328"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right="48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COMMON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2015</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Common Unit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02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297</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249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599</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Series A preferred units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3"/>
                <w:szCs w:val="23"/>
                <w:color w:val="auto"/>
                <w:vertAlign w:val="superscript"/>
              </w:rPr>
              <w:t>(1)</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(412)</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3"/>
                <w:szCs w:val="23"/>
                <w:color w:val="auto"/>
                <w:vertAlign w:val="superscript"/>
              </w:rPr>
              <w:t>(1)</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3"/>
              </w:rPr>
              <w:t>Net income allocated to common unitholders in accordance with</w:t>
            </w: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800" w:type="dxa"/>
            <w:vAlign w:val="bottom"/>
            <w:vMerge w:val="continue"/>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162</w:t>
            </w:r>
          </w:p>
        </w:tc>
        <w:tc>
          <w:tcPr>
            <w:tcW w:w="5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application of the two-class method for MLPs</w:t>
            </w:r>
          </w:p>
        </w:tc>
        <w:tc>
          <w:tcPr>
            <w:tcW w:w="102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401</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102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0.40</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0.27</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02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297</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249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599</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Series A preferred units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3"/>
                <w:szCs w:val="23"/>
                <w:color w:val="auto"/>
                <w:vertAlign w:val="superscript"/>
              </w:rPr>
              <w:t>(1)</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(412)</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3"/>
                <w:szCs w:val="23"/>
                <w:color w:val="auto"/>
                <w:vertAlign w:val="superscript"/>
              </w:rPr>
              <w:t>(1)</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3"/>
              </w:rPr>
              <w:t>Net income allocated to common unitholders in accordance with</w:t>
            </w: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800" w:type="dxa"/>
            <w:vAlign w:val="bottom"/>
            <w:vMerge w:val="continue"/>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162</w:t>
            </w:r>
          </w:p>
        </w:tc>
        <w:tc>
          <w:tcPr>
            <w:tcW w:w="5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application of the two-class method for MLPs</w:t>
            </w:r>
          </w:p>
        </w:tc>
        <w:tc>
          <w:tcPr>
            <w:tcW w:w="102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401</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line="216" w:lineRule="exact"/>
              <w:rPr>
                <w:sz w:val="20"/>
                <w:szCs w:val="20"/>
                <w:color w:val="auto"/>
              </w:rPr>
            </w:pPr>
            <w:r>
              <w:rPr>
                <w:rFonts w:ascii="Arial" w:cs="Arial" w:eastAsia="Arial" w:hAnsi="Arial"/>
                <w:sz w:val="18"/>
                <w:szCs w:val="18"/>
                <w:color w:val="auto"/>
                <w:w w:val="97"/>
              </w:rPr>
              <w:t xml:space="preserve">Effect of dilutive securities: Weighted average LTIP units </w:t>
            </w:r>
            <w:r>
              <w:rPr>
                <w:rFonts w:ascii="Arial" w:cs="Arial" w:eastAsia="Arial" w:hAnsi="Arial"/>
                <w:sz w:val="23"/>
                <w:szCs w:val="23"/>
                <w:color w:val="auto"/>
                <w:w w:val="97"/>
                <w:vertAlign w:val="superscript"/>
              </w:rPr>
              <w:t>(2)</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402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Diluted net income per common unit </w:t>
            </w:r>
            <w:r>
              <w:rPr>
                <w:rFonts w:ascii="Arial" w:cs="Arial" w:eastAsia="Arial" w:hAnsi="Arial"/>
                <w:sz w:val="23"/>
                <w:szCs w:val="23"/>
                <w:color w:val="auto"/>
                <w:vertAlign w:val="superscript"/>
              </w:rPr>
              <w:t>(3)</w:t>
            </w:r>
          </w:p>
        </w:tc>
        <w:tc>
          <w:tcPr>
            <w:tcW w:w="102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0.40</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0.27</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0" w:hanging="332"/>
        <w:spacing w:after="0" w:line="238" w:lineRule="auto"/>
        <w:tabs>
          <w:tab w:leader="none" w:pos="328"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Net income allocated to common unitholders is calculated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our partnership agreement and as further prescribed under the two-class method.</w:t>
      </w:r>
    </w:p>
    <w:p>
      <w:pPr>
        <w:ind w:left="340" w:right="20" w:hanging="332"/>
        <w:spacing w:after="0" w:line="234" w:lineRule="auto"/>
        <w:tabs>
          <w:tab w:leader="none" w:pos="328"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1" w:lineRule="exact"/>
        <w:rPr>
          <w:rFonts w:ascii="Arial" w:cs="Arial" w:eastAsia="Arial" w:hAnsi="Arial"/>
          <w:sz w:val="23"/>
          <w:szCs w:val="23"/>
          <w:color w:val="auto"/>
          <w:vertAlign w:val="superscript"/>
        </w:rPr>
      </w:pPr>
    </w:p>
    <w:p>
      <w:pPr>
        <w:ind w:left="340" w:right="160" w:hanging="332"/>
        <w:spacing w:after="0" w:line="219" w:lineRule="auto"/>
        <w:tabs>
          <w:tab w:leader="none" w:pos="328"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net income per common unit for the three and nine months ended September 30, 2016 as the effect was antidilutive.</w:t>
      </w:r>
    </w:p>
    <w:p>
      <w:pPr>
        <w:spacing w:after="0" w:line="203" w:lineRule="exact"/>
        <w:rPr>
          <w:rFonts w:ascii="Arial" w:cs="Arial" w:eastAsia="Arial" w:hAnsi="Arial"/>
          <w:sz w:val="23"/>
          <w:szCs w:val="23"/>
          <w:color w:val="auto"/>
          <w:vertAlign w:val="superscript"/>
        </w:rPr>
      </w:pPr>
    </w:p>
    <w:p>
      <w:pPr>
        <w:ind w:left="5400"/>
        <w:spacing w:after="0"/>
        <w:rPr>
          <w:rFonts w:ascii="Arial" w:cs="Arial" w:eastAsia="Arial" w:hAnsi="Arial"/>
          <w:sz w:val="23"/>
          <w:szCs w:val="23"/>
          <w:color w:val="auto"/>
          <w:vertAlign w:val="superscript"/>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 w:right="239" w:bottom="0" w:gutter="0" w:footer="0" w:header="0"/>
        </w:sectPr>
      </w:pPr>
    </w:p>
    <w:bookmarkStart w:id="15" w:name="page16"/>
    <w:bookmarkEnd w:id="15"/>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6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72377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53"/>
              <w:spacing w:after="0"/>
              <w:rPr>
                <w:sz w:val="20"/>
                <w:szCs w:val="20"/>
                <w:color w:val="auto"/>
              </w:rPr>
            </w:pPr>
            <w:r>
              <w:rPr>
                <w:rFonts w:ascii="Arial" w:cs="Arial" w:eastAsia="Arial" w:hAnsi="Arial"/>
                <w:sz w:val="14"/>
                <w:szCs w:val="14"/>
                <w:b w:val="1"/>
                <w:bCs w:val="1"/>
                <w:color w:val="auto"/>
                <w:w w:val="98"/>
              </w:rPr>
              <w:t>September 30,</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tcPr>
          <w:p>
            <w:pPr>
              <w:spacing w:after="0" w:line="201" w:lineRule="exact"/>
              <w:rPr>
                <w:sz w:val="20"/>
                <w:szCs w:val="20"/>
                <w:color w:val="auto"/>
              </w:rPr>
            </w:pPr>
            <w:r>
              <w:rPr>
                <w:rFonts w:ascii="Arial" w:cs="Arial" w:eastAsia="Arial" w:hAnsi="Arial"/>
                <w:sz w:val="18"/>
                <w:szCs w:val="18"/>
                <w:color w:val="auto"/>
              </w:rPr>
              <w:t>Gains/(losses) from derivative activities net of inventory valuation</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160"/>
              <w:spacing w:after="0" w:line="231"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(2)</w:t>
            </w:r>
          </w:p>
        </w:tc>
        <w:tc>
          <w:tcPr>
            <w:tcW w:w="960" w:type="dxa"/>
            <w:vAlign w:val="bottom"/>
            <w:gridSpan w:val="2"/>
          </w:tcPr>
          <w:p>
            <w:pPr>
              <w:jc w:val="right"/>
              <w:ind w:right="597"/>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69</w:t>
            </w:r>
          </w:p>
        </w:tc>
        <w:tc>
          <w:tcPr>
            <w:tcW w:w="740" w:type="dxa"/>
            <w:vAlign w:val="bottom"/>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0"/>
                <w:szCs w:val="20"/>
                <w:color w:val="auto"/>
              </w:rPr>
            </w:pP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line="216"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(4)</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7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(5)</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line="216"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(6)</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(7)</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vMerge w:val="restart"/>
          </w:tcPr>
          <w:p>
            <w:pPr>
              <w:ind w:left="180"/>
              <w:spacing w:after="0"/>
              <w:rPr>
                <w:sz w:val="20"/>
                <w:szCs w:val="20"/>
                <w:color w:val="auto"/>
              </w:rPr>
            </w:pPr>
            <w:r>
              <w:rPr>
                <w:rFonts w:ascii="Arial" w:cs="Arial" w:eastAsia="Arial" w:hAnsi="Arial"/>
                <w:sz w:val="18"/>
                <w:szCs w:val="18"/>
                <w:color w:val="auto"/>
              </w:rPr>
              <w:t>Selected items impacting comparability of EBITDA</w:t>
            </w:r>
          </w:p>
        </w:tc>
        <w:tc>
          <w:tcPr>
            <w:tcW w:w="18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780" w:type="dxa"/>
            <w:vAlign w:val="bottom"/>
          </w:tcPr>
          <w:p>
            <w:pPr>
              <w:jc w:val="right"/>
              <w:ind w:right="597"/>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740" w:type="dxa"/>
            <w:vAlign w:val="bottom"/>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w:t>
            </w:r>
          </w:p>
        </w:tc>
        <w:tc>
          <w:tcPr>
            <w:tcW w:w="28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00" w:type="dxa"/>
            <w:vAlign w:val="bottom"/>
            <w:tcBorders>
              <w:top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Deferred income tax expense </w:t>
            </w:r>
            <w:r>
              <w:rPr>
                <w:rFonts w:ascii="Arial" w:cs="Arial" w:eastAsia="Arial" w:hAnsi="Arial"/>
                <w:sz w:val="22"/>
                <w:szCs w:val="22"/>
                <w:color w:val="auto"/>
                <w:vertAlign w:val="superscript"/>
              </w:rPr>
              <w:t>(8)</w:t>
            </w: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7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Selected items impacting comparability of net income attributable to PAA</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Impact to basic net income per common unit</w:t>
            </w:r>
          </w:p>
        </w:tc>
        <w:tc>
          <w:tcPr>
            <w:tcW w:w="960" w:type="dxa"/>
            <w:vAlign w:val="bottom"/>
            <w:gridSpan w:val="2"/>
            <w:shd w:val="clear" w:color="auto" w:fill="CCEEFF"/>
          </w:tcPr>
          <w:p>
            <w:pPr>
              <w:jc w:val="right"/>
              <w:ind w:right="597"/>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(0.03)</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(0.46)</w:t>
            </w:r>
          </w:p>
        </w:tc>
        <w:tc>
          <w:tcPr>
            <w:tcW w:w="360" w:type="dxa"/>
            <w:vAlign w:val="bottom"/>
            <w:gridSpan w:val="2"/>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Impact to diluted net income per common unit</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0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780" w:type="dxa"/>
            <w:vAlign w:val="bottom"/>
          </w:tcPr>
          <w:p>
            <w:pPr>
              <w:jc w:val="right"/>
              <w:ind w:right="597"/>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0.01</w:t>
            </w:r>
          </w:p>
        </w:tc>
        <w:tc>
          <w:tcPr>
            <w:tcW w:w="280" w:type="dxa"/>
            <w:vAlign w:val="bottom"/>
            <w:vMerge w:val="continue"/>
          </w:tcPr>
          <w:p>
            <w:pPr>
              <w:spacing w:after="0"/>
              <w:rPr>
                <w:sz w:val="17"/>
                <w:szCs w:val="17"/>
                <w:color w:val="auto"/>
              </w:rPr>
            </w:pPr>
          </w:p>
        </w:tc>
        <w:tc>
          <w:tcPr>
            <w:tcW w:w="740" w:type="dxa"/>
            <w:vAlign w:val="bottom"/>
          </w:tcPr>
          <w:p>
            <w:pPr>
              <w:jc w:val="right"/>
              <w:ind w:right="553"/>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2"/>
              </w:rPr>
              <w:t>(0.04</w:t>
            </w:r>
          </w:p>
        </w:tc>
        <w:tc>
          <w:tcPr>
            <w:tcW w:w="1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(0.45</w:t>
            </w:r>
          </w:p>
        </w:tc>
        <w:tc>
          <w:tcPr>
            <w:tcW w:w="2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(0.58</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hanging="332"/>
        <w:spacing w:after="0" w:line="254" w:lineRule="auto"/>
        <w:tabs>
          <w:tab w:leader="none" w:pos="328" w:val="left"/>
        </w:tabs>
        <w:numPr>
          <w:ilvl w:val="0"/>
          <w:numId w:val="30"/>
        </w:numPr>
        <w:rPr>
          <w:rFonts w:ascii="Arial" w:cs="Arial" w:eastAsia="Arial" w:hAnsi="Arial"/>
          <w:sz w:val="22"/>
          <w:szCs w:val="22"/>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1" w:lineRule="exact"/>
        <w:rPr>
          <w:rFonts w:ascii="Arial" w:cs="Arial" w:eastAsia="Arial" w:hAnsi="Arial"/>
          <w:sz w:val="22"/>
          <w:szCs w:val="22"/>
          <w:color w:val="auto"/>
          <w:vertAlign w:val="superscript"/>
        </w:rPr>
      </w:pPr>
    </w:p>
    <w:p>
      <w:pPr>
        <w:ind w:left="340" w:right="80" w:hanging="332"/>
        <w:spacing w:after="0" w:line="239" w:lineRule="auto"/>
        <w:tabs>
          <w:tab w:leader="none" w:pos="32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We carry approximately 5 million barrels of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2" w:lineRule="exact"/>
        <w:rPr>
          <w:rFonts w:ascii="Arial" w:cs="Arial" w:eastAsia="Arial" w:hAnsi="Arial"/>
          <w:sz w:val="23"/>
          <w:szCs w:val="23"/>
          <w:color w:val="auto"/>
          <w:vertAlign w:val="superscript"/>
        </w:rPr>
      </w:pPr>
    </w:p>
    <w:p>
      <w:pPr>
        <w:ind w:left="340" w:right="20" w:hanging="332"/>
        <w:spacing w:after="0" w:line="273" w:lineRule="auto"/>
        <w:tabs>
          <w:tab w:leader="none" w:pos="328" w:val="left"/>
        </w:tabs>
        <w:numPr>
          <w:ilvl w:val="0"/>
          <w:numId w:val="30"/>
        </w:numPr>
        <w:rPr>
          <w:rFonts w:ascii="Arial" w:cs="Arial" w:eastAsia="Arial" w:hAnsi="Arial"/>
          <w:sz w:val="21"/>
          <w:szCs w:val="21"/>
          <w:color w:val="auto"/>
          <w:vertAlign w:val="superscript"/>
        </w:rPr>
      </w:pPr>
      <w:r>
        <w:rPr>
          <w:rFonts w:ascii="Arial" w:cs="Arial" w:eastAsia="Arial" w:hAnsi="Arial"/>
          <w:sz w:val="16"/>
          <w:szCs w:val="16"/>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 w:lineRule="exact"/>
        <w:rPr>
          <w:rFonts w:ascii="Arial" w:cs="Arial" w:eastAsia="Arial" w:hAnsi="Arial"/>
          <w:sz w:val="21"/>
          <w:szCs w:val="21"/>
          <w:color w:val="auto"/>
          <w:vertAlign w:val="superscript"/>
        </w:rPr>
      </w:pPr>
    </w:p>
    <w:p>
      <w:pPr>
        <w:ind w:left="340" w:right="140" w:hanging="332"/>
        <w:spacing w:after="0" w:line="239" w:lineRule="auto"/>
        <w:tabs>
          <w:tab w:leader="none" w:pos="32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 w:lineRule="exact"/>
        <w:rPr>
          <w:rFonts w:ascii="Arial" w:cs="Arial" w:eastAsia="Arial" w:hAnsi="Arial"/>
          <w:sz w:val="23"/>
          <w:szCs w:val="23"/>
          <w:color w:val="auto"/>
          <w:vertAlign w:val="superscript"/>
        </w:rPr>
      </w:pPr>
    </w:p>
    <w:p>
      <w:pPr>
        <w:ind w:left="340" w:hanging="332"/>
        <w:spacing w:after="0" w:line="219" w:lineRule="auto"/>
        <w:tabs>
          <w:tab w:leader="none" w:pos="32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During the periods presented, there were fluctuations in the value of CAD to USD, resulting in gains and losses that were not related to our core operating results for the period and were thus classified as a selected item impacting comparability.</w:t>
      </w:r>
    </w:p>
    <w:p>
      <w:pPr>
        <w:spacing w:after="0" w:line="1" w:lineRule="exact"/>
        <w:rPr>
          <w:rFonts w:ascii="Arial" w:cs="Arial" w:eastAsia="Arial" w:hAnsi="Arial"/>
          <w:sz w:val="23"/>
          <w:szCs w:val="23"/>
          <w:color w:val="auto"/>
          <w:vertAlign w:val="superscript"/>
        </w:rPr>
      </w:pPr>
    </w:p>
    <w:p>
      <w:pPr>
        <w:ind w:left="340" w:right="560" w:hanging="332"/>
        <w:spacing w:after="0" w:line="219" w:lineRule="auto"/>
        <w:tabs>
          <w:tab w:leader="none" w:pos="357"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w:t>
      </w:r>
    </w:p>
    <w:p>
      <w:pPr>
        <w:spacing w:after="0" w:line="1"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Includes the initial cumulative effect of a change in Canadian tax legislation impacting the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671"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 2016</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 2015</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w w:val="93"/>
              </w:rPr>
              <w:t>Transportation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32"/>
              <w:spacing w:after="0" w:line="119" w:lineRule="exact"/>
              <w:rPr>
                <w:sz w:val="20"/>
                <w:szCs w:val="20"/>
                <w:color w:val="auto"/>
              </w:rPr>
            </w:pPr>
            <w:r>
              <w:rPr>
                <w:rFonts w:ascii="Arial" w:cs="Arial" w:eastAsia="Arial" w:hAnsi="Arial"/>
                <w:sz w:val="13"/>
                <w:szCs w:val="13"/>
                <w:b w:val="1"/>
                <w:bCs w:val="1"/>
                <w:color w:val="auto"/>
                <w:w w:val="99"/>
              </w:rPr>
              <w:t>Supply and</w:t>
            </w:r>
          </w:p>
        </w:tc>
        <w:tc>
          <w:tcPr>
            <w:tcW w:w="3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w w:val="93"/>
              </w:rPr>
              <w:t>Transportation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32"/>
              <w:spacing w:after="0" w:line="119" w:lineRule="exact"/>
              <w:rPr>
                <w:sz w:val="20"/>
                <w:szCs w:val="20"/>
                <w:color w:val="auto"/>
              </w:rPr>
            </w:pPr>
            <w:r>
              <w:rPr>
                <w:rFonts w:ascii="Arial" w:cs="Arial" w:eastAsia="Arial" w:hAnsi="Arial"/>
                <w:sz w:val="13"/>
                <w:szCs w:val="13"/>
                <w:b w:val="1"/>
                <w:bCs w:val="1"/>
                <w:color w:val="auto"/>
                <w:w w:val="99"/>
              </w:rPr>
              <w:t>Supply and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1120" w:type="dxa"/>
            <w:vAlign w:val="bottom"/>
            <w:gridSpan w:val="2"/>
          </w:tcPr>
          <w:p>
            <w:pPr>
              <w:jc w:val="center"/>
              <w:ind w:left="691"/>
              <w:spacing w:after="0"/>
              <w:rPr>
                <w:sz w:val="20"/>
                <w:szCs w:val="20"/>
                <w:color w:val="auto"/>
              </w:rPr>
            </w:pPr>
            <w:r>
              <w:rPr>
                <w:rFonts w:ascii="Arial" w:cs="Arial" w:eastAsia="Arial" w:hAnsi="Arial"/>
                <w:sz w:val="18"/>
                <w:szCs w:val="18"/>
                <w:color w:val="auto"/>
                <w:w w:val="93"/>
              </w:rPr>
              <w:t>(24)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(4,788)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left="691"/>
              <w:spacing w:after="0"/>
              <w:rPr>
                <w:sz w:val="20"/>
                <w:szCs w:val="20"/>
                <w:color w:val="auto"/>
              </w:rPr>
            </w:pPr>
            <w:r>
              <w:rPr>
                <w:rFonts w:ascii="Arial" w:cs="Arial" w:eastAsia="Arial" w:hAnsi="Arial"/>
                <w:sz w:val="18"/>
                <w:szCs w:val="18"/>
                <w:color w:val="auto"/>
                <w:w w:val="93"/>
              </w:rPr>
              <w:t>(22)</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771"/>
              <w:spacing w:after="0"/>
              <w:rPr>
                <w:sz w:val="20"/>
                <w:szCs w:val="20"/>
                <w:color w:val="auto"/>
              </w:rPr>
            </w:pPr>
            <w:r>
              <w:rPr>
                <w:rFonts w:ascii="Arial" w:cs="Arial" w:eastAsia="Arial" w:hAnsi="Arial"/>
                <w:sz w:val="18"/>
                <w:szCs w:val="18"/>
                <w:color w:val="auto"/>
                <w:w w:val="89"/>
              </w:rPr>
              <w:t>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tcPr>
          <w:p>
            <w:pPr>
              <w:spacing w:after="0"/>
              <w:rPr>
                <w:sz w:val="20"/>
                <w:szCs w:val="20"/>
                <w:color w:val="auto"/>
              </w:rPr>
            </w:pPr>
            <w:r>
              <w:rPr>
                <w:rFonts w:ascii="Arial" w:cs="Arial" w:eastAsia="Arial" w:hAnsi="Arial"/>
                <w:sz w:val="18"/>
                <w:szCs w:val="18"/>
                <w:color w:val="auto"/>
              </w:rPr>
              <w:t>Reported segment profit/(loss)</w:t>
            </w: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261</w:t>
            </w:r>
          </w:p>
        </w:tc>
        <w:tc>
          <w:tcPr>
            <w:tcW w:w="80" w:type="dxa"/>
            <w:vAlign w:val="bottom"/>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254</w:t>
            </w:r>
          </w:p>
        </w:tc>
        <w:tc>
          <w:tcPr>
            <w:tcW w:w="60" w:type="dxa"/>
            <w:vAlign w:val="bottom"/>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vMerge w:val="continue"/>
          </w:tcPr>
          <w:p>
            <w:pPr>
              <w:spacing w:after="0"/>
              <w:rPr>
                <w:sz w:val="24"/>
                <w:szCs w:val="24"/>
                <w:color w:val="auto"/>
              </w:rPr>
            </w:pPr>
          </w:p>
        </w:tc>
        <w:tc>
          <w:tcPr>
            <w:tcW w:w="2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660" w:type="dxa"/>
            <w:vAlign w:val="bottom"/>
            <w:tcBorders>
              <w:top w:val="single" w:sz="8" w:color="CCEEFF"/>
            </w:tcBorders>
            <w:gridSpan w:val="2"/>
          </w:tcPr>
          <w:p>
            <w:pPr>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right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segment profit:</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(Gains)/losses from derivative activities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of inventory valuation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center"/>
              <w:ind w:left="691"/>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120" w:type="dxa"/>
            <w:vAlign w:val="bottom"/>
          </w:tcPr>
          <w:p>
            <w:pPr>
              <w:spacing w:after="0"/>
              <w:rPr>
                <w:sz w:val="18"/>
                <w:szCs w:val="18"/>
                <w:color w:val="auto"/>
              </w:rPr>
            </w:pPr>
          </w:p>
        </w:tc>
        <w:tc>
          <w:tcPr>
            <w:tcW w:w="1120" w:type="dxa"/>
            <w:vAlign w:val="bottom"/>
            <w:gridSpan w:val="2"/>
          </w:tcPr>
          <w:p>
            <w:pPr>
              <w:jc w:val="center"/>
              <w:ind w:left="69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Deficiencies under minimum volume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center"/>
              <w:ind w:left="771"/>
              <w:spacing w:after="0"/>
              <w:rPr>
                <w:sz w:val="20"/>
                <w:szCs w:val="20"/>
                <w:color w:val="auto"/>
              </w:rPr>
            </w:pPr>
            <w:r>
              <w:rPr>
                <w:rFonts w:ascii="Arial" w:cs="Arial" w:eastAsia="Arial" w:hAnsi="Arial"/>
                <w:sz w:val="18"/>
                <w:szCs w:val="18"/>
                <w:color w:val="auto"/>
                <w:w w:val="89"/>
              </w:rPr>
              <w:t>30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ind w:left="180"/>
              <w:spacing w:after="0" w:line="201" w:lineRule="exact"/>
              <w:rPr>
                <w:sz w:val="20"/>
                <w:szCs w:val="20"/>
                <w:color w:val="auto"/>
              </w:rPr>
            </w:pPr>
            <w:r>
              <w:rPr>
                <w:rFonts w:ascii="Arial" w:cs="Arial" w:eastAsia="Arial" w:hAnsi="Arial"/>
                <w:sz w:val="18"/>
                <w:szCs w:val="18"/>
                <w:color w:val="auto"/>
              </w:rPr>
              <w:t>Equity-indexed compensation</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expense/(benefit)</w:t>
            </w:r>
          </w:p>
        </w:tc>
        <w:tc>
          <w:tcPr>
            <w:tcW w:w="120" w:type="dxa"/>
            <w:vAlign w:val="bottom"/>
          </w:tcPr>
          <w:p>
            <w:pPr>
              <w:spacing w:after="0"/>
              <w:rPr>
                <w:sz w:val="20"/>
                <w:szCs w:val="20"/>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on foreign currency revaluation</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691"/>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Line 901 incident</w:t>
            </w:r>
          </w:p>
        </w:tc>
        <w:tc>
          <w:tcPr>
            <w:tcW w:w="120" w:type="dxa"/>
            <w:vAlign w:val="bottom"/>
          </w:tcPr>
          <w:p>
            <w:pPr>
              <w:spacing w:after="0"/>
              <w:rPr>
                <w:sz w:val="18"/>
                <w:szCs w:val="18"/>
                <w:color w:val="auto"/>
              </w:rPr>
            </w:pPr>
          </w:p>
        </w:tc>
        <w:tc>
          <w:tcPr>
            <w:tcW w:w="1120" w:type="dxa"/>
            <w:vAlign w:val="bottom"/>
            <w:gridSpan w:val="2"/>
          </w:tcPr>
          <w:p>
            <w:pPr>
              <w:jc w:val="center"/>
              <w:ind w:left="69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Selected items impacting comparability of</w:t>
            </w: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771"/>
              <w:spacing w:after="0"/>
              <w:rPr>
                <w:sz w:val="20"/>
                <w:szCs w:val="20"/>
                <w:color w:val="auto"/>
              </w:rPr>
            </w:pPr>
            <w:r>
              <w:rPr>
                <w:rFonts w:ascii="Arial" w:cs="Arial" w:eastAsia="Arial" w:hAnsi="Arial"/>
                <w:sz w:val="18"/>
                <w:szCs w:val="18"/>
                <w:color w:val="auto"/>
                <w:w w:val="89"/>
              </w:rPr>
              <w:t>34</w:t>
            </w: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segment profit/(loss)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Maintenance capital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center"/>
              <w:ind w:left="771"/>
              <w:spacing w:after="0"/>
              <w:rPr>
                <w:sz w:val="20"/>
                <w:szCs w:val="20"/>
                <w:color w:val="auto"/>
              </w:rPr>
            </w:pPr>
            <w:r>
              <w:rPr>
                <w:rFonts w:ascii="Arial" w:cs="Arial" w:eastAsia="Arial" w:hAnsi="Arial"/>
                <w:sz w:val="18"/>
                <w:szCs w:val="18"/>
                <w:color w:val="auto"/>
                <w:w w:val="89"/>
              </w:rPr>
              <w:t>29</w:t>
            </w:r>
          </w:p>
        </w:tc>
        <w:tc>
          <w:tcPr>
            <w:tcW w:w="80" w:type="dxa"/>
            <w:vAlign w:val="bottom"/>
          </w:tcPr>
          <w:p>
            <w:pPr>
              <w:spacing w:after="0"/>
              <w:rPr>
                <w:sz w:val="18"/>
                <w:szCs w:val="18"/>
                <w:color w:val="auto"/>
              </w:rPr>
            </w:pP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 2016</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 2015</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w w:val="93"/>
              </w:rPr>
              <w:t>Transportation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32"/>
              <w:spacing w:after="0" w:line="119" w:lineRule="exact"/>
              <w:rPr>
                <w:sz w:val="20"/>
                <w:szCs w:val="20"/>
                <w:color w:val="auto"/>
              </w:rPr>
            </w:pPr>
            <w:r>
              <w:rPr>
                <w:rFonts w:ascii="Arial" w:cs="Arial" w:eastAsia="Arial" w:hAnsi="Arial"/>
                <w:sz w:val="13"/>
                <w:szCs w:val="13"/>
                <w:b w:val="1"/>
                <w:bCs w:val="1"/>
                <w:color w:val="auto"/>
                <w:w w:val="99"/>
              </w:rPr>
              <w:t>Supply and</w:t>
            </w:r>
          </w:p>
        </w:tc>
        <w:tc>
          <w:tcPr>
            <w:tcW w:w="3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w w:val="93"/>
              </w:rPr>
              <w:t>Transportation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32"/>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13,353</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1120" w:type="dxa"/>
            <w:vAlign w:val="bottom"/>
            <w:gridSpan w:val="2"/>
          </w:tcPr>
          <w:p>
            <w:pPr>
              <w:jc w:val="center"/>
              <w:ind w:left="691"/>
              <w:spacing w:after="0"/>
              <w:rPr>
                <w:sz w:val="20"/>
                <w:szCs w:val="20"/>
                <w:color w:val="auto"/>
              </w:rPr>
            </w:pPr>
            <w:r>
              <w:rPr>
                <w:rFonts w:ascii="Arial" w:cs="Arial" w:eastAsia="Arial" w:hAnsi="Arial"/>
                <w:sz w:val="18"/>
                <w:szCs w:val="18"/>
                <w:color w:val="auto"/>
                <w:w w:val="93"/>
              </w:rPr>
              <w:t>(69)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(13,031)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(16,553)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left="691"/>
              <w:spacing w:after="0"/>
              <w:rPr>
                <w:sz w:val="20"/>
                <w:szCs w:val="20"/>
                <w:color w:val="auto"/>
              </w:rPr>
            </w:pPr>
            <w:r>
              <w:rPr>
                <w:rFonts w:ascii="Arial" w:cs="Arial" w:eastAsia="Arial" w:hAnsi="Arial"/>
                <w:sz w:val="18"/>
                <w:szCs w:val="18"/>
                <w:color w:val="auto"/>
                <w:w w:val="93"/>
              </w:rPr>
              <w:t>(67)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0"/>
                <w:szCs w:val="20"/>
                <w:color w:val="auto"/>
              </w:rPr>
            </w:pPr>
          </w:p>
        </w:tc>
        <w:tc>
          <w:tcPr>
            <w:tcW w:w="1120" w:type="dxa"/>
            <w:vAlign w:val="bottom"/>
            <w:gridSpan w:val="2"/>
          </w:tcPr>
          <w:p>
            <w:pPr>
              <w:jc w:val="center"/>
              <w:ind w:left="691"/>
              <w:spacing w:after="0"/>
              <w:rPr>
                <w:sz w:val="20"/>
                <w:szCs w:val="20"/>
                <w:color w:val="auto"/>
              </w:rPr>
            </w:pPr>
            <w:r>
              <w:rPr>
                <w:rFonts w:ascii="Arial" w:cs="Arial" w:eastAsia="Arial" w:hAnsi="Arial"/>
                <w:sz w:val="18"/>
                <w:szCs w:val="18"/>
                <w:color w:val="auto"/>
                <w:w w:val="93"/>
              </w:rPr>
              <w:t>(10)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Reported segment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segment profit:</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Losses from derivative activities net of</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valuation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center"/>
              <w:ind w:left="691"/>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120" w:type="dxa"/>
            <w:vAlign w:val="bottom"/>
          </w:tcPr>
          <w:p>
            <w:pPr>
              <w:spacing w:after="0"/>
              <w:rPr>
                <w:sz w:val="18"/>
                <w:szCs w:val="18"/>
                <w:color w:val="auto"/>
              </w:rPr>
            </w:pPr>
          </w:p>
        </w:tc>
        <w:tc>
          <w:tcPr>
            <w:tcW w:w="1120" w:type="dxa"/>
            <w:vAlign w:val="bottom"/>
            <w:gridSpan w:val="2"/>
          </w:tcPr>
          <w:p>
            <w:pPr>
              <w:jc w:val="center"/>
              <w:ind w:left="69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Deficiencies under minimum volume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center"/>
              <w:ind w:left="771"/>
              <w:spacing w:after="0"/>
              <w:rPr>
                <w:sz w:val="20"/>
                <w:szCs w:val="20"/>
                <w:color w:val="auto"/>
              </w:rPr>
            </w:pPr>
            <w:r>
              <w:rPr>
                <w:rFonts w:ascii="Arial" w:cs="Arial" w:eastAsia="Arial" w:hAnsi="Arial"/>
                <w:sz w:val="18"/>
                <w:szCs w:val="18"/>
                <w:color w:val="auto"/>
                <w:w w:val="89"/>
              </w:rPr>
              <w:t>54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Equity-indexed compensation expense</w:t>
            </w:r>
          </w:p>
        </w:tc>
        <w:tc>
          <w:tcPr>
            <w:tcW w:w="120" w:type="dxa"/>
            <w:vAlign w:val="bottom"/>
          </w:tcPr>
          <w:p>
            <w:pPr>
              <w:spacing w:after="0"/>
              <w:rPr>
                <w:sz w:val="18"/>
                <w:szCs w:val="18"/>
                <w:color w:val="auto"/>
              </w:rPr>
            </w:pPr>
          </w:p>
        </w:tc>
        <w:tc>
          <w:tcPr>
            <w:tcW w:w="1040" w:type="dxa"/>
            <w:vAlign w:val="bottom"/>
          </w:tcPr>
          <w:p>
            <w:pPr>
              <w:jc w:val="center"/>
              <w:ind w:left="791"/>
              <w:spacing w:after="0"/>
              <w:rPr>
                <w:sz w:val="20"/>
                <w:szCs w:val="20"/>
                <w:color w:val="auto"/>
              </w:rPr>
            </w:pPr>
            <w:r>
              <w:rPr>
                <w:rFonts w:ascii="Arial" w:cs="Arial" w:eastAsia="Arial" w:hAnsi="Arial"/>
                <w:sz w:val="18"/>
                <w:szCs w:val="18"/>
                <w:color w:val="auto"/>
                <w:w w:val="79"/>
              </w:rPr>
              <w:t>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Net (gain)/loss on foreign currency</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left="691"/>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Line 901 incident</w:t>
            </w:r>
          </w:p>
        </w:tc>
        <w:tc>
          <w:tcPr>
            <w:tcW w:w="120" w:type="dxa"/>
            <w:vAlign w:val="bottom"/>
          </w:tcPr>
          <w:p>
            <w:pPr>
              <w:spacing w:after="0"/>
              <w:rPr>
                <w:sz w:val="18"/>
                <w:szCs w:val="18"/>
                <w:color w:val="auto"/>
              </w:rPr>
            </w:pPr>
          </w:p>
        </w:tc>
        <w:tc>
          <w:tcPr>
            <w:tcW w:w="1120" w:type="dxa"/>
            <w:vAlign w:val="bottom"/>
            <w:gridSpan w:val="2"/>
          </w:tcPr>
          <w:p>
            <w:pPr>
              <w:jc w:val="center"/>
              <w:ind w:left="69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Selected items impacting comparability of</w:t>
            </w: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771"/>
              <w:spacing w:after="0"/>
              <w:rPr>
                <w:sz w:val="20"/>
                <w:szCs w:val="20"/>
                <w:color w:val="auto"/>
              </w:rPr>
            </w:pPr>
            <w:r>
              <w:rPr>
                <w:rFonts w:ascii="Arial" w:cs="Arial" w:eastAsia="Arial" w:hAnsi="Arial"/>
                <w:sz w:val="18"/>
                <w:szCs w:val="18"/>
                <w:color w:val="auto"/>
                <w:w w:val="89"/>
              </w:rPr>
              <w:t>65</w:t>
            </w: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segment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Maintenance capital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center"/>
              <w:ind w:left="771"/>
              <w:spacing w:after="0"/>
              <w:rPr>
                <w:sz w:val="20"/>
                <w:szCs w:val="20"/>
                <w:color w:val="auto"/>
              </w:rPr>
            </w:pPr>
            <w:r>
              <w:rPr>
                <w:rFonts w:ascii="Arial" w:cs="Arial" w:eastAsia="Arial" w:hAnsi="Arial"/>
                <w:sz w:val="18"/>
                <w:szCs w:val="18"/>
                <w:color w:val="auto"/>
                <w:w w:val="89"/>
              </w:rPr>
              <w:t>86</w:t>
            </w:r>
          </w:p>
        </w:tc>
        <w:tc>
          <w:tcPr>
            <w:tcW w:w="80" w:type="dxa"/>
            <w:vAlign w:val="bottom"/>
          </w:tcPr>
          <w:p>
            <w:pPr>
              <w:spacing w:after="0"/>
              <w:rPr>
                <w:sz w:val="18"/>
                <w:szCs w:val="18"/>
                <w:color w:val="auto"/>
              </w:rPr>
            </w:pP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397"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340" w:right="180" w:hanging="332"/>
        <w:spacing w:after="0" w:line="219" w:lineRule="auto"/>
        <w:tabs>
          <w:tab w:leader="none" w:pos="328"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ectPr>
          <w:pgSz w:w="11900" w:h="16838" w:orient="portrait"/>
          <w:cols w:equalWidth="0" w:num="1">
            <w:col w:w="11420"/>
          </w:cols>
          <w:pgMar w:left="240" w:top="125" w:right="239" w:bottom="0" w:gutter="0" w:footer="0" w:header="0"/>
          <w:type w:val="continuous"/>
        </w:sectPr>
      </w:pPr>
    </w:p>
    <w:bookmarkStart w:id="17" w:name="page18"/>
    <w:bookmarkEnd w:id="17"/>
    <w:p>
      <w:pPr>
        <w:ind w:left="340" w:right="280" w:hanging="332"/>
        <w:spacing w:after="0" w:line="251" w:lineRule="auto"/>
        <w:tabs>
          <w:tab w:leader="none" w:pos="328"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0"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w w:val="98"/>
              </w:rPr>
              <w:t>September 30,</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78"/>
        </w:trPr>
        <w:tc>
          <w:tcPr>
            <w:tcW w:w="572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Income to Earnings Before Interest, Taxes, Depreciation and</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Amortization (“EBITDA”), Excluding Selected Items Impacting</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6"/>
              </w:rPr>
              <w:t>Comparability (“Adjusted EBITDA”) and Implied Distributable Cash</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Flow (“DCF”) Reconciliations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298</w:t>
            </w: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602</w:t>
            </w: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659</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CEEFF"/>
          </w:tcPr>
          <w:p>
            <w:pPr>
              <w:spacing w:after="0"/>
              <w:rPr>
                <w:sz w:val="18"/>
                <w:szCs w:val="18"/>
                <w:color w:val="auto"/>
              </w:rPr>
            </w:pPr>
          </w:p>
        </w:tc>
      </w:tr>
      <w:tr>
        <w:trPr>
          <w:trHeight w:val="216"/>
        </w:trPr>
        <w:tc>
          <w:tcPr>
            <w:tcW w:w="572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8"/>
                <w:szCs w:val="18"/>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EBITDA</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63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18"/>
                <w:szCs w:val="18"/>
                <w:color w:val="auto"/>
              </w:rPr>
            </w:pPr>
          </w:p>
        </w:tc>
        <w:tc>
          <w:tcPr>
            <w:tcW w:w="82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Selected items impacting comparability of EBITDA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18"/>
                <w:szCs w:val="18"/>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Adjusted EBITDA</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63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8"/>
                <w:szCs w:val="18"/>
                <w:color w:val="auto"/>
              </w:rPr>
            </w:pPr>
          </w:p>
        </w:tc>
        <w:tc>
          <w:tcPr>
            <w:tcW w:w="82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(309)</w:t>
            </w:r>
          </w:p>
        </w:tc>
      </w:tr>
      <w:tr>
        <w:trPr>
          <w:trHeight w:val="216"/>
        </w:trPr>
        <w:tc>
          <w:tcPr>
            <w:tcW w:w="5720" w:type="dxa"/>
            <w:vAlign w:val="bottom"/>
          </w:tcPr>
          <w:p>
            <w:pPr>
              <w:ind w:left="200"/>
              <w:spacing w:after="0"/>
              <w:rPr>
                <w:sz w:val="20"/>
                <w:szCs w:val="20"/>
                <w:color w:val="auto"/>
              </w:rPr>
            </w:pPr>
            <w:r>
              <w:rPr>
                <w:rFonts w:ascii="Arial" w:cs="Arial" w:eastAsia="Arial" w:hAnsi="Arial"/>
                <w:sz w:val="18"/>
                <w:szCs w:val="18"/>
                <w:color w:val="auto"/>
              </w:rPr>
              <w:t>Maintenance capital</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(154)</w:t>
            </w:r>
          </w:p>
        </w:tc>
      </w:tr>
      <w:tr>
        <w:trPr>
          <w:trHeight w:val="216"/>
        </w:trPr>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r>
      <w:tr>
        <w:trPr>
          <w:trHeight w:val="216"/>
        </w:trPr>
        <w:tc>
          <w:tcPr>
            <w:tcW w:w="5720" w:type="dxa"/>
            <w:vAlign w:val="bottom"/>
          </w:tcPr>
          <w:p>
            <w:pPr>
              <w:ind w:left="200"/>
              <w:spacing w:after="0"/>
              <w:rPr>
                <w:sz w:val="20"/>
                <w:szCs w:val="20"/>
                <w:color w:val="auto"/>
              </w:rPr>
            </w:pPr>
            <w:r>
              <w:rPr>
                <w:rFonts w:ascii="Arial" w:cs="Arial" w:eastAsia="Arial" w:hAnsi="Arial"/>
                <w:sz w:val="18"/>
                <w:szCs w:val="18"/>
                <w:color w:val="auto"/>
              </w:rPr>
              <w:t>Equity earnings in unconsolidated entities, net of distributions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0"/>
        </w:trPr>
        <w:tc>
          <w:tcPr>
            <w:tcW w:w="5720" w:type="dxa"/>
            <w:vAlign w:val="bottom"/>
          </w:tcPr>
          <w:p>
            <w:pPr>
              <w:spacing w:after="0" w:line="210"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3"/>
                <w:szCs w:val="23"/>
                <w:color w:val="auto"/>
                <w:vertAlign w:val="superscript"/>
              </w:rPr>
              <w:t>(4)</w:t>
            </w: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20" w:hanging="312"/>
        <w:spacing w:after="0" w:line="203" w:lineRule="auto"/>
        <w:tabs>
          <w:tab w:leader="none" w:pos="320" w:val="left"/>
        </w:tabs>
        <w:numPr>
          <w:ilvl w:val="0"/>
          <w:numId w:val="33"/>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 w:lineRule="exact"/>
        <w:rPr>
          <w:rFonts w:ascii="Arial" w:cs="Arial" w:eastAsia="Arial" w:hAnsi="Arial"/>
          <w:sz w:val="22"/>
          <w:szCs w:val="22"/>
          <w:color w:val="auto"/>
          <w:vertAlign w:val="superscript"/>
        </w:rPr>
      </w:pPr>
    </w:p>
    <w:p>
      <w:pPr>
        <w:ind w:left="320" w:hanging="312"/>
        <w:spacing w:after="0" w:line="194" w:lineRule="auto"/>
        <w:tabs>
          <w:tab w:leader="none" w:pos="32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Includes distributions that pertain to the current period’s net income, which are paid in the subsequent period.</w:t>
      </w:r>
    </w:p>
    <w:p>
      <w:pPr>
        <w:spacing w:after="0" w:line="2" w:lineRule="exact"/>
        <w:rPr>
          <w:rFonts w:ascii="Arial" w:cs="Arial" w:eastAsia="Arial" w:hAnsi="Arial"/>
          <w:sz w:val="23"/>
          <w:szCs w:val="23"/>
          <w:color w:val="auto"/>
          <w:vertAlign w:val="superscript"/>
        </w:rPr>
      </w:pPr>
    </w:p>
    <w:p>
      <w:pPr>
        <w:ind w:left="340" w:right="460" w:hanging="332"/>
        <w:spacing w:after="0" w:line="219" w:lineRule="auto"/>
        <w:tabs>
          <w:tab w:leader="none" w:pos="328"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Including costs recognized during the period related to the Line 901 incident that occurred during May 2015, Implied DCF would have been $1,027 million for the nine months ended September 30, 2015.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38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ADJUSTED BASIC AND DILUTED NET INCOME PER COMMON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w w:val="98"/>
              </w:rPr>
              <w:t>September 30,</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Common Unit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980" w:type="dxa"/>
            <w:vAlign w:val="bottom"/>
            <w:gridSpan w:val="2"/>
          </w:tcPr>
          <w:p>
            <w:pPr>
              <w:jc w:val="right"/>
              <w:ind w:right="64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297</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599</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CEEFF"/>
          </w:tcPr>
          <w:p>
            <w:pPr>
              <w:ind w:left="160"/>
              <w:spacing w:after="0" w:line="162" w:lineRule="exact"/>
              <w:rPr>
                <w:sz w:val="20"/>
                <w:szCs w:val="20"/>
                <w:color w:val="auto"/>
              </w:rPr>
            </w:pPr>
            <w:r>
              <w:rPr>
                <w:rFonts w:ascii="Arial" w:cs="Arial" w:eastAsia="Arial" w:hAnsi="Arial"/>
                <w:sz w:val="18"/>
                <w:szCs w:val="18"/>
                <w:color w:val="auto"/>
                <w:w w:val="94"/>
              </w:rPr>
              <w:t>Selected items impacting comparability of net income attributable to PAA</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Distributions to Series A preferred units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7"/>
              </w:rPr>
              <w:t>Adjusted net income allocated to common unitholders in accordance with</w:t>
            </w: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vMerge w:val="continue"/>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15"/>
                <w:szCs w:val="15"/>
                <w:color w:val="auto"/>
              </w:rPr>
            </w:pPr>
          </w:p>
        </w:tc>
        <w:tc>
          <w:tcPr>
            <w:tcW w:w="820" w:type="dxa"/>
            <w:vAlign w:val="bottom"/>
            <w:vMerge w:val="restart"/>
            <w:shd w:val="clear" w:color="auto" w:fill="CCEEFF"/>
          </w:tcPr>
          <w:p>
            <w:pPr>
              <w:jc w:val="right"/>
              <w:ind w:right="642"/>
              <w:spacing w:after="0"/>
              <w:rPr>
                <w:sz w:val="20"/>
                <w:szCs w:val="20"/>
                <w:color w:val="auto"/>
              </w:rPr>
            </w:pPr>
            <w:r>
              <w:rPr>
                <w:rFonts w:ascii="Arial" w:cs="Arial" w:eastAsia="Arial" w:hAnsi="Arial"/>
                <w:sz w:val="18"/>
                <w:szCs w:val="18"/>
                <w:color w:val="auto"/>
                <w:w w:val="7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20" w:type="dxa"/>
            <w:vAlign w:val="bottom"/>
            <w:vMerge w:val="restart"/>
            <w:shd w:val="clear" w:color="auto" w:fill="CCEEFF"/>
          </w:tcPr>
          <w:p>
            <w:pPr>
              <w:spacing w:after="0"/>
              <w:rPr>
                <w:sz w:val="15"/>
                <w:szCs w:val="15"/>
                <w:color w:val="auto"/>
              </w:rPr>
            </w:pPr>
          </w:p>
        </w:tc>
        <w:tc>
          <w:tcPr>
            <w:tcW w:w="820" w:type="dxa"/>
            <w:vAlign w:val="bottom"/>
            <w:vMerge w:val="restart"/>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260" w:type="dxa"/>
            <w:vAlign w:val="bottom"/>
            <w:vMerge w:val="restart"/>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290</w:t>
            </w:r>
          </w:p>
        </w:tc>
        <w:tc>
          <w:tcPr>
            <w:tcW w:w="4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application of the two-class method for MLPs</w:t>
            </w:r>
          </w:p>
        </w:tc>
        <w:tc>
          <w:tcPr>
            <w:tcW w:w="1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0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016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8" w:name="page19"/>
    <w:bookmarkEnd w:id="18"/>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adjusted net income per common unit</w:t>
            </w:r>
          </w:p>
        </w:tc>
        <w:tc>
          <w:tcPr>
            <w:tcW w:w="6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0.39</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0.73</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66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297</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599</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CEEFF"/>
          </w:tcPr>
          <w:p>
            <w:pPr>
              <w:ind w:left="160"/>
              <w:spacing w:after="0" w:line="162" w:lineRule="exact"/>
              <w:rPr>
                <w:sz w:val="20"/>
                <w:szCs w:val="20"/>
                <w:color w:val="auto"/>
              </w:rPr>
            </w:pPr>
            <w:r>
              <w:rPr>
                <w:rFonts w:ascii="Arial" w:cs="Arial" w:eastAsia="Arial" w:hAnsi="Arial"/>
                <w:sz w:val="18"/>
                <w:szCs w:val="18"/>
                <w:color w:val="auto"/>
                <w:w w:val="94"/>
              </w:rPr>
              <w:t>Selected items impacting comparability of net income attributable to PAA</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1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Distributions to Series A preferred units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5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4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7"/>
              </w:rPr>
              <w:t>Adjusted net income allocated to common unitholders in accordance with</w:t>
            </w: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vMerge w:val="continue"/>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15"/>
                <w:szCs w:val="15"/>
                <w:color w:val="auto"/>
              </w:rPr>
            </w:pP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20" w:type="dxa"/>
            <w:vAlign w:val="bottom"/>
            <w:vMerge w:val="restart"/>
            <w:shd w:val="clear" w:color="auto" w:fill="CCEEFF"/>
          </w:tcPr>
          <w:p>
            <w:pPr>
              <w:spacing w:after="0"/>
              <w:rPr>
                <w:sz w:val="15"/>
                <w:szCs w:val="15"/>
                <w:color w:val="auto"/>
              </w:rPr>
            </w:pP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480" w:type="dxa"/>
            <w:vAlign w:val="bottom"/>
            <w:vMerge w:val="restart"/>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290</w:t>
            </w:r>
          </w:p>
        </w:tc>
        <w:tc>
          <w:tcPr>
            <w:tcW w:w="56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application of the two-class method for MLPs</w:t>
            </w:r>
          </w:p>
        </w:tc>
        <w:tc>
          <w:tcPr>
            <w:tcW w:w="16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Effect of dilutive securities: Weighted average LTIP units </w:t>
            </w:r>
            <w:r>
              <w:rPr>
                <w:rFonts w:ascii="Arial" w:cs="Arial" w:eastAsia="Arial" w:hAnsi="Arial"/>
                <w:sz w:val="23"/>
                <w:szCs w:val="23"/>
                <w:color w:val="auto"/>
                <w:vertAlign w:val="superscript"/>
              </w:rPr>
              <w:t>(3)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Diluted adjusted net income per common unit </w:t>
            </w:r>
            <w:r>
              <w:rPr>
                <w:rFonts w:ascii="Arial" w:cs="Arial" w:eastAsia="Arial" w:hAnsi="Arial"/>
                <w:sz w:val="23"/>
                <w:szCs w:val="23"/>
                <w:color w:val="auto"/>
                <w:vertAlign w:val="superscript"/>
              </w:rPr>
              <w:t>(4)</w:t>
            </w:r>
          </w:p>
        </w:tc>
        <w:tc>
          <w:tcPr>
            <w:tcW w:w="6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0.39</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0.72</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right="120" w:hanging="332"/>
        <w:spacing w:after="0" w:line="233" w:lineRule="auto"/>
        <w:tabs>
          <w:tab w:leader="none" w:pos="328"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Adjusted net income allocated to common unitholders is calculated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our partnership agreement and as further prescribed under the two-class method.</w:t>
      </w:r>
    </w:p>
    <w:p>
      <w:pPr>
        <w:spacing w:after="0" w:line="3" w:lineRule="exact"/>
        <w:rPr>
          <w:rFonts w:ascii="Arial" w:cs="Arial" w:eastAsia="Arial" w:hAnsi="Arial"/>
          <w:sz w:val="23"/>
          <w:szCs w:val="23"/>
          <w:color w:val="auto"/>
          <w:vertAlign w:val="superscript"/>
        </w:rPr>
      </w:pPr>
    </w:p>
    <w:p>
      <w:pPr>
        <w:ind w:left="340" w:right="20" w:hanging="332"/>
        <w:spacing w:after="0" w:line="234" w:lineRule="auto"/>
        <w:tabs>
          <w:tab w:leader="none" w:pos="328"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1" w:lineRule="exact"/>
        <w:rPr>
          <w:rFonts w:ascii="Arial" w:cs="Arial" w:eastAsia="Arial" w:hAnsi="Arial"/>
          <w:sz w:val="23"/>
          <w:szCs w:val="23"/>
          <w:color w:val="auto"/>
          <w:vertAlign w:val="superscript"/>
        </w:rPr>
      </w:pPr>
    </w:p>
    <w:p>
      <w:pPr>
        <w:ind w:left="340" w:right="180" w:hanging="332"/>
        <w:spacing w:after="0" w:line="219" w:lineRule="auto"/>
        <w:tabs>
          <w:tab w:leader="none" w:pos="328"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adjusted net income per common unit for the three and nine months ended September 30, 2016 as the effect was antidilutive.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 2016</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2015</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Consolidating</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right w:val="single" w:sz="8" w:color="auto"/>
            </w:tcBorders>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PAGP</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6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right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4,429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4,429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4,822</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ind w:left="18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PAGP</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11420"/>
          </w:cols>
          <w:pgMar w:left="240" w:top="140"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PER CLASS A</w:t>
            </w:r>
          </w:p>
        </w:tc>
        <w:tc>
          <w:tcPr>
            <w:tcW w:w="19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340" w:type="dxa"/>
            <w:vAlign w:val="bottom"/>
            <w:gridSpan w:val="2"/>
            <w:vMerge w:val="restart"/>
            <w:shd w:val="clear" w:color="auto" w:fill="CCEEFF"/>
          </w:tcPr>
          <w:p>
            <w:pPr>
              <w:jc w:val="right"/>
              <w:ind w:right="2720"/>
              <w:spacing w:after="0"/>
              <w:rPr>
                <w:sz w:val="20"/>
                <w:szCs w:val="20"/>
                <w:color w:val="auto"/>
              </w:rPr>
            </w:pPr>
            <w:r>
              <w:rPr>
                <w:rFonts w:ascii="Arial" w:cs="Arial" w:eastAsia="Arial" w:hAnsi="Arial"/>
                <w:sz w:val="18"/>
                <w:szCs w:val="18"/>
                <w:color w:val="auto"/>
              </w:rPr>
              <w:t>0.09</w:t>
            </w:r>
          </w:p>
        </w:tc>
        <w:tc>
          <w:tcPr>
            <w:tcW w:w="6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w:t>
            </w:r>
          </w:p>
        </w:tc>
        <w:tc>
          <w:tcPr>
            <w:tcW w:w="1900" w:type="dxa"/>
            <w:vAlign w:val="bottom"/>
            <w:gridSpan w:val="2"/>
            <w:vMerge w:val="continue"/>
            <w:shd w:val="clear" w:color="auto" w:fill="CCEEFF"/>
          </w:tcPr>
          <w:p>
            <w:pPr>
              <w:spacing w:after="0"/>
              <w:rPr>
                <w:sz w:val="19"/>
                <w:szCs w:val="19"/>
                <w:color w:val="auto"/>
              </w:rPr>
            </w:pPr>
          </w:p>
        </w:tc>
        <w:tc>
          <w:tcPr>
            <w:tcW w:w="3340" w:type="dxa"/>
            <w:vAlign w:val="bottom"/>
            <w:gridSpan w:val="2"/>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NET INCOME PER CLASS A</w:t>
            </w:r>
          </w:p>
        </w:tc>
        <w:tc>
          <w:tcPr>
            <w:tcW w:w="19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340" w:type="dxa"/>
            <w:vAlign w:val="bottom"/>
            <w:gridSpan w:val="2"/>
            <w:vMerge w:val="restart"/>
            <w:shd w:val="clear" w:color="auto" w:fill="CCEEFF"/>
          </w:tcPr>
          <w:p>
            <w:pPr>
              <w:jc w:val="right"/>
              <w:ind w:right="2720"/>
              <w:spacing w:after="0"/>
              <w:rPr>
                <w:sz w:val="20"/>
                <w:szCs w:val="20"/>
                <w:color w:val="auto"/>
              </w:rPr>
            </w:pPr>
            <w:r>
              <w:rPr>
                <w:rFonts w:ascii="Arial" w:cs="Arial" w:eastAsia="Arial" w:hAnsi="Arial"/>
                <w:sz w:val="18"/>
                <w:szCs w:val="18"/>
                <w:color w:val="auto"/>
              </w:rPr>
              <w:t>0.09</w:t>
            </w:r>
          </w:p>
        </w:tc>
        <w:tc>
          <w:tcPr>
            <w:tcW w:w="6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w:t>
            </w:r>
          </w:p>
        </w:tc>
        <w:tc>
          <w:tcPr>
            <w:tcW w:w="1900" w:type="dxa"/>
            <w:vAlign w:val="bottom"/>
            <w:gridSpan w:val="2"/>
            <w:vMerge w:val="continue"/>
            <w:shd w:val="clear" w:color="auto" w:fill="CCEEFF"/>
          </w:tcPr>
          <w:p>
            <w:pPr>
              <w:spacing w:after="0"/>
              <w:rPr>
                <w:sz w:val="19"/>
                <w:szCs w:val="19"/>
                <w:color w:val="auto"/>
              </w:rPr>
            </w:pPr>
          </w:p>
        </w:tc>
        <w:tc>
          <w:tcPr>
            <w:tcW w:w="3340" w:type="dxa"/>
            <w:vAlign w:val="bottom"/>
            <w:gridSpan w:val="2"/>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WEIGHTED AVERAGE CLASS A</w:t>
            </w:r>
          </w:p>
        </w:tc>
        <w:tc>
          <w:tcPr>
            <w:tcW w:w="1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340" w:type="dxa"/>
            <w:vAlign w:val="bottom"/>
            <w:gridSpan w:val="2"/>
            <w:vMerge w:val="restart"/>
            <w:shd w:val="clear" w:color="auto" w:fill="CCEEFF"/>
          </w:tcPr>
          <w:p>
            <w:pPr>
              <w:jc w:val="right"/>
              <w:ind w:right="2720"/>
              <w:spacing w:after="0"/>
              <w:rPr>
                <w:sz w:val="20"/>
                <w:szCs w:val="20"/>
                <w:color w:val="auto"/>
              </w:rPr>
            </w:pPr>
            <w:r>
              <w:rPr>
                <w:rFonts w:ascii="Arial" w:cs="Arial" w:eastAsia="Arial" w:hAnsi="Arial"/>
                <w:sz w:val="18"/>
                <w:szCs w:val="18"/>
                <w:color w:val="auto"/>
              </w:rPr>
              <w:t>268</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SHARES OUTSTANDING</w:t>
            </w:r>
          </w:p>
        </w:tc>
        <w:tc>
          <w:tcPr>
            <w:tcW w:w="1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3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WEIGHTED AVERAGE</w:t>
            </w:r>
          </w:p>
        </w:tc>
        <w:tc>
          <w:tcPr>
            <w:tcW w:w="1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340" w:type="dxa"/>
            <w:vAlign w:val="bottom"/>
            <w:gridSpan w:val="2"/>
            <w:vMerge w:val="restart"/>
            <w:shd w:val="clear" w:color="auto" w:fill="CCEEFF"/>
          </w:tcPr>
          <w:p>
            <w:pPr>
              <w:jc w:val="right"/>
              <w:ind w:right="2720"/>
              <w:spacing w:after="0"/>
              <w:rPr>
                <w:sz w:val="20"/>
                <w:szCs w:val="20"/>
                <w:color w:val="auto"/>
              </w:rPr>
            </w:pPr>
            <w:r>
              <w:rPr>
                <w:rFonts w:ascii="Arial" w:cs="Arial" w:eastAsia="Arial" w:hAnsi="Arial"/>
                <w:sz w:val="18"/>
                <w:szCs w:val="18"/>
                <w:color w:val="auto"/>
              </w:rPr>
              <w:t>268</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SHARES OUTSTANDING</w:t>
            </w:r>
          </w:p>
        </w:tc>
        <w:tc>
          <w:tcPr>
            <w:tcW w:w="1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3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780" w:hanging="332"/>
        <w:spacing w:after="0" w:line="251" w:lineRule="auto"/>
        <w:tabs>
          <w:tab w:leader="none" w:pos="328" w:val="left"/>
        </w:tabs>
        <w:numPr>
          <w:ilvl w:val="0"/>
          <w:numId w:val="35"/>
        </w:numPr>
        <w:rPr>
          <w:rFonts w:ascii="Arial" w:cs="Arial" w:eastAsia="Arial" w:hAnsi="Arial"/>
          <w:sz w:val="21"/>
          <w:szCs w:val="21"/>
          <w:color w:val="auto"/>
          <w:vertAlign w:val="superscript"/>
        </w:rPr>
      </w:pPr>
      <w:r>
        <w:rPr>
          <w:rFonts w:ascii="Arial" w:cs="Arial" w:eastAsia="Arial" w:hAnsi="Arial"/>
          <w:sz w:val="16"/>
          <w:szCs w:val="16"/>
          <w:color w:val="auto"/>
        </w:rPr>
        <w:t>The 2015 period has been retroactively adjusted to reflect the reclassification of the amortization of debt issuance costs from “Depreciation and amortization” to “Interest expense, net” as a result of our adoption of revised debt issuance costs guidance issued by the FASB.</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Nine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September 30, 2016</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2015</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Borders>
              <w:right w:val="single" w:sz="8" w:color="auto"/>
            </w:tcBorders>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PAGP</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line="172" w:lineRule="exact"/>
              <w:rPr>
                <w:sz w:val="20"/>
                <w:szCs w:val="20"/>
                <w:color w:val="auto"/>
              </w:rPr>
            </w:pPr>
            <w:r>
              <w:rPr>
                <w:rFonts w:ascii="Arial" w:cs="Arial" w:eastAsia="Arial" w:hAnsi="Arial"/>
                <w:sz w:val="14"/>
                <w:szCs w:val="14"/>
                <w:b w:val="1"/>
                <w:bCs w:val="1"/>
                <w:color w:val="auto"/>
                <w:w w:val="91"/>
              </w:rPr>
              <w:t xml:space="preserve">Adjustments </w:t>
            </w:r>
            <w:r>
              <w:rPr>
                <w:rFonts w:ascii="Arial" w:cs="Arial" w:eastAsia="Arial" w:hAnsi="Arial"/>
                <w:sz w:val="17"/>
                <w:szCs w:val="17"/>
                <w:b w:val="1"/>
                <w:bCs w:val="1"/>
                <w:color w:val="auto"/>
                <w:w w:val="91"/>
                <w:vertAlign w:val="superscript"/>
              </w:rPr>
              <w:t>(2)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right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14,231</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12,000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15,591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13,457</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OTHER INCOME/(EXPENSE)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Current income tax expense</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tcPr>
          <w:p>
            <w:pPr>
              <w:ind w:left="36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(436)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gridSpan w:val="2"/>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gridSpan w:val="2"/>
            <w:vMerge w:val="continue"/>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(497)</w:t>
            </w:r>
          </w:p>
        </w:tc>
        <w:tc>
          <w:tcPr>
            <w:tcW w:w="30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(564)</w:t>
            </w:r>
          </w:p>
        </w:tc>
        <w:tc>
          <w:tcPr>
            <w:tcW w:w="280" w:type="dxa"/>
            <w:vAlign w:val="bottom"/>
            <w:gridSpan w:val="2"/>
            <w:vMerge w:val="restart"/>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PAGP</w:t>
            </w: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NET INCOME PER CLASS A</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gridSpan w:val="2"/>
            <w:vMerge w:val="restart"/>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SHARE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tcBorders>
              <w:right w:val="single" w:sz="8" w:color="CCEEFF"/>
            </w:tcBorders>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NET INCOME PER CLASS A</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0.38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gridSpan w:val="2"/>
            <w:vMerge w:val="restart"/>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SHARE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tcBorders>
              <w:right w:val="single" w:sz="8" w:color="CCEEFF"/>
            </w:tcBorders>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WEIGHTED AVERAGE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263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SHARES OUTSTANDING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WEIGHTED AVERAGE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629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SHARES OUTSTANDING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6" w:right="239" w:bottom="0" w:gutter="0" w:footer="0" w:header="0"/>
        </w:sectPr>
      </w:pPr>
    </w:p>
    <w:bookmarkStart w:id="20" w:name="page21"/>
    <w:bookmarkEnd w:id="20"/>
    <w:p>
      <w:pPr>
        <w:spacing w:after="0" w:line="62" w:lineRule="exact"/>
        <w:rPr>
          <w:sz w:val="20"/>
          <w:szCs w:val="20"/>
          <w:color w:val="auto"/>
        </w:rPr>
      </w:pPr>
    </w:p>
    <w:p>
      <w:pPr>
        <w:ind w:left="340" w:right="780" w:hanging="332"/>
        <w:spacing w:after="0" w:line="251" w:lineRule="auto"/>
        <w:tabs>
          <w:tab w:leader="none" w:pos="328"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The 2015 period has been retroactively adjusted to reflect the reclassification of the amortization of debt issuance costs from “Depreciation and amortization” to “Interest expense, net” as a result of our adoption of revised debt issuance costs guidance issued by the FASB.</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September 30, 2016</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2015</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Consolidating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Borders>
              <w:right w:val="single" w:sz="8" w:color="auto"/>
            </w:tcBorders>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PAGP</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Consolidating</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6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right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2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3,773</w:t>
            </w:r>
          </w:p>
        </w:tc>
        <w:tc>
          <w:tcPr>
            <w:tcW w:w="10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3,776</w:t>
            </w:r>
          </w:p>
        </w:tc>
        <w:tc>
          <w:tcPr>
            <w:tcW w:w="2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13,829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2,353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1,886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Long-term inventory</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25,411</w:t>
            </w:r>
          </w:p>
        </w:tc>
        <w:tc>
          <w:tcPr>
            <w:tcW w:w="240" w:type="dxa"/>
            <w:vAlign w:val="bottom"/>
            <w:tcBorders>
              <w:bottom w:val="single" w:sz="8" w:color="CCEEFF"/>
              <w:right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 PARTNERS’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b w:val="1"/>
                <w:bCs w:val="1"/>
                <w:color w:val="auto"/>
              </w:rPr>
              <w:t>CAPITAL</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Senior notes, net of unamortized discounts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and debt issuance costs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9,130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9,698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long-term debt, net of unamortized</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1,106</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Other long-term liabilities and deferred</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credits</w:t>
            </w:r>
          </w:p>
        </w:tc>
        <w:tc>
          <w:tcPr>
            <w:tcW w:w="2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15,037</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Partners’ capital excluding noncontrolling</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(7,248)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1,768</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(6,119)</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8,548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8,606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7,414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7,472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10,374</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25,411</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8"/>
          <w:szCs w:val="8"/>
          <w:color w:val="auto"/>
        </w:rPr>
      </w:pPr>
      <w:r>
        <w:rPr>
          <w:rFonts w:ascii="Arial" w:cs="Arial" w:eastAsia="Arial" w:hAnsi="Arial"/>
          <w:sz w:val="18"/>
          <w:szCs w:val="18"/>
          <w:color w:val="auto"/>
        </w:rPr>
        <w:t>Represents the aggregate consolidating adjustments necessary to produce consolidated financial statements for PAGP.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DISTRIBUTION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Q3 2016 PAGP DISTRIBUTION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xml:space="preserve">Q3 2016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PAA Distribution/Common Unit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GP Distribution/Common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0.2450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Distribution/Common Unit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PAA Common Units Outstanding at 10/31/16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Gross GP Distribution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Less: IDR Reduction</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994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1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Distribution from PAA to AAP </w:t>
            </w:r>
            <w:r>
              <w:rPr>
                <w:rFonts w:ascii="Arial" w:cs="Arial" w:eastAsia="Arial" w:hAnsi="Arial"/>
                <w:sz w:val="23"/>
                <w:szCs w:val="23"/>
                <w:color w:val="auto"/>
                <w:vertAlign w:val="superscript"/>
              </w:rPr>
              <w:t>(2)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Plus: Borrowings to Fund True-up Distribution </w:t>
            </w:r>
            <w:r>
              <w:rPr>
                <w:rFonts w:ascii="Arial" w:cs="Arial" w:eastAsia="Arial" w:hAnsi="Arial"/>
                <w:sz w:val="23"/>
                <w:szCs w:val="23"/>
                <w:color w:val="auto"/>
                <w:vertAlign w:val="superscript"/>
              </w:rPr>
              <w:t>(3)</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Available for Distribution by AAP</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AAP Partners</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Direct AAP Owners &amp; AAP Management (59% economic interest)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PAGP (41% economic interest)</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distributions to AAP Partners</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Distribution to PAGP Investors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PAGP Class A Shares Outstanding at 10/31/16</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PAGP Distribution/Class A Share</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0.2065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Amounts may not recalculate due to rounding.</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Plains AAP, L.P. (“AAP”) is the general partner of PAA.</w:t>
      </w:r>
    </w:p>
    <w:p>
      <w:pPr>
        <w:spacing w:after="0" w:line="2" w:lineRule="exact"/>
        <w:rPr>
          <w:rFonts w:ascii="Arial" w:cs="Arial" w:eastAsia="Arial" w:hAnsi="Arial"/>
          <w:sz w:val="23"/>
          <w:szCs w:val="23"/>
          <w:color w:val="auto"/>
          <w:vertAlign w:val="superscript"/>
        </w:rPr>
      </w:pPr>
    </w:p>
    <w:p>
      <w:pPr>
        <w:ind w:left="340" w:right="40" w:hanging="332"/>
        <w:spacing w:after="0" w:line="260" w:lineRule="auto"/>
        <w:tabs>
          <w:tab w:leader="none" w:pos="328"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AAP has agreed to borrow funds under its credit agreement as necessary to make a special ‘‘true-up’’ distribution to its partners that, when added to the distributions to be paid to AAP in respect of the 2% general partner interest in PAA and the IDRs, equals the total distribution AAP’s partners would have received if the closing of the Simplification Transactions had occurred immediately prior to the record date for the third quarter distribution.</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19</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72377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7" w:lineRule="exact"/>
        <w:rPr>
          <w:sz w:val="20"/>
          <w:szCs w:val="20"/>
          <w:color w:val="auto"/>
        </w:rPr>
      </w:pPr>
    </w:p>
    <w:p>
      <w:pPr>
        <w:ind w:right="4800" w:firstLine="14"/>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Class A Share</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80"/>
              <w:spacing w:after="0"/>
              <w:rPr>
                <w:sz w:val="20"/>
                <w:szCs w:val="20"/>
                <w:color w:val="auto"/>
              </w:rPr>
            </w:pPr>
            <w:r>
              <w:rPr>
                <w:rFonts w:ascii="Arial" w:cs="Arial" w:eastAsia="Arial" w:hAnsi="Arial"/>
                <w:sz w:val="18"/>
                <w:szCs w:val="18"/>
                <w:color w:val="auto"/>
              </w:rPr>
              <w:t>Net income attributable to PAGP</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00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268</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net income per Class A share</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0.14</w:t>
            </w:r>
          </w:p>
        </w:tc>
        <w:tc>
          <w:tcPr>
            <w:tcW w:w="1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0.39</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80"/>
              <w:spacing w:after="0"/>
              <w:rPr>
                <w:sz w:val="20"/>
                <w:szCs w:val="20"/>
                <w:color w:val="auto"/>
              </w:rPr>
            </w:pPr>
            <w:r>
              <w:rPr>
                <w:rFonts w:ascii="Arial" w:cs="Arial" w:eastAsia="Arial" w:hAnsi="Arial"/>
                <w:sz w:val="18"/>
                <w:szCs w:val="18"/>
                <w:color w:val="auto"/>
              </w:rPr>
              <w:t>Net income attributable to PAGP</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00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Incremental net income allocated to PAGP resulting from</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2"/>
              </w:rPr>
              <w:t>assumed exchange of AAP units and AAP Management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Units</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w:t>
            </w:r>
          </w:p>
        </w:tc>
        <w:tc>
          <w:tcPr>
            <w:tcW w:w="5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Net income allocated to PAGP including incremental net</w:t>
            </w:r>
          </w:p>
        </w:tc>
        <w:tc>
          <w:tcPr>
            <w:tcW w:w="3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360"/>
              <w:spacing w:after="0"/>
              <w:rPr>
                <w:sz w:val="20"/>
                <w:szCs w:val="20"/>
                <w:color w:val="auto"/>
              </w:rPr>
            </w:pPr>
            <w:r>
              <w:rPr>
                <w:rFonts w:ascii="Arial" w:cs="Arial" w:eastAsia="Arial" w:hAnsi="Arial"/>
                <w:sz w:val="18"/>
                <w:szCs w:val="18"/>
                <w:color w:val="auto"/>
                <w:w w:val="97"/>
              </w:rPr>
              <w:t>income from assumed exchange of AAP units and AAP</w:t>
            </w: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000" w:type="dxa"/>
            <w:vAlign w:val="bottom"/>
            <w:gridSpan w:val="2"/>
            <w:vMerge w:val="restart"/>
          </w:tcPr>
          <w:p>
            <w:pPr>
              <w:jc w:val="right"/>
              <w:ind w:right="688"/>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240</w:t>
            </w:r>
          </w:p>
        </w:tc>
        <w:tc>
          <w:tcPr>
            <w:tcW w:w="500" w:type="dxa"/>
            <w:vAlign w:val="bottom"/>
            <w:vMerge w:val="restart"/>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gridSpan w:val="2"/>
          </w:tcPr>
          <w:p>
            <w:pPr>
              <w:ind w:left="360"/>
              <w:spacing w:after="0"/>
              <w:rPr>
                <w:sz w:val="20"/>
                <w:szCs w:val="20"/>
                <w:color w:val="auto"/>
              </w:rPr>
            </w:pPr>
            <w:r>
              <w:rPr>
                <w:rFonts w:ascii="Arial" w:cs="Arial" w:eastAsia="Arial" w:hAnsi="Arial"/>
                <w:sz w:val="18"/>
                <w:szCs w:val="18"/>
                <w:color w:val="auto"/>
              </w:rPr>
              <w:t>Management Units</w:t>
            </w:r>
          </w:p>
        </w:tc>
        <w:tc>
          <w:tcPr>
            <w:tcW w:w="600" w:type="dxa"/>
            <w:vAlign w:val="bottom"/>
            <w:gridSpan w:val="2"/>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780" w:type="dxa"/>
            <w:vAlign w:val="bottom"/>
            <w:gridSpan w:val="2"/>
            <w:vMerge w:val="continue"/>
          </w:tcPr>
          <w:p>
            <w:pPr>
              <w:spacing w:after="0"/>
              <w:rPr>
                <w:sz w:val="22"/>
                <w:szCs w:val="22"/>
                <w:color w:val="auto"/>
              </w:rPr>
            </w:pPr>
          </w:p>
        </w:tc>
        <w:tc>
          <w:tcPr>
            <w:tcW w:w="500" w:type="dxa"/>
            <w:vAlign w:val="bottom"/>
            <w:vMerge w:val="continue"/>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0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268</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263</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Dilutive shares resulting from assumed exchange of AAP</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units and AAP Management Units</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w:t>
            </w:r>
          </w:p>
        </w:tc>
        <w:tc>
          <w:tcPr>
            <w:tcW w:w="5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Diluted weighted average Class A shares outstanding</w:t>
            </w:r>
          </w:p>
        </w:tc>
        <w:tc>
          <w:tcPr>
            <w:tcW w:w="3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3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2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80"/>
              <w:spacing w:after="0"/>
              <w:rPr>
                <w:sz w:val="20"/>
                <w:szCs w:val="20"/>
                <w:color w:val="auto"/>
              </w:rPr>
            </w:pPr>
            <w:r>
              <w:rPr>
                <w:rFonts w:ascii="Arial" w:cs="Arial" w:eastAsia="Arial" w:hAnsi="Arial"/>
                <w:sz w:val="18"/>
                <w:szCs w:val="18"/>
                <w:color w:val="auto"/>
              </w:rPr>
              <w:t>Diluted net income per Class A share</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0.14</w:t>
            </w:r>
          </w:p>
        </w:tc>
        <w:tc>
          <w:tcPr>
            <w:tcW w:w="100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0.38</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8"/>
                <w:szCs w:val="18"/>
                <w:color w:val="auto"/>
              </w:rPr>
              <w:t>Contacts:</w:t>
            </w: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0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700" w:type="dxa"/>
            <w:vAlign w:val="bottom"/>
            <w:gridSpan w:val="3"/>
          </w:tcPr>
          <w:p>
            <w:pPr>
              <w:spacing w:after="0"/>
              <w:rPr>
                <w:sz w:val="20"/>
                <w:szCs w:val="20"/>
                <w:color w:val="auto"/>
              </w:rPr>
            </w:pPr>
            <w:r>
              <w:rPr>
                <w:rFonts w:ascii="Arial" w:cs="Arial" w:eastAsia="Arial" w:hAnsi="Arial"/>
                <w:sz w:val="18"/>
                <w:szCs w:val="18"/>
                <w:color w:val="auto"/>
              </w:rPr>
              <w:t>Ryan Smith</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ind w:left="420"/>
              <w:spacing w:after="0"/>
              <w:rPr>
                <w:sz w:val="20"/>
                <w:szCs w:val="20"/>
                <w:color w:val="auto"/>
              </w:rPr>
            </w:pPr>
            <w:r>
              <w:rPr>
                <w:rFonts w:ascii="Arial" w:cs="Arial" w:eastAsia="Arial" w:hAnsi="Arial"/>
                <w:sz w:val="18"/>
                <w:szCs w:val="18"/>
                <w:color w:val="auto"/>
                <w:w w:val="96"/>
              </w:rPr>
              <w:t>Al Swanson</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Director, Investor Relations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5"/>
          </w:tcPr>
          <w:p>
            <w:pPr>
              <w:ind w:left="420"/>
              <w:spacing w:after="0"/>
              <w:rPr>
                <w:sz w:val="20"/>
                <w:szCs w:val="20"/>
                <w:color w:val="auto"/>
              </w:rPr>
            </w:pPr>
            <w:r>
              <w:rPr>
                <w:rFonts w:ascii="Arial" w:cs="Arial" w:eastAsia="Arial" w:hAnsi="Arial"/>
                <w:sz w:val="18"/>
                <w:szCs w:val="18"/>
                <w:color w:val="auto"/>
                <w:w w:val="98"/>
              </w:rPr>
              <w:t>Executive Vice President, CFO</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(866) 809-1291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3"/>
          </w:tcPr>
          <w:p>
            <w:pPr>
              <w:ind w:left="420"/>
              <w:spacing w:after="0"/>
              <w:rPr>
                <w:sz w:val="20"/>
                <w:szCs w:val="20"/>
                <w:color w:val="auto"/>
              </w:rPr>
            </w:pPr>
            <w:r>
              <w:rPr>
                <w:rFonts w:ascii="Arial" w:cs="Arial" w:eastAsia="Arial" w:hAnsi="Arial"/>
                <w:sz w:val="18"/>
                <w:szCs w:val="18"/>
                <w:color w:val="auto"/>
                <w:w w:val="94"/>
              </w:rPr>
              <w:t>(800) 564-3036</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60" w:type="dxa"/>
            <w:vAlign w:val="bottom"/>
          </w:tcPr>
          <w:p>
            <w:pPr>
              <w:ind w:left="1660"/>
              <w:spacing w:after="0"/>
              <w:rPr>
                <w:sz w:val="20"/>
                <w:szCs w:val="20"/>
                <w:color w:val="auto"/>
              </w:rPr>
            </w:pPr>
            <w:r>
              <w:rPr>
                <w:rFonts w:ascii="Arial" w:cs="Arial" w:eastAsia="Arial" w:hAnsi="Arial"/>
                <w:sz w:val="18"/>
                <w:szCs w:val="18"/>
                <w:b w:val="1"/>
                <w:bCs w:val="1"/>
                <w:color w:val="auto"/>
              </w:rPr>
              <w:t>333 Clay Street, Suite 1600</w:t>
            </w:r>
          </w:p>
        </w:tc>
        <w:tc>
          <w:tcPr>
            <w:tcW w:w="19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3"/>
              </w:rPr>
              <w:t>Houston, Texas 77002</w:t>
            </w:r>
          </w:p>
        </w:tc>
        <w:tc>
          <w:tcPr>
            <w:tcW w:w="240" w:type="dxa"/>
            <w:vAlign w:val="bottom"/>
          </w:tcPr>
          <w:p>
            <w:pPr>
              <w:spacing w:after="0"/>
              <w:rPr>
                <w:sz w:val="19"/>
                <w:szCs w:val="19"/>
                <w:color w:val="auto"/>
              </w:rPr>
            </w:pPr>
          </w:p>
        </w:tc>
        <w:tc>
          <w:tcPr>
            <w:tcW w:w="2280" w:type="dxa"/>
            <w:vAlign w:val="bottom"/>
            <w:gridSpan w:val="4"/>
          </w:tcPr>
          <w:p>
            <w:pPr>
              <w:jc w:val="right"/>
              <w:spacing w:after="0"/>
              <w:rPr>
                <w:sz w:val="20"/>
                <w:szCs w:val="20"/>
                <w:color w:val="auto"/>
              </w:rPr>
            </w:pPr>
            <w:r>
              <w:rPr>
                <w:rFonts w:ascii="Arial" w:cs="Arial" w:eastAsia="Arial" w:hAnsi="Arial"/>
                <w:sz w:val="18"/>
                <w:szCs w:val="18"/>
                <w:b w:val="1"/>
                <w:bCs w:val="1"/>
                <w:color w:val="auto"/>
                <w:w w:val="91"/>
              </w:rPr>
              <w:t>713-646-4100 / 866-809-1291</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This communication may be deemed to be solicitation material in respect of the special meeting of PAGP’s shareholders to vote on the approval of the previously-announced Simplification Agreement and the transactions contemplated thereby (the “Simplification Proposal”). PAGP filed a definitive proxy</w:t>
      </w:r>
    </w:p>
    <w:p>
      <w:pPr>
        <w:sectPr>
          <w:pgSz w:w="11900" w:h="16838" w:orient="portrait"/>
          <w:cols w:equalWidth="0" w:num="1">
            <w:col w:w="11460"/>
          </w:cols>
          <w:pgMar w:left="240" w:top="91" w:right="199" w:bottom="0" w:gutter="0" w:footer="0" w:header="0"/>
        </w:sectPr>
      </w:pPr>
    </w:p>
    <w:bookmarkStart w:id="22" w:name="page23"/>
    <w:bookmarkEnd w:id="22"/>
    <w:p>
      <w:pPr>
        <w:spacing w:after="0" w:line="254" w:lineRule="auto"/>
        <w:rPr>
          <w:sz w:val="20"/>
          <w:szCs w:val="20"/>
          <w:color w:val="auto"/>
        </w:rPr>
      </w:pPr>
      <w:r>
        <w:rPr>
          <w:rFonts w:ascii="Arial" w:cs="Arial" w:eastAsia="Arial" w:hAnsi="Arial"/>
          <w:sz w:val="18"/>
          <w:szCs w:val="18"/>
          <w:color w:val="auto"/>
        </w:rPr>
        <w:t>statement with the SEC on October 7, 2016, and has mailed the definitive proxy statement to its shareholders on or about October 7, 2016. The proxy statement contains important information about PAGP and the Simplification Proposal. INVESTORS AND SECURITY HOLDERS OF PAGP ARE URGED TO READ THE PROXY STATEMENT, THE ACCOMPANYING PROXY CARD AND ANY OTHER DOCUMENTS THAT HAVE BEEN FILED OR WILL BE FILED WITH THE SEC IN CONNECTION WITH THE SIMPLIFICATION PROPOSAL OR INCORPORATED BY REFERENCE INTO THE PROXY STATEMENT. Security holders may obtain free copies of the proxy statement and other documents containing important information about PAGP, once such documents are filed with the SEC, through the website maintained by the SEC at http://www.sec.gov. Copies of the documents filed with the SEC by PAGP will be available free of charge on PAGP’s website at ir.pagp.com or by contacting PAGP’s Investor Relations Department at (866) 809-1291.</w:t>
      </w:r>
    </w:p>
    <w:sectPr>
      <w:pgSz w:w="11900" w:h="16838" w:orient="portrait"/>
      <w:cols w:equalWidth="0" w:num="1">
        <w:col w:w="11280"/>
      </w:cols>
      <w:pgMar w:left="240" w:top="12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o"/>
      <w:numFmt w:val="bullet"/>
      <w:start w:val="1"/>
    </w:lvl>
  </w:abstractNum>
  <w:abstractNum w:abstractNumId="1">
    <w:nsid w:val="62BBD95A"/>
    <w:multiLevelType w:val="hybridMultilevel"/>
    <w:lvl w:ilvl="0">
      <w:lvlJc w:val="left"/>
      <w:lvlText w:val="x"/>
      <w:numFmt w:val="bullet"/>
      <w:start w:val="1"/>
    </w:lvl>
  </w:abstractNum>
  <w:abstractNum w:abstractNumId="2">
    <w:nsid w:val="436C6125"/>
    <w:multiLevelType w:val="hybridMultilevel"/>
    <w:lvl w:ilvl="0">
      <w:lvlJc w:val="left"/>
      <w:lvlText w:val="o"/>
      <w:numFmt w:val="bullet"/>
      <w:start w:val="1"/>
    </w:lvl>
  </w:abstractNum>
  <w:abstractNum w:abstractNumId="3">
    <w:nsid w:val="628C895D"/>
    <w:multiLevelType w:val="hybridMultilevel"/>
    <w:lvl w:ilvl="0">
      <w:lvlJc w:val="left"/>
      <w:lvlText w:val="x"/>
      <w:numFmt w:val="bullet"/>
      <w:start w:val="1"/>
    </w:lvl>
  </w:abstractNum>
  <w:abstractNum w:abstractNumId="4">
    <w:nsid w:val="333AB105"/>
    <w:multiLevelType w:val="hybridMultilevel"/>
    <w:lvl w:ilvl="0">
      <w:lvlJc w:val="left"/>
      <w:lvlText w:val="o"/>
      <w:numFmt w:val="bullet"/>
      <w:start w:val="1"/>
    </w:lvl>
    <w:lvl w:ilvl="1">
      <w:lvlJc w:val="left"/>
      <w:lvlText w:val="(%2)"/>
      <w:numFmt w:val="decimal"/>
      <w:start w:val="1"/>
    </w:lvl>
  </w:abstractNum>
  <w:abstractNum w:abstractNumId="5">
    <w:nsid w:val="721DA317"/>
    <w:multiLevelType w:val="hybridMultilevel"/>
    <w:lvl w:ilvl="0">
      <w:lvlJc w:val="left"/>
      <w:lvlText w:val="o"/>
      <w:numFmt w:val="bullet"/>
      <w:start w:val="1"/>
    </w:lvl>
  </w:abstractNum>
  <w:abstractNum w:abstractNumId="6">
    <w:nsid w:val="2443A858"/>
    <w:multiLevelType w:val="hybridMultilevel"/>
    <w:lvl w:ilvl="0">
      <w:lvlJc w:val="left"/>
      <w:lvlText w:val="(%1)"/>
      <w:numFmt w:val="lowerLetter"/>
      <w:start w:val="1"/>
    </w:lvl>
  </w:abstractNum>
  <w:abstractNum w:abstractNumId="7">
    <w:nsid w:val="2D1D5AE9"/>
    <w:multiLevelType w:val="hybridMultilevel"/>
    <w:lvl w:ilvl="0">
      <w:lvlJc w:val="left"/>
      <w:lvlText w:val="%1."/>
      <w:numFmt w:val="decimal"/>
      <w:start w:val="2"/>
    </w:lvl>
    <w:lvl w:ilvl="1">
      <w:lvlJc w:val="left"/>
      <w:lvlText w:val="%2."/>
      <w:numFmt w:val="lowerLetter"/>
      <w:start w:val="1"/>
    </w:lvl>
  </w:abstractNum>
  <w:abstractNum w:abstractNumId="8">
    <w:nsid w:val="6763845E"/>
    <w:multiLevelType w:val="hybridMultilevel"/>
    <w:lvl w:ilvl="0">
      <w:lvlJc w:val="left"/>
      <w:lvlText w:val="%1"/>
      <w:numFmt w:val="lowerLetter"/>
      <w:start w:val="1"/>
    </w:lvl>
    <w:lvl w:ilvl="1">
      <w:lvlJc w:val="left"/>
      <w:lvlText w:val="(%2)"/>
      <w:numFmt w:val="decimal"/>
      <w:start w:val="1"/>
    </w:lvl>
  </w:abstractNum>
  <w:abstractNum w:abstractNumId="9">
    <w:nsid w:val="75A2A8D4"/>
    <w:multiLevelType w:val="hybridMultilevel"/>
    <w:lvl w:ilvl="0">
      <w:lvlJc w:val="left"/>
      <w:lvlText w:val="%1."/>
      <w:numFmt w:val="lowerLetter"/>
      <w:start w:val="2"/>
    </w:lvl>
    <w:lvl w:ilvl="1">
      <w:lvlJc w:val="left"/>
      <w:lvlText w:val="%2"/>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lowerLetter"/>
      <w:start w:val="3"/>
    </w:lvl>
    <w:lvl w:ilvl="1">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decimal"/>
      <w:start w:val="3"/>
    </w:lvl>
  </w:abstractNum>
  <w:abstractNum w:abstractNumId="14">
    <w:nsid w:val="189A769B"/>
    <w:multiLevelType w:val="hybridMultilevel"/>
    <w:lvl w:ilvl="0">
      <w:lvlJc w:val="left"/>
      <w:lvlText w:val="%1"/>
      <w:numFmt w:val="decimal"/>
      <w:start w:val="1"/>
    </w:lvl>
    <w:lvl w:ilvl="1">
      <w:lvlJc w:val="left"/>
      <w:lvlText w:val="(%2)"/>
      <w:numFmt w:val="decimal"/>
      <w:start w:val="1"/>
    </w:lvl>
    <w:lvl w:ilvl="2">
      <w:lvlJc w:val="left"/>
      <w:lvlText w:val="(%3)"/>
      <w:numFmt w:val="lowerRoman"/>
      <w:start w:val="3"/>
    </w:lvl>
  </w:abstractNum>
  <w:abstractNum w:abstractNumId="15">
    <w:nsid w:val="54E49EB4"/>
    <w:multiLevelType w:val="hybridMultilevel"/>
    <w:lvl w:ilvl="0">
      <w:lvlJc w:val="left"/>
      <w:lvlText w:val="%1."/>
      <w:numFmt w:val="decimal"/>
      <w:start w:val="5"/>
    </w:lvl>
    <w:lvl w:ilvl="1">
      <w:lvlJc w:val="left"/>
      <w:lvlText w:val="%2"/>
      <w:numFmt w:val="decimal"/>
      <w:start w:val="1"/>
    </w:lvl>
    <w:lvl w:ilvl="2">
      <w:lvlJc w:val="left"/>
      <w:lvlText w:val="%3"/>
      <w:numFmt w:val="lowerRoman"/>
      <w:start w:val="1"/>
    </w:lvl>
  </w:abstractNum>
  <w:abstractNum w:abstractNumId="16">
    <w:nsid w:val="71F32454"/>
    <w:multiLevelType w:val="hybridMultilevel"/>
    <w:lvl w:ilvl="0">
      <w:lvlJc w:val="left"/>
      <w:lvlText w:val="%1."/>
      <w:numFmt w:val="decimal"/>
      <w:start w:val="6"/>
    </w:lvl>
    <w:lvl w:ilvl="1">
      <w:lvlJc w:val="left"/>
      <w:lvlText w:val="%2."/>
      <w:numFmt w:val="decimal"/>
      <w:start w:val="7"/>
    </w:lvl>
  </w:abstractNum>
  <w:abstractNum w:abstractNumId="17">
    <w:nsid w:val="2CA88611"/>
    <w:multiLevelType w:val="hybridMultilevel"/>
    <w:lvl w:ilvl="0">
      <w:lvlJc w:val="left"/>
      <w:lvlText w:val="%1."/>
      <w:numFmt w:val="decimal"/>
      <w:start w:val="8"/>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1"/>
    </w:lvl>
    <w:lvl w:ilvl="1">
      <w:lvlJc w:val="left"/>
      <w:lvlText w:val="\endash "/>
      <w:numFmt w:val="bullet"/>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3"/>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2020-01-21T15:50:03Z</dcterms:created>
  <dcterms:modified xsi:type="dcterms:W3CDTF">2020-01-21T15:50:03Z</dcterms:modified>
</cp:coreProperties>
</file>