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5430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SCHEDULE 13G*</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(Rule 13d-102)</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INFORMATION TO BE INCLUDED</w:t>
      </w:r>
    </w:p>
    <w:p>
      <w:pPr>
        <w:jc w:val="center"/>
        <w:ind w:right="-59"/>
        <w:spacing w:after="0" w:line="238" w:lineRule="auto"/>
        <w:rPr>
          <w:sz w:val="20"/>
          <w:szCs w:val="20"/>
          <w:color w:val="auto"/>
        </w:rPr>
      </w:pPr>
      <w:r>
        <w:rPr>
          <w:rFonts w:ascii="Arial" w:cs="Arial" w:eastAsia="Arial" w:hAnsi="Arial"/>
          <w:sz w:val="22"/>
          <w:szCs w:val="22"/>
          <w:color w:val="auto"/>
        </w:rPr>
        <w:t>IN STATEMENTS FILED PURSUANT</w:t>
      </w:r>
    </w:p>
    <w:p>
      <w:pPr>
        <w:jc w:val="center"/>
        <w:ind w:right="-59"/>
        <w:spacing w:after="0" w:line="230" w:lineRule="auto"/>
        <w:rPr>
          <w:sz w:val="20"/>
          <w:szCs w:val="20"/>
          <w:color w:val="auto"/>
        </w:rPr>
      </w:pPr>
      <w:r>
        <w:rPr>
          <w:rFonts w:ascii="Arial" w:cs="Arial" w:eastAsia="Arial" w:hAnsi="Arial"/>
          <w:sz w:val="22"/>
          <w:szCs w:val="22"/>
          <w:color w:val="auto"/>
        </w:rPr>
        <w:t>TO RULES 13d-1(b), (c), AND</w:t>
      </w:r>
    </w:p>
    <w:p>
      <w:pPr>
        <w:spacing w:after="0" w:line="1" w:lineRule="exact"/>
        <w:rPr>
          <w:sz w:val="24"/>
          <w:szCs w:val="24"/>
          <w:color w:val="auto"/>
        </w:rPr>
      </w:pPr>
    </w:p>
    <w:p>
      <w:pPr>
        <w:jc w:val="both"/>
        <w:ind w:left="3960" w:right="3860" w:hanging="29"/>
        <w:spacing w:after="0" w:line="266" w:lineRule="auto"/>
        <w:tabs>
          <w:tab w:leader="none" w:pos="4233" w:val="left"/>
        </w:tabs>
        <w:numPr>
          <w:ilvl w:val="0"/>
          <w:numId w:val="1"/>
        </w:numPr>
        <w:rPr>
          <w:rFonts w:ascii="Arial" w:cs="Arial" w:eastAsia="Arial" w:hAnsi="Arial"/>
          <w:sz w:val="19"/>
          <w:szCs w:val="19"/>
          <w:color w:val="auto"/>
        </w:rPr>
      </w:pPr>
      <w:r>
        <w:rPr>
          <w:rFonts w:ascii="Arial" w:cs="Arial" w:eastAsia="Arial" w:hAnsi="Arial"/>
          <w:sz w:val="19"/>
          <w:szCs w:val="19"/>
          <w:color w:val="auto"/>
        </w:rPr>
        <w:t>AND AMENDMENTS THERETO FILED PURSUANT TO RULE 13d-2</w:t>
      </w:r>
    </w:p>
    <w:p>
      <w:pPr>
        <w:spacing w:after="0" w:line="1" w:lineRule="exact"/>
        <w:rPr>
          <w:rFonts w:ascii="Arial" w:cs="Arial" w:eastAsia="Arial" w:hAnsi="Arial"/>
          <w:sz w:val="19"/>
          <w:szCs w:val="19"/>
          <w:color w:val="auto"/>
        </w:rPr>
      </w:pPr>
    </w:p>
    <w:p>
      <w:pPr>
        <w:ind w:left="4240"/>
        <w:spacing w:after="0"/>
        <w:rPr>
          <w:rFonts w:ascii="Arial" w:cs="Arial" w:eastAsia="Arial" w:hAnsi="Arial"/>
          <w:sz w:val="19"/>
          <w:szCs w:val="19"/>
          <w:color w:val="auto"/>
        </w:rPr>
      </w:pPr>
      <w:r>
        <w:rPr>
          <w:rFonts w:ascii="Arial" w:cs="Arial" w:eastAsia="Arial" w:hAnsi="Arial"/>
          <w:sz w:val="22"/>
          <w:szCs w:val="22"/>
          <w:color w:val="auto"/>
        </w:rPr>
        <w:t>(AMENDMENT NO. FIVE  )*</w:t>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43"/>
          <w:szCs w:val="43"/>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Class A Shares Representing Limited Parter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7261A207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jc w:val="both"/>
        <w:ind w:right="9640" w:firstLine="8"/>
        <w:spacing w:after="0" w:line="271" w:lineRule="exact"/>
        <w:tabs>
          <w:tab w:leader="none" w:pos="306"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spacing w:after="0" w:line="188" w:lineRule="exact"/>
        <w:rPr>
          <w:sz w:val="24"/>
          <w:szCs w:val="24"/>
          <w:color w:val="auto"/>
        </w:rPr>
      </w:pPr>
    </w:p>
    <w:p>
      <w:pPr>
        <w:ind w:right="8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41"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80"/>
              <w:spacing w:after="0"/>
              <w:rPr>
                <w:sz w:val="20"/>
                <w:szCs w:val="20"/>
                <w:color w:val="auto"/>
              </w:rPr>
            </w:pPr>
            <w:r>
              <w:rPr>
                <w:rFonts w:ascii="Arial" w:cs="Arial" w:eastAsia="Arial" w:hAnsi="Arial"/>
                <w:sz w:val="18"/>
                <w:szCs w:val="18"/>
                <w:color w:val="auto"/>
              </w:rPr>
              <w:t>Tortoise Capital Advisors,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(b)[x]</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4"/>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400" w:type="dxa"/>
            <w:vAlign w:val="bottom"/>
            <w:gridSpan w:val="2"/>
            <w:vMerge w:val="restart"/>
          </w:tcPr>
          <w:p>
            <w:pPr>
              <w:ind w:left="60"/>
              <w:spacing w:after="0"/>
              <w:rPr>
                <w:sz w:val="20"/>
                <w:szCs w:val="20"/>
                <w:color w:val="auto"/>
              </w:rPr>
            </w:pPr>
            <w:r>
              <w:rPr>
                <w:rFonts w:ascii="Arial" w:cs="Arial" w:eastAsia="Arial" w:hAnsi="Arial"/>
                <w:sz w:val="18"/>
                <w:szCs w:val="18"/>
                <w:color w:val="auto"/>
              </w:rPr>
              <w:t>12,543,979 (see Item 4)</w:t>
            </w: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6"/>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400" w:type="dxa"/>
            <w:vAlign w:val="bottom"/>
            <w:gridSpan w:val="2"/>
          </w:tcPr>
          <w:p>
            <w:pPr>
              <w:ind w:left="60"/>
              <w:spacing w:after="0"/>
              <w:rPr>
                <w:sz w:val="20"/>
                <w:szCs w:val="20"/>
                <w:color w:val="auto"/>
              </w:rPr>
            </w:pPr>
            <w:r>
              <w:rPr>
                <w:rFonts w:ascii="Arial" w:cs="Arial" w:eastAsia="Arial" w:hAnsi="Arial"/>
                <w:sz w:val="18"/>
                <w:szCs w:val="18"/>
                <w:color w:val="auto"/>
              </w:rPr>
              <w:t>12,780,537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80"/>
              <w:spacing w:after="0"/>
              <w:rPr>
                <w:sz w:val="20"/>
                <w:szCs w:val="20"/>
                <w:color w:val="auto"/>
              </w:rPr>
            </w:pPr>
            <w:r>
              <w:rPr>
                <w:rFonts w:ascii="Arial" w:cs="Arial" w:eastAsia="Arial" w:hAnsi="Arial"/>
                <w:sz w:val="18"/>
                <w:szCs w:val="18"/>
                <w:color w:val="auto"/>
              </w:rPr>
              <w:t>12,780,537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IA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80"/>
              <w:spacing w:after="0"/>
              <w:rPr>
                <w:sz w:val="20"/>
                <w:szCs w:val="20"/>
                <w:color w:val="auto"/>
              </w:rPr>
            </w:pPr>
            <w:r>
              <w:rPr>
                <w:rFonts w:ascii="Arial" w:cs="Arial" w:eastAsia="Arial" w:hAnsi="Arial"/>
                <w:sz w:val="18"/>
                <w:szCs w:val="18"/>
                <w:color w:val="auto"/>
              </w:rPr>
              <w:t>Tortoise Energy Infrastructure Total Return Fund</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(b)[x]</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4"/>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400" w:type="dxa"/>
            <w:vAlign w:val="bottom"/>
            <w:gridSpan w:val="2"/>
            <w:vMerge w:val="restart"/>
          </w:tcPr>
          <w:p>
            <w:pPr>
              <w:ind w:left="60"/>
              <w:spacing w:after="0"/>
              <w:rPr>
                <w:sz w:val="20"/>
                <w:szCs w:val="20"/>
                <w:color w:val="auto"/>
              </w:rPr>
            </w:pPr>
            <w:r>
              <w:rPr>
                <w:rFonts w:ascii="Arial" w:cs="Arial" w:eastAsia="Arial" w:hAnsi="Arial"/>
                <w:sz w:val="18"/>
                <w:szCs w:val="18"/>
                <w:color w:val="auto"/>
              </w:rPr>
              <w:t>8,945,696 (see Item 4)</w:t>
            </w: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6"/>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400" w:type="dxa"/>
            <w:vAlign w:val="bottom"/>
            <w:gridSpan w:val="2"/>
          </w:tcPr>
          <w:p>
            <w:pPr>
              <w:ind w:left="60"/>
              <w:spacing w:after="0"/>
              <w:rPr>
                <w:sz w:val="20"/>
                <w:szCs w:val="20"/>
                <w:color w:val="auto"/>
              </w:rPr>
            </w:pPr>
            <w:r>
              <w:rPr>
                <w:rFonts w:ascii="Arial" w:cs="Arial" w:eastAsia="Arial" w:hAnsi="Arial"/>
                <w:sz w:val="18"/>
                <w:szCs w:val="18"/>
                <w:color w:val="auto"/>
              </w:rPr>
              <w:t>8,945,696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80"/>
              <w:spacing w:after="0"/>
              <w:rPr>
                <w:sz w:val="20"/>
                <w:szCs w:val="20"/>
                <w:color w:val="auto"/>
              </w:rPr>
            </w:pPr>
            <w:r>
              <w:rPr>
                <w:rFonts w:ascii="Arial" w:cs="Arial" w:eastAsia="Arial" w:hAnsi="Arial"/>
                <w:sz w:val="18"/>
                <w:szCs w:val="18"/>
                <w:color w:val="auto"/>
              </w:rPr>
              <w:t>8,945,696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IV</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2" w:right="3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Plains GP Holdings, L.P.</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333 Clay Street, Suite 1600, Houston, TX 77002</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00" w:lineRule="exact"/>
        <w:rPr>
          <w:sz w:val="20"/>
          <w:szCs w:val="20"/>
          <w:color w:val="auto"/>
        </w:rPr>
      </w:pPr>
    </w:p>
    <w:p>
      <w:pPr>
        <w:spacing w:after="0" w:line="295" w:lineRule="exact"/>
        <w:rPr>
          <w:sz w:val="20"/>
          <w:szCs w:val="20"/>
          <w:color w:val="auto"/>
        </w:rPr>
      </w:pPr>
    </w:p>
    <w:p>
      <w:pPr>
        <w:ind w:left="980" w:right="300"/>
        <w:spacing w:after="0" w:line="230" w:lineRule="auto"/>
        <w:rPr>
          <w:sz w:val="20"/>
          <w:szCs w:val="20"/>
          <w:color w:val="auto"/>
        </w:rPr>
      </w:pPr>
      <w:r>
        <w:rPr>
          <w:rFonts w:ascii="Arial" w:cs="Arial" w:eastAsia="Arial" w:hAnsi="Arial"/>
          <w:sz w:val="14"/>
          <w:szCs w:val="14"/>
          <w:color w:val="auto"/>
        </w:rPr>
        <w:t>This 13G is being jointly filed by Tortoise Capital Advisors, L.L.C., a Delaware limited liability company ("TCA"), and Tortoise Energy Infrastructure Total Return Fund, a series of Managed</w:t>
      </w:r>
    </w:p>
    <w:p>
      <w:pPr>
        <w:ind w:left="980"/>
        <w:spacing w:after="0"/>
        <w:rPr>
          <w:sz w:val="20"/>
          <w:szCs w:val="20"/>
          <w:color w:val="auto"/>
        </w:rPr>
      </w:pPr>
      <w:r>
        <w:rPr>
          <w:rFonts w:ascii="Arial" w:cs="Arial" w:eastAsia="Arial" w:hAnsi="Arial"/>
          <w:sz w:val="14"/>
          <w:szCs w:val="14"/>
          <w:color w:val="auto"/>
        </w:rPr>
        <w:t>Portfolio Series, a Delaware statutory trust ("TORIX").</w:t>
      </w:r>
    </w:p>
    <w:p>
      <w:pPr>
        <w:spacing w:after="0" w:line="124" w:lineRule="exact"/>
        <w:rPr>
          <w:sz w:val="20"/>
          <w:szCs w:val="20"/>
          <w:color w:val="auto"/>
        </w:rPr>
      </w:pPr>
    </w:p>
    <w:p>
      <w:pPr>
        <w:ind w:left="980" w:right="600"/>
        <w:spacing w:after="0" w:line="238" w:lineRule="auto"/>
        <w:rPr>
          <w:sz w:val="20"/>
          <w:szCs w:val="20"/>
          <w:color w:val="auto"/>
        </w:rPr>
      </w:pPr>
      <w:r>
        <w:rPr>
          <w:rFonts w:ascii="Arial" w:cs="Arial" w:eastAsia="Arial" w:hAnsi="Arial"/>
          <w:sz w:val="14"/>
          <w:szCs w:val="14"/>
          <w:color w:val="auto"/>
        </w:rPr>
        <w:t>TCA and TORIX have entered into an Agreement Regarding Joint Filing of 13G dated February 13, 2023 (the "Agreement") pursuant to which TCA and TORIX have agreed to file this 13G jointly in accordance with the provisions of Rule 13d-1(k)(1) of the Securities Exchange Act of 1934, as amended (the "Act"). A copy of the Agreement is attached hereto as Exhibit A.</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52" w:lineRule="exact"/>
        <w:rPr>
          <w:sz w:val="20"/>
          <w:szCs w:val="20"/>
          <w:color w:val="auto"/>
        </w:rPr>
      </w:pPr>
    </w:p>
    <w:p>
      <w:pPr>
        <w:ind w:left="980"/>
        <w:spacing w:after="0" w:line="253" w:lineRule="auto"/>
        <w:rPr>
          <w:sz w:val="20"/>
          <w:szCs w:val="20"/>
          <w:color w:val="auto"/>
        </w:rPr>
      </w:pPr>
      <w:r>
        <w:rPr>
          <w:rFonts w:ascii="Arial" w:cs="Arial" w:eastAsia="Arial" w:hAnsi="Arial"/>
          <w:sz w:val="14"/>
          <w:szCs w:val="14"/>
          <w:color w:val="auto"/>
        </w:rPr>
        <w:t>The principal business address of TCA is 6363 College Boulevard, Suite 100A, Overland Park,, Kansas 66211 and the principal business address of Managed Portfolio Series, of which TORIX is a series, is 615 East Michigan Street, Milwaukee, Wisconsin 53202.</w:t>
      </w:r>
    </w:p>
    <w:p>
      <w:pPr>
        <w:spacing w:after="0" w:line="20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00" w:lineRule="exact"/>
        <w:rPr>
          <w:sz w:val="20"/>
          <w:szCs w:val="20"/>
          <w:color w:val="auto"/>
        </w:rPr>
      </w:pPr>
    </w:p>
    <w:p>
      <w:pPr>
        <w:spacing w:after="0" w:line="29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TCA is a Delaware limited liability company and TORIX is a series of Managed Portfolio Series, a Delaware statutory trust.</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Class A Shares Representing Limited Partner Interests</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72651A207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240.13d-2(b) or (c), Check Whether the Person Filing Is a(n):</w:t>
      </w:r>
    </w:p>
    <w:p>
      <w:pPr>
        <w:spacing w:after="0" w:line="218" w:lineRule="exact"/>
        <w:rPr>
          <w:sz w:val="20"/>
          <w:szCs w:val="20"/>
          <w:color w:val="auto"/>
        </w:rPr>
      </w:pPr>
    </w:p>
    <w:p>
      <w:pPr>
        <w:ind w:left="980"/>
        <w:spacing w:after="0" w:line="253" w:lineRule="auto"/>
        <w:rPr>
          <w:sz w:val="20"/>
          <w:szCs w:val="20"/>
          <w:color w:val="auto"/>
        </w:rPr>
      </w:pPr>
      <w:r>
        <w:rPr>
          <w:rFonts w:ascii="Arial" w:cs="Arial" w:eastAsia="Arial" w:hAnsi="Arial"/>
          <w:sz w:val="14"/>
          <w:szCs w:val="14"/>
          <w:color w:val="auto"/>
        </w:rPr>
        <w:t>TCA is an investment adviser in accordance with Rule 13d-1(b)(1)(ii)(E) and TORIX is an investment company registered under Section 8 of the Investment Company Act 1940 (15 U.S.C. 80a-8).</w:t>
      </w:r>
    </w:p>
    <w:p>
      <w:pPr>
        <w:spacing w:after="0" w:line="200" w:lineRule="exact"/>
        <w:rPr>
          <w:sz w:val="20"/>
          <w:szCs w:val="20"/>
          <w:color w:val="auto"/>
        </w:rPr>
      </w:pP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48" w:lineRule="exact"/>
        <w:rPr>
          <w:sz w:val="20"/>
          <w:szCs w:val="20"/>
          <w:color w:val="auto"/>
        </w:rPr>
      </w:pPr>
    </w:p>
    <w:p>
      <w:pPr>
        <w:spacing w:after="0" w:line="245" w:lineRule="auto"/>
        <w:rPr>
          <w:sz w:val="20"/>
          <w:szCs w:val="20"/>
          <w:color w:val="auto"/>
        </w:rPr>
      </w:pPr>
      <w:r>
        <w:rPr>
          <w:rFonts w:ascii="Arial" w:cs="Arial" w:eastAsia="Arial" w:hAnsi="Arial"/>
          <w:sz w:val="13"/>
          <w:szCs w:val="13"/>
          <w:b w:val="1"/>
          <w:bCs w:val="1"/>
          <w:color w:val="auto"/>
        </w:rPr>
        <w:t>TCA acts as an investment advisor to certain investment companies registered under the Investment Company Act of 1940, including TORIX. TCA, by virtue of investment advisory agreements with these investment companies, has all investment and voting power over securities owned of record by these investment companies. However, despite their delegation of investment and voting power to TCA, these investment companies may be deemed to be the beneficial owner under Rule 13d-3 of the Act, of the securities they own of record because they have the right to acquire investment and voting power through termination of their investment advisory agreement with TCA. Thus, TCA has reported that it shares voting power and dispositive power over the securities owned of record by these investment companies, and TORIX has reported that it shares voting power and dispositive power over the securities owned of record by it. TCA also acts as an investment advisor to certain managed accounts. Under contractual agreements with these managed account clients, TCA has voting and/or investment power. TCA has reported that it shares voting and/or investment power over the securities held by these client managed accounts despite a delegation of voting and/or investment power to TCA because the clients have the right to acquire voting and/or investment power through termination of their agreements with TCA. TCA may be deemed the beneficial owner of the securities covered by this statement under Rule 13d-3 of the Act.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Tortoise Capital Advisors, L.L.C.</w:t>
      </w:r>
    </w:p>
    <w:p>
      <w:pPr>
        <w:spacing w:after="0" w:line="167" w:lineRule="exact"/>
        <w:rPr>
          <w:sz w:val="20"/>
          <w:szCs w:val="20"/>
          <w:color w:val="auto"/>
        </w:rPr>
      </w:pPr>
    </w:p>
    <w:p>
      <w:pPr>
        <w:ind w:left="1300" w:right="782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beneficially owned: 12,780,537</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6.6%</w:t>
      </w:r>
    </w:p>
    <w:p>
      <w:pPr>
        <w:spacing w:after="0" w:line="237"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700" w:hanging="316"/>
        <w:spacing w:after="0" w:line="277" w:lineRule="auto"/>
        <w:tabs>
          <w:tab w:leader="none" w:pos="16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97" w:lineRule="exact"/>
        <w:rPr>
          <w:rFonts w:ascii="Arial" w:cs="Arial" w:eastAsia="Arial" w:hAnsi="Arial"/>
          <w:sz w:val="18"/>
          <w:szCs w:val="18"/>
          <w:color w:val="auto"/>
        </w:rPr>
      </w:pPr>
    </w:p>
    <w:p>
      <w:pPr>
        <w:ind w:left="1620" w:right="6520" w:hanging="316"/>
        <w:spacing w:after="0" w:line="277" w:lineRule="auto"/>
        <w:tabs>
          <w:tab w:leader="none" w:pos="16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12,543,979</w:t>
      </w:r>
    </w:p>
    <w:p>
      <w:pPr>
        <w:spacing w:after="0" w:line="197" w:lineRule="exact"/>
        <w:rPr>
          <w:rFonts w:ascii="Arial" w:cs="Arial" w:eastAsia="Arial" w:hAnsi="Arial"/>
          <w:sz w:val="18"/>
          <w:szCs w:val="18"/>
          <w:color w:val="auto"/>
        </w:rPr>
      </w:pPr>
    </w:p>
    <w:p>
      <w:pPr>
        <w:ind w:left="1620" w:right="5780" w:hanging="316"/>
        <w:spacing w:after="0" w:line="277" w:lineRule="auto"/>
        <w:tabs>
          <w:tab w:leader="none" w:pos="16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97" w:lineRule="exact"/>
        <w:rPr>
          <w:rFonts w:ascii="Arial" w:cs="Arial" w:eastAsia="Arial" w:hAnsi="Arial"/>
          <w:sz w:val="18"/>
          <w:szCs w:val="18"/>
          <w:color w:val="auto"/>
        </w:rPr>
      </w:pPr>
    </w:p>
    <w:p>
      <w:pPr>
        <w:ind w:left="1620" w:right="5600" w:hanging="316"/>
        <w:spacing w:after="0" w:line="277" w:lineRule="auto"/>
        <w:tabs>
          <w:tab w:leader="none" w:pos="16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12,780,537</w:t>
      </w:r>
    </w:p>
    <w:p>
      <w:pPr>
        <w:spacing w:after="0" w:line="197" w:lineRule="exact"/>
        <w:rPr>
          <w:rFonts w:ascii="Arial" w:cs="Arial" w:eastAsia="Arial" w:hAnsi="Arial"/>
          <w:sz w:val="18"/>
          <w:szCs w:val="18"/>
          <w:color w:val="auto"/>
        </w:rPr>
      </w:pPr>
    </w:p>
    <w:p>
      <w:pPr>
        <w:ind w:left="200" w:hanging="192"/>
        <w:spacing w:after="0"/>
        <w:tabs>
          <w:tab w:leader="none" w:pos="2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Tortoise Energy Infrastructure Total Return Fund</w:t>
      </w:r>
    </w:p>
    <w:p>
      <w:pPr>
        <w:spacing w:after="0" w:line="200" w:lineRule="exact"/>
        <w:rPr>
          <w:rFonts w:ascii="Arial" w:cs="Arial" w:eastAsia="Arial" w:hAnsi="Arial"/>
          <w:sz w:val="16"/>
          <w:szCs w:val="16"/>
          <w:b w:val="1"/>
          <w:bCs w:val="1"/>
          <w:color w:val="auto"/>
        </w:rPr>
      </w:pPr>
    </w:p>
    <w:p>
      <w:pPr>
        <w:spacing w:after="0" w:line="263" w:lineRule="exact"/>
        <w:rPr>
          <w:rFonts w:ascii="Arial" w:cs="Arial" w:eastAsia="Arial" w:hAnsi="Arial"/>
          <w:sz w:val="16"/>
          <w:szCs w:val="16"/>
          <w:b w:val="1"/>
          <w:bCs w:val="1"/>
          <w:color w:val="auto"/>
        </w:rPr>
      </w:pPr>
    </w:p>
    <w:p>
      <w:pPr>
        <w:ind w:left="1300" w:right="782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beneficially owned: 8,945,696</w:t>
      </w:r>
    </w:p>
    <w:p>
      <w:pPr>
        <w:spacing w:after="0" w:line="39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4.6%</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700" w:hanging="316"/>
        <w:spacing w:after="0" w:line="277" w:lineRule="auto"/>
        <w:tabs>
          <w:tab w:leader="none" w:pos="16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400" w:lineRule="exact"/>
        <w:rPr>
          <w:sz w:val="20"/>
          <w:szCs w:val="20"/>
          <w:color w:val="auto"/>
        </w:rPr>
      </w:pPr>
    </w:p>
    <w:p>
      <w:pPr>
        <w:ind w:left="1620" w:right="5780" w:hanging="316"/>
        <w:spacing w:after="0" w:line="277"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399" w:lineRule="exact"/>
        <w:rPr>
          <w:rFonts w:ascii="Arial" w:cs="Arial" w:eastAsia="Arial" w:hAnsi="Arial"/>
          <w:sz w:val="18"/>
          <w:szCs w:val="18"/>
          <w:color w:val="auto"/>
        </w:rPr>
      </w:pPr>
    </w:p>
    <w:p>
      <w:pPr>
        <w:ind w:left="1620" w:right="5600" w:hanging="316"/>
        <w:spacing w:after="0" w:line="277"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8,945,696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ind w:left="980"/>
        <w:spacing w:after="0"/>
        <w:rPr>
          <w:sz w:val="20"/>
          <w:szCs w:val="20"/>
          <w:color w:val="auto"/>
        </w:rPr>
      </w:pPr>
      <w:r>
        <w:rPr>
          <w:rFonts w:ascii="Arial" w:cs="Arial" w:eastAsia="Arial" w:hAnsi="Arial"/>
          <w:sz w:val="18"/>
          <w:szCs w:val="18"/>
          <w:b w:val="1"/>
          <w:bCs w:val="1"/>
          <w:color w:val="auto"/>
        </w:rPr>
        <w:t>Ownership of Five Percent or Less of a Class.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p>
    <w:p>
      <w:pPr>
        <w:spacing w:after="0" w:line="190" w:lineRule="exact"/>
        <w:rPr>
          <w:sz w:val="20"/>
          <w:szCs w:val="20"/>
          <w:color w:val="auto"/>
        </w:rPr>
      </w:pPr>
    </w:p>
    <w:p>
      <w:pPr>
        <w:ind w:left="980" w:right="200"/>
        <w:spacing w:after="0" w:line="239" w:lineRule="auto"/>
        <w:rPr>
          <w:sz w:val="20"/>
          <w:szCs w:val="20"/>
          <w:color w:val="auto"/>
        </w:rPr>
      </w:pPr>
      <w:r>
        <w:rPr>
          <w:rFonts w:ascii="Arial" w:cs="Arial" w:eastAsia="Arial" w:hAnsi="Arial"/>
          <w:sz w:val="22"/>
          <w:szCs w:val="22"/>
          <w:color w:val="auto"/>
        </w:rPr>
        <w:t>This 13G is being jointly filed by Tortoise Capital Advisors, L.L.C., a Delaware limited liability company ("TCA"), and Tortoise Energy Infrastructure Total Return Fund, a series of Managed</w:t>
      </w:r>
    </w:p>
    <w:p>
      <w:pPr>
        <w:ind w:left="980"/>
        <w:spacing w:after="0" w:line="234" w:lineRule="auto"/>
        <w:rPr>
          <w:sz w:val="20"/>
          <w:szCs w:val="20"/>
          <w:color w:val="auto"/>
        </w:rPr>
      </w:pPr>
      <w:r>
        <w:rPr>
          <w:rFonts w:ascii="Arial" w:cs="Arial" w:eastAsia="Arial" w:hAnsi="Arial"/>
          <w:sz w:val="22"/>
          <w:szCs w:val="22"/>
          <w:color w:val="auto"/>
        </w:rPr>
        <w:t>Portfolio Series, a Delaware statutory trust ("TORIX"). In regards to TORIX, this statement is being filed to report the fact that as of the date hereof TORIX has ceased to be the beneficial owner of more than five percent of the class of securities. Please see Item 6 regarding TCA.</w:t>
      </w: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right="20" w:firstLine="162"/>
        <w:spacing w:after="0"/>
        <w:rPr>
          <w:sz w:val="20"/>
          <w:szCs w:val="20"/>
          <w:color w:val="auto"/>
        </w:rPr>
      </w:pPr>
      <w:r>
        <w:rPr>
          <w:rFonts w:ascii="Arial" w:cs="Arial" w:eastAsia="Arial" w:hAnsi="Arial"/>
          <w:sz w:val="22"/>
          <w:szCs w:val="22"/>
          <w:color w:val="auto"/>
        </w:rPr>
        <w:t>The investment companies and the managed accounts discussed in Item 4 above have the right to receive all dividends from, and the proceeds from the sale securities held in their respective accounts. The interest of any one such person does not exceed 5% of the class of securities.</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right="60" w:firstLine="97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jc w:val="center"/>
        <w:ind w:right="-43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972"/>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13, 2023</w:t>
      </w: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TORTOISE CAPITAL ADVISORS, L.L.C.</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Director and Chief Compliance Officer</w:t>
      </w:r>
    </w:p>
    <w:p>
      <w:pPr>
        <w:spacing w:after="0" w:line="200" w:lineRule="exact"/>
        <w:rPr>
          <w:sz w:val="20"/>
          <w:szCs w:val="20"/>
          <w:color w:val="auto"/>
        </w:rPr>
      </w:pPr>
    </w:p>
    <w:p>
      <w:pPr>
        <w:spacing w:after="0" w:line="28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TORTOISE ENERGY INFRASTRUCTURE TOTAL</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RETURN FUND, A SERIES OF MANAGED</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PORTFOLIO SERIES</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TORTOISE CAPITAL ADVISORS, L.L.C. AS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ADVISER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 and Chief Compliance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1361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p>
      <w:pPr>
        <w:sectPr>
          <w:pgSz w:w="11900" w:h="16838" w:orient="portrait"/>
          <w:cols w:equalWidth="0" w:num="1">
            <w:col w:w="10800"/>
          </w:cols>
          <w:pgMar w:left="320" w:top="111" w:right="779" w:bottom="1440" w:gutter="0" w:footer="0" w:header="0"/>
        </w:sectPr>
      </w:pPr>
    </w:p>
    <w:bookmarkStart w:id="7" w:name="page8"/>
    <w:bookmarkEnd w:id="7"/>
    <w:p>
      <w:pPr>
        <w:spacing w:after="0"/>
        <w:rPr>
          <w:sz w:val="20"/>
          <w:szCs w:val="20"/>
          <w:color w:val="auto"/>
        </w:rPr>
      </w:pPr>
      <w:r>
        <w:rPr>
          <w:rFonts w:ascii="Arial" w:cs="Arial" w:eastAsia="Arial" w:hAnsi="Arial"/>
          <w:sz w:val="14"/>
          <w:szCs w:val="14"/>
          <w:color w:val="auto"/>
        </w:rPr>
        <w:t>Exhibit A</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AGREEMENT REGARDING THE JOINT FILING OF SCHEDULE 13G</w:t>
      </w:r>
    </w:p>
    <w:p>
      <w:pPr>
        <w:spacing w:after="0" w:line="13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In accordance with Rule 13d-1(k) under the Securities Exchange Act of 1934, as amended, the undersigned agree to the joint filing on behalf of each of them of a statement on Schedule 13G (including amendments thereto) with respect to the Common Units Representing Limited Partner Interests of Plains GP Holdings, L.P., and further agree that this agreement be included as an exhibit to such filings.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In evidence whereof, the undersigned have caused this Agreement to be executed on their behalf this 13th day of February 2023.</w:t>
      </w:r>
    </w:p>
    <w:p>
      <w:pPr>
        <w:spacing w:after="0" w:line="200" w:lineRule="exact"/>
        <w:rPr>
          <w:sz w:val="20"/>
          <w:szCs w:val="20"/>
          <w:color w:val="auto"/>
        </w:rPr>
      </w:pPr>
    </w:p>
    <w:p>
      <w:pPr>
        <w:spacing w:after="0" w:line="3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TORTOISE CAPITAL ADVISORS, L.L.C.</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February 13, 2023</w:t>
      </w:r>
      <w:r>
        <w:rPr>
          <w:sz w:val="20"/>
          <w:szCs w:val="20"/>
          <w:color w:val="auto"/>
        </w:rPr>
        <w:tab/>
      </w:r>
      <w:r>
        <w:rPr>
          <w:rFonts w:ascii="Arial" w:cs="Arial" w:eastAsia="Arial" w:hAnsi="Arial"/>
          <w:sz w:val="17"/>
          <w:szCs w:val="17"/>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 and Chief Compliance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TORTOISE ENERGY INFRASTRUCTURE TOTAL</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RETURN FUND, A SERIES OF MANAGED</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PORTFOLIO SERIES</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TORTOISE CAPITAL ADVISORS, L.L.C. AS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ADVISOR</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February 13, 2023</w:t>
      </w:r>
      <w:r>
        <w:rPr>
          <w:sz w:val="20"/>
          <w:szCs w:val="20"/>
          <w:color w:val="auto"/>
        </w:rPr>
        <w:tab/>
      </w:r>
      <w:r>
        <w:rPr>
          <w:rFonts w:ascii="Arial" w:cs="Arial" w:eastAsia="Arial" w:hAnsi="Arial"/>
          <w:sz w:val="17"/>
          <w:szCs w:val="17"/>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 and Chief Compliance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0140"/>
      </w:cols>
      <w:pgMar w:left="320" w:top="121"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4"/>
    </w:lvl>
  </w:abstractNum>
  <w:abstractNum w:abstractNumId="1">
    <w:nsid w:val="2AE8944A"/>
    <w:multiLevelType w:val="hybridMultilevel"/>
    <w:lvl w:ilvl="0">
      <w:lvlJc w:val="left"/>
      <w:lvlText w:val="[%1]"/>
      <w:numFmt w:val="lowerRoman"/>
      <w:start w:val="10"/>
    </w:lvl>
  </w:abstractNum>
  <w:abstractNum w:abstractNumId="2">
    <w:nsid w:val="625558E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
    <w:nsid w:val="238E1F29"/>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2023-02-14T05:51:58Z</dcterms:created>
  <dcterms:modified xsi:type="dcterms:W3CDTF">2023-02-14T05:51:58Z</dcterms:modified>
</cp:coreProperties>
</file>