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-243840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2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233"/>
              <w:spacing w:after="0" w:line="196"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20"/>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6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8"/>
        </w:trPr>
        <w:tc>
          <w:tcPr>
            <w:tcW w:w="6580" w:type="dxa"/>
            <w:vAlign w:val="bottom"/>
            <w:vMerge w:val="restart"/>
          </w:tcPr>
          <w:p>
            <w:pPr>
              <w:jc w:val="center"/>
              <w:ind w:right="2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5522595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-1747520</wp:posOffset>
            </wp:positionH>
            <wp:positionV relativeFrom="paragraph">
              <wp:posOffset>20320</wp:posOffset>
            </wp:positionV>
            <wp:extent cx="7412355" cy="4503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12355" cy="4503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80"/>
            <w:col w:w="8920"/>
          </w:cols>
          <w:pgMar w:left="160" w:top="145" w:right="7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Chandler Chris R.</w:t>
        </w:r>
      </w:hyperlink>
    </w:p>
    <w:p>
      <w:pPr>
        <w:spacing w:after="0" w:line="32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0"/>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700" w:type="dxa"/>
            <w:vAlign w:val="bottom"/>
          </w:tcPr>
          <w:p>
            <w:pPr>
              <w:spacing w:after="0"/>
              <w:rPr>
                <w:sz w:val="24"/>
                <w:szCs w:val="24"/>
                <w:color w:val="auto"/>
              </w:rPr>
            </w:pPr>
          </w:p>
        </w:tc>
      </w:tr>
      <w:tr>
        <w:trPr>
          <w:trHeight w:val="268"/>
        </w:trPr>
        <w:tc>
          <w:tcPr>
            <w:tcW w:w="4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SUITE 1600</w:t>
            </w:r>
          </w:p>
        </w:tc>
        <w:tc>
          <w:tcPr>
            <w:tcW w:w="10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00"/>
              <w:spacing w:after="0"/>
              <w:rPr>
                <w:sz w:val="20"/>
                <w:szCs w:val="20"/>
                <w:color w:val="auto"/>
              </w:rPr>
            </w:pPr>
            <w:r>
              <w:rPr>
                <w:rFonts w:ascii="Arial" w:cs="Arial" w:eastAsia="Arial" w:hAnsi="Arial"/>
                <w:sz w:val="17"/>
                <w:szCs w:val="17"/>
                <w:color w:val="0000FF"/>
              </w:rPr>
              <w:t>TX</w:t>
            </w:r>
          </w:p>
        </w:tc>
        <w:tc>
          <w:tcPr>
            <w:tcW w:w="170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6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80" w:type="dxa"/>
            <w:vAlign w:val="bottom"/>
            <w:gridSpan w:val="2"/>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22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vMerge w:val="restart"/>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28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240" w:type="dxa"/>
            <w:vAlign w:val="bottom"/>
          </w:tcPr>
          <w:p>
            <w:pPr>
              <w:ind w:left="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7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72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240" w:type="dxa"/>
            <w:vAlign w:val="bottom"/>
            <w:vMerge w:val="restart"/>
          </w:tcPr>
          <w:p>
            <w:pPr>
              <w:ind w:left="4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3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0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720" w:type="dxa"/>
            <w:vAlign w:val="bottom"/>
          </w:tcPr>
          <w:p>
            <w:pPr>
              <w:ind w:left="760"/>
              <w:spacing w:after="0" w:line="193" w:lineRule="exact"/>
              <w:rPr>
                <w:sz w:val="20"/>
                <w:szCs w:val="20"/>
                <w:color w:val="auto"/>
              </w:rPr>
            </w:pPr>
            <w:r>
              <w:rPr>
                <w:rFonts w:ascii="Arial" w:cs="Arial" w:eastAsia="Arial" w:hAnsi="Arial"/>
                <w:sz w:val="17"/>
                <w:szCs w:val="17"/>
                <w:color w:val="0000FF"/>
              </w:rPr>
              <w:t>EVP &amp; COO</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760" w:type="dxa"/>
            <w:vAlign w:val="bottom"/>
            <w:gridSpan w:val="2"/>
          </w:tcPr>
          <w:p>
            <w:pPr>
              <w:ind w:left="60"/>
              <w:spacing w:after="0"/>
              <w:rPr>
                <w:sz w:val="20"/>
                <w:szCs w:val="20"/>
                <w:color w:val="auto"/>
              </w:rPr>
            </w:pPr>
            <w:r>
              <w:rPr>
                <w:rFonts w:ascii="Arial" w:cs="Arial" w:eastAsia="Arial" w:hAnsi="Arial"/>
                <w:sz w:val="17"/>
                <w:szCs w:val="17"/>
                <w:color w:val="0000FF"/>
              </w:rPr>
              <w:t>11/21/2019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 w:type="dxa"/>
            <w:vAlign w:val="bottom"/>
            <w:tcBorders>
              <w:bottom w:val="single" w:sz="8" w:color="2C2C2C"/>
            </w:tcBorders>
          </w:tcPr>
          <w:p>
            <w:pPr>
              <w:spacing w:after="0"/>
              <w:rPr>
                <w:sz w:val="15"/>
                <w:szCs w:val="15"/>
                <w:color w:val="auto"/>
              </w:rPr>
            </w:pPr>
          </w:p>
        </w:tc>
        <w:tc>
          <w:tcPr>
            <w:tcW w:w="37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46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6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100"/>
        <w:spacing w:after="0"/>
        <w:rPr>
          <w:sz w:val="20"/>
          <w:szCs w:val="20"/>
          <w:color w:val="auto"/>
        </w:rPr>
      </w:pPr>
      <w:r>
        <w:rPr>
          <w:rFonts w:ascii="Arial" w:cs="Arial" w:eastAsia="Arial" w:hAnsi="Arial"/>
          <w:sz w:val="13"/>
          <w:szCs w:val="13"/>
          <w:color w:val="auto"/>
        </w:rPr>
        <w:t>Line)</w:t>
      </w:r>
    </w:p>
    <w:p>
      <w:pPr>
        <w:ind w:left="4320"/>
        <w:spacing w:after="0" w:line="235" w:lineRule="auto"/>
        <w:tabs>
          <w:tab w:leader="none" w:pos="46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60"/>
        <w:spacing w:after="0"/>
        <w:rPr>
          <w:sz w:val="20"/>
          <w:szCs w:val="20"/>
          <w:color w:val="auto"/>
        </w:rPr>
      </w:pPr>
      <w:r>
        <w:rPr>
          <w:rFonts w:ascii="Arial" w:cs="Arial" w:eastAsia="Arial" w:hAnsi="Arial"/>
          <w:sz w:val="13"/>
          <w:szCs w:val="13"/>
          <w:color w:val="auto"/>
        </w:rPr>
        <w:t>Form filed by More than One Reporting</w:t>
      </w:r>
    </w:p>
    <w:p>
      <w:pPr>
        <w:ind w:left="466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960" w:space="100"/>
            <w:col w:w="7600"/>
          </w:cols>
          <w:pgMar w:left="160" w:top="145" w:right="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92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6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6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0000FF"/>
              </w:rPr>
              <w:t>11/21/2019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500,000</w:t>
            </w:r>
          </w:p>
        </w:tc>
        <w:tc>
          <w:tcPr>
            <w:tcW w:w="220" w:type="dxa"/>
            <w:vAlign w:val="bottom"/>
          </w:tcPr>
          <w:p>
            <w:pPr>
              <w:spacing w:after="0"/>
              <w:rPr>
                <w:sz w:val="16"/>
                <w:szCs w:val="16"/>
                <w:color w:val="auto"/>
              </w:rPr>
            </w:pPr>
          </w:p>
        </w:tc>
        <w:tc>
          <w:tcPr>
            <w:tcW w:w="820" w:type="dxa"/>
            <w:vAlign w:val="bottom"/>
            <w:vMerge w:val="restart"/>
          </w:tcPr>
          <w:p>
            <w:pPr>
              <w:ind w:left="300"/>
              <w:spacing w:after="0"/>
              <w:rPr>
                <w:sz w:val="20"/>
                <w:szCs w:val="20"/>
                <w:color w:val="auto"/>
              </w:rPr>
            </w:pPr>
            <w:r>
              <w:rPr>
                <w:rFonts w:ascii="Arial" w:cs="Arial" w:eastAsia="Arial" w:hAnsi="Arial"/>
                <w:sz w:val="11"/>
                <w:szCs w:val="11"/>
                <w:color w:val="008000"/>
              </w:rPr>
              <w:t>(3)(4)</w:t>
            </w:r>
          </w:p>
        </w:tc>
        <w:tc>
          <w:tcPr>
            <w:tcW w:w="740" w:type="dxa"/>
            <w:vAlign w:val="bottom"/>
            <w:vMerge w:val="restart"/>
          </w:tcPr>
          <w:p>
            <w:pPr>
              <w:jc w:val="right"/>
              <w:ind w:right="181"/>
              <w:spacing w:after="0"/>
              <w:rPr>
                <w:sz w:val="20"/>
                <w:szCs w:val="20"/>
                <w:color w:val="auto"/>
              </w:rPr>
            </w:pPr>
            <w:r>
              <w:rPr>
                <w:rFonts w:ascii="Arial" w:cs="Arial" w:eastAsia="Arial" w:hAnsi="Arial"/>
                <w:sz w:val="11"/>
                <w:szCs w:val="11"/>
                <w:color w:val="008000"/>
              </w:rPr>
              <w:t>(3)(4)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500,000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260"/>
              <w:spacing w:after="0"/>
              <w:rPr>
                <w:sz w:val="20"/>
                <w:szCs w:val="20"/>
                <w:color w:val="auto"/>
              </w:rPr>
            </w:pPr>
            <w:r>
              <w:rPr>
                <w:rFonts w:ascii="Arial" w:cs="Arial" w:eastAsia="Arial" w:hAnsi="Arial"/>
                <w:sz w:val="13"/>
                <w:szCs w:val="13"/>
                <w:color w:val="0000FF"/>
              </w:rPr>
              <w:t>500,000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7" w:lineRule="exact"/>
              <w:rPr>
                <w:sz w:val="20"/>
                <w:szCs w:val="20"/>
                <w:color w:val="auto"/>
              </w:rPr>
            </w:pPr>
            <w:r>
              <w:rPr>
                <w:rFonts w:ascii="Arial" w:cs="Arial" w:eastAsia="Arial" w:hAnsi="Arial"/>
                <w:sz w:val="7"/>
                <w:szCs w:val="7"/>
                <w:color w:val="0000FF"/>
              </w:rPr>
              <w:t>Units</w:t>
            </w:r>
          </w:p>
        </w:tc>
        <w:tc>
          <w:tcPr>
            <w:tcW w:w="6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Special one-time long-term retention grant of Phantom Units granted under Long-Term Incentive Plan (includes distribution equivalent rights payable in cash).</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51" w:lineRule="exact"/>
        <w:rPr>
          <w:rFonts w:ascii="Arial" w:cs="Arial" w:eastAsia="Arial" w:hAnsi="Arial"/>
          <w:sz w:val="13"/>
          <w:szCs w:val="13"/>
          <w:color w:val="008000"/>
        </w:rPr>
      </w:pPr>
    </w:p>
    <w:p>
      <w:pPr>
        <w:jc w:val="both"/>
        <w:ind w:left="40" w:right="300" w:firstLine="7"/>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Units will vest (i) 50% on the August 2026 distribution date, (ii) 25% on the later of the August 2026 distribution date and the first distribution date following PAA's achievement of distributable cash flow ("DCF") per common unit and common unit equivalent of at least $2.80 on a trailing four quarter basis, and (iii) 25% on the later of the August 2026 distribution date and the first distribution date following PAA's achievement of DCF per common unit and common unit equivalent of at least $3.15 on a trailing four quarter basis.</w:t>
      </w:r>
    </w:p>
    <w:p>
      <w:pPr>
        <w:spacing w:after="0" w:line="21" w:lineRule="exact"/>
        <w:rPr>
          <w:rFonts w:ascii="Arial" w:cs="Arial" w:eastAsia="Arial" w:hAnsi="Arial"/>
          <w:sz w:val="13"/>
          <w:szCs w:val="13"/>
          <w:color w:val="008000"/>
        </w:rPr>
      </w:pPr>
    </w:p>
    <w:p>
      <w:pPr>
        <w:ind w:left="40" w:right="140" w:firstLine="7"/>
        <w:spacing w:after="0" w:line="275"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associated DERs will vest (i) 20% each on the August 2020, August 2021 and August 2022 distribution dates (60% total), (ii) 20% on the first distribution date following PAA's achievement of DCF per common unit and common unit equivalent of at least $2.70 on a trailing four quarter basis, and (iii) 20% on the first distribution date following PAA's achievement of DCF per common unit and common unit equivalent of at least $2.90 on a trailing four quarter basis. The applicable trailing four quarter period for determining whether the requisite DCF per common unit and common unit equivalent has been achieved for vesting of phantom units and DERs may not begin until on or after January 1, 2020. Any phantom units that have not vested by the August 2028 distribution date will be forfeited.</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9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11/25/2019</w:t>
            </w:r>
          </w:p>
        </w:tc>
        <w:tc>
          <w:tcPr>
            <w:tcW w:w="0" w:type="dxa"/>
            <w:vAlign w:val="bottom"/>
          </w:tcPr>
          <w:p>
            <w:pPr>
              <w:spacing w:after="0"/>
              <w:rPr>
                <w:sz w:val="1"/>
                <w:szCs w:val="1"/>
                <w:color w:val="auto"/>
              </w:rPr>
            </w:pPr>
          </w:p>
        </w:tc>
      </w:tr>
      <w:tr>
        <w:trPr>
          <w:trHeight w:val="87"/>
        </w:trPr>
        <w:tc>
          <w:tcPr>
            <w:tcW w:w="2240" w:type="dxa"/>
            <w:vAlign w:val="bottom"/>
            <w:gridSpan w:val="3"/>
            <w:vMerge w:val="restart"/>
          </w:tcPr>
          <w:p>
            <w:pPr>
              <w:spacing w:after="0"/>
              <w:rPr>
                <w:sz w:val="20"/>
                <w:szCs w:val="20"/>
                <w:color w:val="auto"/>
              </w:rPr>
            </w:pPr>
            <w:r>
              <w:rPr>
                <w:rFonts w:ascii="Arial" w:cs="Arial" w:eastAsia="Arial" w:hAnsi="Arial"/>
                <w:sz w:val="17"/>
                <w:szCs w:val="17"/>
                <w:color w:val="0000FF"/>
              </w:rPr>
              <w:t>in-fact for Chris R. Chandler</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880" w:firstLine="7"/>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660"/>
      </w:cols>
      <w:pgMar w:left="160" w:top="145" w:right="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file:///cgi-bin/browse-edgar?action=getcompany&amp;CIK=0001769245" TargetMode="External"/><Relationship Id="rId13" Type="http://schemas.openxmlformats.org/officeDocument/2006/relationships/hyperlink" Target="file:///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2019-11-26T13:37:52Z</dcterms:created>
  <dcterms:modified xsi:type="dcterms:W3CDTF">2019-11-26T13:37:52Z</dcterms:modified>
</cp:coreProperties>
</file>