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7" w:lineRule="exact"/>
        <w:rPr>
          <w:sz w:val="24"/>
          <w:szCs w:val="24"/>
          <w:color w:val="auto"/>
        </w:rPr>
      </w:pPr>
    </w:p>
    <w:p>
      <w:pPr>
        <w:ind w:left="2660"/>
        <w:spacing w:after="0"/>
        <w:rPr>
          <w:sz w:val="20"/>
          <w:szCs w:val="20"/>
          <w:color w:val="auto"/>
        </w:rPr>
      </w:pPr>
      <w:r>
        <w:rPr>
          <w:rFonts w:ascii="Arial" w:cs="Arial" w:eastAsia="Arial" w:hAnsi="Arial"/>
          <w:sz w:val="19"/>
          <w:szCs w:val="19"/>
          <w:b w:val="1"/>
          <w:bCs w:val="1"/>
          <w:color w:val="auto"/>
        </w:rPr>
        <w:t>Date of report (Date of earliest event reported): September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399"/>
        <w:spacing w:after="0"/>
        <w:rPr>
          <w:sz w:val="20"/>
          <w:szCs w:val="20"/>
          <w:color w:val="auto"/>
        </w:rPr>
      </w:pPr>
      <w:r>
        <w:rPr>
          <w:rFonts w:ascii="Arial" w:cs="Arial" w:eastAsia="Arial" w:hAnsi="Arial"/>
          <w:sz w:val="40"/>
          <w:szCs w:val="40"/>
          <w:b w:val="1"/>
          <w:bCs w:val="1"/>
          <w:color w:val="auto"/>
        </w:rPr>
        <w:t>Plains All American Pipeline, L.P.</w:t>
      </w:r>
    </w:p>
    <w:p>
      <w:pPr>
        <w:spacing w:after="0" w:line="8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82"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1860"/>
          </w:cols>
          <w:pgMar w:left="240" w:top="382" w:right="639" w:bottom="1440" w:gutter="0" w:footer="0" w:header="0"/>
          <w:type w:val="continuous"/>
        </w:sectPr>
      </w:pPr>
    </w:p>
    <w:p>
      <w:pPr>
        <w:spacing w:after="0" w:line="12"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(State or other jurisdiction of</w:t>
      </w:r>
    </w:p>
    <w:p>
      <w:pPr>
        <w:ind w:left="1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980"/>
          </w:cols>
          <w:pgMar w:left="240" w:top="382" w:right="639" w:bottom="1440" w:gutter="0" w:footer="0" w:header="0"/>
          <w:type w:val="continuous"/>
        </w:sectPr>
      </w:pPr>
    </w:p>
    <w:p>
      <w:pPr>
        <w:spacing w:after="0" w:line="44"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333 Clay Street, Suite 1600</w:t>
      </w:r>
    </w:p>
    <w:p>
      <w:pPr>
        <w:spacing w:after="0" w:line="50"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77002</w:t>
      </w:r>
    </w:p>
    <w:p>
      <w:pPr>
        <w:spacing w:after="0" w:line="61" w:lineRule="exact"/>
        <w:rPr>
          <w:sz w:val="24"/>
          <w:szCs w:val="24"/>
          <w:color w:val="auto"/>
        </w:rPr>
      </w:pPr>
    </w:p>
    <w:p>
      <w:pPr>
        <w:sectPr>
          <w:pgSz w:w="11900" w:h="16838" w:orient="portrait"/>
          <w:cols w:equalWidth="0" w:num="2">
            <w:col w:w="7680" w:space="720"/>
            <w:col w:w="2620"/>
          </w:cols>
          <w:pgMar w:left="240" w:top="382" w:right="63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580" w:space="720"/>
            <w:col w:w="2720"/>
          </w:cols>
          <w:pgMar w:left="240" w:top="382" w:right="639" w:bottom="1440" w:gutter="0" w:footer="0" w:header="0"/>
          <w:type w:val="continuous"/>
        </w:sectPr>
      </w:pPr>
    </w:p>
    <w:p>
      <w:pPr>
        <w:spacing w:after="0" w:line="10"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Registrant’s telephone number, including area code: (713) 646-4100</w:t>
      </w:r>
    </w:p>
    <w:p>
      <w:pPr>
        <w:spacing w:after="0" w:line="21"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82"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September 9, 2014 Plains All American Pipeline, L.P. (the “Partnership”) and PAA Finance Corp. (together with the Partnership, the “Issuers”) completed the public offering of $750 million aggregate principal amount of 3.60% Senior Notes due 2024 (the “Notes”).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Twenty-Sixth Supplemental Indenture between the Issuers and the Trustee (the “Supplemental Indenture”).</w:t>
      </w:r>
    </w:p>
    <w:p>
      <w:pPr>
        <w:spacing w:after="0" w:line="166"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Notes will mature on November 1, 2024. Interest is payable on the Notes on each May 1 and November 1, commencing on May 1, 2015. The Issuers may redeem some or all of the Notes at any time and from time to time prior to maturity at the redemption prices specified in the Indenture.</w:t>
      </w:r>
    </w:p>
    <w:p>
      <w:pPr>
        <w:spacing w:after="0" w:line="124"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contains customary events of default with respect to the Notes of either series, including:</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Partnership to comply with its obligations under the Indenture, in certain cases subject to notice and grace periods;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the Partnership and its Subsidiaries (as defined in the Indenture) in the aggregate principal amount of $25.0 million or more;</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Partnership or, if and so long as the Notes of that series are guaranteed by a subsidiary guarantor, by such subsidiary guarantor;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guarantee by such subsidiary guarantor ceases to be in full force and effect, except as otherwise provided in the Indenture;</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Other material terms of the Notes, the Base Indenture and the Supplemental Indenture are described in the prospectus supplement, dated September 2, 2014, as filed by the Partnership with the Commission on September 4, 2014. The foregoing descriptions of the Indenture and the Notes are qualified in their entirety by reference to such Indenture (including the form of Notes attached thereto). A copy of the Supplemental Indenture is filed herewith as Exhibit 4.1 and is incorporated herein by reference.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10260" w:type="dxa"/>
            <w:vAlign w:val="bottom"/>
            <w:vMerge w:val="restart"/>
          </w:tcPr>
          <w:p>
            <w:pPr>
              <w:jc w:val="right"/>
              <w:ind w:right="468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5"/>
                <w:szCs w:val="15"/>
                <w:color w:val="auto"/>
              </w:rPr>
            </w:pPr>
          </w:p>
        </w:tc>
        <w:tc>
          <w:tcPr>
            <w:tcW w:w="10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w w:val="92"/>
              </w:rPr>
              <w:t>Twenty-Sixth Supplemental Indenture, dated September 9, 2014, by and among Plains All American Pipeline, L.P., PAA Finance Corp.,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rPr>
              <w:t>U.S. Bank National Association, as trustee.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rPr>
              <w:t>Form of 3.60% Senior Notes due 2024 (included in Exhibit 4.1).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PLAINS ALL AMERICAN GP LLC, its general partner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McGee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2014</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5"/>
                <w:szCs w:val="15"/>
                <w:color w:val="auto"/>
              </w:rPr>
            </w:pPr>
          </w:p>
        </w:tc>
        <w:tc>
          <w:tcPr>
            <w:tcW w:w="10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w w:val="92"/>
              </w:rPr>
              <w:t>Twenty-Sixth Supplemental Indenture, dated September 9, 2014, by and among Plains All American Pipeline, L.P., PAA Finance Corp.,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rPr>
              <w:t>U.S. Bank National Association, as trustee.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rPr>
              <w:t>Form of 3.60% Senior Notes due 2024 (included in Exhibit 4.1).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80"/>
        <w:spacing w:after="0"/>
        <w:rPr>
          <w:sz w:val="20"/>
          <w:szCs w:val="20"/>
          <w:color w:val="auto"/>
        </w:rPr>
      </w:pPr>
      <w:r>
        <w:rPr>
          <w:rFonts w:ascii="Arial" w:cs="Arial" w:eastAsia="Arial" w:hAnsi="Arial"/>
          <w:sz w:val="31"/>
          <w:szCs w:val="31"/>
          <w:color w:val="auto"/>
        </w:rPr>
        <w:t>PLAINS ALL AMERICAN PIPELINE, L.P.</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32"/>
          <w:szCs w:val="32"/>
          <w:color w:val="auto"/>
        </w:rPr>
        <w:t>PAA FINANCE CORP.</w:t>
      </w:r>
    </w:p>
    <w:p>
      <w:pPr>
        <w:spacing w:after="0" w:line="1" w:lineRule="exact"/>
        <w:rPr>
          <w:sz w:val="20"/>
          <w:szCs w:val="20"/>
          <w:color w:val="auto"/>
        </w:rPr>
      </w:pPr>
    </w:p>
    <w:p>
      <w:pPr>
        <w:jc w:val="center"/>
        <w:ind w:right="1180"/>
        <w:spacing w:after="0"/>
        <w:rPr>
          <w:sz w:val="20"/>
          <w:szCs w:val="20"/>
          <w:color w:val="auto"/>
        </w:rPr>
      </w:pPr>
      <w:r>
        <w:rPr>
          <w:rFonts w:ascii="Arial" w:cs="Arial" w:eastAsia="Arial" w:hAnsi="Arial"/>
          <w:sz w:val="29"/>
          <w:szCs w:val="29"/>
          <w:color w:val="auto"/>
        </w:rPr>
        <w:t>as Issuers</w:t>
      </w:r>
    </w:p>
    <w:p>
      <w:pPr>
        <w:ind w:left="3620"/>
        <w:spacing w:after="0"/>
        <w:rPr>
          <w:sz w:val="20"/>
          <w:szCs w:val="20"/>
          <w:color w:val="auto"/>
        </w:rPr>
      </w:pPr>
      <w:r>
        <w:rPr>
          <w:rFonts w:ascii="Arial" w:cs="Arial" w:eastAsia="Arial" w:hAnsi="Arial"/>
          <w:sz w:val="32"/>
          <w:szCs w:val="32"/>
          <w:color w:val="auto"/>
        </w:rPr>
        <w:t>$750,000,000</w:t>
      </w:r>
    </w:p>
    <w:p>
      <w:pPr>
        <w:spacing w:after="0" w:line="200" w:lineRule="exact"/>
        <w:rPr>
          <w:sz w:val="20"/>
          <w:szCs w:val="20"/>
          <w:color w:val="auto"/>
        </w:rPr>
      </w:pP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3.60% SENIOR NOTES DUE 2024</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32"/>
          <w:szCs w:val="32"/>
          <w:color w:val="auto"/>
        </w:rPr>
        <w:t>TWENTY-SIXTH</w:t>
      </w: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32"/>
          <w:szCs w:val="32"/>
          <w:color w:val="auto"/>
        </w:rPr>
        <w:t>SUPPLEMENTAL</w:t>
      </w: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32"/>
          <w:szCs w:val="32"/>
          <w:color w:val="auto"/>
        </w:rPr>
        <w:t>INDENTURE</w:t>
      </w:r>
    </w:p>
    <w:p>
      <w:pPr>
        <w:spacing w:after="0" w:line="200" w:lineRule="exact"/>
        <w:rPr>
          <w:sz w:val="20"/>
          <w:szCs w:val="20"/>
          <w:color w:val="auto"/>
        </w:rPr>
      </w:pPr>
    </w:p>
    <w:p>
      <w:pPr>
        <w:spacing w:after="0" w:line="248"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September 9, 2014</w:t>
      </w:r>
    </w:p>
    <w:p>
      <w:pPr>
        <w:spacing w:after="0" w:line="200" w:lineRule="exact"/>
        <w:rPr>
          <w:sz w:val="20"/>
          <w:szCs w:val="20"/>
          <w:color w:val="auto"/>
        </w:rPr>
      </w:pP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U.S. BANK NATIONAL ASSOCIATION</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158750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201930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340" w:type="dxa"/>
            <w:vAlign w:val="bottom"/>
          </w:tcPr>
          <w:p>
            <w:pPr>
              <w:spacing w:after="0"/>
              <w:rPr>
                <w:sz w:val="17"/>
                <w:szCs w:val="17"/>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ARTICLE I</w:t>
            </w:r>
          </w:p>
        </w:tc>
        <w:tc>
          <w:tcPr>
            <w:tcW w:w="36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40" w:type="dxa"/>
            <w:vAlign w:val="bottom"/>
          </w:tcPr>
          <w:p>
            <w:pPr>
              <w:ind w:left="180"/>
              <w:spacing w:after="0"/>
              <w:rPr>
                <w:sz w:val="20"/>
                <w:szCs w:val="20"/>
                <w:color w:val="auto"/>
              </w:rPr>
            </w:pPr>
            <w:r>
              <w:rPr>
                <w:rFonts w:ascii="Arial" w:cs="Arial" w:eastAsia="Arial" w:hAnsi="Arial"/>
                <w:sz w:val="18"/>
                <w:szCs w:val="18"/>
                <w:color w:val="auto"/>
                <w:w w:val="93"/>
              </w:rPr>
              <w:t>Section 1.01</w:t>
            </w:r>
          </w:p>
        </w:tc>
        <w:tc>
          <w:tcPr>
            <w:tcW w:w="8840" w:type="dxa"/>
            <w:vAlign w:val="bottom"/>
            <w:gridSpan w:val="3"/>
          </w:tcPr>
          <w:p>
            <w:pPr>
              <w:ind w:left="40"/>
              <w:spacing w:after="0"/>
              <w:rPr>
                <w:sz w:val="20"/>
                <w:szCs w:val="20"/>
                <w:color w:val="auto"/>
              </w:rPr>
            </w:pPr>
            <w:r>
              <w:rPr>
                <w:rFonts w:ascii="Arial" w:cs="Arial" w:eastAsia="Arial" w:hAnsi="Arial"/>
                <w:sz w:val="18"/>
                <w:szCs w:val="18"/>
                <w:color w:val="auto"/>
              </w:rPr>
              <w:t>Establishment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9980" w:type="dxa"/>
            <w:vAlign w:val="bottom"/>
            <w:gridSpan w:val="4"/>
          </w:tcPr>
          <w:p>
            <w:pPr>
              <w:spacing w:after="0"/>
              <w:rPr>
                <w:sz w:val="20"/>
                <w:szCs w:val="20"/>
                <w:color w:val="auto"/>
              </w:rPr>
            </w:pPr>
            <w:r>
              <w:rPr>
                <w:rFonts w:ascii="Arial" w:cs="Arial" w:eastAsia="Arial" w:hAnsi="Arial"/>
                <w:sz w:val="18"/>
                <w:szCs w:val="18"/>
                <w:color w:val="auto"/>
              </w:rPr>
              <w:t>ARTICLE II DEFINITIONS AND INCORPORATION BY REFERENCE</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w w:val="93"/>
              </w:rPr>
              <w:t>Section 2.01</w:t>
            </w:r>
          </w:p>
        </w:tc>
        <w:tc>
          <w:tcPr>
            <w:tcW w:w="8840" w:type="dxa"/>
            <w:vAlign w:val="bottom"/>
            <w:gridSpan w:val="3"/>
          </w:tcPr>
          <w:p>
            <w:pPr>
              <w:ind w:left="40"/>
              <w:spacing w:after="0"/>
              <w:rPr>
                <w:sz w:val="20"/>
                <w:szCs w:val="20"/>
                <w:color w:val="auto"/>
              </w:rPr>
            </w:pPr>
            <w:r>
              <w:rPr>
                <w:rFonts w:ascii="Arial" w:cs="Arial" w:eastAsia="Arial" w:hAnsi="Arial"/>
                <w:sz w:val="18"/>
                <w:szCs w:val="18"/>
                <w:color w:val="auto"/>
              </w:rPr>
              <w:t>Definitions</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140" w:type="dxa"/>
            <w:vAlign w:val="bottom"/>
          </w:tcPr>
          <w:p>
            <w:pPr>
              <w:ind w:left="180"/>
              <w:spacing w:after="0"/>
              <w:rPr>
                <w:sz w:val="20"/>
                <w:szCs w:val="20"/>
                <w:color w:val="auto"/>
              </w:rPr>
            </w:pPr>
            <w:r>
              <w:rPr>
                <w:rFonts w:ascii="Arial" w:cs="Arial" w:eastAsia="Arial" w:hAnsi="Arial"/>
                <w:sz w:val="18"/>
                <w:szCs w:val="18"/>
                <w:color w:val="auto"/>
                <w:w w:val="93"/>
              </w:rPr>
              <w:t>Section 2.02</w:t>
            </w:r>
          </w:p>
        </w:tc>
        <w:tc>
          <w:tcPr>
            <w:tcW w:w="8840" w:type="dxa"/>
            <w:vAlign w:val="bottom"/>
            <w:gridSpan w:val="3"/>
          </w:tcPr>
          <w:p>
            <w:pPr>
              <w:ind w:left="40"/>
              <w:spacing w:after="0"/>
              <w:rPr>
                <w:sz w:val="20"/>
                <w:szCs w:val="20"/>
                <w:color w:val="auto"/>
              </w:rPr>
            </w:pPr>
            <w:r>
              <w:rPr>
                <w:rFonts w:ascii="Arial" w:cs="Arial" w:eastAsia="Arial" w:hAnsi="Arial"/>
                <w:sz w:val="18"/>
                <w:szCs w:val="18"/>
                <w:color w:val="auto"/>
              </w:rPr>
              <w:t>Other Definitions</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9980" w:type="dxa"/>
            <w:vAlign w:val="bottom"/>
            <w:gridSpan w:val="4"/>
          </w:tcPr>
          <w:p>
            <w:pPr>
              <w:spacing w:after="0"/>
              <w:rPr>
                <w:sz w:val="20"/>
                <w:szCs w:val="20"/>
                <w:color w:val="auto"/>
              </w:rPr>
            </w:pPr>
            <w:r>
              <w:rPr>
                <w:rFonts w:ascii="Arial" w:cs="Arial" w:eastAsia="Arial" w:hAnsi="Arial"/>
                <w:sz w:val="18"/>
                <w:szCs w:val="18"/>
                <w:color w:val="auto"/>
              </w:rPr>
              <w:t>ARTICLE III THE NOTES</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3.01 Form</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w w:val="93"/>
              </w:rPr>
              <w:t>Section 3.02</w:t>
            </w:r>
          </w:p>
        </w:tc>
        <w:tc>
          <w:tcPr>
            <w:tcW w:w="8840" w:type="dxa"/>
            <w:vAlign w:val="bottom"/>
            <w:gridSpan w:val="3"/>
          </w:tcPr>
          <w:p>
            <w:pPr>
              <w:ind w:left="40"/>
              <w:spacing w:after="0"/>
              <w:rPr>
                <w:sz w:val="20"/>
                <w:szCs w:val="20"/>
                <w:color w:val="auto"/>
              </w:rPr>
            </w:pPr>
            <w:r>
              <w:rPr>
                <w:rFonts w:ascii="Arial" w:cs="Arial" w:eastAsia="Arial" w:hAnsi="Arial"/>
                <w:sz w:val="18"/>
                <w:szCs w:val="18"/>
                <w:color w:val="auto"/>
              </w:rPr>
              <w:t>Issuance of Additional Notes</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140" w:type="dxa"/>
            <w:vAlign w:val="bottom"/>
          </w:tcPr>
          <w:p>
            <w:pPr>
              <w:ind w:left="180"/>
              <w:spacing w:after="0"/>
              <w:rPr>
                <w:sz w:val="20"/>
                <w:szCs w:val="20"/>
                <w:color w:val="auto"/>
              </w:rPr>
            </w:pPr>
            <w:r>
              <w:rPr>
                <w:rFonts w:ascii="Arial" w:cs="Arial" w:eastAsia="Arial" w:hAnsi="Arial"/>
                <w:sz w:val="18"/>
                <w:szCs w:val="18"/>
                <w:color w:val="auto"/>
                <w:w w:val="93"/>
              </w:rPr>
              <w:t>Section 3.03</w:t>
            </w:r>
          </w:p>
        </w:tc>
        <w:tc>
          <w:tcPr>
            <w:tcW w:w="8840" w:type="dxa"/>
            <w:vAlign w:val="bottom"/>
            <w:gridSpan w:val="3"/>
          </w:tcPr>
          <w:p>
            <w:pPr>
              <w:ind w:left="40"/>
              <w:spacing w:after="0"/>
              <w:rPr>
                <w:sz w:val="20"/>
                <w:szCs w:val="20"/>
                <w:color w:val="auto"/>
              </w:rPr>
            </w:pPr>
            <w:r>
              <w:rPr>
                <w:rFonts w:ascii="Arial" w:cs="Arial" w:eastAsia="Arial" w:hAnsi="Arial"/>
                <w:sz w:val="18"/>
                <w:szCs w:val="18"/>
                <w:color w:val="auto"/>
              </w:rPr>
              <w:t>Global Security Legend</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9980" w:type="dxa"/>
            <w:vAlign w:val="bottom"/>
            <w:gridSpan w:val="4"/>
          </w:tcPr>
          <w:p>
            <w:pPr>
              <w:spacing w:after="0"/>
              <w:rPr>
                <w:sz w:val="20"/>
                <w:szCs w:val="20"/>
                <w:color w:val="auto"/>
              </w:rPr>
            </w:pPr>
            <w:r>
              <w:rPr>
                <w:rFonts w:ascii="Arial" w:cs="Arial" w:eastAsia="Arial" w:hAnsi="Arial"/>
                <w:sz w:val="18"/>
                <w:szCs w:val="18"/>
                <w:color w:val="auto"/>
              </w:rPr>
              <w:t>ARTICLE IV REDEMPTION AND PREPAYMENT</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4.01 Optional Redemption</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9980" w:type="dxa"/>
            <w:vAlign w:val="bottom"/>
            <w:gridSpan w:val="4"/>
          </w:tcPr>
          <w:p>
            <w:pPr>
              <w:spacing w:after="0"/>
              <w:rPr>
                <w:sz w:val="20"/>
                <w:szCs w:val="20"/>
                <w:color w:val="auto"/>
              </w:rPr>
            </w:pPr>
            <w:r>
              <w:rPr>
                <w:rFonts w:ascii="Arial" w:cs="Arial" w:eastAsia="Arial" w:hAnsi="Arial"/>
                <w:sz w:val="18"/>
                <w:szCs w:val="18"/>
                <w:color w:val="auto"/>
              </w:rPr>
              <w:t>ARTICLE V COVENANTS</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5.01. Compliance Certificate</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5.02. Limitations on Liens</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5.03. Restriction of Sale-leaseback Transactions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5.04. SEC Reports; Financial Statements</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5.05. Subsidiary Guarantees</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9980" w:type="dxa"/>
            <w:vAlign w:val="bottom"/>
            <w:gridSpan w:val="4"/>
          </w:tcPr>
          <w:p>
            <w:pPr>
              <w:spacing w:after="0"/>
              <w:rPr>
                <w:sz w:val="20"/>
                <w:szCs w:val="20"/>
                <w:color w:val="auto"/>
              </w:rPr>
            </w:pPr>
            <w:r>
              <w:rPr>
                <w:rFonts w:ascii="Arial" w:cs="Arial" w:eastAsia="Arial" w:hAnsi="Arial"/>
                <w:sz w:val="18"/>
                <w:szCs w:val="18"/>
                <w:color w:val="auto"/>
              </w:rPr>
              <w:t>ARTICLE VI SUCCESSORS</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6.01. Consolidation and Mergers of the Issuers</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6.02. Rights and Duties of Successor</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9980" w:type="dxa"/>
            <w:vAlign w:val="bottom"/>
            <w:gridSpan w:val="4"/>
          </w:tcPr>
          <w:p>
            <w:pPr>
              <w:spacing w:after="0"/>
              <w:rPr>
                <w:sz w:val="20"/>
                <w:szCs w:val="20"/>
                <w:color w:val="auto"/>
              </w:rPr>
            </w:pPr>
            <w:r>
              <w:rPr>
                <w:rFonts w:ascii="Arial" w:cs="Arial" w:eastAsia="Arial" w:hAnsi="Arial"/>
                <w:sz w:val="18"/>
                <w:szCs w:val="18"/>
                <w:color w:val="auto"/>
              </w:rPr>
              <w:t>ARTICLE VII DEFAULTS AND REMEDIES</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7.01. Events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9980" w:type="dxa"/>
            <w:vAlign w:val="bottom"/>
            <w:gridSpan w:val="4"/>
          </w:tcPr>
          <w:p>
            <w:pPr>
              <w:spacing w:after="0"/>
              <w:rPr>
                <w:sz w:val="20"/>
                <w:szCs w:val="20"/>
                <w:color w:val="auto"/>
              </w:rPr>
            </w:pPr>
            <w:r>
              <w:rPr>
                <w:rFonts w:ascii="Arial" w:cs="Arial" w:eastAsia="Arial" w:hAnsi="Arial"/>
                <w:sz w:val="18"/>
                <w:szCs w:val="18"/>
                <w:color w:val="auto"/>
              </w:rPr>
              <w:t>ARTICLE VIII LEGAL DEFEASANCE AND 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8.02. Legal Defeasance and Discharge</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8.03. 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8.04. Conditions to Legal or Covenant Defeasance</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8.05. Deposited Money and U.S. Government Obligations to be Held in Trust; Other Miscellaneous Provisions</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8.06. Repayment to Issuers</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8.07. Reinstatement</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9980" w:type="dxa"/>
            <w:vAlign w:val="bottom"/>
            <w:gridSpan w:val="4"/>
          </w:tcPr>
          <w:p>
            <w:pPr>
              <w:spacing w:after="0"/>
              <w:rPr>
                <w:sz w:val="20"/>
                <w:szCs w:val="20"/>
                <w:color w:val="auto"/>
              </w:rPr>
            </w:pPr>
            <w:r>
              <w:rPr>
                <w:rFonts w:ascii="Arial" w:cs="Arial" w:eastAsia="Arial" w:hAnsi="Arial"/>
                <w:sz w:val="18"/>
                <w:szCs w:val="18"/>
                <w:color w:val="auto"/>
              </w:rPr>
              <w:t>ARTICLE IX SUBSIDIARY GUARANTEES</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9.01. Subsidiary Guarantees</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9.02. Limitation on Liability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9.03. Successors and Assigns</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980" w:type="dxa"/>
            <w:vAlign w:val="bottom"/>
            <w:gridSpan w:val="4"/>
          </w:tcPr>
          <w:p>
            <w:pPr>
              <w:ind w:left="180"/>
              <w:spacing w:after="0"/>
              <w:rPr>
                <w:sz w:val="20"/>
                <w:szCs w:val="20"/>
                <w:color w:val="auto"/>
              </w:rPr>
            </w:pPr>
            <w:r>
              <w:rPr>
                <w:rFonts w:ascii="Arial" w:cs="Arial" w:eastAsia="Arial" w:hAnsi="Arial"/>
                <w:sz w:val="18"/>
                <w:szCs w:val="18"/>
                <w:color w:val="auto"/>
              </w:rPr>
              <w:t>Section 9.04. No Waiver</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Section 9.05. Modification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Section 9.06. Execution of Supplemental Indenture for Future Subsidiary Guarantors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740" w:type="dxa"/>
            <w:vAlign w:val="bottom"/>
          </w:tcPr>
          <w:p>
            <w:pPr>
              <w:ind w:left="180"/>
              <w:spacing w:after="0"/>
              <w:rPr>
                <w:sz w:val="20"/>
                <w:szCs w:val="20"/>
                <w:color w:val="auto"/>
              </w:rPr>
            </w:pPr>
            <w:r>
              <w:rPr>
                <w:rFonts w:ascii="Arial" w:cs="Arial" w:eastAsia="Arial" w:hAnsi="Arial"/>
                <w:sz w:val="18"/>
                <w:szCs w:val="18"/>
                <w:color w:val="auto"/>
              </w:rPr>
              <w:t>Section 9.07. Release of Guarantee</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874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Section 10.01. Additional Amendments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Section 10.02. Integral Part</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Section 10.03. Adoption, Ratification and Confirmation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Section 10.04. Counterparts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740" w:type="dxa"/>
            <w:vAlign w:val="bottom"/>
          </w:tcPr>
          <w:p>
            <w:pPr>
              <w:ind w:left="180"/>
              <w:spacing w:after="0"/>
              <w:rPr>
                <w:sz w:val="20"/>
                <w:szCs w:val="20"/>
                <w:color w:val="auto"/>
              </w:rPr>
            </w:pPr>
            <w:r>
              <w:rPr>
                <w:rFonts w:ascii="Arial" w:cs="Arial" w:eastAsia="Arial" w:hAnsi="Arial"/>
                <w:sz w:val="18"/>
                <w:szCs w:val="18"/>
                <w:color w:val="auto"/>
              </w:rPr>
              <w:t>Section 10.05. 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Form of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Supplemental Indenture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4" w:right="339" w:bottom="1440" w:gutter="0" w:footer="0" w:header="0"/>
        </w:sectPr>
      </w:pPr>
    </w:p>
    <w:bookmarkStart w:id="8" w:name="page9"/>
    <w:bookmarkEnd w:id="8"/>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TWENTY-SIXTH SUPPLEMENTAL INDENTURE dated as of September 9, 2014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the Issuers have heretofore entered into an Indenture, dated as of September 25, 2002 (the “Original Indenture”), with U.S. Bank National Association (successor to Wachovia Bank, National Association), as trustee;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Issuers propose to create under the Indenture a new series of Debt Securities;</w:t>
      </w:r>
    </w:p>
    <w:p>
      <w:pPr>
        <w:spacing w:after="0" w:line="225"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24"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Establishment.</w:t>
      </w:r>
      <w:r>
        <w:rPr>
          <w:rFonts w:ascii="Arial" w:cs="Arial" w:eastAsia="Arial" w:hAnsi="Arial"/>
          <w:sz w:val="18"/>
          <w:szCs w:val="18"/>
          <w:color w:val="auto"/>
        </w:rPr>
        <w:t xml:space="preserve"> There is hereby established a new series of Debt Securities to be issued under the Indenture, to be designated as the Issuers’ 3.60% Senior Notes due 2024 (the “Notes”). Initially, there will be no Subsidiary Guarantors for the Notes.</w:t>
      </w:r>
    </w:p>
    <w:p>
      <w:pPr>
        <w:spacing w:after="0" w:line="170" w:lineRule="exact"/>
        <w:rPr>
          <w:sz w:val="20"/>
          <w:szCs w:val="20"/>
          <w:color w:val="auto"/>
        </w:rPr>
      </w:pPr>
    </w:p>
    <w:p>
      <w:pPr>
        <w:ind w:right="100" w:firstLine="464"/>
        <w:spacing w:after="0" w:line="277" w:lineRule="auto"/>
        <w:tabs>
          <w:tab w:leader="none" w:pos="74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are to be authenticated and delivered $750,000,000 principal amount of Notes on the Issue Date, and from time to time thereafter there may be authenticated and delivered an unlimited principal amount of Additional Notes.</w:t>
      </w:r>
    </w:p>
    <w:p>
      <w:pPr>
        <w:sectPr>
          <w:pgSz w:w="11900" w:h="16838" w:orient="portrait"/>
          <w:cols w:equalWidth="0" w:num="1">
            <w:col w:w="11360"/>
          </w:cols>
          <w:pgMar w:left="240" w:top="274" w:right="299" w:bottom="1440" w:gutter="0" w:footer="0" w:header="0"/>
        </w:sectPr>
      </w:pPr>
    </w:p>
    <w:bookmarkStart w:id="9" w:name="page10"/>
    <w:bookmarkEnd w:id="9"/>
    <w:p>
      <w:pPr>
        <w:ind w:right="40" w:firstLine="464"/>
        <w:spacing w:after="0" w:line="277"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Notes shall be issued initially in the form of one or more Global Securities in substantially the form set out in Exhibit A hereto. The Depositary with respect to the Notes shall be The Depository Trust Company.</w:t>
      </w:r>
    </w:p>
    <w:p>
      <w:pPr>
        <w:spacing w:after="0" w:line="170"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Note shall be dated the date of authentication thereof and shall bear interest from the date of original issuance thereof or from the most recent date to which interest has been paid or duly provided for.</w:t>
      </w:r>
    </w:p>
    <w:p>
      <w:pPr>
        <w:spacing w:after="0" w:line="170" w:lineRule="exact"/>
        <w:rPr>
          <w:rFonts w:ascii="Arial" w:cs="Arial" w:eastAsia="Arial" w:hAnsi="Arial"/>
          <w:sz w:val="18"/>
          <w:szCs w:val="18"/>
          <w:color w:val="auto"/>
        </w:rPr>
      </w:pPr>
    </w:p>
    <w:p>
      <w:pPr>
        <w:ind w:right="380" w:firstLine="464"/>
        <w:spacing w:after="0" w:line="277"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to the extent that the provisions of the Original Indenture are duplicative of, or in contradiction with, the provisions of this Supplemental Indenture, the provisions of this Supplemental Indenture shall govern.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herein and not otherwise defined below shall have the meanings ascribed thereto in the Original Indenture. The following are additional definitions used in this Supplemental Indenture:</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66"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0" w:name="page11"/>
    <w:bookmarkEnd w:id="10"/>
    <w:p>
      <w:pPr>
        <w:ind w:right="10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4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“Guarantee” means a guarantee of the Notes given by a Subsidiary Guarantor pursuant to the Indenture, including any future obligations under Article IX hereof.</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“General Partner” means PAA GP LLC, a Delaware limited liability company, and its successors and permitted assigns as general partner of the Partnership.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Date” means, with respect to the Notes, the date on which the Notes are initially issued.</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“Notes” has the meaning assigned to it in Section 1.01(a) hereof, and includes both the Notes issued on the Issue Date and any Additional Notes issued thereafter.</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1" w:name="page12"/>
    <w:bookmarkEnd w:id="11"/>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“Partnership Agreement” means the Fourth Amended and Restated Agreement of Limited Partnership of Plains All American Pipeline, L.P., dated as of May 17, 2012, as amended by Amendment No. 1 thereto dated as of October 1, 2012 and Amendment No. 2 thereto dated as of December 31, 2013, and as such may be otherwise amended, modified or supplemented from time to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225" w:lineRule="exact"/>
        <w:rPr>
          <w:sz w:val="20"/>
          <w:szCs w:val="20"/>
          <w:color w:val="auto"/>
        </w:rPr>
      </w:pPr>
    </w:p>
    <w:p>
      <w:pPr>
        <w:ind w:left="1200" w:hanging="297"/>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ind w:left="460" w:firstLine="443"/>
        <w:spacing w:after="0" w:line="286" w:lineRule="auto"/>
        <w:tabs>
          <w:tab w:leader="none" w:pos="1198"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65" w:lineRule="exact"/>
        <w:rPr>
          <w:rFonts w:ascii="Arial" w:cs="Arial" w:eastAsia="Arial" w:hAnsi="Arial"/>
          <w:sz w:val="17"/>
          <w:szCs w:val="17"/>
          <w:color w:val="auto"/>
        </w:rPr>
      </w:pPr>
    </w:p>
    <w:p>
      <w:pPr>
        <w:ind w:left="460" w:right="20" w:firstLine="443"/>
        <w:spacing w:after="0" w:line="277" w:lineRule="auto"/>
        <w:tabs>
          <w:tab w:leader="none" w:pos="11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70" w:lineRule="exact"/>
        <w:rPr>
          <w:rFonts w:ascii="Arial" w:cs="Arial" w:eastAsia="Arial" w:hAnsi="Arial"/>
          <w:sz w:val="18"/>
          <w:szCs w:val="18"/>
          <w:color w:val="auto"/>
        </w:rPr>
      </w:pPr>
    </w:p>
    <w:p>
      <w:pPr>
        <w:ind w:left="460" w:right="300" w:firstLine="443"/>
        <w:spacing w:after="0" w:line="277" w:lineRule="auto"/>
        <w:tabs>
          <w:tab w:leader="none" w:pos="1198"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an Issuer or any Restricted Subsidiary in good faith;</w:t>
      </w:r>
    </w:p>
    <w:p>
      <w:pPr>
        <w:spacing w:after="0" w:line="170" w:lineRule="exact"/>
        <w:rPr>
          <w:rFonts w:ascii="Arial" w:cs="Arial" w:eastAsia="Arial" w:hAnsi="Arial"/>
          <w:sz w:val="18"/>
          <w:szCs w:val="18"/>
          <w:color w:val="auto"/>
        </w:rPr>
      </w:pPr>
    </w:p>
    <w:p>
      <w:pPr>
        <w:ind w:left="1200" w:hanging="297"/>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rFonts w:ascii="Arial" w:cs="Arial" w:eastAsia="Arial" w:hAnsi="Arial"/>
          <w:sz w:val="18"/>
          <w:szCs w:val="18"/>
          <w:color w:val="auto"/>
        </w:rPr>
      </w:pPr>
    </w:p>
    <w:p>
      <w:pPr>
        <w:ind w:left="460" w:right="220" w:firstLine="443"/>
        <w:spacing w:after="0" w:line="277" w:lineRule="auto"/>
        <w:tabs>
          <w:tab w:leader="none" w:pos="119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70" w:lineRule="exact"/>
        <w:rPr>
          <w:rFonts w:ascii="Arial" w:cs="Arial" w:eastAsia="Arial" w:hAnsi="Arial"/>
          <w:sz w:val="18"/>
          <w:szCs w:val="18"/>
          <w:color w:val="auto"/>
        </w:rPr>
      </w:pPr>
    </w:p>
    <w:p>
      <w:pPr>
        <w:ind w:left="460" w:right="200" w:firstLine="443"/>
        <w:spacing w:after="0" w:line="277" w:lineRule="auto"/>
        <w:tabs>
          <w:tab w:leader="none" w:pos="119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an Issuer or any Restricted Subsidiary resulting from the exercise of any rights arising out of defaults on receivables;</w:t>
      </w:r>
    </w:p>
    <w:p>
      <w:pPr>
        <w:spacing w:after="0" w:line="170" w:lineRule="exact"/>
        <w:rPr>
          <w:rFonts w:ascii="Arial" w:cs="Arial" w:eastAsia="Arial" w:hAnsi="Arial"/>
          <w:sz w:val="18"/>
          <w:szCs w:val="18"/>
          <w:color w:val="auto"/>
        </w:rPr>
      </w:pPr>
    </w:p>
    <w:p>
      <w:pPr>
        <w:ind w:left="460" w:right="620" w:firstLine="443"/>
        <w:spacing w:after="0" w:line="342" w:lineRule="auto"/>
        <w:tabs>
          <w:tab w:leader="none" w:pos="1198"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23" w:lineRule="exact"/>
        <w:rPr>
          <w:rFonts w:ascii="Arial" w:cs="Arial" w:eastAsia="Arial" w:hAnsi="Arial"/>
          <w:sz w:val="16"/>
          <w:szCs w:val="16"/>
          <w:color w:val="auto"/>
        </w:rPr>
      </w:pPr>
    </w:p>
    <w:p>
      <w:pPr>
        <w:ind w:left="1200" w:hanging="297"/>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in favor of an Issuer or any Restricted Subsidiary;</w:t>
      </w:r>
    </w:p>
    <w:p>
      <w:pPr>
        <w:spacing w:after="0" w:line="225" w:lineRule="exact"/>
        <w:rPr>
          <w:rFonts w:ascii="Arial" w:cs="Arial" w:eastAsia="Arial" w:hAnsi="Arial"/>
          <w:sz w:val="18"/>
          <w:szCs w:val="18"/>
          <w:color w:val="auto"/>
        </w:rPr>
      </w:pPr>
    </w:p>
    <w:p>
      <w:pPr>
        <w:ind w:left="460" w:right="100" w:firstLine="443"/>
        <w:spacing w:after="0" w:line="259" w:lineRule="auto"/>
        <w:tabs>
          <w:tab w:leader="none" w:pos="128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 w:name="page13"/>
    <w:bookmarkEnd w:id="12"/>
    <w:p>
      <w:pPr>
        <w:ind w:left="820" w:hanging="37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Lien securing industrial development, pollution control or similar revenue bonds;</w:t>
      </w:r>
    </w:p>
    <w:p>
      <w:pPr>
        <w:spacing w:after="0" w:line="225" w:lineRule="exact"/>
        <w:rPr>
          <w:rFonts w:ascii="Arial" w:cs="Arial" w:eastAsia="Arial" w:hAnsi="Arial"/>
          <w:sz w:val="18"/>
          <w:szCs w:val="18"/>
          <w:color w:val="auto"/>
        </w:rPr>
      </w:pPr>
    </w:p>
    <w:p>
      <w:pPr>
        <w:ind w:right="40" w:firstLine="443"/>
        <w:spacing w:after="0" w:line="255" w:lineRule="auto"/>
        <w:tabs>
          <w:tab w:leader="none" w:pos="82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93" w:lineRule="exact"/>
        <w:rPr>
          <w:rFonts w:ascii="Arial" w:cs="Arial" w:eastAsia="Arial" w:hAnsi="Arial"/>
          <w:sz w:val="18"/>
          <w:szCs w:val="18"/>
          <w:color w:val="auto"/>
        </w:rPr>
      </w:pPr>
    </w:p>
    <w:p>
      <w:pPr>
        <w:ind w:right="80" w:firstLine="443"/>
        <w:spacing w:after="0" w:line="277" w:lineRule="auto"/>
        <w:tabs>
          <w:tab w:leader="none" w:pos="828" w:val="left"/>
        </w:tabs>
        <w:numPr>
          <w:ilvl w:val="0"/>
          <w:numId w:val="7"/>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70" w:lineRule="exact"/>
        <w:rPr>
          <w:rFonts w:ascii="Arial" w:cs="Arial" w:eastAsia="Arial" w:hAnsi="Arial"/>
          <w:sz w:val="18"/>
          <w:szCs w:val="18"/>
          <w:color w:val="auto"/>
        </w:rPr>
      </w:pPr>
    </w:p>
    <w:p>
      <w:pPr>
        <w:ind w:left="840" w:hanging="397"/>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225" w:lineRule="exact"/>
        <w:rPr>
          <w:rFonts w:ascii="Arial" w:cs="Arial" w:eastAsia="Arial" w:hAnsi="Arial"/>
          <w:sz w:val="18"/>
          <w:szCs w:val="18"/>
          <w:color w:val="auto"/>
        </w:rPr>
      </w:pPr>
    </w:p>
    <w:p>
      <w:pPr>
        <w:jc w:val="both"/>
        <w:ind w:firstLine="443"/>
        <w:spacing w:after="0" w:line="302" w:lineRule="auto"/>
        <w:tabs>
          <w:tab w:leader="none" w:pos="828"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54" w:lineRule="exact"/>
        <w:rPr>
          <w:rFonts w:ascii="Arial" w:cs="Arial" w:eastAsia="Arial" w:hAnsi="Arial"/>
          <w:sz w:val="16"/>
          <w:szCs w:val="16"/>
          <w:color w:val="auto"/>
        </w:rPr>
      </w:pPr>
    </w:p>
    <w:p>
      <w:pPr>
        <w:ind w:right="320" w:firstLine="443"/>
        <w:spacing w:after="0" w:line="259" w:lineRule="auto"/>
        <w:tabs>
          <w:tab w:leader="none" w:pos="828"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6" w:lineRule="exact"/>
        <w:rPr>
          <w:rFonts w:ascii="Arial" w:cs="Arial" w:eastAsia="Arial" w:hAnsi="Arial"/>
          <w:sz w:val="18"/>
          <w:szCs w:val="18"/>
          <w:color w:val="auto"/>
        </w:rPr>
      </w:pPr>
    </w:p>
    <w:p>
      <w:pPr>
        <w:ind w:firstLine="443"/>
        <w:spacing w:after="0" w:line="279" w:lineRule="auto"/>
        <w:tabs>
          <w:tab w:leader="none" w:pos="828" w:val="left"/>
        </w:tabs>
        <w:numPr>
          <w:ilvl w:val="0"/>
          <w:numId w:val="7"/>
        </w:numPr>
        <w:rPr>
          <w:rFonts w:ascii="Arial" w:cs="Arial" w:eastAsia="Arial" w:hAnsi="Arial"/>
          <w:sz w:val="17"/>
          <w:szCs w:val="17"/>
          <w:color w:val="auto"/>
        </w:rPr>
      </w:pPr>
      <w:r>
        <w:rPr>
          <w:rFonts w:ascii="Arial" w:cs="Arial" w:eastAsia="Arial" w:hAnsi="Arial"/>
          <w:sz w:val="17"/>
          <w:szCs w:val="17"/>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3" w:name="page14"/>
    <w:bookmarkEnd w:id="13"/>
    <w:p>
      <w:pPr>
        <w:ind w:left="460" w:right="600" w:firstLine="443"/>
        <w:spacing w:after="0" w:line="277"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obligations or duties to any municipality or public authority with respect to any lease, easement, right-of-way, license, franchise, privilege, permit or grant.</w:t>
      </w:r>
    </w:p>
    <w:p>
      <w:pPr>
        <w:spacing w:after="0" w:line="170"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w:t>
      </w:r>
    </w:p>
    <w:p>
      <w:pPr>
        <w:ind w:right="260" w:firstLine="8"/>
        <w:spacing w:after="0" w:line="295"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“Restricted Subsidiary” means any Subsidiary of the Partnership owning or leasing, directly or indirectly through ownership in another Subsidiary, any Principal Property.</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ind w:right="380" w:firstLine="8"/>
        <w:spacing w:after="0" w:line="323"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 Guarantors” means each of:</w:t>
      </w:r>
    </w:p>
    <w:p>
      <w:pPr>
        <w:spacing w:after="0" w:line="225" w:lineRule="exact"/>
        <w:rPr>
          <w:sz w:val="20"/>
          <w:szCs w:val="20"/>
          <w:color w:val="auto"/>
        </w:rPr>
      </w:pPr>
    </w:p>
    <w:p>
      <w:pPr>
        <w:ind w:left="1160" w:hanging="257"/>
        <w:spacing w:after="0"/>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Subsidiary that executes a supplemental Indenture to provide a Guarantee in accordance with the provisions of the Indenture; and</w:t>
      </w:r>
    </w:p>
    <w:p>
      <w:pPr>
        <w:spacing w:after="0" w:line="236" w:lineRule="exact"/>
        <w:rPr>
          <w:rFonts w:ascii="Arial" w:cs="Arial" w:eastAsia="Arial" w:hAnsi="Arial"/>
          <w:sz w:val="17"/>
          <w:szCs w:val="17"/>
          <w:color w:val="auto"/>
        </w:rPr>
      </w:pPr>
    </w:p>
    <w:p>
      <w:pPr>
        <w:ind w:left="1160" w:hanging="25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their respective successors and assigns.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Term</w:t>
            </w:r>
          </w:p>
        </w:tc>
        <w:tc>
          <w:tcPr>
            <w:tcW w:w="10380" w:type="dxa"/>
            <w:vAlign w:val="bottom"/>
            <w:vMerge w:val="restart"/>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Defined</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10380" w:type="dxa"/>
            <w:vAlign w:val="bottom"/>
            <w:vMerge w:val="continue"/>
          </w:tcPr>
          <w:p>
            <w:pPr>
              <w:spacing w:after="0"/>
              <w:rPr>
                <w:sz w:val="15"/>
                <w:szCs w:val="15"/>
                <w:color w:val="auto"/>
              </w:rPr>
            </w:pPr>
          </w:p>
        </w:tc>
        <w:tc>
          <w:tcPr>
            <w:tcW w:w="700" w:type="dxa"/>
            <w:vAlign w:val="bottom"/>
            <w:gridSpan w:val="2"/>
          </w:tcPr>
          <w:p>
            <w:pPr>
              <w:jc w:val="right"/>
              <w:ind w:right="100"/>
              <w:spacing w:after="0" w:line="158" w:lineRule="exact"/>
              <w:rPr>
                <w:sz w:val="20"/>
                <w:szCs w:val="20"/>
                <w:color w:val="auto"/>
              </w:rPr>
            </w:pPr>
            <w:r>
              <w:rPr>
                <w:rFonts w:ascii="Arial" w:cs="Arial" w:eastAsia="Arial" w:hAnsi="Arial"/>
                <w:sz w:val="14"/>
                <w:szCs w:val="14"/>
                <w:b w:val="1"/>
                <w:bCs w:val="1"/>
                <w:color w:val="auto"/>
                <w:w w:val="86"/>
              </w:rPr>
              <w:t>in Section</w:t>
            </w:r>
          </w:p>
        </w:tc>
        <w:tc>
          <w:tcPr>
            <w:tcW w:w="0" w:type="dxa"/>
            <w:vAlign w:val="bottom"/>
          </w:tcPr>
          <w:p>
            <w:pPr>
              <w:spacing w:after="0"/>
              <w:rPr>
                <w:sz w:val="1"/>
                <w:szCs w:val="1"/>
                <w:color w:val="auto"/>
              </w:rPr>
            </w:pPr>
          </w:p>
        </w:tc>
      </w:tr>
      <w:tr>
        <w:trPr>
          <w:trHeight w:val="203"/>
        </w:trPr>
        <w:tc>
          <w:tcPr>
            <w:tcW w:w="10720" w:type="dxa"/>
            <w:vAlign w:val="bottom"/>
            <w:gridSpan w:val="2"/>
          </w:tcPr>
          <w:p>
            <w:pPr>
              <w:spacing w:after="0" w:line="203" w:lineRule="exact"/>
              <w:rPr>
                <w:sz w:val="20"/>
                <w:szCs w:val="20"/>
                <w:color w:val="auto"/>
              </w:rPr>
            </w:pPr>
            <w:r>
              <w:rPr>
                <w:rFonts w:ascii="Arial" w:cs="Arial" w:eastAsia="Arial" w:hAnsi="Arial"/>
                <w:sz w:val="18"/>
                <w:szCs w:val="18"/>
                <w:color w:val="auto"/>
              </w:rPr>
              <w:t>“Additional Notes”</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“Covenant Defeasance”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Defeasance”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Arial" w:cs="Arial" w:eastAsia="Arial" w:hAnsi="Arial"/>
                <w:sz w:val="18"/>
                <w:szCs w:val="18"/>
                <w:color w:val="auto"/>
              </w:rPr>
              <w:t>“Note Obligations”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Default”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Arial" w:cs="Arial" w:eastAsia="Arial" w:hAnsi="Arial"/>
                <w:sz w:val="18"/>
                <w:szCs w:val="18"/>
                <w:color w:val="auto"/>
              </w:rPr>
              <w:t>“Required Filing Dates”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“Successor Company”</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Form</w:t>
      </w:r>
      <w:r>
        <w:rPr>
          <w:rFonts w:ascii="Arial" w:cs="Arial" w:eastAsia="Arial" w:hAnsi="Arial"/>
          <w:sz w:val="16"/>
          <w:szCs w:val="16"/>
          <w:color w:val="auto"/>
        </w:rPr>
        <w:t>.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$750,000,000. The Notes issued on the Issue Date and any Additional Notes subsequently issued shall be treated as a single series for all purposes under the Indenture, including waivers, amendments, redemptions and offers to purchase.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Global Security Legend</w:t>
      </w:r>
      <w:r>
        <w:rPr>
          <w:rFonts w:ascii="Arial" w:cs="Arial" w:eastAsia="Arial" w:hAnsi="Arial"/>
          <w:sz w:val="18"/>
          <w:szCs w:val="18"/>
          <w:color w:val="auto"/>
        </w:rPr>
        <w:t>. Each of the Global Securities shall bear a legend in substantially the following form:</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left="740" w:hanging="276"/>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 their option at any time prior to maturity, the Issuers may choose to redeem all or any portion of the Notes, at once or from time to time.</w:t>
      </w:r>
    </w:p>
    <w:p>
      <w:pPr>
        <w:spacing w:after="0" w:line="236" w:lineRule="exact"/>
        <w:rPr>
          <w:rFonts w:ascii="Arial" w:cs="Arial" w:eastAsia="Arial" w:hAnsi="Arial"/>
          <w:sz w:val="17"/>
          <w:szCs w:val="17"/>
          <w:color w:val="auto"/>
        </w:rPr>
      </w:pPr>
    </w:p>
    <w:p>
      <w:pPr>
        <w:ind w:right="20" w:firstLine="464"/>
        <w:spacing w:after="0" w:line="264" w:lineRule="auto"/>
        <w:tabs>
          <w:tab w:leader="none" w:pos="7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w:t>
      </w:r>
    </w:p>
    <w:p>
      <w:pPr>
        <w:spacing w:after="0" w:line="181" w:lineRule="exact"/>
        <w:rPr>
          <w:rFonts w:ascii="Arial" w:cs="Arial" w:eastAsia="Arial" w:hAnsi="Arial"/>
          <w:sz w:val="18"/>
          <w:szCs w:val="18"/>
          <w:color w:val="auto"/>
        </w:rPr>
      </w:pPr>
    </w:p>
    <w:p>
      <w:pPr>
        <w:jc w:val="both"/>
        <w:ind w:right="420" w:firstLine="464"/>
        <w:spacing w:after="0" w:line="264" w:lineRule="auto"/>
        <w:tabs>
          <w:tab w:leader="none" w:pos="7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97" w:lineRule="exact"/>
        <w:rPr>
          <w:sz w:val="20"/>
          <w:szCs w:val="20"/>
          <w:color w:val="auto"/>
        </w:rPr>
      </w:pPr>
    </w:p>
    <w:p>
      <w:pPr>
        <w:jc w:val="both"/>
        <w:ind w:firstLine="464"/>
        <w:spacing w:after="0" w:line="312" w:lineRule="auto"/>
        <w:tabs>
          <w:tab w:leader="none" w:pos="7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6" w:name="page17"/>
    <w:bookmarkEnd w:id="16"/>
    <w:p>
      <w:pPr>
        <w:ind w:right="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Arial" w:cs="Arial" w:eastAsia="Arial" w:hAnsi="Arial"/>
          <w:sz w:val="16"/>
          <w:szCs w:val="16"/>
          <w:u w:val="single" w:color="auto"/>
          <w:color w:val="auto"/>
        </w:rPr>
        <w:t>Limitations on Liens</w:t>
      </w:r>
      <w:r>
        <w:rPr>
          <w:rFonts w:ascii="Arial" w:cs="Arial" w:eastAsia="Arial" w:hAnsi="Arial"/>
          <w:sz w:val="16"/>
          <w:szCs w:val="16"/>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54" w:lineRule="exact"/>
        <w:rPr>
          <w:sz w:val="20"/>
          <w:szCs w:val="20"/>
          <w:color w:val="auto"/>
        </w:rPr>
      </w:pPr>
    </w:p>
    <w:p>
      <w:pPr>
        <w:ind w:left="760" w:hanging="29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firstLine="464"/>
        <w:spacing w:after="0" w:line="264" w:lineRule="auto"/>
        <w:tabs>
          <w:tab w:leader="none" w:pos="7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81" w:lineRule="exact"/>
        <w:rPr>
          <w:rFonts w:ascii="Arial" w:cs="Arial" w:eastAsia="Arial" w:hAnsi="Arial"/>
          <w:sz w:val="18"/>
          <w:szCs w:val="18"/>
          <w:color w:val="auto"/>
        </w:rPr>
      </w:pPr>
    </w:p>
    <w:p>
      <w:pPr>
        <w:ind w:right="20" w:firstLine="464"/>
        <w:spacing w:after="0" w:line="264" w:lineRule="auto"/>
        <w:tabs>
          <w:tab w:leader="none" w:pos="7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81" w:lineRule="exact"/>
        <w:rPr>
          <w:rFonts w:ascii="Arial" w:cs="Arial" w:eastAsia="Arial" w:hAnsi="Arial"/>
          <w:sz w:val="18"/>
          <w:szCs w:val="18"/>
          <w:color w:val="auto"/>
        </w:rPr>
      </w:pPr>
    </w:p>
    <w:p>
      <w:pPr>
        <w:ind w:right="40" w:firstLine="464"/>
        <w:spacing w:after="0" w:line="264" w:lineRule="auto"/>
        <w:tabs>
          <w:tab w:leader="none" w:pos="7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181" w:lineRule="exact"/>
        <w:rPr>
          <w:rFonts w:ascii="Arial" w:cs="Arial" w:eastAsia="Arial" w:hAnsi="Arial"/>
          <w:sz w:val="18"/>
          <w:szCs w:val="18"/>
          <w:color w:val="auto"/>
        </w:rPr>
      </w:pPr>
    </w:p>
    <w:p>
      <w:pPr>
        <w:ind w:right="200" w:firstLine="464"/>
        <w:spacing w:after="0" w:line="264" w:lineRule="auto"/>
        <w:tabs>
          <w:tab w:leader="none" w:pos="7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81" w:lineRule="exact"/>
        <w:rPr>
          <w:rFonts w:ascii="Arial" w:cs="Arial" w:eastAsia="Arial" w:hAnsi="Arial"/>
          <w:sz w:val="18"/>
          <w:szCs w:val="18"/>
          <w:color w:val="auto"/>
        </w:rPr>
      </w:pPr>
    </w:p>
    <w:p>
      <w:pPr>
        <w:ind w:right="480" w:firstLine="464"/>
        <w:spacing w:after="0" w:line="277" w:lineRule="auto"/>
        <w:tabs>
          <w:tab w:leader="none" w:pos="7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Lien upon any property or assets of an Issuer or any Restricted Subsidiary in existence on December 10, 2003 or provided for pursuant to agreements existing on December 10, 2003;</w:t>
      </w:r>
    </w:p>
    <w:p>
      <w:pPr>
        <w:spacing w:after="0" w:line="170" w:lineRule="exact"/>
        <w:rPr>
          <w:rFonts w:ascii="Arial" w:cs="Arial" w:eastAsia="Arial" w:hAnsi="Arial"/>
          <w:sz w:val="18"/>
          <w:szCs w:val="18"/>
          <w:color w:val="auto"/>
        </w:rPr>
      </w:pPr>
    </w:p>
    <w:p>
      <w:pPr>
        <w:ind w:right="100" w:firstLine="464"/>
        <w:spacing w:after="0" w:line="264" w:lineRule="auto"/>
        <w:tabs>
          <w:tab w:leader="none" w:pos="7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81" w:lineRule="exact"/>
        <w:rPr>
          <w:rFonts w:ascii="Arial" w:cs="Arial" w:eastAsia="Arial" w:hAnsi="Arial"/>
          <w:sz w:val="18"/>
          <w:szCs w:val="18"/>
          <w:color w:val="auto"/>
        </w:rPr>
      </w:pPr>
    </w:p>
    <w:p>
      <w:pPr>
        <w:ind w:right="80" w:firstLine="464"/>
        <w:spacing w:after="0" w:line="312" w:lineRule="auto"/>
        <w:tabs>
          <w:tab w:leader="none" w:pos="7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7" w:name="page18"/>
    <w:bookmarkEnd w:id="17"/>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66" w:lineRule="exact"/>
        <w:rPr>
          <w:sz w:val="20"/>
          <w:szCs w:val="20"/>
          <w:color w:val="auto"/>
        </w:rPr>
      </w:pPr>
    </w:p>
    <w:p>
      <w:pPr>
        <w:ind w:right="140" w:firstLine="464"/>
        <w:spacing w:after="0" w:line="277" w:lineRule="auto"/>
        <w:tabs>
          <w:tab w:leader="none" w:pos="7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Debt of an Issuer or any Restricted Subsidiary.</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Restriction of Sale-leaseback Transactions</w:t>
      </w:r>
      <w:r>
        <w:rPr>
          <w:rFonts w:ascii="Arial" w:cs="Arial" w:eastAsia="Arial" w:hAnsi="Arial"/>
          <w:sz w:val="16"/>
          <w:szCs w:val="16"/>
          <w:color w:val="auto"/>
        </w:rPr>
        <w:t>. The Issuers will not, and will not permit any Subsidiary of the Partnership to, engage in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Sale-leaseback Transaction, unless:</w:t>
      </w:r>
    </w:p>
    <w:p>
      <w:pPr>
        <w:spacing w:after="0" w:line="211" w:lineRule="exact"/>
        <w:rPr>
          <w:sz w:val="20"/>
          <w:szCs w:val="20"/>
          <w:color w:val="auto"/>
        </w:rPr>
      </w:pPr>
    </w:p>
    <w:p>
      <w:pPr>
        <w:ind w:firstLine="464"/>
        <w:spacing w:after="0" w:line="264" w:lineRule="auto"/>
        <w:tabs>
          <w:tab w:leader="none" w:pos="7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81" w:lineRule="exact"/>
        <w:rPr>
          <w:rFonts w:ascii="Arial" w:cs="Arial" w:eastAsia="Arial" w:hAnsi="Arial"/>
          <w:sz w:val="18"/>
          <w:szCs w:val="18"/>
          <w:color w:val="auto"/>
        </w:rPr>
      </w:pPr>
    </w:p>
    <w:p>
      <w:pPr>
        <w:ind w:left="760" w:hanging="296"/>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225" w:lineRule="exact"/>
        <w:rPr>
          <w:rFonts w:ascii="Arial" w:cs="Arial" w:eastAsia="Arial" w:hAnsi="Arial"/>
          <w:sz w:val="18"/>
          <w:szCs w:val="18"/>
          <w:color w:val="auto"/>
        </w:rPr>
      </w:pPr>
    </w:p>
    <w:p>
      <w:pPr>
        <w:ind w:right="340" w:firstLine="464"/>
        <w:spacing w:after="0" w:line="264" w:lineRule="auto"/>
        <w:tabs>
          <w:tab w:leader="none" w:pos="7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181" w:lineRule="exact"/>
        <w:rPr>
          <w:rFonts w:ascii="Arial" w:cs="Arial" w:eastAsia="Arial" w:hAnsi="Arial"/>
          <w:sz w:val="18"/>
          <w:szCs w:val="18"/>
          <w:color w:val="auto"/>
        </w:rPr>
      </w:pPr>
    </w:p>
    <w:p>
      <w:pPr>
        <w:ind w:right="120" w:firstLine="464"/>
        <w:spacing w:after="0" w:line="259" w:lineRule="auto"/>
        <w:tabs>
          <w:tab w:leader="none" w:pos="7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Notwithstanding the foregoing provisions of this Section 5.03, the Issuers may, and may permit any Subsidiary of the Partnership to, effect any Sale-leaseback Transaction that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8" w:name="page19"/>
    <w:bookmarkEnd w:id="18"/>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6" w:lineRule="auto"/>
        <w:tabs>
          <w:tab w:leader="none" w:pos="7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72" w:lineRule="exact"/>
        <w:rPr>
          <w:rFonts w:ascii="Arial" w:cs="Arial" w:eastAsia="Arial" w:hAnsi="Arial"/>
          <w:sz w:val="17"/>
          <w:szCs w:val="17"/>
          <w:color w:val="auto"/>
        </w:rPr>
      </w:pPr>
    </w:p>
    <w:p>
      <w:pPr>
        <w:ind w:right="140" w:firstLine="464"/>
        <w:spacing w:after="0" w:line="286" w:lineRule="auto"/>
        <w:tabs>
          <w:tab w:leader="none" w:pos="7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165" w:lineRule="exact"/>
        <w:rPr>
          <w:rFonts w:ascii="Arial" w:cs="Arial" w:eastAsia="Arial" w:hAnsi="Arial"/>
          <w:sz w:val="17"/>
          <w:szCs w:val="17"/>
          <w:color w:val="auto"/>
        </w:rPr>
      </w:pPr>
    </w:p>
    <w:p>
      <w:pPr>
        <w:ind w:left="760" w:hanging="29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320" w:firstLine="464"/>
        <w:spacing w:after="0" w:line="277" w:lineRule="auto"/>
        <w:tabs>
          <w:tab w:leader="none" w:pos="7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Partnership shall provide the Trustee with a sufficient number of copies of all reports and other documents and information that the Trustee may be required to deliver to Holders of Notes under clause (b) of this Section 5.04.</w:t>
      </w:r>
    </w:p>
    <w:p>
      <w:pPr>
        <w:spacing w:after="0" w:line="170" w:lineRule="exact"/>
        <w:rPr>
          <w:rFonts w:ascii="Arial" w:cs="Arial" w:eastAsia="Arial" w:hAnsi="Arial"/>
          <w:sz w:val="18"/>
          <w:szCs w:val="18"/>
          <w:color w:val="auto"/>
        </w:rPr>
      </w:pPr>
    </w:p>
    <w:p>
      <w:pPr>
        <w:ind w:right="300" w:firstLine="464"/>
        <w:spacing w:after="0" w:line="286" w:lineRule="auto"/>
        <w:tabs>
          <w:tab w:leader="none" w:pos="74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66"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Subsidiary Guarantees</w:t>
      </w:r>
      <w:r>
        <w:rPr>
          <w:rFonts w:ascii="Arial" w:cs="Arial" w:eastAsia="Arial" w:hAnsi="Arial"/>
          <w:sz w:val="18"/>
          <w:szCs w:val="18"/>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jc w:val="center"/>
        <w:ind w:right="280"/>
        <w:spacing w:after="0" w:line="449" w:lineRule="auto"/>
        <w:rPr>
          <w:sz w:val="20"/>
          <w:szCs w:val="20"/>
          <w:color w:val="auto"/>
        </w:rPr>
      </w:pPr>
      <w:r>
        <w:rPr>
          <w:rFonts w:ascii="Arial" w:cs="Arial" w:eastAsia="Arial" w:hAnsi="Arial"/>
          <w:sz w:val="18"/>
          <w:szCs w:val="18"/>
          <w:color w:val="auto"/>
        </w:rPr>
        <w:t>With respect to the Notes, the provisions of this Article VI shall preempt the provisions of Article X of the Original Indenture in their entirety. 11</w:t>
      </w:r>
    </w:p>
    <w:p>
      <w:pPr>
        <w:sectPr>
          <w:pgSz w:w="11900" w:h="16838" w:orient="portrait"/>
          <w:cols w:equalWidth="0" w:num="1">
            <w:col w:w="11420"/>
          </w:cols>
          <w:pgMar w:left="240" w:top="274" w:right="239" w:bottom="1440" w:gutter="0" w:footer="0" w:header="0"/>
        </w:sectPr>
      </w:pPr>
    </w:p>
    <w:bookmarkStart w:id="19" w:name="page20"/>
    <w:bookmarkEnd w:id="1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6.01. </w:t>
      </w:r>
      <w:r>
        <w:rPr>
          <w:rFonts w:ascii="Arial" w:cs="Arial" w:eastAsia="Arial" w:hAnsi="Arial"/>
          <w:sz w:val="16"/>
          <w:szCs w:val="16"/>
          <w:u w:val="single" w:color="auto"/>
          <w:color w:val="auto"/>
        </w:rPr>
        <w:t>Consolidation and Mergers of the Issuers</w:t>
      </w:r>
      <w:r>
        <w:rPr>
          <w:rFonts w:ascii="Arial" w:cs="Arial" w:eastAsia="Arial" w:hAnsi="Arial"/>
          <w:sz w:val="16"/>
          <w:szCs w:val="16"/>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17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Rights and Duties of Successor</w:t>
      </w:r>
      <w:r>
        <w:rPr>
          <w:rFonts w:ascii="Arial" w:cs="Arial" w:eastAsia="Arial" w:hAnsi="Arial"/>
          <w:sz w:val="16"/>
          <w:szCs w:val="16"/>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With respect to the Notes, the provisions of this Section 7.01 shall preempt the provisions of the first and final paragraphs of Section 6.01 of the Original Indenture in their entirety.</w:t>
      </w:r>
    </w:p>
    <w:p>
      <w:pPr>
        <w:spacing w:after="0" w:line="170" w:lineRule="exact"/>
        <w:rPr>
          <w:sz w:val="20"/>
          <w:szCs w:val="20"/>
          <w:color w:val="auto"/>
        </w:rPr>
      </w:pPr>
    </w:p>
    <w:p>
      <w:pPr>
        <w:ind w:left="1180" w:hanging="277"/>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“Event of Default” occurs if:</w:t>
      </w:r>
    </w:p>
    <w:p>
      <w:pPr>
        <w:spacing w:after="0" w:line="225" w:lineRule="exact"/>
        <w:rPr>
          <w:rFonts w:ascii="Arial" w:cs="Arial" w:eastAsia="Arial" w:hAnsi="Arial"/>
          <w:sz w:val="18"/>
          <w:szCs w:val="18"/>
          <w:color w:val="auto"/>
        </w:rPr>
      </w:pPr>
    </w:p>
    <w:p>
      <w:pPr>
        <w:ind w:left="5620" w:right="4240" w:hanging="4498"/>
        <w:spacing w:after="0" w:line="449" w:lineRule="auto"/>
        <w:tabs>
          <w:tab w:leader="none" w:pos="13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Issuers default for 60 days in the payment when due of interest on the Notes; 12</w:t>
      </w:r>
    </w:p>
    <w:p>
      <w:pPr>
        <w:sectPr>
          <w:pgSz w:w="11900" w:h="16838" w:orient="portrait"/>
          <w:cols w:equalWidth="0" w:num="1">
            <w:col w:w="11420"/>
          </w:cols>
          <w:pgMar w:left="240" w:top="274" w:right="239" w:bottom="1440" w:gutter="0" w:footer="0" w:header="0"/>
        </w:sectPr>
      </w:pPr>
    </w:p>
    <w:bookmarkStart w:id="20" w:name="page21"/>
    <w:bookmarkEnd w:id="20"/>
    <w:p>
      <w:pPr>
        <w:ind w:left="460" w:hanging="319"/>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default in the payment when due of principal of or premium, if any, on the Notes at maturity, upon redemption or otherwise;</w:t>
      </w:r>
    </w:p>
    <w:p>
      <w:pPr>
        <w:spacing w:after="0" w:line="248" w:lineRule="exact"/>
        <w:rPr>
          <w:rFonts w:ascii="Arial" w:cs="Arial" w:eastAsia="Arial" w:hAnsi="Arial"/>
          <w:sz w:val="16"/>
          <w:szCs w:val="16"/>
          <w:color w:val="auto"/>
        </w:rPr>
      </w:pPr>
    </w:p>
    <w:p>
      <w:pPr>
        <w:ind w:left="-280" w:right="20" w:firstLine="421"/>
        <w:spacing w:after="0" w:line="259"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need not be given, and an Event of Default shall occur, 90 days after any breach of the provisions of Section 6.01 hereof);</w:t>
      </w:r>
    </w:p>
    <w:p>
      <w:pPr>
        <w:spacing w:after="0" w:line="186" w:lineRule="exact"/>
        <w:rPr>
          <w:rFonts w:ascii="Arial" w:cs="Arial" w:eastAsia="Arial" w:hAnsi="Arial"/>
          <w:sz w:val="18"/>
          <w:szCs w:val="18"/>
          <w:color w:val="auto"/>
        </w:rPr>
      </w:pPr>
    </w:p>
    <w:p>
      <w:pPr>
        <w:ind w:left="-280" w:firstLine="421"/>
        <w:spacing w:after="0" w:line="288" w:lineRule="auto"/>
        <w:tabs>
          <w:tab w:leader="none" w:pos="49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69" w:lineRule="exact"/>
        <w:rPr>
          <w:rFonts w:ascii="Arial" w:cs="Arial" w:eastAsia="Arial" w:hAnsi="Arial"/>
          <w:sz w:val="16"/>
          <w:szCs w:val="16"/>
          <w:color w:val="auto"/>
        </w:rPr>
      </w:pPr>
    </w:p>
    <w:p>
      <w:pPr>
        <w:ind w:left="-280" w:right="280" w:firstLine="421"/>
        <w:spacing w:after="0" w:line="264"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81" w:lineRule="exact"/>
        <w:rPr>
          <w:rFonts w:ascii="Arial" w:cs="Arial" w:eastAsia="Arial" w:hAnsi="Arial"/>
          <w:sz w:val="18"/>
          <w:szCs w:val="18"/>
          <w:color w:val="auto"/>
        </w:rPr>
      </w:pPr>
    </w:p>
    <w:p>
      <w:pPr>
        <w:ind w:left="500" w:hanging="359"/>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Issuer or any Subsidiary Guarantor pursuant to or within the meaning of any Bankruptcy Law:</w:t>
      </w:r>
    </w:p>
    <w:p>
      <w:pPr>
        <w:spacing w:after="0" w:line="225" w:lineRule="exact"/>
        <w:rPr>
          <w:rFonts w:ascii="Arial" w:cs="Arial" w:eastAsia="Arial" w:hAnsi="Arial"/>
          <w:sz w:val="18"/>
          <w:szCs w:val="18"/>
          <w:color w:val="auto"/>
        </w:rPr>
      </w:pPr>
    </w:p>
    <w:p>
      <w:pPr>
        <w:ind w:left="1020" w:hanging="331"/>
        <w:spacing w:after="0"/>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1020" w:hanging="331"/>
        <w:spacing w:after="0"/>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020" w:hanging="331"/>
        <w:spacing w:after="0"/>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00"/>
          </w:cols>
          <w:pgMar w:left="1440" w:top="274" w:right="259" w:bottom="1440" w:gutter="0" w:footer="0" w:header="0"/>
        </w:sectPr>
      </w:pPr>
    </w:p>
    <w:bookmarkStart w:id="21" w:name="page22"/>
    <w:bookmarkEnd w:id="21"/>
    <w:p>
      <w:pPr>
        <w:ind w:left="2180" w:hanging="291"/>
        <w:spacing w:after="0"/>
        <w:tabs>
          <w:tab w:leader="none" w:pos="2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makes a general assignment for the benefit of its creditors, or</w:t>
      </w:r>
    </w:p>
    <w:p>
      <w:pPr>
        <w:spacing w:after="0" w:line="225" w:lineRule="exact"/>
        <w:rPr>
          <w:rFonts w:ascii="Arial" w:cs="Arial" w:eastAsia="Arial" w:hAnsi="Arial"/>
          <w:sz w:val="18"/>
          <w:szCs w:val="18"/>
          <w:color w:val="auto"/>
        </w:rPr>
      </w:pPr>
    </w:p>
    <w:p>
      <w:pPr>
        <w:ind w:left="2160" w:hanging="271"/>
        <w:spacing w:after="0"/>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700" w:hanging="359"/>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180" w:hanging="291"/>
        <w:spacing w:after="0"/>
        <w:tabs>
          <w:tab w:leader="none" w:pos="2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for relief against an Issuer or any Subsidiary Guarantor in an involuntary case;</w:t>
      </w:r>
    </w:p>
    <w:p>
      <w:pPr>
        <w:spacing w:after="0" w:line="225" w:lineRule="exact"/>
        <w:rPr>
          <w:rFonts w:ascii="Arial" w:cs="Arial" w:eastAsia="Arial" w:hAnsi="Arial"/>
          <w:sz w:val="18"/>
          <w:szCs w:val="18"/>
          <w:color w:val="auto"/>
        </w:rPr>
      </w:pPr>
    </w:p>
    <w:p>
      <w:pPr>
        <w:ind w:left="1500" w:right="200" w:firstLine="389"/>
        <w:spacing w:after="0" w:line="277" w:lineRule="auto"/>
        <w:tabs>
          <w:tab w:leader="none" w:pos="218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appoints a custodian of an Issuer or any Subsidiary Guarantor or for all or substantially all of the property of an Issuer or any Subsidiary Guarantor; or</w:t>
      </w:r>
    </w:p>
    <w:p>
      <w:pPr>
        <w:spacing w:after="0" w:line="170" w:lineRule="exact"/>
        <w:rPr>
          <w:rFonts w:ascii="Arial" w:cs="Arial" w:eastAsia="Arial" w:hAnsi="Arial"/>
          <w:sz w:val="18"/>
          <w:szCs w:val="18"/>
          <w:color w:val="auto"/>
        </w:rPr>
      </w:pPr>
    </w:p>
    <w:p>
      <w:pPr>
        <w:ind w:left="2180" w:hanging="291"/>
        <w:spacing w:after="0"/>
        <w:tabs>
          <w:tab w:leader="none" w:pos="2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orders the liquidation of an Issuer or any Subsidiary Guarantor;</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ind w:right="40" w:firstLine="464"/>
        <w:spacing w:after="0" w:line="255"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Legal Defeasance and Discharge</w:t>
      </w:r>
      <w:r>
        <w:rPr>
          <w:rFonts w:ascii="Arial" w:cs="Arial" w:eastAsia="Arial" w:hAnsi="Arial"/>
          <w:sz w:val="16"/>
          <w:szCs w:val="16"/>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2" w:name="page23"/>
    <w:bookmarkEnd w:id="2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87" w:lineRule="exact"/>
        <w:rPr>
          <w:sz w:val="20"/>
          <w:szCs w:val="20"/>
          <w:color w:val="auto"/>
        </w:rPr>
      </w:pPr>
    </w:p>
    <w:p>
      <w:pPr>
        <w:ind w:firstLine="464"/>
        <w:spacing w:after="0" w:line="277" w:lineRule="auto"/>
        <w:tabs>
          <w:tab w:leader="none" w:pos="7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70" w:lineRule="exact"/>
        <w:rPr>
          <w:rFonts w:ascii="Arial" w:cs="Arial" w:eastAsia="Arial" w:hAnsi="Arial"/>
          <w:sz w:val="18"/>
          <w:szCs w:val="18"/>
          <w:color w:val="auto"/>
        </w:rPr>
      </w:pPr>
    </w:p>
    <w:p>
      <w:pPr>
        <w:ind w:left="760" w:hanging="29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Issuers’ obligations with respect to such Notes under Sections 2.07, 2.08, 2.09 and 4.02 of the Original Indenture,</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 the Issuers’ obligations in connection therewith,</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Article VIII, and</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Issuers’ rights of optional redemption under Section 4.01 hereof.</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Subject to compliance with this Article VIII, the Issuers may exercise their option under this Section 8.02 notwithstanding the prior exercise of their option under Section 8.03 hereof.</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23" w:name="page24"/>
    <w:bookmarkEnd w:id="23"/>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 The following shall be the conditions to the application of either Section 8.02 or 8.03 hereof to the Outstanding Notes: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right="60" w:firstLine="464"/>
        <w:spacing w:after="0" w:line="302" w:lineRule="auto"/>
        <w:tabs>
          <w:tab w:leader="none" w:pos="746"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54" w:lineRule="exact"/>
        <w:rPr>
          <w:rFonts w:ascii="Arial" w:cs="Arial" w:eastAsia="Arial" w:hAnsi="Arial"/>
          <w:sz w:val="16"/>
          <w:szCs w:val="16"/>
          <w:color w:val="auto"/>
        </w:rPr>
      </w:pPr>
    </w:p>
    <w:p>
      <w:pPr>
        <w:ind w:right="20" w:firstLine="464"/>
        <w:spacing w:after="0" w:line="297" w:lineRule="auto"/>
        <w:tabs>
          <w:tab w:leader="none" w:pos="756"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58" w:lineRule="exact"/>
        <w:rPr>
          <w:rFonts w:ascii="Arial" w:cs="Arial" w:eastAsia="Arial" w:hAnsi="Arial"/>
          <w:sz w:val="16"/>
          <w:szCs w:val="16"/>
          <w:color w:val="auto"/>
        </w:rPr>
      </w:pPr>
    </w:p>
    <w:p>
      <w:pPr>
        <w:ind w:right="80" w:firstLine="464"/>
        <w:spacing w:after="0" w:line="259" w:lineRule="auto"/>
        <w:tabs>
          <w:tab w:leader="none" w:pos="746"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jc w:val="both"/>
        <w:ind w:firstLine="464"/>
        <w:spacing w:after="0" w:line="291" w:lineRule="auto"/>
        <w:tabs>
          <w:tab w:leader="none" w:pos="756"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w:t>
      </w: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hereof is concerned, at any time in the period ending on the 91st day after the date of deposit;</w:t>
      </w:r>
    </w:p>
    <w:p>
      <w:pPr>
        <w:spacing w:after="0" w:line="210" w:lineRule="exact"/>
        <w:rPr>
          <w:rFonts w:ascii="Arial" w:cs="Arial" w:eastAsia="Arial" w:hAnsi="Arial"/>
          <w:sz w:val="18"/>
          <w:szCs w:val="18"/>
          <w:color w:val="auto"/>
        </w:rPr>
      </w:pPr>
    </w:p>
    <w:p>
      <w:pPr>
        <w:ind w:right="380" w:firstLine="464"/>
        <w:spacing w:after="0" w:line="264" w:lineRule="auto"/>
        <w:tabs>
          <w:tab w:leader="none" w:pos="7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81" w:lineRule="exact"/>
        <w:rPr>
          <w:rFonts w:ascii="Arial" w:cs="Arial" w:eastAsia="Arial" w:hAnsi="Arial"/>
          <w:sz w:val="18"/>
          <w:szCs w:val="18"/>
          <w:color w:val="auto"/>
        </w:rPr>
      </w:pPr>
    </w:p>
    <w:p>
      <w:pPr>
        <w:ind w:right="80" w:firstLine="464"/>
        <w:spacing w:after="0" w:line="308" w:lineRule="auto"/>
        <w:tabs>
          <w:tab w:leader="none" w:pos="726"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24" w:name="page25"/>
    <w:bookmarkEnd w:id="24"/>
    <w:p>
      <w:pPr>
        <w:ind w:right="460" w:firstLine="464"/>
        <w:spacing w:after="0" w:line="264" w:lineRule="auto"/>
        <w:tabs>
          <w:tab w:leader="none" w:pos="756"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81" w:lineRule="exact"/>
        <w:rPr>
          <w:rFonts w:ascii="Arial" w:cs="Arial" w:eastAsia="Arial" w:hAnsi="Arial"/>
          <w:sz w:val="18"/>
          <w:szCs w:val="18"/>
          <w:color w:val="auto"/>
        </w:rPr>
      </w:pPr>
    </w:p>
    <w:p>
      <w:pPr>
        <w:ind w:right="620" w:firstLine="464"/>
        <w:spacing w:after="0" w:line="277" w:lineRule="auto"/>
        <w:tabs>
          <w:tab w:leader="none" w:pos="7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Deposited Money and U.S. Government Obligations to be Held in Trust; Other Miscellaneous Provisions</w:t>
      </w:r>
      <w:r>
        <w:rPr>
          <w:rFonts w:ascii="Arial" w:cs="Arial" w:eastAsia="Arial" w:hAnsi="Arial"/>
          <w:sz w:val="17"/>
          <w:szCs w:val="17"/>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7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w:t>
      </w:r>
    </w:p>
    <w:p>
      <w:pPr>
        <w:ind w:right="40"/>
        <w:spacing w:after="0" w:line="261" w:lineRule="auto"/>
        <w:rPr>
          <w:sz w:val="20"/>
          <w:szCs w:val="20"/>
          <w:color w:val="auto"/>
        </w:rPr>
      </w:pPr>
      <w:r>
        <w:rPr>
          <w:rFonts w:ascii="Arial" w:cs="Arial" w:eastAsia="Arial" w:hAnsi="Arial"/>
          <w:sz w:val="18"/>
          <w:szCs w:val="18"/>
          <w:color w:val="auto"/>
        </w:rPr>
        <w:t>Section 8.04(a) hereof), are in excess of the amount thereof that would then be required to be deposited to effect an equivalent Legal Defeasance or Covenant Defeasance.</w:t>
      </w:r>
    </w:p>
    <w:p>
      <w:pPr>
        <w:spacing w:after="0" w:line="1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Repayment to Issuers</w:t>
      </w:r>
      <w:r>
        <w:rPr>
          <w:rFonts w:ascii="Arial" w:cs="Arial" w:eastAsia="Arial" w:hAnsi="Arial"/>
          <w:sz w:val="16"/>
          <w:szCs w:val="16"/>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Trustee or such paying agent, before being required to make any such repayment, may at the expense of the Issuers cause to be published once, in </w:t>
      </w:r>
      <w:r>
        <w:rPr>
          <w:rFonts w:ascii="Arial" w:cs="Arial" w:eastAsia="Arial" w:hAnsi="Arial"/>
          <w:sz w:val="16"/>
          <w:szCs w:val="16"/>
          <w:i w:val="1"/>
          <w:iCs w:val="1"/>
          <w:color w:val="auto"/>
        </w:rPr>
        <w:t>The New York Times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(U.S. edition), notice that such money remains unclaimed and that, after a date specified therein, which shall not be less than 30 days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notification or publication, any unclaimed balance of such money then remaining shall be repaid to the Issuers.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5" w:name="page26"/>
    <w:bookmarkEnd w:id="25"/>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9.07. </w:t>
      </w:r>
      <w:r>
        <w:rPr>
          <w:rFonts w:ascii="Arial" w:cs="Arial" w:eastAsia="Arial" w:hAnsi="Arial"/>
          <w:sz w:val="17"/>
          <w:szCs w:val="17"/>
          <w:u w:val="single" w:color="auto"/>
          <w:color w:val="auto"/>
        </w:rPr>
        <w:t>Reinstatement</w:t>
      </w:r>
      <w:r>
        <w:rPr>
          <w:rFonts w:ascii="Arial" w:cs="Arial" w:eastAsia="Arial" w:hAnsi="Arial"/>
          <w:sz w:val="17"/>
          <w:szCs w:val="17"/>
          <w:color w:val="auto"/>
        </w:rPr>
        <w:t>. If the Trustee or paying agent is unable to apply any Dollars or U.S. Government Obligations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8.02 or 8.03 hereof, as the case may be, by reason of any order or judgment of any court or governmental authority enjoining, restraining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prohibiting such application, then the Issuers’ obligations under the Indenture and the Notes and the Subsidiary Guarantors’ obligations under the Guarantees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revived and reinstated as though no deposit had occurred pursuant to Section 8.02 or 8.03 hereof until such time as the Trustee or paying agent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permitted to apply all such money in accordance with Section 8.02 or 8.03 hereof, as the case may be;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Issuers make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of principal of, premium on, if any, or interest on any Note following the reinstatement of their obligations, the Issuers shall be subrogated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of the Holders of such Notes to receive such payment from the money held by the Trustee or paying agent.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SUBSIDIARY GUARANTEES</w:t>
      </w:r>
    </w:p>
    <w:p>
      <w:pPr>
        <w:spacing w:after="0" w:line="21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Subsidiary Guarantees</w:t>
      </w:r>
      <w:r>
        <w:rPr>
          <w:rFonts w:ascii="Arial" w:cs="Arial" w:eastAsia="Arial" w:hAnsi="Arial"/>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192" w:lineRule="exact"/>
        <w:rPr>
          <w:sz w:val="20"/>
          <w:szCs w:val="20"/>
          <w:color w:val="auto"/>
        </w:rPr>
      </w:pPr>
    </w:p>
    <w:p>
      <w:pPr>
        <w:ind w:right="20" w:firstLine="464"/>
        <w:spacing w:after="0" w:line="271" w:lineRule="auto"/>
        <w:tabs>
          <w:tab w:leader="none" w:pos="7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6" w:name="page27"/>
    <w:bookmarkEnd w:id="26"/>
    <w:p>
      <w:pPr>
        <w:jc w:val="both"/>
        <w:ind w:left="-40" w:firstLine="464"/>
        <w:spacing w:after="0" w:line="264" w:lineRule="auto"/>
        <w:tabs>
          <w:tab w:leader="none" w:pos="706"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81" w:lineRule="exact"/>
        <w:rPr>
          <w:rFonts w:ascii="Arial" w:cs="Arial" w:eastAsia="Arial" w:hAnsi="Arial"/>
          <w:sz w:val="18"/>
          <w:szCs w:val="18"/>
          <w:color w:val="auto"/>
        </w:rPr>
      </w:pPr>
    </w:p>
    <w:p>
      <w:pPr>
        <w:ind w:left="-40" w:right="80" w:firstLine="464"/>
        <w:spacing w:after="0" w:line="290" w:lineRule="auto"/>
        <w:tabs>
          <w:tab w:leader="none" w:pos="71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66" w:lineRule="exact"/>
        <w:rPr>
          <w:rFonts w:ascii="Arial" w:cs="Arial" w:eastAsia="Arial" w:hAnsi="Arial"/>
          <w:sz w:val="16"/>
          <w:szCs w:val="16"/>
          <w:color w:val="auto"/>
        </w:rPr>
      </w:pPr>
    </w:p>
    <w:p>
      <w:pPr>
        <w:jc w:val="both"/>
        <w:ind w:left="-40" w:right="80" w:firstLine="464"/>
        <w:spacing w:after="0" w:line="264" w:lineRule="auto"/>
        <w:tabs>
          <w:tab w:leader="none" w:pos="7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81" w:lineRule="exact"/>
        <w:rPr>
          <w:rFonts w:ascii="Arial" w:cs="Arial" w:eastAsia="Arial" w:hAnsi="Arial"/>
          <w:sz w:val="18"/>
          <w:szCs w:val="18"/>
          <w:color w:val="auto"/>
        </w:rPr>
      </w:pPr>
    </w:p>
    <w:p>
      <w:pPr>
        <w:ind w:left="-40" w:right="60" w:firstLine="464"/>
        <w:spacing w:after="0" w:line="273" w:lineRule="auto"/>
        <w:tabs>
          <w:tab w:leader="none" w:pos="68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178" w:lineRule="exact"/>
        <w:rPr>
          <w:rFonts w:ascii="Arial" w:cs="Arial" w:eastAsia="Arial" w:hAnsi="Arial"/>
          <w:sz w:val="17"/>
          <w:szCs w:val="17"/>
          <w:color w:val="auto"/>
        </w:rPr>
      </w:pPr>
    </w:p>
    <w:p>
      <w:pPr>
        <w:ind w:left="-40" w:right="120" w:firstLine="464"/>
        <w:spacing w:after="0" w:line="255" w:lineRule="auto"/>
        <w:tabs>
          <w:tab w:leader="none" w:pos="7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80" w:top="274" w:right="279" w:bottom="1440" w:gutter="0" w:footer="0" w:header="0"/>
        </w:sectPr>
      </w:pPr>
    </w:p>
    <w:bookmarkStart w:id="27" w:name="page28"/>
    <w:bookmarkEnd w:id="27"/>
    <w:p>
      <w:pPr>
        <w:ind w:right="160" w:firstLine="464"/>
        <w:spacing w:after="0" w:line="277" w:lineRule="auto"/>
        <w:tabs>
          <w:tab w:leader="none" w:pos="756"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Subsidiary Guarantor also agrees to pay any and all costs and expenses (including reasonable attorneys’ fees) incurred by the Trustee or any Holder in enforcing any rights under this Section 9.01.</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8"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7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7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Modification</w:t>
      </w:r>
      <w:r>
        <w:rPr>
          <w:rFonts w:ascii="Arial" w:cs="Arial" w:eastAsia="Arial" w:hAnsi="Arial"/>
          <w:sz w:val="17"/>
          <w:szCs w:val="17"/>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Execution of Supplemental Indenture for Future Subsidiary Guarantors</w:t>
      </w:r>
      <w:r>
        <w:rPr>
          <w:rFonts w:ascii="Arial" w:cs="Arial" w:eastAsia="Arial" w:hAnsi="Arial"/>
          <w:sz w:val="18"/>
          <w:szCs w:val="18"/>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8" w:name="page29"/>
    <w:bookmarkEnd w:id="28"/>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Release of Guarantee</w:t>
      </w:r>
      <w:r>
        <w:rPr>
          <w:rFonts w:ascii="Arial" w:cs="Arial" w:eastAsia="Arial" w:hAnsi="Arial"/>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81" w:lineRule="exact"/>
        <w:rPr>
          <w:sz w:val="20"/>
          <w:szCs w:val="20"/>
          <w:color w:val="auto"/>
        </w:rPr>
      </w:pPr>
    </w:p>
    <w:p>
      <w:pPr>
        <w:ind w:firstLine="464"/>
        <w:spacing w:after="0" w:line="342" w:lineRule="auto"/>
        <w:tabs>
          <w:tab w:leader="none" w:pos="7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23" w:lineRule="exact"/>
        <w:rPr>
          <w:rFonts w:ascii="Arial" w:cs="Arial" w:eastAsia="Arial" w:hAnsi="Arial"/>
          <w:sz w:val="16"/>
          <w:szCs w:val="16"/>
          <w:color w:val="auto"/>
        </w:rPr>
      </w:pPr>
    </w:p>
    <w:p>
      <w:pPr>
        <w:ind w:left="760" w:hanging="296"/>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any sale or other disposition of all of the Equity Interests of a Subsidiary Guarantor, to any Person that is not an Affiliate of either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Issuers; or</w:t>
      </w:r>
    </w:p>
    <w:p>
      <w:pPr>
        <w:spacing w:after="0" w:line="210" w:lineRule="exact"/>
        <w:rPr>
          <w:rFonts w:ascii="Arial" w:cs="Arial" w:eastAsia="Arial" w:hAnsi="Arial"/>
          <w:sz w:val="17"/>
          <w:szCs w:val="17"/>
          <w:color w:val="auto"/>
        </w:rPr>
      </w:pPr>
    </w:p>
    <w:p>
      <w:pPr>
        <w:ind w:right="120" w:firstLine="464"/>
        <w:spacing w:after="0" w:line="277" w:lineRule="auto"/>
        <w:tabs>
          <w:tab w:leader="none" w:pos="7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Additional Amendments</w:t>
      </w:r>
      <w:r>
        <w:rPr>
          <w:rFonts w:ascii="Arial" w:cs="Arial" w:eastAsia="Arial" w:hAnsi="Arial"/>
          <w:sz w:val="16"/>
          <w:szCs w:val="16"/>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Integral Part</w:t>
      </w:r>
      <w:r>
        <w:rPr>
          <w:rFonts w:ascii="Arial" w:cs="Arial" w:eastAsia="Arial" w:hAnsi="Arial"/>
          <w:sz w:val="18"/>
          <w:szCs w:val="18"/>
          <w:color w:val="auto"/>
        </w:rPr>
        <w:t>. This Supplemental Indenture constitutes an integral part of the Indenture.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Original Indenture, as supplemented and amended by this Supplemental Indenture, is in all respects hereby adopted, ratified and confirmed.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9" w:name="page30"/>
    <w:bookmarkEnd w:id="29"/>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10.05.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AND THE NOTES SHALL BE GOVERNED BY AND CONSTRUED</w:t>
      </w:r>
      <w:r>
        <w:rPr>
          <w:rFonts w:ascii="Arial" w:cs="Arial" w:eastAsia="Arial" w:hAnsi="Arial"/>
          <w:sz w:val="18"/>
          <w:szCs w:val="18"/>
          <w:color w:val="auto"/>
        </w:rPr>
        <w:t xml:space="preserve"> </w:t>
      </w:r>
      <w:r>
        <w:rPr>
          <w:rFonts w:ascii="Arial" w:cs="Arial" w:eastAsia="Arial" w:hAnsi="Arial"/>
          <w:sz w:val="18"/>
          <w:szCs w:val="18"/>
          <w:b w:val="1"/>
          <w:bCs w:val="1"/>
          <w:color w:val="auto"/>
        </w:rPr>
        <w:t>IN ACCORDANCE WITH THE LAWS OF THE STATE OF NEW YORK.</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0" w:right="339" w:bottom="1440" w:gutter="0" w:footer="0" w:header="0"/>
        </w:sectPr>
      </w:pPr>
    </w:p>
    <w:bookmarkStart w:id="30" w:name="page31"/>
    <w:bookmarkEnd w:id="30"/>
    <w:p>
      <w:pPr>
        <w:ind w:left="3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b w:val="1"/>
          <w:bCs w:val="1"/>
          <w:u w:val="single" w:color="auto"/>
          <w:color w:val="auto"/>
        </w:rPr>
        <w:t>ISSUERS</w:t>
      </w:r>
      <w:r>
        <w:rPr>
          <w:rFonts w:ascii="Arial" w:cs="Arial" w:eastAsia="Arial" w:hAnsi="Arial"/>
          <w:sz w:val="18"/>
          <w:szCs w:val="18"/>
          <w:b w:val="1"/>
          <w:bCs w:val="1"/>
          <w:color w:val="auto"/>
        </w:rPr>
        <w:t>:</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PLAINS ALL AMERICAN PIPELINE, L.P.</w:t>
      </w:r>
    </w:p>
    <w:p>
      <w:pPr>
        <w:spacing w:after="0" w:line="243"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140"/>
              <w:spacing w:after="0"/>
              <w:rPr>
                <w:sz w:val="20"/>
                <w:szCs w:val="20"/>
                <w:color w:val="auto"/>
              </w:rPr>
            </w:pPr>
            <w:r>
              <w:rPr>
                <w:rFonts w:ascii="Arial" w:cs="Arial" w:eastAsia="Arial" w:hAnsi="Arial"/>
                <w:sz w:val="18"/>
                <w:szCs w:val="18"/>
                <w:color w:val="auto"/>
              </w:rPr>
              <w:t>PAA GP LLC</w:t>
            </w:r>
          </w:p>
        </w:tc>
      </w:tr>
      <w:tr>
        <w:trPr>
          <w:trHeight w:val="230"/>
        </w:trPr>
        <w:tc>
          <w:tcPr>
            <w:tcW w:w="54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its General Partner</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140"/>
              <w:spacing w:after="0"/>
              <w:rPr>
                <w:sz w:val="20"/>
                <w:szCs w:val="20"/>
                <w:color w:val="auto"/>
              </w:rPr>
            </w:pPr>
            <w:r>
              <w:rPr>
                <w:rFonts w:ascii="Arial" w:cs="Arial" w:eastAsia="Arial" w:hAnsi="Arial"/>
                <w:sz w:val="18"/>
                <w:szCs w:val="18"/>
                <w:color w:val="auto"/>
              </w:rPr>
              <w:t>PLAINS AAP, L.P.</w:t>
            </w:r>
          </w:p>
        </w:tc>
      </w:tr>
      <w:tr>
        <w:trPr>
          <w:trHeight w:val="230"/>
        </w:trPr>
        <w:tc>
          <w:tcPr>
            <w:tcW w:w="54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its Sole Member</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140"/>
              <w:spacing w:after="0"/>
              <w:rPr>
                <w:sz w:val="20"/>
                <w:szCs w:val="20"/>
                <w:color w:val="auto"/>
              </w:rPr>
            </w:pPr>
            <w:r>
              <w:rPr>
                <w:rFonts w:ascii="Arial" w:cs="Arial" w:eastAsia="Arial" w:hAnsi="Arial"/>
                <w:sz w:val="18"/>
                <w:szCs w:val="18"/>
                <w:color w:val="auto"/>
              </w:rPr>
              <w:t>PLAINS ALL AMERICAN GP LLC</w:t>
            </w:r>
          </w:p>
        </w:tc>
      </w:tr>
      <w:tr>
        <w:trPr>
          <w:trHeight w:val="230"/>
        </w:trPr>
        <w:tc>
          <w:tcPr>
            <w:tcW w:w="54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its General Partner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Charles Kingswell-Smith</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140"/>
              <w:spacing w:after="0" w:line="195" w:lineRule="exact"/>
              <w:rPr>
                <w:sz w:val="20"/>
                <w:szCs w:val="20"/>
                <w:color w:val="auto"/>
              </w:rPr>
            </w:pPr>
            <w:r>
              <w:rPr>
                <w:rFonts w:ascii="Arial" w:cs="Arial" w:eastAsia="Arial" w:hAnsi="Arial"/>
                <w:sz w:val="18"/>
                <w:szCs w:val="18"/>
                <w:color w:val="auto"/>
              </w:rPr>
              <w:t>Charles Kingswell-Smith</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4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PAA FINANCE CORP.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Charles Kingswell-Smith</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140"/>
              <w:spacing w:after="0" w:line="195" w:lineRule="exact"/>
              <w:rPr>
                <w:sz w:val="20"/>
                <w:szCs w:val="20"/>
                <w:color w:val="auto"/>
              </w:rPr>
            </w:pPr>
            <w:r>
              <w:rPr>
                <w:rFonts w:ascii="Arial" w:cs="Arial" w:eastAsia="Arial" w:hAnsi="Arial"/>
                <w:sz w:val="18"/>
                <w:szCs w:val="18"/>
                <w:color w:val="auto"/>
              </w:rPr>
              <w:t>Charles Kingswell-Smith</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40"/>
              <w:spacing w:after="0"/>
              <w:rPr>
                <w:sz w:val="20"/>
                <w:szCs w:val="20"/>
                <w:color w:val="auto"/>
              </w:rPr>
            </w:pPr>
            <w:r>
              <w:rPr>
                <w:rFonts w:ascii="Arial" w:cs="Arial" w:eastAsia="Arial" w:hAnsi="Arial"/>
                <w:sz w:val="18"/>
                <w:szCs w:val="18"/>
                <w:color w:val="auto"/>
              </w:rPr>
              <w:t>Vice President and Treasurer</w:t>
            </w:r>
          </w:p>
        </w:tc>
      </w:tr>
    </w:tbl>
    <w:p>
      <w:pPr>
        <w:spacing w:after="0" w:line="200" w:lineRule="exact"/>
        <w:rPr>
          <w:sz w:val="20"/>
          <w:szCs w:val="20"/>
          <w:color w:val="auto"/>
        </w:rPr>
      </w:pP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Signature Page to Twenty-Sixth Supplemental Indenture</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20"/>
          </w:cols>
          <w:pgMar w:left="1440" w:top="274" w:right="239" w:bottom="1440" w:gutter="0" w:footer="0" w:header="0"/>
        </w:sectPr>
      </w:pPr>
    </w:p>
    <w:bookmarkStart w:id="31" w:name="page32"/>
    <w:bookmarkEnd w:id="31"/>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w:t>
      </w:r>
      <w:r>
        <w:rPr>
          <w:rFonts w:ascii="Arial" w:cs="Arial" w:eastAsia="Arial" w:hAnsi="Arial"/>
          <w:sz w:val="18"/>
          <w:szCs w:val="18"/>
          <w:color w:val="auto"/>
        </w:rPr>
        <w:t>:</w:t>
      </w:r>
    </w:p>
    <w:p>
      <w:pPr>
        <w:spacing w:after="0" w:line="1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Shazia Flores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140"/>
              <w:spacing w:after="0" w:line="195" w:lineRule="exact"/>
              <w:rPr>
                <w:sz w:val="20"/>
                <w:szCs w:val="20"/>
                <w:color w:val="auto"/>
              </w:rPr>
            </w:pPr>
            <w:r>
              <w:rPr>
                <w:rFonts w:ascii="Arial" w:cs="Arial" w:eastAsia="Arial" w:hAnsi="Arial"/>
                <w:sz w:val="18"/>
                <w:szCs w:val="18"/>
                <w:color w:val="auto"/>
              </w:rPr>
              <w:t>Shazia Flores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40"/>
              <w:spacing w:after="0"/>
              <w:rPr>
                <w:sz w:val="20"/>
                <w:szCs w:val="20"/>
                <w:color w:val="auto"/>
              </w:rPr>
            </w:pPr>
            <w:r>
              <w:rPr>
                <w:rFonts w:ascii="Arial" w:cs="Arial" w:eastAsia="Arial" w:hAnsi="Arial"/>
                <w:sz w:val="18"/>
                <w:szCs w:val="18"/>
                <w:color w:val="auto"/>
              </w:rPr>
              <w:t>Assistant Vice President</w:t>
            </w:r>
          </w:p>
        </w:tc>
      </w:tr>
    </w:tbl>
    <w:p>
      <w:pPr>
        <w:spacing w:after="0" w:line="200" w:lineRule="exact"/>
        <w:rPr>
          <w:sz w:val="20"/>
          <w:szCs w:val="20"/>
          <w:color w:val="auto"/>
        </w:rPr>
      </w:pP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Signature Page to Twenty-Sixth Supplemental Indenture</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20"/>
          </w:cols>
          <w:pgMar w:left="1440" w:top="27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EXHIBIT A</w:t>
            </w:r>
          </w:p>
        </w:tc>
      </w:tr>
      <w:tr>
        <w:trPr>
          <w:trHeight w:val="453"/>
        </w:trPr>
        <w:tc>
          <w:tcPr>
            <w:tcW w:w="2860" w:type="dxa"/>
            <w:vAlign w:val="bottom"/>
          </w:tcPr>
          <w:p>
            <w:pPr>
              <w:spacing w:after="0"/>
              <w:rPr>
                <w:sz w:val="24"/>
                <w:szCs w:val="24"/>
                <w:color w:val="auto"/>
              </w:rPr>
            </w:pPr>
          </w:p>
        </w:tc>
        <w:tc>
          <w:tcPr>
            <w:tcW w:w="8560" w:type="dxa"/>
            <w:vAlign w:val="bottom"/>
            <w:gridSpan w:val="4"/>
          </w:tcPr>
          <w:p>
            <w:pPr>
              <w:jc w:val="center"/>
              <w:ind w:right="2840"/>
              <w:spacing w:after="0"/>
              <w:rPr>
                <w:sz w:val="20"/>
                <w:szCs w:val="20"/>
                <w:color w:val="auto"/>
              </w:rPr>
            </w:pPr>
            <w:r>
              <w:rPr>
                <w:rFonts w:ascii="Arial" w:cs="Arial" w:eastAsia="Arial" w:hAnsi="Arial"/>
                <w:sz w:val="18"/>
                <w:szCs w:val="18"/>
                <w:color w:val="auto"/>
                <w:w w:val="92"/>
              </w:rPr>
              <w:t>(Form of Face of Note)</w:t>
            </w:r>
          </w:p>
        </w:tc>
      </w:tr>
      <w:tr>
        <w:trPr>
          <w:trHeight w:val="419"/>
        </w:trPr>
        <w:tc>
          <w:tcPr>
            <w:tcW w:w="2860" w:type="dxa"/>
            <w:vAlign w:val="bottom"/>
          </w:tcPr>
          <w:p>
            <w:pPr>
              <w:spacing w:after="0"/>
              <w:rPr>
                <w:sz w:val="20"/>
                <w:szCs w:val="20"/>
                <w:color w:val="auto"/>
              </w:rPr>
            </w:pPr>
            <w:r>
              <w:rPr>
                <w:rFonts w:ascii="Arial" w:cs="Arial" w:eastAsia="Arial" w:hAnsi="Arial"/>
                <w:sz w:val="18"/>
                <w:szCs w:val="18"/>
                <w:color w:val="auto"/>
              </w:rPr>
              <w:t>CUSIP 72650R BF8</w:t>
            </w:r>
          </w:p>
        </w:tc>
        <w:tc>
          <w:tcPr>
            <w:tcW w:w="7660" w:type="dxa"/>
            <w:vAlign w:val="bottom"/>
          </w:tcPr>
          <w:p>
            <w:pPr>
              <w:spacing w:after="0"/>
              <w:rPr>
                <w:sz w:val="24"/>
                <w:szCs w:val="24"/>
                <w:color w:val="auto"/>
              </w:rPr>
            </w:pPr>
          </w:p>
        </w:tc>
        <w:tc>
          <w:tcPr>
            <w:tcW w:w="900" w:type="dxa"/>
            <w:vAlign w:val="bottom"/>
            <w:gridSpan w:val="3"/>
          </w:tcPr>
          <w:p>
            <w:pPr>
              <w:ind w:left="240"/>
              <w:spacing w:after="0"/>
              <w:rPr>
                <w:sz w:val="20"/>
                <w:szCs w:val="20"/>
                <w:color w:val="auto"/>
              </w:rPr>
            </w:pPr>
            <w:r>
              <w:rPr>
                <w:rFonts w:ascii="Arial" w:cs="Arial" w:eastAsia="Arial" w:hAnsi="Arial"/>
                <w:sz w:val="18"/>
                <w:szCs w:val="18"/>
                <w:color w:val="auto"/>
              </w:rPr>
              <w:t>No.</w:t>
            </w:r>
          </w:p>
        </w:tc>
      </w:tr>
      <w:tr>
        <w:trPr>
          <w:trHeight w:val="196"/>
        </w:trPr>
        <w:tc>
          <w:tcPr>
            <w:tcW w:w="2860" w:type="dxa"/>
            <w:vAlign w:val="bottom"/>
          </w:tcPr>
          <w:p>
            <w:pPr>
              <w:spacing w:after="0" w:line="196" w:lineRule="exact"/>
              <w:rPr>
                <w:sz w:val="20"/>
                <w:szCs w:val="20"/>
                <w:color w:val="auto"/>
              </w:rPr>
            </w:pPr>
            <w:r>
              <w:rPr>
                <w:rFonts w:ascii="Arial" w:cs="Arial" w:eastAsia="Arial" w:hAnsi="Arial"/>
                <w:sz w:val="18"/>
                <w:szCs w:val="18"/>
                <w:color w:val="auto"/>
              </w:rPr>
              <w:t>ISIN US72650RBF82</w:t>
            </w:r>
          </w:p>
        </w:tc>
        <w:tc>
          <w:tcPr>
            <w:tcW w:w="8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r>
      <w:tr>
        <w:trPr>
          <w:trHeight w:val="438"/>
        </w:trPr>
        <w:tc>
          <w:tcPr>
            <w:tcW w:w="2860" w:type="dxa"/>
            <w:vAlign w:val="bottom"/>
          </w:tcPr>
          <w:p>
            <w:pPr>
              <w:spacing w:after="0"/>
              <w:rPr>
                <w:sz w:val="24"/>
                <w:szCs w:val="24"/>
                <w:color w:val="auto"/>
              </w:rPr>
            </w:pPr>
          </w:p>
        </w:tc>
        <w:tc>
          <w:tcPr>
            <w:tcW w:w="8560" w:type="dxa"/>
            <w:vAlign w:val="bottom"/>
            <w:gridSpan w:val="4"/>
          </w:tcPr>
          <w:p>
            <w:pPr>
              <w:jc w:val="center"/>
              <w:ind w:right="2860"/>
              <w:spacing w:after="0"/>
              <w:rPr>
                <w:sz w:val="20"/>
                <w:szCs w:val="20"/>
                <w:color w:val="auto"/>
              </w:rPr>
            </w:pPr>
            <w:r>
              <w:rPr>
                <w:rFonts w:ascii="Arial" w:cs="Arial" w:eastAsia="Arial" w:hAnsi="Arial"/>
                <w:sz w:val="18"/>
                <w:szCs w:val="18"/>
                <w:color w:val="auto"/>
                <w:w w:val="97"/>
              </w:rPr>
              <w:t>PLAINS ALL AMERICAN PIPELINE, L.P.</w:t>
            </w:r>
          </w:p>
        </w:tc>
      </w:tr>
      <w:tr>
        <w:trPr>
          <w:trHeight w:val="230"/>
        </w:trPr>
        <w:tc>
          <w:tcPr>
            <w:tcW w:w="2860" w:type="dxa"/>
            <w:vAlign w:val="bottom"/>
          </w:tcPr>
          <w:p>
            <w:pPr>
              <w:spacing w:after="0"/>
              <w:rPr>
                <w:sz w:val="20"/>
                <w:szCs w:val="20"/>
                <w:color w:val="auto"/>
              </w:rPr>
            </w:pPr>
          </w:p>
        </w:tc>
        <w:tc>
          <w:tcPr>
            <w:tcW w:w="8560" w:type="dxa"/>
            <w:vAlign w:val="bottom"/>
            <w:gridSpan w:val="4"/>
          </w:tcPr>
          <w:p>
            <w:pPr>
              <w:jc w:val="center"/>
              <w:ind w:right="2860"/>
              <w:spacing w:after="0"/>
              <w:rPr>
                <w:sz w:val="20"/>
                <w:szCs w:val="20"/>
                <w:color w:val="auto"/>
              </w:rPr>
            </w:pPr>
            <w:r>
              <w:rPr>
                <w:rFonts w:ascii="Arial" w:cs="Arial" w:eastAsia="Arial" w:hAnsi="Arial"/>
                <w:sz w:val="18"/>
                <w:szCs w:val="18"/>
                <w:color w:val="auto"/>
                <w:w w:val="93"/>
              </w:rPr>
              <w:t>PAA FINANCE CORP.</w:t>
            </w:r>
          </w:p>
        </w:tc>
      </w:tr>
      <w:tr>
        <w:trPr>
          <w:trHeight w:val="432"/>
        </w:trPr>
        <w:tc>
          <w:tcPr>
            <w:tcW w:w="2860" w:type="dxa"/>
            <w:vAlign w:val="bottom"/>
          </w:tcPr>
          <w:p>
            <w:pPr>
              <w:spacing w:after="0"/>
              <w:rPr>
                <w:sz w:val="24"/>
                <w:szCs w:val="24"/>
                <w:color w:val="auto"/>
              </w:rPr>
            </w:pPr>
          </w:p>
        </w:tc>
        <w:tc>
          <w:tcPr>
            <w:tcW w:w="8560" w:type="dxa"/>
            <w:vAlign w:val="bottom"/>
            <w:gridSpan w:val="4"/>
          </w:tcPr>
          <w:p>
            <w:pPr>
              <w:jc w:val="center"/>
              <w:ind w:right="2840"/>
              <w:spacing w:after="0"/>
              <w:rPr>
                <w:sz w:val="20"/>
                <w:szCs w:val="20"/>
                <w:color w:val="auto"/>
              </w:rPr>
            </w:pPr>
            <w:r>
              <w:rPr>
                <w:rFonts w:ascii="Arial" w:cs="Arial" w:eastAsia="Arial" w:hAnsi="Arial"/>
                <w:sz w:val="18"/>
                <w:szCs w:val="18"/>
                <w:color w:val="auto"/>
                <w:w w:val="89"/>
              </w:rPr>
              <w:t>3.60% Senior Notes due 2024</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Plains All American Pipeline, L.P., a Delaware limited partnership, and PAA Finance Corp., a Delaware corporation, jointly and severally promise to pay to</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Borders>
              <w:bottom w:val="single" w:sz="8" w:color="auto"/>
            </w:tcBorders>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0"/>
              </w:rPr>
              <w:t>, or registered assigns, the principal sum of</w:t>
            </w:r>
          </w:p>
        </w:tc>
        <w:tc>
          <w:tcPr>
            <w:tcW w:w="540" w:type="dxa"/>
            <w:vAlign w:val="bottom"/>
            <w:tcBorders>
              <w:bottom w:val="single" w:sz="8" w:color="auto"/>
            </w:tcBorders>
          </w:tcPr>
          <w:p>
            <w:pPr>
              <w:spacing w:after="0"/>
              <w:rPr>
                <w:sz w:val="17"/>
                <w:szCs w:val="17"/>
                <w:color w:val="auto"/>
              </w:rPr>
            </w:pPr>
          </w:p>
        </w:tc>
        <w:tc>
          <w:tcPr>
            <w:tcW w:w="6540" w:type="dxa"/>
            <w:vAlign w:val="bottom"/>
            <w:gridSpan w:val="2"/>
          </w:tcPr>
          <w:p>
            <w:pPr>
              <w:ind w:left="60"/>
              <w:spacing w:after="0"/>
              <w:rPr>
                <w:sz w:val="20"/>
                <w:szCs w:val="20"/>
                <w:color w:val="auto"/>
              </w:rPr>
            </w:pPr>
            <w:r>
              <w:rPr>
                <w:rFonts w:ascii="Arial" w:cs="Arial" w:eastAsia="Arial" w:hAnsi="Arial"/>
                <w:sz w:val="18"/>
                <w:szCs w:val="18"/>
                <w:color w:val="auto"/>
                <w:w w:val="91"/>
              </w:rPr>
              <w:t>Dollars [or such greater or lesser amount as may be endorsed on the Schedule attached</w:t>
            </w:r>
          </w:p>
        </w:tc>
      </w:tr>
      <w:tr>
        <w:trPr>
          <w:trHeight w:val="237"/>
        </w:trPr>
        <w:tc>
          <w:tcPr>
            <w:tcW w:w="4040" w:type="dxa"/>
            <w:vAlign w:val="bottom"/>
            <w:gridSpan w:val="2"/>
          </w:tcPr>
          <w:p>
            <w:pPr>
              <w:spacing w:after="0"/>
              <w:rPr>
                <w:sz w:val="20"/>
                <w:szCs w:val="20"/>
                <w:color w:val="auto"/>
              </w:rPr>
            </w:pPr>
            <w:r>
              <w:rPr>
                <w:rFonts w:ascii="Arial" w:cs="Arial" w:eastAsia="Arial" w:hAnsi="Arial"/>
                <w:sz w:val="18"/>
                <w:szCs w:val="18"/>
                <w:color w:val="auto"/>
              </w:rPr>
              <w:t>hereto]</w:t>
            </w:r>
            <w:r>
              <w:rPr>
                <w:rFonts w:ascii="Arial" w:cs="Arial" w:eastAsia="Arial" w:hAnsi="Arial"/>
                <w:sz w:val="15"/>
                <w:szCs w:val="15"/>
                <w:color w:val="auto"/>
              </w:rPr>
              <w:t>1</w:t>
            </w:r>
            <w:r>
              <w:rPr>
                <w:rFonts w:ascii="Arial" w:cs="Arial" w:eastAsia="Arial" w:hAnsi="Arial"/>
                <w:sz w:val="18"/>
                <w:szCs w:val="18"/>
                <w:color w:val="auto"/>
              </w:rPr>
              <w:t xml:space="preserve"> on November 1, 2024.</w:t>
            </w:r>
          </w:p>
        </w:tc>
        <w:tc>
          <w:tcPr>
            <w:tcW w:w="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rPr>
              <w:t>Interest Payment Dates: May 1 and November 1</w:t>
            </w:r>
          </w:p>
        </w:tc>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Record Dates: April 15 and October 15</w:t>
            </w:r>
          </w:p>
        </w:tc>
        <w:tc>
          <w:tcPr>
            <w:tcW w:w="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45"/>
        </w:trPr>
        <w:tc>
          <w:tcPr>
            <w:tcW w:w="9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40" w:type="dxa"/>
            <w:vAlign w:val="bottom"/>
            <w:gridSpan w:val="2"/>
          </w:tcPr>
          <w:p>
            <w:pPr>
              <w:ind w:left="2280"/>
              <w:spacing w:after="0"/>
              <w:rPr>
                <w:sz w:val="20"/>
                <w:szCs w:val="20"/>
                <w:color w:val="auto"/>
              </w:rPr>
            </w:pPr>
            <w:r>
              <w:rPr>
                <w:rFonts w:ascii="Arial" w:cs="Arial" w:eastAsia="Arial" w:hAnsi="Arial"/>
                <w:sz w:val="18"/>
                <w:szCs w:val="18"/>
                <w:color w:val="auto"/>
              </w:rPr>
              <w:t>PLAINS ALL AMERICAN PIPELINE, L.P.</w:t>
            </w:r>
          </w:p>
        </w:tc>
      </w:tr>
      <w:tr>
        <w:trPr>
          <w:trHeight w:val="216"/>
        </w:trPr>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ind w:left="2280"/>
              <w:spacing w:after="0"/>
              <w:rPr>
                <w:sz w:val="20"/>
                <w:szCs w:val="20"/>
                <w:color w:val="auto"/>
              </w:rPr>
            </w:pPr>
            <w:r>
              <w:rPr>
                <w:rFonts w:ascii="Arial" w:cs="Arial" w:eastAsia="Arial" w:hAnsi="Arial"/>
                <w:sz w:val="18"/>
                <w:szCs w:val="18"/>
                <w:color w:val="auto"/>
              </w:rPr>
              <w:t>By:</w:t>
            </w:r>
          </w:p>
        </w:tc>
        <w:tc>
          <w:tcPr>
            <w:tcW w:w="3800" w:type="dxa"/>
            <w:vAlign w:val="bottom"/>
          </w:tcPr>
          <w:p>
            <w:pPr>
              <w:ind w:left="220"/>
              <w:spacing w:after="0"/>
              <w:rPr>
                <w:sz w:val="20"/>
                <w:szCs w:val="20"/>
                <w:color w:val="auto"/>
              </w:rPr>
            </w:pPr>
            <w:r>
              <w:rPr>
                <w:rFonts w:ascii="Arial" w:cs="Arial" w:eastAsia="Arial" w:hAnsi="Arial"/>
                <w:sz w:val="18"/>
                <w:szCs w:val="18"/>
                <w:color w:val="auto"/>
              </w:rPr>
              <w:t>PAA GP LLC, its General Partner</w:t>
            </w:r>
          </w:p>
        </w:tc>
      </w:tr>
      <w:tr>
        <w:trPr>
          <w:trHeight w:val="216"/>
        </w:trPr>
        <w:tc>
          <w:tcPr>
            <w:tcW w:w="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ind w:left="2280"/>
              <w:spacing w:after="0"/>
              <w:rPr>
                <w:sz w:val="20"/>
                <w:szCs w:val="20"/>
                <w:color w:val="auto"/>
              </w:rPr>
            </w:pPr>
            <w:r>
              <w:rPr>
                <w:rFonts w:ascii="Arial" w:cs="Arial" w:eastAsia="Arial" w:hAnsi="Arial"/>
                <w:sz w:val="18"/>
                <w:szCs w:val="18"/>
                <w:color w:val="auto"/>
              </w:rPr>
              <w:t>By:</w:t>
            </w:r>
          </w:p>
        </w:tc>
        <w:tc>
          <w:tcPr>
            <w:tcW w:w="3800" w:type="dxa"/>
            <w:vAlign w:val="bottom"/>
          </w:tcPr>
          <w:p>
            <w:pPr>
              <w:ind w:left="220"/>
              <w:spacing w:after="0"/>
              <w:rPr>
                <w:sz w:val="20"/>
                <w:szCs w:val="20"/>
                <w:color w:val="auto"/>
              </w:rPr>
            </w:pPr>
            <w:r>
              <w:rPr>
                <w:rFonts w:ascii="Arial" w:cs="Arial" w:eastAsia="Arial" w:hAnsi="Arial"/>
                <w:sz w:val="18"/>
                <w:szCs w:val="18"/>
                <w:color w:val="auto"/>
              </w:rPr>
              <w:t>Plains AAP, L.P., its Sole Member</w:t>
            </w:r>
          </w:p>
        </w:tc>
      </w:tr>
      <w:tr>
        <w:trPr>
          <w:trHeight w:val="230"/>
        </w:trPr>
        <w:tc>
          <w:tcPr>
            <w:tcW w:w="9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40" w:type="dxa"/>
            <w:vAlign w:val="bottom"/>
          </w:tcPr>
          <w:p>
            <w:pPr>
              <w:ind w:left="2280"/>
              <w:spacing w:after="0"/>
              <w:rPr>
                <w:sz w:val="20"/>
                <w:szCs w:val="20"/>
                <w:color w:val="auto"/>
              </w:rPr>
            </w:pPr>
            <w:r>
              <w:rPr>
                <w:rFonts w:ascii="Arial" w:cs="Arial" w:eastAsia="Arial" w:hAnsi="Arial"/>
                <w:sz w:val="18"/>
                <w:szCs w:val="18"/>
                <w:color w:val="auto"/>
              </w:rPr>
              <w:t>By:</w:t>
            </w:r>
          </w:p>
        </w:tc>
        <w:tc>
          <w:tcPr>
            <w:tcW w:w="3800" w:type="dxa"/>
            <w:vAlign w:val="bottom"/>
          </w:tcPr>
          <w:p>
            <w:pPr>
              <w:ind w:left="220"/>
              <w:spacing w:after="0"/>
              <w:rPr>
                <w:sz w:val="20"/>
                <w:szCs w:val="20"/>
                <w:color w:val="auto"/>
              </w:rPr>
            </w:pPr>
            <w:r>
              <w:rPr>
                <w:rFonts w:ascii="Arial" w:cs="Arial" w:eastAsia="Arial" w:hAnsi="Arial"/>
                <w:sz w:val="18"/>
                <w:szCs w:val="18"/>
                <w:color w:val="auto"/>
                <w:w w:val="92"/>
              </w:rPr>
              <w:t>Plains All American GP LLC, its General Partner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AUTHENTICATION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Debt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5215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57"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3.60% Senior Notes due 2024</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Arial" w:cs="Arial" w:eastAsia="Arial" w:hAnsi="Arial"/>
          <w:sz w:val="15"/>
          <w:szCs w:val="15"/>
          <w:color w:val="auto"/>
        </w:rPr>
        <w:t>2</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ind w:right="340" w:firstLine="464"/>
        <w:spacing w:after="0" w:line="291" w:lineRule="auto"/>
        <w:tabs>
          <w:tab w:leader="none" w:pos="68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w:t>
      </w:r>
    </w:p>
    <w:p>
      <w:pPr>
        <w:ind w:right="100"/>
        <w:spacing w:after="0" w:line="288" w:lineRule="auto"/>
        <w:rPr>
          <w:rFonts w:ascii="Arial" w:cs="Arial" w:eastAsia="Arial" w:hAnsi="Arial"/>
          <w:sz w:val="16"/>
          <w:szCs w:val="16"/>
          <w:color w:val="auto"/>
        </w:rPr>
      </w:pPr>
      <w:r>
        <w:rPr>
          <w:rFonts w:ascii="Arial" w:cs="Arial" w:eastAsia="Arial" w:hAnsi="Arial"/>
          <w:sz w:val="16"/>
          <w:szCs w:val="16"/>
          <w:color w:val="auto"/>
        </w:rPr>
        <w:t>3.60% per annum from September 9, 2014 until maturity. The Issuers shall pay interest semi-annually on May 1 and November 1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May 1, 2015.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68" w:lineRule="exact"/>
        <w:rPr>
          <w:rFonts w:ascii="Arial" w:cs="Arial" w:eastAsia="Arial" w:hAnsi="Arial"/>
          <w:sz w:val="16"/>
          <w:szCs w:val="16"/>
          <w:color w:val="auto"/>
        </w:rPr>
      </w:pPr>
    </w:p>
    <w:p>
      <w:pPr>
        <w:ind w:firstLine="464"/>
        <w:spacing w:after="0" w:line="257" w:lineRule="auto"/>
        <w:tabs>
          <w:tab w:leader="none" w:pos="6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Issuers shall pay interest on the Notes (except defaulted interest) to the Persons who are registered Holders of Notes at the close of business on the April 15 or October 15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34" w:name="page35"/>
    <w:bookmarkEnd w:id="3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193" w:lineRule="exact"/>
        <w:rPr>
          <w:sz w:val="20"/>
          <w:szCs w:val="20"/>
          <w:color w:val="auto"/>
        </w:rPr>
      </w:pPr>
    </w:p>
    <w:p>
      <w:pPr>
        <w:ind w:right="140" w:firstLine="464"/>
        <w:spacing w:after="0" w:line="342" w:lineRule="auto"/>
        <w:tabs>
          <w:tab w:leader="none" w:pos="68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Initially, U.S. Bank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23" w:lineRule="exact"/>
        <w:rPr>
          <w:rFonts w:ascii="Arial" w:cs="Arial" w:eastAsia="Arial" w:hAnsi="Arial"/>
          <w:sz w:val="16"/>
          <w:szCs w:val="16"/>
          <w:color w:val="auto"/>
        </w:rPr>
      </w:pPr>
    </w:p>
    <w:p>
      <w:pPr>
        <w:ind w:firstLine="464"/>
        <w:spacing w:after="0" w:line="286" w:lineRule="auto"/>
        <w:tabs>
          <w:tab w:leader="none" w:pos="68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Issuers issued the Notes under an Indenture dated as of September 25, 2002 (the “Original Indenture”), as supplemented by the Twenty-Sixth Supplemental Indenture dated as of September 9, 2014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$750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74" w:lineRule="exact"/>
        <w:rPr>
          <w:rFonts w:ascii="Arial" w:cs="Arial" w:eastAsia="Arial" w:hAnsi="Arial"/>
          <w:sz w:val="16"/>
          <w:szCs w:val="16"/>
          <w:color w:val="auto"/>
        </w:rPr>
      </w:pPr>
    </w:p>
    <w:p>
      <w:pPr>
        <w:ind w:left="680" w:hanging="216"/>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left="740" w:hanging="276"/>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their option at any time prior to maturity, the Issuers may choose to redeem all or any portion of the Notes at once or from time to time.</w:t>
      </w:r>
    </w:p>
    <w:p>
      <w:pPr>
        <w:spacing w:after="0" w:line="236" w:lineRule="exact"/>
        <w:rPr>
          <w:rFonts w:ascii="Arial" w:cs="Arial" w:eastAsia="Arial" w:hAnsi="Arial"/>
          <w:sz w:val="17"/>
          <w:szCs w:val="17"/>
          <w:color w:val="auto"/>
        </w:rPr>
      </w:pPr>
    </w:p>
    <w:p>
      <w:pPr>
        <w:ind w:right="60" w:firstLine="464"/>
        <w:spacing w:after="0" w:line="264" w:lineRule="auto"/>
        <w:tabs>
          <w:tab w:leader="none" w:pos="7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redeem the Notes before August 1, 2024,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35" w:name="page36"/>
    <w:bookmarkEnd w:id="3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redeemed (not including any portion of those payments of interest accrued as of the date of redemption) discounted to the date of redemption on a semi-annual basis (assuming a 360-day year consisting of twelve 30-day months) at the Adjusted Treasury Rate (as defined below) plus 20 basis points, plus, in either case, accrued and unpaid interest to the date of redemption (subject to the right of Holders on the relevant record date to receive interest due on the relevant interest payment date).</w:t>
      </w:r>
    </w:p>
    <w:p>
      <w:pPr>
        <w:spacing w:after="0" w:line="187" w:lineRule="exact"/>
        <w:rPr>
          <w:sz w:val="20"/>
          <w:szCs w:val="20"/>
          <w:color w:val="auto"/>
        </w:rPr>
      </w:pPr>
    </w:p>
    <w:p>
      <w:pPr>
        <w:jc w:val="both"/>
        <w:ind w:right="40" w:firstLine="464"/>
        <w:spacing w:after="0" w:line="264" w:lineRule="auto"/>
        <w:tabs>
          <w:tab w:leader="none" w:pos="7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redeem the Notes on or after August 1, 2024,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any redemption price, the following definitions shall apply:</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a Primary Treasury Dealer (as defined below) appointed by the Issuers.</w:t>
      </w:r>
    </w:p>
    <w:p>
      <w:pPr>
        <w:spacing w:after="0" w:line="225"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“Reference Treasury Dealer” means J.P. Morgan Securities LLC, Barclays Capital Inc., BNP Paribas Securities Corp. and Merrill Lynch, Pierce, Fenner &amp; Smith Incorporated, or their respective successors; provided, however, that if any of the foregoing shall cease to be a primary U.S. Government securities dealer in the United States (a “Primary Treasury Dealer”), the Issuers shall substitute another Primary Treasury Dealer.</w:t>
      </w:r>
    </w:p>
    <w:p>
      <w:pPr>
        <w:spacing w:after="0" w:line="14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00"/>
          </w:cols>
          <w:pgMar w:left="240" w:top="274" w:right="359" w:bottom="1440" w:gutter="0" w:footer="0" w:header="0"/>
        </w:sectPr>
      </w:pPr>
    </w:p>
    <w:bookmarkStart w:id="36" w:name="page37"/>
    <w:bookmarkEnd w:id="36"/>
    <w:p>
      <w:pPr>
        <w:ind w:left="-20" w:right="120" w:firstLine="464"/>
        <w:spacing w:after="0" w:line="259" w:lineRule="auto"/>
        <w:tabs>
          <w:tab w:leader="none" w:pos="66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Redemption</w:t>
      </w:r>
      <w:r>
        <w:rPr>
          <w:rFonts w:ascii="Arial" w:cs="Arial" w:eastAsia="Arial" w:hAnsi="Arial"/>
          <w:sz w:val="18"/>
          <w:szCs w:val="18"/>
          <w:color w:val="auto"/>
        </w:rPr>
        <w:t>.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w:t>
      </w:r>
    </w:p>
    <w:p>
      <w:pPr>
        <w:spacing w:after="0" w:line="186" w:lineRule="exact"/>
        <w:rPr>
          <w:rFonts w:ascii="Arial" w:cs="Arial" w:eastAsia="Arial" w:hAnsi="Arial"/>
          <w:sz w:val="18"/>
          <w:szCs w:val="18"/>
          <w:color w:val="auto"/>
        </w:rPr>
      </w:pPr>
    </w:p>
    <w:p>
      <w:pPr>
        <w:ind w:left="-20" w:right="20" w:firstLine="464"/>
        <w:spacing w:after="0" w:line="272" w:lineRule="auto"/>
        <w:tabs>
          <w:tab w:leader="none" w:pos="66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77" w:lineRule="exact"/>
        <w:rPr>
          <w:rFonts w:ascii="Arial" w:cs="Arial" w:eastAsia="Arial" w:hAnsi="Arial"/>
          <w:sz w:val="17"/>
          <w:szCs w:val="17"/>
          <w:color w:val="auto"/>
        </w:rPr>
      </w:pPr>
    </w:p>
    <w:p>
      <w:pPr>
        <w:ind w:left="660" w:hanging="21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shall be treated as its owner for all purposes.</w:t>
      </w:r>
    </w:p>
    <w:p>
      <w:pPr>
        <w:spacing w:after="0" w:line="225" w:lineRule="exact"/>
        <w:rPr>
          <w:rFonts w:ascii="Arial" w:cs="Arial" w:eastAsia="Arial" w:hAnsi="Arial"/>
          <w:sz w:val="18"/>
          <w:szCs w:val="18"/>
          <w:color w:val="auto"/>
        </w:rPr>
      </w:pPr>
    </w:p>
    <w:p>
      <w:pPr>
        <w:ind w:left="-20" w:firstLine="464"/>
        <w:spacing w:after="0" w:line="269" w:lineRule="auto"/>
        <w:tabs>
          <w:tab w:leader="none" w:pos="66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Amendment, Supplement and Waiver</w:t>
      </w:r>
      <w:r>
        <w:rPr>
          <w:rFonts w:ascii="Arial" w:cs="Arial" w:eastAsia="Arial" w:hAnsi="Arial"/>
          <w:sz w:val="17"/>
          <w:szCs w:val="17"/>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w:t>
      </w:r>
    </w:p>
    <w:p>
      <w:pPr>
        <w:spacing w:after="0" w:line="182" w:lineRule="exact"/>
        <w:rPr>
          <w:rFonts w:ascii="Arial" w:cs="Arial" w:eastAsia="Arial" w:hAnsi="Arial"/>
          <w:sz w:val="17"/>
          <w:szCs w:val="17"/>
          <w:color w:val="auto"/>
        </w:rPr>
      </w:pPr>
    </w:p>
    <w:p>
      <w:pPr>
        <w:ind w:left="-20" w:firstLine="464"/>
        <w:spacing w:after="0" w:line="279" w:lineRule="auto"/>
        <w:tabs>
          <w:tab w:leader="none" w:pos="75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 need not be given, and an Event of Default shall occur, 90 days after any breach of the provisions of Section 6.01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60" w:top="274" w:right="259" w:bottom="1440" w:gutter="0" w:footer="0" w:header="0"/>
        </w:sectPr>
      </w:pPr>
    </w:p>
    <w:bookmarkStart w:id="37" w:name="page38"/>
    <w:bookmarkEnd w:id="3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80" w:lineRule="exact"/>
        <w:rPr>
          <w:sz w:val="20"/>
          <w:szCs w:val="20"/>
          <w:color w:val="auto"/>
        </w:rPr>
      </w:pPr>
    </w:p>
    <w:p>
      <w:pPr>
        <w:ind w:right="180" w:firstLine="464"/>
        <w:spacing w:after="0" w:line="277" w:lineRule="auto"/>
        <w:tabs>
          <w:tab w:leader="none" w:pos="76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Trustee Dealings with Issuers</w:t>
      </w:r>
      <w:r>
        <w:rPr>
          <w:rFonts w:ascii="Arial" w:cs="Arial" w:eastAsia="Arial" w:hAnsi="Arial"/>
          <w:sz w:val="18"/>
          <w:szCs w:val="18"/>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70" w:lineRule="exact"/>
        <w:rPr>
          <w:rFonts w:ascii="Arial" w:cs="Arial" w:eastAsia="Arial" w:hAnsi="Arial"/>
          <w:sz w:val="18"/>
          <w:szCs w:val="18"/>
          <w:color w:val="auto"/>
        </w:rPr>
      </w:pPr>
    </w:p>
    <w:p>
      <w:pPr>
        <w:ind w:right="280" w:firstLine="464"/>
        <w:spacing w:after="0" w:line="277" w:lineRule="auto"/>
        <w:tabs>
          <w:tab w:leader="none" w:pos="77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The General Partner and its directors, officers, employees and members (in their capacities as such) shall not have any liability for any obligations of the Issuers under the Notes. In addition, the Managing General Partner and its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38" w:name="page39"/>
    <w:bookmarkEnd w:id="38"/>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47" w:lineRule="exact"/>
        <w:rPr>
          <w:sz w:val="20"/>
          <w:szCs w:val="20"/>
          <w:color w:val="auto"/>
        </w:rPr>
      </w:pPr>
    </w:p>
    <w:p>
      <w:pPr>
        <w:ind w:left="780" w:hanging="31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 This Note shall not be valid until authenticated by the manual signature of the Trustee or an authenticating agent.</w:t>
      </w:r>
    </w:p>
    <w:p>
      <w:pPr>
        <w:spacing w:after="0" w:line="225" w:lineRule="exact"/>
        <w:rPr>
          <w:rFonts w:ascii="Arial" w:cs="Arial" w:eastAsia="Arial" w:hAnsi="Arial"/>
          <w:sz w:val="18"/>
          <w:szCs w:val="18"/>
          <w:color w:val="auto"/>
        </w:rPr>
      </w:pPr>
    </w:p>
    <w:p>
      <w:pPr>
        <w:ind w:right="260" w:firstLine="464"/>
        <w:spacing w:after="0" w:line="264" w:lineRule="auto"/>
        <w:tabs>
          <w:tab w:leader="none" w:pos="77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firstLine="464"/>
        <w:spacing w:after="0" w:line="279" w:lineRule="auto"/>
        <w:tabs>
          <w:tab w:leader="none" w:pos="77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CUSIP and ISIN Numbers</w:t>
      </w:r>
      <w:r>
        <w:rPr>
          <w:rFonts w:ascii="Arial" w:cs="Arial" w:eastAsia="Arial" w:hAnsi="Arial"/>
          <w:sz w:val="17"/>
          <w:szCs w:val="17"/>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shall furnish to any Holder upon written request and without charge a copy of the Indenture. Requests may be made to:</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Investor Relations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40"/>
          </w:cols>
          <w:pgMar w:left="240" w:top="274" w:right="319" w:bottom="1440" w:gutter="0" w:footer="0" w:header="0"/>
        </w:sectPr>
      </w:pPr>
    </w:p>
    <w:bookmarkStart w:id="39" w:name="page40"/>
    <w:bookmarkEnd w:id="39"/>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gridSpan w:val="6"/>
          </w:tcPr>
          <w:p>
            <w:pPr>
              <w:spacing w:after="0"/>
              <w:rPr>
                <w:sz w:val="20"/>
                <w:szCs w:val="20"/>
                <w:color w:val="auto"/>
              </w:rPr>
            </w:pPr>
            <w:r>
              <w:rPr>
                <w:rFonts w:ascii="Arial" w:cs="Arial" w:eastAsia="Arial" w:hAnsi="Arial"/>
                <w:sz w:val="18"/>
                <w:szCs w:val="18"/>
                <w:color w:val="auto"/>
              </w:rPr>
              <w:t>(Print or type assignee’s name, address and zip code)</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92"/>
        </w:trPr>
        <w:tc>
          <w:tcPr>
            <w:tcW w:w="1760" w:type="dxa"/>
            <w:vAlign w:val="bottom"/>
            <w:gridSpan w:val="4"/>
          </w:tcPr>
          <w:p>
            <w:pPr>
              <w:spacing w:after="0"/>
              <w:rPr>
                <w:sz w:val="20"/>
                <w:szCs w:val="20"/>
                <w:color w:val="auto"/>
              </w:rPr>
            </w:pPr>
            <w:r>
              <w:rPr>
                <w:rFonts w:ascii="Arial" w:cs="Arial" w:eastAsia="Arial" w:hAnsi="Arial"/>
                <w:sz w:val="18"/>
                <w:szCs w:val="18"/>
                <w:color w:val="auto"/>
                <w:w w:val="93"/>
              </w:rPr>
              <w:t>and irrevocably appoint</w:t>
            </w:r>
          </w:p>
        </w:tc>
        <w:tc>
          <w:tcPr>
            <w:tcW w:w="4540" w:type="dxa"/>
            <w:vAlign w:val="bottom"/>
            <w:tcBorders>
              <w:bottom w:val="single" w:sz="8" w:color="auto"/>
            </w:tcBorders>
            <w:gridSpan w:val="2"/>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40" w:type="dxa"/>
            <w:vAlign w:val="bottom"/>
          </w:tcPr>
          <w:p>
            <w:pPr>
              <w:ind w:left="40"/>
              <w:spacing w:after="0"/>
              <w:rPr>
                <w:sz w:val="20"/>
                <w:szCs w:val="20"/>
                <w:color w:val="auto"/>
              </w:rPr>
            </w:pPr>
            <w:r>
              <w:rPr>
                <w:rFonts w:ascii="Arial" w:cs="Arial" w:eastAsia="Arial" w:hAnsi="Arial"/>
                <w:sz w:val="18"/>
                <w:szCs w:val="18"/>
                <w:color w:val="auto"/>
                <w:w w:val="94"/>
              </w:rPr>
              <w:t>agent to transfer this Note on the books</w:t>
            </w:r>
          </w:p>
        </w:tc>
      </w:tr>
      <w:tr>
        <w:trPr>
          <w:trHeight w:val="237"/>
        </w:trPr>
        <w:tc>
          <w:tcPr>
            <w:tcW w:w="6300" w:type="dxa"/>
            <w:vAlign w:val="bottom"/>
            <w:gridSpan w:val="6"/>
          </w:tcPr>
          <w:p>
            <w:pPr>
              <w:spacing w:after="0"/>
              <w:rPr>
                <w:sz w:val="20"/>
                <w:szCs w:val="20"/>
                <w:color w:val="auto"/>
              </w:rPr>
            </w:pPr>
            <w:r>
              <w:rPr>
                <w:rFonts w:ascii="Arial" w:cs="Arial" w:eastAsia="Arial" w:hAnsi="Arial"/>
                <w:sz w:val="18"/>
                <w:szCs w:val="18"/>
                <w:color w:val="auto"/>
              </w:rPr>
              <w:t>of the Issuers. The agent may substitute another to act for him.</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78"/>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385"/>
        </w:trPr>
        <w:tc>
          <w:tcPr>
            <w:tcW w:w="6300" w:type="dxa"/>
            <w:vAlign w:val="bottom"/>
            <w:gridSpan w:val="6"/>
          </w:tcPr>
          <w:p>
            <w:pPr>
              <w:spacing w:after="0"/>
              <w:rPr>
                <w:sz w:val="20"/>
                <w:szCs w:val="20"/>
                <w:color w:val="auto"/>
              </w:rPr>
            </w:pPr>
            <w:r>
              <w:rPr>
                <w:rFonts w:ascii="Arial" w:cs="Arial" w:eastAsia="Arial" w:hAnsi="Arial"/>
                <w:sz w:val="18"/>
                <w:szCs w:val="18"/>
                <w:color w:val="auto"/>
              </w:rPr>
              <w:t>Date:</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96"/>
        </w:trPr>
        <w:tc>
          <w:tcPr>
            <w:tcW w:w="4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20" w:type="dxa"/>
            <w:vAlign w:val="bottom"/>
            <w:gridSpan w:val="3"/>
          </w:tcPr>
          <w:p>
            <w:pPr>
              <w:ind w:left="440"/>
              <w:spacing w:after="0"/>
              <w:rPr>
                <w:sz w:val="20"/>
                <w:szCs w:val="20"/>
                <w:color w:val="auto"/>
              </w:rPr>
            </w:pPr>
            <w:r>
              <w:rPr>
                <w:rFonts w:ascii="Arial" w:cs="Arial" w:eastAsia="Arial" w:hAnsi="Arial"/>
                <w:sz w:val="18"/>
                <w:szCs w:val="18"/>
                <w:color w:val="auto"/>
              </w:rPr>
              <w:t>Your Signature:</w:t>
            </w:r>
          </w:p>
        </w:tc>
      </w:tr>
      <w:tr>
        <w:trPr>
          <w:trHeight w:val="176"/>
        </w:trPr>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5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w w:val="92"/>
              </w:rPr>
              <w:t>(Sign exactly as your name appears on the face of this Note)</w:t>
            </w:r>
          </w:p>
        </w:tc>
      </w:tr>
      <w:tr>
        <w:trPr>
          <w:trHeight w:val="763"/>
        </w:trPr>
        <w:tc>
          <w:tcPr>
            <w:tcW w:w="6300" w:type="dxa"/>
            <w:vAlign w:val="bottom"/>
            <w:gridSpan w:val="6"/>
          </w:tcPr>
          <w:p>
            <w:pPr>
              <w:spacing w:after="0"/>
              <w:rPr>
                <w:sz w:val="20"/>
                <w:szCs w:val="20"/>
                <w:color w:val="auto"/>
              </w:rPr>
            </w:pPr>
            <w:r>
              <w:rPr>
                <w:rFonts w:ascii="Arial" w:cs="Arial" w:eastAsia="Arial" w:hAnsi="Arial"/>
                <w:sz w:val="18"/>
                <w:szCs w:val="18"/>
                <w:color w:val="auto"/>
              </w:rPr>
              <w:t>Signature Guarantee:</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23"/>
        </w:trPr>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40" w:type="dxa"/>
            <w:vAlign w:val="bottom"/>
            <w:tcBorders>
              <w:top w:val="single" w:sz="8" w:color="auto"/>
            </w:tcBorders>
            <w:gridSpan w:val="3"/>
          </w:tcPr>
          <w:p>
            <w:pPr>
              <w:ind w:left="40"/>
              <w:spacing w:after="0" w:line="123" w:lineRule="exact"/>
              <w:rPr>
                <w:sz w:val="20"/>
                <w:szCs w:val="20"/>
                <w:color w:val="auto"/>
              </w:rPr>
            </w:pPr>
            <w:r>
              <w:rPr>
                <w:rFonts w:ascii="Arial" w:cs="Arial" w:eastAsia="Arial" w:hAnsi="Arial"/>
                <w:sz w:val="14"/>
                <w:szCs w:val="14"/>
                <w:color w:val="auto"/>
                <w:w w:val="92"/>
              </w:rPr>
              <w:t>(Signature must be guaranteed by a financial institution that is a member</w:t>
            </w:r>
          </w:p>
        </w:tc>
        <w:tc>
          <w:tcPr>
            <w:tcW w:w="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40" w:type="dxa"/>
            <w:vAlign w:val="bottom"/>
          </w:tcPr>
          <w:p>
            <w:pPr>
              <w:spacing w:after="0"/>
              <w:rPr>
                <w:sz w:val="10"/>
                <w:szCs w:val="10"/>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of the Securities Transfer Agent Medallion Program (“STAMP”), the</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Stock Exchange Medallion Program (“SEMP”), the New York Stock</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Exchange, Inc. Medallion Signature Program (“MSP”) or such other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signature guarantee program as may be determined by the Registrar in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7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addition to, or in substitution for, STAMP, SEMP or MSP, all in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tcPr>
          <w:p>
            <w:pPr>
              <w:spacing w:after="0"/>
              <w:rPr>
                <w:sz w:val="12"/>
                <w:szCs w:val="12"/>
                <w:color w:val="auto"/>
              </w:rPr>
            </w:pPr>
          </w:p>
        </w:tc>
      </w:tr>
      <w:tr>
        <w:trPr>
          <w:trHeight w:val="182"/>
        </w:trPr>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760" w:type="dxa"/>
            <w:vAlign w:val="bottom"/>
            <w:gridSpan w:val="4"/>
          </w:tcPr>
          <w:p>
            <w:pPr>
              <w:ind w:left="40"/>
              <w:spacing w:after="0"/>
              <w:rPr>
                <w:sz w:val="20"/>
                <w:szCs w:val="20"/>
                <w:color w:val="auto"/>
              </w:rPr>
            </w:pPr>
            <w:r>
              <w:rPr>
                <w:rFonts w:ascii="Arial" w:cs="Arial" w:eastAsia="Arial" w:hAnsi="Arial"/>
                <w:sz w:val="14"/>
                <w:szCs w:val="14"/>
                <w:color w:val="auto"/>
              </w:rPr>
              <w:t>accordance with the Securities Exchange Act of 1934, as amended.)</w:t>
            </w:r>
          </w:p>
        </w:tc>
        <w:tc>
          <w:tcPr>
            <w:tcW w:w="1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350"/>
        </w:trPr>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40" w:type="dxa"/>
            <w:vAlign w:val="bottom"/>
            <w:gridSpan w:val="2"/>
          </w:tcPr>
          <w:p>
            <w:pPr>
              <w:ind w:left="3820"/>
              <w:spacing w:after="0"/>
              <w:rPr>
                <w:sz w:val="20"/>
                <w:szCs w:val="20"/>
                <w:color w:val="auto"/>
              </w:rPr>
            </w:pPr>
            <w:r>
              <w:rPr>
                <w:rFonts w:ascii="Arial" w:cs="Arial" w:eastAsia="Arial" w:hAnsi="Arial"/>
                <w:sz w:val="18"/>
                <w:szCs w:val="18"/>
                <w:color w:val="auto"/>
              </w:rPr>
              <w:t>A-8</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gridSpan w:val="8"/>
          </w:tcPr>
          <w:p>
            <w:pPr>
              <w:jc w:val="center"/>
              <w:ind w:left="1290"/>
              <w:spacing w:after="0"/>
              <w:rPr>
                <w:sz w:val="20"/>
                <w:szCs w:val="20"/>
                <w:color w:val="auto"/>
              </w:rPr>
            </w:pPr>
            <w:r>
              <w:rPr>
                <w:rFonts w:ascii="Arial" w:cs="Arial" w:eastAsia="Arial" w:hAnsi="Arial"/>
                <w:sz w:val="18"/>
                <w:szCs w:val="18"/>
                <w:b w:val="1"/>
                <w:bCs w:val="1"/>
                <w:color w:val="auto"/>
                <w:w w:val="99"/>
              </w:rPr>
              <w:t>SCHEDULE OF INCREASES OR DECREASES IN THE GLOBAL NOTE</w:t>
            </w:r>
            <w:r>
              <w:rPr>
                <w:rFonts w:ascii="Arial" w:cs="Arial" w:eastAsia="Arial" w:hAnsi="Arial"/>
                <w:sz w:val="15"/>
                <w:szCs w:val="15"/>
                <w:b w:val="1"/>
                <w:bCs w:val="1"/>
                <w:color w:val="auto"/>
                <w:w w:val="99"/>
              </w:rPr>
              <w:t>3</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The original principal amount of this Global Note is $</w:t>
            </w:r>
          </w:p>
        </w:tc>
        <w:tc>
          <w:tcPr>
            <w:tcW w:w="6600" w:type="dxa"/>
            <w:vAlign w:val="bottom"/>
            <w:gridSpan w:val="8"/>
          </w:tcPr>
          <w:p>
            <w:pPr>
              <w:ind w:left="240"/>
              <w:spacing w:after="0"/>
              <w:rPr>
                <w:sz w:val="20"/>
                <w:szCs w:val="20"/>
                <w:color w:val="auto"/>
              </w:rPr>
            </w:pPr>
            <w:r>
              <w:rPr>
                <w:rFonts w:ascii="Arial" w:cs="Arial" w:eastAsia="Arial" w:hAnsi="Arial"/>
                <w:sz w:val="18"/>
                <w:szCs w:val="18"/>
                <w:color w:val="auto"/>
              </w:rPr>
              <w:t>. The following increases or decreases in this Global Note have been made:</w:t>
            </w:r>
          </w:p>
        </w:tc>
        <w:tc>
          <w:tcPr>
            <w:tcW w:w="0" w:type="dxa"/>
            <w:vAlign w:val="bottom"/>
          </w:tcPr>
          <w:p>
            <w:pPr>
              <w:spacing w:after="0"/>
              <w:rPr>
                <w:sz w:val="1"/>
                <w:szCs w:val="1"/>
                <w:color w:val="auto"/>
              </w:rPr>
            </w:pPr>
          </w:p>
        </w:tc>
      </w:tr>
      <w:tr>
        <w:trPr>
          <w:trHeight w:val="389"/>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Principal</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4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w w:val="94"/>
              </w:rPr>
              <w:t>Amount of</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 of</w:t>
            </w:r>
          </w:p>
        </w:tc>
        <w:tc>
          <w:tcPr>
            <w:tcW w:w="15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Amount of</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156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93"/>
              </w:rPr>
              <w:t>this Global Note</w:t>
            </w: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authorized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of</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4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signatory of</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4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decrease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Trustee or Note</w:t>
            </w:r>
          </w:p>
        </w:tc>
        <w:tc>
          <w:tcPr>
            <w:tcW w:w="0" w:type="dxa"/>
            <w:vAlign w:val="bottom"/>
          </w:tcPr>
          <w:p>
            <w:pPr>
              <w:spacing w:after="0"/>
              <w:rPr>
                <w:sz w:val="1"/>
                <w:szCs w:val="1"/>
                <w:color w:val="auto"/>
              </w:rPr>
            </w:pPr>
          </w:p>
        </w:tc>
      </w:tr>
      <w:tr>
        <w:trPr>
          <w:trHeight w:val="135"/>
        </w:trPr>
        <w:tc>
          <w:tcPr>
            <w:tcW w:w="600" w:type="dxa"/>
            <w:vAlign w:val="bottom"/>
            <w:tcBorders>
              <w:bottom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w w:val="94"/>
              </w:rPr>
              <w:t>Exchange</w:t>
            </w:r>
          </w:p>
        </w:tc>
        <w:tc>
          <w:tcPr>
            <w:tcW w:w="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940" w:type="dxa"/>
            <w:vAlign w:val="bottom"/>
            <w:gridSpan w:val="2"/>
          </w:tcPr>
          <w:p>
            <w:pPr>
              <w:jc w:val="center"/>
              <w:ind w:left="188"/>
              <w:spacing w:after="0" w:line="129" w:lineRule="exact"/>
              <w:rPr>
                <w:sz w:val="20"/>
                <w:szCs w:val="20"/>
                <w:color w:val="auto"/>
              </w:rPr>
            </w:pPr>
            <w:r>
              <w:rPr>
                <w:rFonts w:ascii="Arial" w:cs="Arial" w:eastAsia="Arial" w:hAnsi="Arial"/>
                <w:sz w:val="14"/>
                <w:szCs w:val="14"/>
                <w:b w:val="1"/>
                <w:bCs w:val="1"/>
                <w:color w:val="auto"/>
                <w:w w:val="93"/>
              </w:rPr>
              <w:t>of this Global Note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3"/>
              </w:rPr>
              <w:t>of this Global Note</w:t>
            </w:r>
          </w:p>
        </w:tc>
        <w:tc>
          <w:tcPr>
            <w:tcW w:w="156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(or increase)</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18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5"/>
                <w:szCs w:val="15"/>
                <w:color w:val="auto"/>
              </w:rPr>
              <w:t>3</w:t>
            </w:r>
          </w:p>
        </w:tc>
        <w:tc>
          <w:tcPr>
            <w:tcW w:w="4360" w:type="dxa"/>
            <w:vAlign w:val="bottom"/>
            <w:gridSpan w:val="5"/>
          </w:tcPr>
          <w:p>
            <w:pPr>
              <w:spacing w:after="0"/>
              <w:rPr>
                <w:sz w:val="20"/>
                <w:szCs w:val="20"/>
                <w:color w:val="auto"/>
              </w:rPr>
            </w:pPr>
            <w:r>
              <w:rPr>
                <w:rFonts w:ascii="Arial" w:cs="Arial" w:eastAsia="Arial" w:hAnsi="Arial"/>
                <w:sz w:val="18"/>
                <w:szCs w:val="18"/>
                <w:color w:val="auto"/>
                <w:w w:val="99"/>
              </w:rPr>
              <w:t>To be included only if the Note is issued in global form.</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gridSpan w:val="3"/>
          </w:tcPr>
          <w:p>
            <w:pPr>
              <w:jc w:val="center"/>
              <w:ind w:right="2560"/>
              <w:spacing w:after="0"/>
              <w:rPr>
                <w:sz w:val="20"/>
                <w:szCs w:val="20"/>
                <w:color w:val="auto"/>
              </w:rPr>
            </w:pPr>
            <w:r>
              <w:rPr>
                <w:rFonts w:ascii="Arial" w:cs="Arial" w:eastAsia="Arial" w:hAnsi="Arial"/>
                <w:sz w:val="18"/>
                <w:szCs w:val="18"/>
                <w:color w:val="auto"/>
                <w:w w:val="99"/>
              </w:rPr>
              <w:t>A-9</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B</w:t>
            </w:r>
          </w:p>
        </w:tc>
      </w:tr>
      <w:tr>
        <w:trPr>
          <w:trHeight w:val="453"/>
        </w:trPr>
        <w:tc>
          <w:tcPr>
            <w:tcW w:w="10960" w:type="dxa"/>
            <w:vAlign w:val="bottom"/>
            <w:gridSpan w:val="4"/>
          </w:tcPr>
          <w:p>
            <w:pPr>
              <w:ind w:left="3600"/>
              <w:spacing w:after="0"/>
              <w:rPr>
                <w:sz w:val="20"/>
                <w:szCs w:val="20"/>
                <w:color w:val="auto"/>
              </w:rPr>
            </w:pPr>
            <w:r>
              <w:rPr>
                <w:rFonts w:ascii="Arial" w:cs="Arial" w:eastAsia="Arial" w:hAnsi="Arial"/>
                <w:sz w:val="18"/>
                <w:szCs w:val="18"/>
                <w:color w:val="auto"/>
              </w:rPr>
              <w:t>FORM OF SUPPLEMENTAL INDENTURE</w:t>
            </w:r>
          </w:p>
        </w:tc>
      </w:tr>
      <w:tr>
        <w:trPr>
          <w:trHeight w:val="392"/>
        </w:trPr>
        <w:tc>
          <w:tcPr>
            <w:tcW w:w="5740" w:type="dxa"/>
            <w:vAlign w:val="bottom"/>
          </w:tcPr>
          <w:p>
            <w:pPr>
              <w:spacing w:after="0"/>
              <w:rPr>
                <w:sz w:val="20"/>
                <w:szCs w:val="20"/>
                <w:color w:val="auto"/>
              </w:rPr>
            </w:pPr>
            <w:r>
              <w:rPr>
                <w:rFonts w:ascii="Arial" w:cs="Arial" w:eastAsia="Arial" w:hAnsi="Arial"/>
                <w:sz w:val="18"/>
                <w:szCs w:val="18"/>
                <w:color w:val="auto"/>
                <w:w w:val="94"/>
              </w:rPr>
              <w:t>SUPPLEMENTAL INDENTURE (this “Supplemental Indenture”), dated as of</w:t>
            </w:r>
          </w:p>
        </w:tc>
        <w:tc>
          <w:tcPr>
            <w:tcW w:w="900" w:type="dxa"/>
            <w:vAlign w:val="bottom"/>
            <w:tcBorders>
              <w:bottom w:val="single" w:sz="8" w:color="auto"/>
            </w:tcBorders>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8"/>
              </w:rPr>
              <w:t>, among Plains All American Pipeline, L.P., a Delaware</w:t>
            </w:r>
          </w:p>
        </w:tc>
      </w:tr>
    </w:tbl>
    <w:p>
      <w:pPr>
        <w:spacing w:after="0" w:line="13" w:lineRule="exact"/>
        <w:rPr>
          <w:sz w:val="20"/>
          <w:szCs w:val="20"/>
          <w:color w:val="auto"/>
        </w:rPr>
      </w:pPr>
    </w:p>
    <w:p>
      <w:pPr>
        <w:ind w:left="540" w:right="280" w:hanging="539"/>
        <w:spacing w:after="0" w:line="291" w:lineRule="auto"/>
        <w:rPr>
          <w:sz w:val="20"/>
          <w:szCs w:val="20"/>
          <w:color w:val="auto"/>
        </w:rPr>
      </w:pPr>
      <w:r>
        <w:rPr>
          <w:rFonts w:ascii="Arial" w:cs="Arial" w:eastAsia="Arial" w:hAnsi="Arial"/>
          <w:sz w:val="16"/>
          <w:szCs w:val="16"/>
          <w:color w:val="auto"/>
        </w:rPr>
        <w:t>limited partnership (the “Partnership”), PAA Finance Corp., a Delaware corporation (“PAA Finance” and, together with the Partnership, the “Issuers”), (the “Subsidiary Guarantor”), a direct or indirect subsidiary of Plains All American Pipeline, L.P. (or its successor), a Delaware limited partnership</w:t>
      </w:r>
    </w:p>
    <w:p>
      <w:pPr>
        <w:spacing w:after="0"/>
        <w:rPr>
          <w:sz w:val="20"/>
          <w:szCs w:val="20"/>
          <w:color w:val="auto"/>
        </w:rPr>
      </w:pPr>
      <w:r>
        <w:rPr>
          <w:rFonts w:ascii="Arial" w:cs="Arial" w:eastAsia="Arial" w:hAnsi="Arial"/>
          <w:sz w:val="18"/>
          <w:szCs w:val="18"/>
          <w:color w:val="auto"/>
        </w:rPr>
        <w:t>(the “Partnership”), and U.S. Bank National Association, as trustee under the indenture referred to below (the “Trustee”).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WHEREAS, the Issuers have heretofore executed and delivered to the Trustee an indenture (the “Original Indenture”), dated as of September 25, 2002, as supplemented by the Twenty-Sixth Supplemental Indenture (the “Twenty-Sixth Supplemental Indenture” and, together with the Original Indenture, the “Indenture”) dated as of September 9, 2014, among the Issuers and the Trustee, providing for the issuance of the Issuers’ 3.60% Senior Notes due 2024 (the “Notes”);</w:t>
      </w:r>
    </w:p>
    <w:p>
      <w:pPr>
        <w:spacing w:after="0" w:line="18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WHEREAS, Section 5.05 of the Twenty-Sixth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6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WHEREAS, pursuant to Section 9.01 of the Original Indenture, the Issuers and the Trustee are authorized to execute and deliver this Supplemental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Issuers, the Subsidiary Guarantor and the Trustee mutually covenant and agree for the equal and ratable benefit of the holders of the Notes as follows:</w:t>
      </w:r>
    </w:p>
    <w:p>
      <w:pPr>
        <w:spacing w:after="0" w:line="222" w:lineRule="exact"/>
        <w:rPr>
          <w:sz w:val="20"/>
          <w:szCs w:val="20"/>
          <w:color w:val="auto"/>
        </w:rPr>
      </w:pPr>
    </w:p>
    <w:p>
      <w:pPr>
        <w:ind w:left="680" w:hanging="216"/>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760" w:hanging="29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ind w:right="180" w:firstLine="464"/>
        <w:spacing w:after="0" w:line="259" w:lineRule="auto"/>
        <w:tabs>
          <w:tab w:leader="none" w:pos="7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57" w:right="239" w:bottom="1440" w:gutter="0" w:footer="0" w:header="0"/>
        </w:sectPr>
      </w:pPr>
    </w:p>
    <w:bookmarkStart w:id="42" w:name="page43"/>
    <w:bookmarkEnd w:id="42"/>
    <w:p>
      <w:pPr>
        <w:ind w:left="-40" w:right="20" w:firstLine="464"/>
        <w:spacing w:after="0" w:line="297" w:lineRule="auto"/>
        <w:tabs>
          <w:tab w:leader="none" w:pos="641"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to Guarantee.</w:t>
      </w:r>
      <w:r>
        <w:rPr>
          <w:rFonts w:ascii="Arial" w:cs="Arial" w:eastAsia="Arial" w:hAnsi="Arial"/>
          <w:sz w:val="16"/>
          <w:szCs w:val="16"/>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Twenty-Sixth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54" w:lineRule="exact"/>
        <w:rPr>
          <w:rFonts w:ascii="Arial" w:cs="Arial" w:eastAsia="Arial" w:hAnsi="Arial"/>
          <w:sz w:val="16"/>
          <w:szCs w:val="16"/>
          <w:color w:val="auto"/>
        </w:rPr>
      </w:pPr>
    </w:p>
    <w:p>
      <w:pPr>
        <w:ind w:left="-40" w:firstLine="464"/>
        <w:spacing w:after="0" w:line="282" w:lineRule="auto"/>
        <w:tabs>
          <w:tab w:leader="none" w:pos="641"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THIS SUPPLEMENTAL INDENTURE SHALL BE DEEMED TO BE A NEW YORK CONTRACT, AND FOR ALL PURPOSES SHALL BE CONSTRUED IN ACCORDANCE WITH, THE LAWS OF THE STATE OF NEW YORK.</w:t>
      </w:r>
    </w:p>
    <w:p>
      <w:pPr>
        <w:spacing w:after="0" w:line="165" w:lineRule="exact"/>
        <w:rPr>
          <w:rFonts w:ascii="Arial" w:cs="Arial" w:eastAsia="Arial" w:hAnsi="Arial"/>
          <w:sz w:val="18"/>
          <w:szCs w:val="18"/>
          <w:color w:val="auto"/>
        </w:rPr>
      </w:pPr>
    </w:p>
    <w:p>
      <w:pPr>
        <w:ind w:left="640" w:hanging="216"/>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Trustee Makes No Representation.</w:t>
      </w:r>
      <w:r>
        <w:rPr>
          <w:rFonts w:ascii="Arial" w:cs="Arial" w:eastAsia="Arial" w:hAnsi="Arial"/>
          <w:sz w:val="17"/>
          <w:szCs w:val="17"/>
          <w:color w:val="auto"/>
        </w:rPr>
        <w:t xml:space="preserve"> The Trustee makes no representation as to the validity or sufficiency of this Supplemental Indenture.</w:t>
      </w:r>
    </w:p>
    <w:p>
      <w:pPr>
        <w:spacing w:after="0" w:line="236" w:lineRule="exact"/>
        <w:rPr>
          <w:rFonts w:ascii="Arial" w:cs="Arial" w:eastAsia="Arial" w:hAnsi="Arial"/>
          <w:sz w:val="17"/>
          <w:szCs w:val="17"/>
          <w:color w:val="auto"/>
        </w:rPr>
      </w:pPr>
    </w:p>
    <w:p>
      <w:pPr>
        <w:ind w:left="-40" w:right="400" w:firstLine="464"/>
        <w:spacing w:after="0" w:line="277" w:lineRule="auto"/>
        <w:tabs>
          <w:tab w:leader="none" w:pos="64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40" w:hanging="2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effect the construction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60"/>
          </w:cols>
          <w:pgMar w:left="280" w:top="274" w:right="25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4"/>
                <w:szCs w:val="24"/>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[SUBSIDIARY GUARANTOR],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B-3</w:t>
      </w:r>
    </w:p>
    <w:sectPr>
      <w:pgSz w:w="11900" w:h="16838" w:orient="portrait"/>
      <w:cols w:equalWidth="0" w:num="1">
        <w:col w:w="10960"/>
      </w:cols>
      <w:pgMar w:left="70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lvl w:ilvl="1">
      <w:lvlJc w:val="left"/>
      <w:lvlText w:val="•"/>
      <w:numFmt w:val="bullet"/>
      <w:start w:val="1"/>
    </w:lvl>
  </w:abstractNum>
  <w:abstractNum w:abstractNumId="2">
    <w:nsid w:val="2443A858"/>
    <w:multiLevelType w:val="hybridMultilevel"/>
    <w:lvl w:ilvl="0">
      <w:lvlJc w:val="left"/>
      <w:lvlText w:val="(%1)"/>
      <w:numFmt w:val="lowerLetter"/>
      <w:start w:val="4"/>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lowerLetter"/>
      <w:start w:val="2"/>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1"/>
    </w:lvl>
  </w:abstractNum>
  <w:abstractNum w:abstractNumId="7">
    <w:nsid w:val="79838CB2"/>
    <w:multiLevelType w:val="hybridMultilevel"/>
    <w:lvl w:ilvl="0">
      <w:lvlJc w:val="left"/>
      <w:lvlText w:val="(%1)"/>
      <w:numFmt w:val="decimal"/>
      <w:start w:val="18"/>
    </w:lvl>
  </w:abstractNum>
  <w:abstractNum w:abstractNumId="8">
    <w:nsid w:val="4353D0CD"/>
    <w:multiLevelType w:val="hybridMultilevel"/>
    <w:lvl w:ilvl="0">
      <w:lvlJc w:val="left"/>
      <w:lvlText w:val="(%1)"/>
      <w:numFmt w:val="decimal"/>
      <w:start w:val="2"/>
    </w:lvl>
  </w:abstractNum>
  <w:abstractNum w:abstractNumId="9">
    <w:nsid w:val="B03E0C6"/>
    <w:multiLevelType w:val="hybridMultilevel"/>
    <w:lvl w:ilvl="0">
      <w:lvlJc w:val="left"/>
      <w:lvlText w:val="(%1)"/>
      <w:numFmt w:val="decimal"/>
      <w:start w:val="2"/>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2"/>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Roman"/>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lvl w:ilvl="1">
      <w:lvlJc w:val="left"/>
      <w:lvlText w:val="(%2)"/>
      <w:numFmt w:val="lowerLetter"/>
      <w:start w:val="9"/>
    </w:lvl>
  </w:abstractNum>
  <w:abstractNum w:abstractNumId="18">
    <w:nsid w:val="1E7FF521"/>
    <w:multiLevelType w:val="hybridMultilevel"/>
    <w:lvl w:ilvl="0">
      <w:lvlJc w:val="left"/>
      <w:lvlText w:val="(%1)"/>
      <w:numFmt w:val="lowerRoman"/>
      <w:start w:val="2"/>
    </w:lvl>
    <w:lvl w:ilvl="1">
      <w:lvlJc w:val="left"/>
      <w:lvlText w:val="(%2)"/>
      <w:numFmt w:val="upperLetter"/>
      <w:start w:val="1"/>
    </w:lvl>
  </w:abstractNum>
  <w:abstractNum w:abstractNumId="19">
    <w:nsid w:val="7C3DBD3D"/>
    <w:multiLevelType w:val="hybridMultilevel"/>
    <w:lvl w:ilvl="0">
      <w:lvlJc w:val="left"/>
      <w:lvlText w:val="%1"/>
      <w:numFmt w:val="lowerRoman"/>
      <w:start w:val="1"/>
    </w:lvl>
    <w:lvl w:ilvl="1">
      <w:lvlJc w:val="left"/>
      <w:lvlText w:val="(%2)"/>
      <w:numFmt w:val="upperLetter"/>
      <w:start w:val="4"/>
    </w:lvl>
  </w:abstractNum>
  <w:abstractNum w:abstractNumId="20">
    <w:nsid w:val="737B8DDC"/>
    <w:multiLevelType w:val="hybridMultilevel"/>
    <w:lvl w:ilvl="0">
      <w:lvlJc w:val="left"/>
      <w:lvlText w:val="(%1)"/>
      <w:numFmt w:val="lowerRoman"/>
      <w:start w:val="7"/>
    </w:lvl>
    <w:lvl w:ilvl="1">
      <w:lvlJc w:val="left"/>
      <w:lvlText w:val="(%2)"/>
      <w:numFmt w:val="upperLetter"/>
      <w:start w:val="1"/>
    </w:lvl>
  </w:abstractNum>
  <w:abstractNum w:abstractNumId="21">
    <w:nsid w:val="6CEAF087"/>
    <w:multiLevelType w:val="hybridMultilevel"/>
    <w:lvl w:ilvl="0">
      <w:lvlJc w:val="left"/>
      <w:lvlText w:val="(%1)"/>
      <w:numFmt w:val="lowerLetter"/>
      <w:start w:val="2"/>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Roman"/>
      <w:start w:val="1"/>
    </w:lvl>
    <w:lvl w:ilvl="1">
      <w:lvlJc w:val="left"/>
      <w:lvlText w:val="(%2)"/>
      <w:numFmt w:val="lowerLetter"/>
      <w:start w:val="1"/>
    </w:lvl>
  </w:abstractNum>
  <w:abstractNum w:abstractNumId="24">
    <w:nsid w:val="3006C83E"/>
    <w:multiLevelType w:val="hybridMultilevel"/>
    <w:lvl w:ilvl="0">
      <w:lvlJc w:val="left"/>
      <w:lvlText w:val="(%1)"/>
      <w:numFmt w:val="lowerRoman"/>
      <w:start w:val="7"/>
    </w:lvl>
    <w:lvl w:ilvl="1">
      <w:lvlJc w:val="left"/>
      <w:lvlText w:val="(%2)"/>
      <w:numFmt w:val="lowerLetter"/>
      <w:start w:val="5"/>
    </w:lvl>
  </w:abstractNum>
  <w:abstractNum w:abstractNumId="25">
    <w:nsid w:val="614FD4A1"/>
    <w:multiLevelType w:val="hybridMultilevel"/>
    <w:lvl w:ilvl="0">
      <w:lvlJc w:val="left"/>
      <w:lvlText w:val="(%1)"/>
      <w:numFmt w:val="lowerLetter"/>
      <w:start w:val="7"/>
    </w:lvl>
  </w:abstractNum>
  <w:abstractNum w:abstractNumId="26">
    <w:nsid w:val="419AC241"/>
    <w:multiLevelType w:val="hybridMultilevel"/>
    <w:lvl w:ilvl="0">
      <w:lvlJc w:val="left"/>
      <w:lvlText w:val="(%1)"/>
      <w:numFmt w:val="lowerLetter"/>
      <w:start w:val="2"/>
    </w:lvl>
  </w:abstractNum>
  <w:abstractNum w:abstractNumId="27">
    <w:nsid w:val="5577F8E1"/>
    <w:multiLevelType w:val="hybridMultilevel"/>
    <w:lvl w:ilvl="0">
      <w:lvlJc w:val="left"/>
      <w:lvlText w:val="(%1)"/>
      <w:numFmt w:val="lowerLetter"/>
      <w:start w:val="3"/>
    </w:lvl>
  </w:abstractNum>
  <w:abstractNum w:abstractNumId="28">
    <w:nsid w:val="440BADFC"/>
    <w:multiLevelType w:val="hybridMultilevel"/>
    <w:lvl w:ilvl="0">
      <w:lvlJc w:val="left"/>
      <w:lvlText w:val="(%1)"/>
      <w:numFmt w:val="lowerLetter"/>
      <w:start w:val="8"/>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2"/>
      <w:numFmt w:val="bullet"/>
      <w:start w:val="1"/>
    </w:lvl>
  </w:abstractNum>
  <w:abstractNum w:abstractNumId="33">
    <w:nsid w:val="5C482A97"/>
    <w:multiLevelType w:val="hybridMultilevel"/>
    <w:lvl w:ilvl="0">
      <w:lvlJc w:val="left"/>
      <w:lvlText w:val="%1."/>
      <w:numFmt w:val="decimal"/>
      <w:start w:val="3"/>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3"/>
    </w:lvl>
  </w:abstractNum>
  <w:abstractNum w:abstractNumId="36">
    <w:nsid w:val="51EAD36B"/>
    <w:multiLevelType w:val="hybridMultilevel"/>
    <w:lvl w:ilvl="0">
      <w:lvlJc w:val="left"/>
      <w:lvlText w:val="%1."/>
      <w:numFmt w:val="decimal"/>
      <w:start w:val="6"/>
    </w:lvl>
  </w:abstractNum>
  <w:abstractNum w:abstractNumId="37">
    <w:nsid w:val="2D517796"/>
    <w:multiLevelType w:val="hybridMultilevel"/>
    <w:lvl w:ilvl="0">
      <w:lvlJc w:val="left"/>
      <w:lvlText w:val="%1."/>
      <w:numFmt w:val="decimal"/>
      <w:start w:val="11"/>
    </w:lvl>
  </w:abstractNum>
  <w:abstractNum w:abstractNumId="38">
    <w:nsid w:val="580BD78F"/>
    <w:multiLevelType w:val="hybridMultilevel"/>
    <w:lvl w:ilvl="0">
      <w:lvlJc w:val="left"/>
      <w:lvlText w:val="%1."/>
      <w:numFmt w:val="decimal"/>
      <w:start w:val="13"/>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2020-01-28T13:43:39Z</dcterms:created>
  <dcterms:modified xsi:type="dcterms:W3CDTF">2020-01-28T13:43:39Z</dcterms:modified>
</cp:coreProperties>
</file>