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645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645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 w:line="249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9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9"/>
                </w:rPr>
                <w:t>Herbold Chris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60" w:type="dxa"/>
            <w:vAlign w:val="bottom"/>
            <w:gridSpan w:val="10"/>
          </w:tcPr>
          <w:p>
            <w:pPr>
              <w:ind w:left="60"/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PLAINS ALL AMERICAN PIPELINE LP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60"/>
              <w:spacing w:after="0" w:line="2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PAA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 xml:space="preserve"> 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VP-Acctg &amp; Chief Acctg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333 CLAY STREET, SUITE 1600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03/22/2018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5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03/22/2018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units</w:t>
            </w:r>
          </w:p>
        </w:tc>
        <w:tc>
          <w:tcPr>
            <w:tcW w:w="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 of phantom units under Long-Term Incentive Plan (includes associated distribution equivalent rights (payable in cash)).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common unit is deliverable, upon vesting, for each phantom unit that vests.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00" w:firstLine="8"/>
        <w:spacing w:after="0" w:line="27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units will vest on the May 2021 distribution date; provided, however, that 50% of the phantom units may vest prior to that date if and when PAA generates distributable cash flow of $2.30 per unit on a trailing four quarter basis.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Ann F. Gullion,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0</wp:posOffset>
            </wp:positionV>
            <wp:extent cx="13779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Chris Herbold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11087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7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03/26/2018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6985</wp:posOffset>
            </wp:positionV>
            <wp:extent cx="5067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97929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2020-01-13T23:55:56Z</dcterms:created>
  <dcterms:modified xsi:type="dcterms:W3CDTF">2020-01-13T23:55:56Z</dcterms:modified>
</cp:coreProperties>
</file>