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Pursuant to Section 13 or 15(d) of</w:t>
      </w: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60" w:firstLine="324"/>
        <w:spacing w:after="0" w:line="257" w:lineRule="auto"/>
        <w:rPr>
          <w:sz w:val="20"/>
          <w:szCs w:val="20"/>
          <w:color w:val="auto"/>
        </w:rPr>
      </w:pPr>
      <w:r>
        <w:rPr>
          <w:rFonts w:ascii="Arial" w:cs="Arial" w:eastAsia="Arial" w:hAnsi="Arial"/>
          <w:sz w:val="18"/>
          <w:szCs w:val="18"/>
          <w:color w:val="auto"/>
        </w:rPr>
        <w:t>On November 15, 2016, Plains All American Pipeline, L.P. (the “Partnership”) and PAA Finance Corp. (“PAA Finance,” and together with the Partnership, the “Issuers”) entered into an underwriting agreement (the “Underwriting Agreement”) with J.P. Morgan Securities LLC, BNP Paribas Securities Corp., Merrill Lynch, Pierce, Fenner &amp; Smith Incorporated and Wells Fargo Securities, LLC, as representatives of the several underwriters named therein (collectively, the “Underwriters”), relating to the issuance and sale to the Underwriters of $750 million aggregate principal amount of 4.500% Senior Notes due 2026 (the “Notes”), subject to the terms and conditions therein.</w:t>
      </w:r>
    </w:p>
    <w:p>
      <w:pPr>
        <w:spacing w:after="0" w:line="188"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The Notes are being offered and sold under the Issuers’ shelf registration statement on Form S-3 (Registration No. 333-207139) filed with the Securities and Exchange Commission on September 25, 2015 (the “Registration Statement”), and are described in a Prospectus Supplement dated November 15, 2016 to the Prospectus dated September 25, 2015, which is included in the Registration Statement.</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The Notes will be issued pursuant to a supplemental indenture to be dated November 22, 2016 by and among the Issuers and U.S. Bank National Association (successor to Wachovia Bank, National Association), as trustee (the “Trustee”). The supplemental indenture will be entered into in accordance with the provisions of the Indenture dated September 25, 2002 by and among the Issuers and the Trustee.</w:t>
      </w:r>
    </w:p>
    <w:p>
      <w:pPr>
        <w:spacing w:after="0" w:line="1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closing of the offering of the Notes is expected to occur on November 22, 2016, subject to customary closing conditions.</w:t>
      </w:r>
    </w:p>
    <w:p>
      <w:pPr>
        <w:sectPr>
          <w:pgSz w:w="11900" w:h="16838" w:orient="portrait"/>
          <w:cols w:equalWidth="0" w:num="1">
            <w:col w:w="11420"/>
          </w:cols>
          <w:pgMar w:left="240" w:top="544" w:right="239" w:bottom="0" w:gutter="0" w:footer="0" w:header="0"/>
          <w:type w:val="continuous"/>
        </w:sectPr>
      </w:pPr>
    </w:p>
    <w:bookmarkStart w:id="1" w:name="page2"/>
    <w:bookmarkEnd w:id="1"/>
    <w:p>
      <w:pPr>
        <w:ind w:left="340"/>
        <w:spacing w:after="0"/>
        <w:rPr>
          <w:sz w:val="20"/>
          <w:szCs w:val="20"/>
          <w:color w:val="auto"/>
        </w:rPr>
      </w:pPr>
      <w:r>
        <w:rPr>
          <w:rFonts w:ascii="Arial" w:cs="Arial" w:eastAsia="Arial" w:hAnsi="Arial"/>
          <w:sz w:val="18"/>
          <w:szCs w:val="18"/>
          <w:color w:val="auto"/>
        </w:rPr>
        <w:t>The Underwriting Agreement is filed as Exhibit 1.1 to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Underwriting Agreement, dated November 15, 2016, by and among Plains All American Pipeline, L.P., PAA Finance Corp., and J.P. Morgan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4"/>
              </w:rPr>
              <w:t>Securities LLC, BNP Paribas Securities Corp., Merrill Lynch, Pierce, Fenner &amp; Smith Incorporated and Wells Fargo Securities, LLC, 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representatives of the several underwriters named therein.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5.1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23.1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Consent of Vinson &amp; Elkins L.L.P. (included in Exhibit 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50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18, 2016</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0" w:type="dxa"/>
            <w:vAlign w:val="bottom"/>
          </w:tcPr>
          <w:p>
            <w:pPr>
              <w:ind w:left="446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0" w:type="dxa"/>
            <w:vAlign w:val="bottom"/>
          </w:tcPr>
          <w:p>
            <w:pPr>
              <w:ind w:left="446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0" w:type="dxa"/>
            <w:vAlign w:val="bottom"/>
          </w:tcPr>
          <w:p>
            <w:pPr>
              <w:ind w:left="446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0" w:type="dxa"/>
            <w:vAlign w:val="bottom"/>
          </w:tcPr>
          <w:p>
            <w:pPr>
              <w:ind w:left="44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0" w:type="dxa"/>
            <w:vAlign w:val="bottom"/>
          </w:tcPr>
          <w:p>
            <w:pPr>
              <w:ind w:left="446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0" w:type="dxa"/>
            <w:vAlign w:val="bottom"/>
          </w:tcPr>
          <w:p>
            <w:pPr>
              <w:ind w:left="44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40" w:type="dxa"/>
            <w:vAlign w:val="bottom"/>
            <w:gridSpan w:val="2"/>
          </w:tcPr>
          <w:p>
            <w:pPr>
              <w:jc w:val="center"/>
              <w:ind w:left="3950"/>
              <w:spacing w:after="0"/>
              <w:rPr>
                <w:sz w:val="20"/>
                <w:szCs w:val="20"/>
                <w:color w:val="auto"/>
              </w:rPr>
            </w:pPr>
            <w:r>
              <w:rPr>
                <w:rFonts w:ascii="Arial" w:cs="Arial" w:eastAsia="Arial" w:hAnsi="Arial"/>
                <w:sz w:val="18"/>
                <w:szCs w:val="18"/>
                <w:color w:val="auto"/>
                <w:w w:val="99"/>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0" w:type="dxa"/>
            <w:vAlign w:val="bottom"/>
          </w:tcPr>
          <w:p>
            <w:pPr>
              <w:jc w:val="center"/>
              <w:ind w:left="3632"/>
              <w:spacing w:after="0"/>
              <w:rPr>
                <w:sz w:val="20"/>
                <w:szCs w:val="20"/>
                <w:color w:val="auto"/>
              </w:rPr>
            </w:pPr>
            <w:r>
              <w:rPr>
                <w:rFonts w:ascii="Arial" w:cs="Arial" w:eastAsia="Arial" w:hAnsi="Arial"/>
                <w:sz w:val="18"/>
                <w:szCs w:val="18"/>
                <w:b w:val="1"/>
                <w:bCs w:val="1"/>
                <w:color w:val="auto"/>
              </w:rPr>
              <w:t>EXHIBIT INDEX</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160" w:type="dxa"/>
            <w:vAlign w:val="bottom"/>
            <w:gridSpan w:val="2"/>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10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Underwriting Agreement, dated November 15, 2016, by and among Plains All American Pipeline, L.P., PAA Finance Corp., and J.P. Morgan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94"/>
              </w:rPr>
              <w:t>Securities LLC, BNP Paribas Securities Corp., Merrill Lynch, Pierce, Fenner &amp; Smith Incorporated and Wells Fargo Securities, LLC, 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representatives of the several underwriters named therein.</w:t>
            </w:r>
          </w:p>
        </w:tc>
        <w:tc>
          <w:tcPr>
            <w:tcW w:w="4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5.1</w:t>
            </w: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23.1</w:t>
            </w: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Consent of Vinson &amp; Elkins L.L.P. (included in Exhibit 5.1).</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40" w:type="dxa"/>
            <w:vAlign w:val="bottom"/>
            <w:gridSpan w:val="2"/>
          </w:tcPr>
          <w:p>
            <w:pPr>
              <w:jc w:val="center"/>
              <w:ind w:left="3950"/>
              <w:spacing w:after="0"/>
              <w:rPr>
                <w:sz w:val="20"/>
                <w:szCs w:val="20"/>
                <w:color w:val="auto"/>
              </w:rPr>
            </w:pPr>
            <w:r>
              <w:rPr>
                <w:rFonts w:ascii="Arial" w:cs="Arial" w:eastAsia="Arial" w:hAnsi="Arial"/>
                <w:sz w:val="18"/>
                <w:szCs w:val="18"/>
                <w:color w:val="auto"/>
                <w:w w:val="99"/>
              </w:rPr>
              <w:t>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-2190115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-2190115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w:t>
      </w:r>
      <w:r>
        <w:rPr>
          <w:rFonts w:ascii="Arial" w:cs="Arial" w:eastAsia="Arial" w:hAnsi="Arial"/>
          <w:sz w:val="18"/>
          <w:szCs w:val="18"/>
          <w:color w:val="auto"/>
        </w:rPr>
        <w:t>,</w:t>
      </w:r>
      <w:r>
        <w:rPr>
          <w:rFonts w:ascii="Arial" w:cs="Arial" w:eastAsia="Arial" w:hAnsi="Arial"/>
          <w:sz w:val="18"/>
          <w:szCs w:val="18"/>
          <w:b w:val="1"/>
          <w:bCs w:val="1"/>
          <w:color w:val="auto"/>
        </w:rPr>
        <w:t xml:space="preserv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$750,000,000 4.500% Senior Notes due 2026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November 15,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Plains All American Pipeline, L.P., a Delaware limited partnership (the “</w:t>
      </w:r>
      <w:r>
        <w:rPr>
          <w:rFonts w:ascii="Arial" w:cs="Arial" w:eastAsia="Arial" w:hAnsi="Arial"/>
          <w:sz w:val="17"/>
          <w:szCs w:val="17"/>
          <w:b w:val="1"/>
          <w:bCs w:val="1"/>
          <w:u w:val="single" w:color="auto"/>
          <w:color w:val="auto"/>
        </w:rPr>
        <w:t>Partnership</w:t>
      </w:r>
      <w:r>
        <w:rPr>
          <w:rFonts w:ascii="Arial" w:cs="Arial" w:eastAsia="Arial" w:hAnsi="Arial"/>
          <w:sz w:val="17"/>
          <w:szCs w:val="17"/>
          <w:color w:val="auto"/>
        </w:rPr>
        <w:t>”), and PAA Finance Corp., a Delaware corporation (“</w:t>
      </w:r>
      <w:r>
        <w:rPr>
          <w:rFonts w:ascii="Arial" w:cs="Arial" w:eastAsia="Arial" w:hAnsi="Arial"/>
          <w:sz w:val="17"/>
          <w:szCs w:val="17"/>
          <w:b w:val="1"/>
          <w:bCs w:val="1"/>
          <w:u w:val="single" w:color="auto"/>
          <w:color w:val="auto"/>
        </w:rPr>
        <w:t>PAA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Finance</w:t>
      </w:r>
      <w:r>
        <w:rPr>
          <w:rFonts w:ascii="Arial" w:cs="Arial" w:eastAsia="Arial" w:hAnsi="Arial"/>
          <w:sz w:val="17"/>
          <w:szCs w:val="17"/>
          <w:color w:val="auto"/>
        </w:rPr>
        <w:t>” and, together with the Partnership, the “</w:t>
      </w:r>
      <w:r>
        <w:rPr>
          <w:rFonts w:ascii="Arial" w:cs="Arial" w:eastAsia="Arial" w:hAnsi="Arial"/>
          <w:sz w:val="17"/>
          <w:szCs w:val="17"/>
          <w:b w:val="1"/>
          <w:bCs w:val="1"/>
          <w:u w:val="single" w:color="auto"/>
          <w:color w:val="auto"/>
        </w:rPr>
        <w:t>Issuers</w:t>
      </w:r>
      <w:r>
        <w:rPr>
          <w:rFonts w:ascii="Arial" w:cs="Arial" w:eastAsia="Arial" w:hAnsi="Arial"/>
          <w:sz w:val="17"/>
          <w:szCs w:val="17"/>
          <w:color w:val="auto"/>
        </w:rPr>
        <w:t>”), propose to issue and sell to the several underwriters named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b w:val="1"/>
          <w:bCs w:val="1"/>
          <w:color w:val="auto"/>
        </w:rPr>
        <w:t xml:space="preserve"> </w:t>
      </w:r>
      <w:r>
        <w:rPr>
          <w:rFonts w:ascii="Arial" w:cs="Arial" w:eastAsia="Arial" w:hAnsi="Arial"/>
          <w:sz w:val="17"/>
          <w:szCs w:val="17"/>
          <w:color w:val="auto"/>
        </w:rPr>
        <w:t>hereto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Underwriters</w:t>
      </w:r>
      <w:r>
        <w:rPr>
          <w:rFonts w:ascii="Arial" w:cs="Arial" w:eastAsia="Arial" w:hAnsi="Arial"/>
          <w:sz w:val="16"/>
          <w:szCs w:val="16"/>
          <w:color w:val="auto"/>
        </w:rPr>
        <w:t>”), for whom J.P. Morgan Securities LLC, BNP Paribas Securities Corp., Merrill Lynch, Pierce, Fenner &amp; Smith Incorporated and Wells Fargo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LLC are acting as the representatives (the “</w:t>
      </w:r>
      <w:r>
        <w:rPr>
          <w:rFonts w:ascii="Arial" w:cs="Arial" w:eastAsia="Arial" w:hAnsi="Arial"/>
          <w:sz w:val="16"/>
          <w:szCs w:val="16"/>
          <w:b w:val="1"/>
          <w:bCs w:val="1"/>
          <w:u w:val="single" w:color="auto"/>
          <w:color w:val="auto"/>
        </w:rPr>
        <w:t>Representatives</w:t>
      </w:r>
      <w:r>
        <w:rPr>
          <w:rFonts w:ascii="Arial" w:cs="Arial" w:eastAsia="Arial" w:hAnsi="Arial"/>
          <w:sz w:val="16"/>
          <w:szCs w:val="16"/>
          <w:color w:val="auto"/>
        </w:rPr>
        <w:t>”), $750,000,000 aggregate principal amount of 4.500% Senior Notes due 2026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Notes</w:t>
      </w:r>
      <w:r>
        <w:rPr>
          <w:rFonts w:ascii="Arial" w:cs="Arial" w:eastAsia="Arial" w:hAnsi="Arial"/>
          <w:sz w:val="16"/>
          <w:szCs w:val="16"/>
          <w:color w:val="auto"/>
        </w:rPr>
        <w:t>”). The Notes are to be issued under an indenture dated as of September 25, 2002 (the “</w:t>
      </w:r>
      <w:r>
        <w:rPr>
          <w:rFonts w:ascii="Arial" w:cs="Arial" w:eastAsia="Arial" w:hAnsi="Arial"/>
          <w:sz w:val="16"/>
          <w:szCs w:val="16"/>
          <w:b w:val="1"/>
          <w:bCs w:val="1"/>
          <w:u w:val="single" w:color="auto"/>
          <w:color w:val="auto"/>
        </w:rPr>
        <w:t>Base Indenture</w:t>
      </w:r>
      <w:r>
        <w:rPr>
          <w:rFonts w:ascii="Arial" w:cs="Arial" w:eastAsia="Arial" w:hAnsi="Arial"/>
          <w:sz w:val="16"/>
          <w:szCs w:val="16"/>
          <w:color w:val="auto"/>
        </w:rPr>
        <w:t>”), among the Issuers and U.S. Bank 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Association, as successor trustee (the “</w:t>
      </w:r>
      <w:r>
        <w:rPr>
          <w:rFonts w:ascii="Arial" w:cs="Arial" w:eastAsia="Arial" w:hAnsi="Arial"/>
          <w:sz w:val="16"/>
          <w:szCs w:val="16"/>
          <w:b w:val="1"/>
          <w:bCs w:val="1"/>
          <w:u w:val="single" w:color="auto"/>
          <w:color w:val="auto"/>
        </w:rPr>
        <w:t>Trustee</w:t>
      </w:r>
      <w:r>
        <w:rPr>
          <w:rFonts w:ascii="Arial" w:cs="Arial" w:eastAsia="Arial" w:hAnsi="Arial"/>
          <w:sz w:val="16"/>
          <w:szCs w:val="16"/>
          <w:color w:val="auto"/>
        </w:rPr>
        <w:t>”), as amended by the Thirtieth Supplemental Indenture to be dated as of November 22, 2016, among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Issuers and the Trustee (the “</w:t>
      </w:r>
      <w:r>
        <w:rPr>
          <w:rFonts w:ascii="Arial" w:cs="Arial" w:eastAsia="Arial" w:hAnsi="Arial"/>
          <w:sz w:val="18"/>
          <w:szCs w:val="18"/>
          <w:b w:val="1"/>
          <w:bCs w:val="1"/>
          <w:u w:val="single" w:color="auto"/>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u w:val="single" w:color="auto"/>
          <w:color w:val="auto"/>
        </w:rPr>
        <w:t>Indenture</w:t>
      </w:r>
      <w:r>
        <w:rPr>
          <w:rFonts w:ascii="Arial" w:cs="Arial" w:eastAsia="Arial" w:hAnsi="Arial"/>
          <w:sz w:val="18"/>
          <w:szCs w:val="18"/>
          <w:color w:val="auto"/>
        </w:rPr>
        <w:t>”).</w:t>
      </w:r>
    </w:p>
    <w:p>
      <w:pPr>
        <w:spacing w:after="0" w:line="20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PAA GP LLC, a Delaware limited liability company (the “</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is the general partner of the Partnership. Plains AAP, L.P., a Delaware limited partnership (“</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owns a 100% membership interest in the General Partner.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is the general partner of Plains AAP. Plains GP Holdings, L.P., a Delaware limited partnership (“</w:t>
      </w:r>
      <w:r>
        <w:rPr>
          <w:rFonts w:ascii="Arial" w:cs="Arial" w:eastAsia="Arial" w:hAnsi="Arial"/>
          <w:sz w:val="18"/>
          <w:szCs w:val="18"/>
          <w:b w:val="1"/>
          <w:bCs w:val="1"/>
          <w:u w:val="single" w:color="auto"/>
          <w:color w:val="auto"/>
        </w:rPr>
        <w:t>PAGP</w:t>
      </w:r>
      <w:r>
        <w:rPr>
          <w:rFonts w:ascii="Arial" w:cs="Arial" w:eastAsia="Arial" w:hAnsi="Arial"/>
          <w:sz w:val="18"/>
          <w:szCs w:val="18"/>
          <w:color w:val="auto"/>
        </w:rPr>
        <w:t>”), owns a 100% membership interest in GP LLC. PAA GP Holdings LLC, a Delaware limited liability company (“</w:t>
      </w:r>
      <w:r>
        <w:rPr>
          <w:rFonts w:ascii="Arial" w:cs="Arial" w:eastAsia="Arial" w:hAnsi="Arial"/>
          <w:sz w:val="18"/>
          <w:szCs w:val="18"/>
          <w:b w:val="1"/>
          <w:bCs w:val="1"/>
          <w:u w:val="single" w:color="auto"/>
          <w:color w:val="auto"/>
        </w:rPr>
        <w:t>PAGP GP</w:t>
      </w:r>
      <w:r>
        <w:rPr>
          <w:rFonts w:ascii="Arial" w:cs="Arial" w:eastAsia="Arial" w:hAnsi="Arial"/>
          <w:sz w:val="18"/>
          <w:szCs w:val="18"/>
          <w:color w:val="auto"/>
        </w:rPr>
        <w:t>” and, collectively with the General Partner, Plains AAP, GP LLC and PAGP, the “</w:t>
      </w:r>
      <w:r>
        <w:rPr>
          <w:rFonts w:ascii="Arial" w:cs="Arial" w:eastAsia="Arial" w:hAnsi="Arial"/>
          <w:sz w:val="18"/>
          <w:szCs w:val="18"/>
          <w:b w:val="1"/>
          <w:bCs w:val="1"/>
          <w:u w:val="single" w:color="auto"/>
          <w:color w:val="auto"/>
        </w:rPr>
        <w:t>GP Entities</w:t>
      </w:r>
      <w:r>
        <w:rPr>
          <w:rFonts w:ascii="Arial" w:cs="Arial" w:eastAsia="Arial" w:hAnsi="Arial"/>
          <w:sz w:val="18"/>
          <w:szCs w:val="18"/>
          <w:color w:val="auto"/>
        </w:rPr>
        <w:t>”), owns a 100% membership interest in PAGP.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 xml:space="preserve">The subsidiaries of the Partnership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u w:val="single" w:color="auto"/>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u w:val="single" w:color="auto"/>
          <w:color w:val="auto"/>
        </w:rPr>
        <w:t>Domestic Subsidiaries</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is to confirm the agreement among the Issuers and the Underwriters concerning the several purchases of the Notes by the Underwriters.</w:t>
      </w:r>
    </w:p>
    <w:p>
      <w:pPr>
        <w:spacing w:after="0" w:line="221" w:lineRule="exact"/>
        <w:rPr>
          <w:sz w:val="20"/>
          <w:szCs w:val="20"/>
          <w:color w:val="auto"/>
        </w:rPr>
      </w:pPr>
    </w:p>
    <w:p>
      <w:pPr>
        <w:ind w:left="1380" w:hanging="724"/>
        <w:spacing w:after="0"/>
        <w:tabs>
          <w:tab w:leader="none" w:pos="1380" w:val="left"/>
        </w:tabs>
        <w:numPr>
          <w:ilvl w:val="0"/>
          <w:numId w:val="2"/>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Warranties of the Issuers</w:t>
      </w:r>
      <w:r>
        <w:rPr>
          <w:rFonts w:ascii="Arial" w:cs="Arial" w:eastAsia="Arial" w:hAnsi="Arial"/>
          <w:sz w:val="17"/>
          <w:szCs w:val="17"/>
          <w:color w:val="auto"/>
        </w:rPr>
        <w:t>. The Issuers, jointly and severally, represent and warrant to the Underwriters that:</w:t>
      </w:r>
    </w:p>
    <w:p>
      <w:pPr>
        <w:spacing w:after="0" w:line="240" w:lineRule="exact"/>
        <w:rPr>
          <w:rFonts w:ascii="Arial" w:cs="Arial" w:eastAsia="Arial" w:hAnsi="Arial"/>
          <w:sz w:val="17"/>
          <w:szCs w:val="17"/>
          <w:color w:val="auto"/>
        </w:rPr>
      </w:pPr>
    </w:p>
    <w:p>
      <w:pPr>
        <w:ind w:left="660" w:right="180" w:firstLine="645"/>
        <w:spacing w:after="0" w:line="276" w:lineRule="auto"/>
        <w:tabs>
          <w:tab w:leader="none" w:pos="2003"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Registration</w:t>
      </w:r>
      <w:r>
        <w:rPr>
          <w:rFonts w:ascii="Arial" w:cs="Arial" w:eastAsia="Arial" w:hAnsi="Arial"/>
          <w:sz w:val="17"/>
          <w:szCs w:val="17"/>
          <w:color w:val="auto"/>
        </w:rPr>
        <w:t>. A registration statement on Form S-3 relating to the Notes (File No. 333-207139) (i) has been prepared by the Issuers in conformity with the requirements of the Securities Act of 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and the rules and regulations (the “</w:t>
      </w:r>
      <w:r>
        <w:rPr>
          <w:rFonts w:ascii="Arial" w:cs="Arial" w:eastAsia="Arial" w:hAnsi="Arial"/>
          <w:sz w:val="17"/>
          <w:szCs w:val="17"/>
          <w:b w:val="1"/>
          <w:bCs w:val="1"/>
          <w:u w:val="single" w:color="auto"/>
          <w:color w:val="auto"/>
        </w:rPr>
        <w:t>Rules and Regulations</w:t>
      </w:r>
      <w:r>
        <w:rPr>
          <w:rFonts w:ascii="Arial" w:cs="Arial" w:eastAsia="Arial" w:hAnsi="Arial"/>
          <w:sz w:val="17"/>
          <w:szCs w:val="17"/>
          <w:color w:val="auto"/>
        </w:rPr>
        <w:t>”) of the Securities and Exchange Commission (the “</w:t>
      </w:r>
      <w:r>
        <w:rPr>
          <w:rFonts w:ascii="Arial" w:cs="Arial" w:eastAsia="Arial" w:hAnsi="Arial"/>
          <w:sz w:val="17"/>
          <w:szCs w:val="17"/>
          <w:b w:val="1"/>
          <w:bCs w:val="1"/>
          <w:u w:val="single" w:color="auto"/>
          <w:color w:val="auto"/>
        </w:rPr>
        <w:t>Commission</w:t>
      </w:r>
      <w:r>
        <w:rPr>
          <w:rFonts w:ascii="Arial" w:cs="Arial" w:eastAsia="Arial" w:hAnsi="Arial"/>
          <w:sz w:val="17"/>
          <w:szCs w:val="17"/>
          <w:color w:val="auto"/>
        </w:rPr>
        <w:t>”) thereunder; (ii) has been filed with the Commission under the Securities Act; and (iii) is effective under the Securities Act. Copies of such registration statement and any amendment thereto have been delivered by the Issuers to the Representatives. As used in this Agreement:</w:t>
      </w:r>
    </w:p>
    <w:p>
      <w:pPr>
        <w:spacing w:after="0" w:line="168" w:lineRule="exact"/>
        <w:rPr>
          <w:rFonts w:ascii="Arial" w:cs="Arial" w:eastAsia="Arial" w:hAnsi="Arial"/>
          <w:sz w:val="17"/>
          <w:szCs w:val="17"/>
          <w:color w:val="auto"/>
        </w:rPr>
      </w:pPr>
    </w:p>
    <w:p>
      <w:pPr>
        <w:ind w:left="1300" w:right="620" w:firstLine="653"/>
        <w:spacing w:after="0" w:line="282" w:lineRule="auto"/>
        <w:tabs>
          <w:tab w:leader="none" w:pos="2658"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 means 2:55 p.m., New York City time, on November 15, 2016, which the Underwriters have informed the Issuers and their counsel is a time prior to the first sale of the Notes;</w:t>
      </w:r>
    </w:p>
    <w:p>
      <w:pPr>
        <w:spacing w:after="0" w:line="161" w:lineRule="exact"/>
        <w:rPr>
          <w:rFonts w:ascii="Arial" w:cs="Arial" w:eastAsia="Arial" w:hAnsi="Arial"/>
          <w:sz w:val="18"/>
          <w:szCs w:val="18"/>
          <w:color w:val="auto"/>
        </w:rPr>
      </w:pPr>
    </w:p>
    <w:p>
      <w:pPr>
        <w:ind w:left="2660" w:hanging="707"/>
        <w:spacing w:after="0"/>
        <w:tabs>
          <w:tab w:leader="none" w:pos="2660" w:val="left"/>
        </w:tabs>
        <w:numPr>
          <w:ilvl w:val="2"/>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Base Prospectus</w:t>
      </w:r>
      <w:r>
        <w:rPr>
          <w:rFonts w:ascii="Arial" w:cs="Arial" w:eastAsia="Arial" w:hAnsi="Arial"/>
          <w:sz w:val="17"/>
          <w:szCs w:val="17"/>
          <w:color w:val="auto"/>
        </w:rPr>
        <w:t>” means the base prospectus included in the Registration Statement at the Applicable Time;</w:t>
      </w:r>
    </w:p>
    <w:p>
      <w:pPr>
        <w:spacing w:after="0" w:line="236" w:lineRule="exact"/>
        <w:rPr>
          <w:rFonts w:ascii="Arial" w:cs="Arial" w:eastAsia="Arial" w:hAnsi="Arial"/>
          <w:sz w:val="17"/>
          <w:szCs w:val="17"/>
          <w:color w:val="auto"/>
        </w:rPr>
      </w:pPr>
    </w:p>
    <w:p>
      <w:pPr>
        <w:ind w:left="1300" w:right="160" w:firstLine="653"/>
        <w:spacing w:after="0" w:line="282" w:lineRule="auto"/>
        <w:tabs>
          <w:tab w:leader="none" w:pos="2668"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any date as of which any part of such registration statement relating to the Notes became, or is deemed to have become, effective under the Securities Act in accordance with the Rules and Regulations;</w:t>
      </w:r>
    </w:p>
    <w:p>
      <w:pPr>
        <w:spacing w:after="0" w:line="161" w:lineRule="exact"/>
        <w:rPr>
          <w:rFonts w:ascii="Arial" w:cs="Arial" w:eastAsia="Arial" w:hAnsi="Arial"/>
          <w:sz w:val="18"/>
          <w:szCs w:val="18"/>
          <w:color w:val="auto"/>
        </w:rPr>
      </w:pPr>
    </w:p>
    <w:p>
      <w:pPr>
        <w:jc w:val="both"/>
        <w:ind w:left="1300" w:right="480" w:firstLine="653"/>
        <w:spacing w:after="0" w:line="266" w:lineRule="auto"/>
        <w:tabs>
          <w:tab w:leader="none" w:pos="2658"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176" w:lineRule="exact"/>
        <w:rPr>
          <w:rFonts w:ascii="Arial" w:cs="Arial" w:eastAsia="Arial" w:hAnsi="Arial"/>
          <w:sz w:val="18"/>
          <w:szCs w:val="18"/>
          <w:color w:val="auto"/>
        </w:rPr>
      </w:pPr>
    </w:p>
    <w:p>
      <w:pPr>
        <w:ind w:left="1300" w:right="520" w:firstLine="653"/>
        <w:spacing w:after="0" w:line="266" w:lineRule="auto"/>
        <w:tabs>
          <w:tab w:leader="none" w:pos="2653"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Preliminary Prospectus</w:t>
      </w:r>
      <w:r>
        <w:rPr>
          <w:rFonts w:ascii="Arial" w:cs="Arial" w:eastAsia="Arial" w:hAnsi="Arial"/>
          <w:sz w:val="18"/>
          <w:szCs w:val="18"/>
          <w:color w:val="auto"/>
        </w:rPr>
        <w:t>” means any preliminary prospectus relating to the Notes included in such registration statement or filed with the Commission pursuant to Rule 424(b) of the Rules and Regulations, including the Base Prospectus and any preliminary prospectus supplement thereto relating to the Notes;</w:t>
      </w:r>
    </w:p>
    <w:p>
      <w:pPr>
        <w:spacing w:after="0" w:line="176" w:lineRule="exact"/>
        <w:rPr>
          <w:rFonts w:ascii="Arial" w:cs="Arial" w:eastAsia="Arial" w:hAnsi="Arial"/>
          <w:sz w:val="18"/>
          <w:szCs w:val="18"/>
          <w:color w:val="auto"/>
        </w:rPr>
      </w:pPr>
    </w:p>
    <w:p>
      <w:pPr>
        <w:ind w:left="1300" w:right="260" w:firstLine="653"/>
        <w:spacing w:after="0" w:line="261" w:lineRule="auto"/>
        <w:tabs>
          <w:tab w:leader="none" w:pos="2658"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Pricing Disclosure Package</w:t>
      </w:r>
      <w:r>
        <w:rPr>
          <w:rFonts w:ascii="Arial" w:cs="Arial" w:eastAsia="Arial" w:hAnsi="Arial"/>
          <w:sz w:val="18"/>
          <w:szCs w:val="18"/>
          <w:color w:val="auto"/>
        </w:rPr>
        <w:t xml:space="preserve">” means, as of the Applicable Time, (A) the most recent Preliminary Prospectus, (B) the Issuer Free Writing Prospectus attached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(C) each other Issuer Free Writing Prospectuses filed or used by the Partnership on or before the Applicable Time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other than a road show that is an Issuer Free Writing Prospectus under Rule 433 of the Rules and Regulations;</w:t>
      </w:r>
    </w:p>
    <w:p>
      <w:pPr>
        <w:sectPr>
          <w:pgSz w:w="11900" w:h="16848" w:orient="portrait"/>
          <w:cols w:equalWidth="0" w:num="1">
            <w:col w:w="11420"/>
          </w:cols>
          <w:pgMar w:left="240" w:top="121" w:right="239" w:bottom="0" w:gutter="0" w:footer="0" w:header="0"/>
        </w:sectPr>
      </w:pPr>
    </w:p>
    <w:bookmarkStart w:id="3" w:name="page4"/>
    <w:bookmarkEnd w:id="3"/>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right="580" w:firstLine="653"/>
        <w:spacing w:after="0" w:line="347" w:lineRule="auto"/>
        <w:tabs>
          <w:tab w:leader="none" w:pos="2003"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116" w:lineRule="exact"/>
        <w:rPr>
          <w:rFonts w:ascii="Arial" w:cs="Arial" w:eastAsia="Arial" w:hAnsi="Arial"/>
          <w:sz w:val="16"/>
          <w:szCs w:val="16"/>
          <w:color w:val="auto"/>
        </w:rPr>
      </w:pPr>
    </w:p>
    <w:p>
      <w:pPr>
        <w:ind w:left="640" w:right="200" w:firstLine="653"/>
        <w:spacing w:after="0" w:line="313" w:lineRule="auto"/>
        <w:tabs>
          <w:tab w:leader="none" w:pos="2008"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the registration statement on Form S-3 (File No. 333-207139), as amended as of the Effective Date, including any Preliminary Prospectus or the Prospectus and all exhibits to such registration statement.</w:t>
      </w:r>
    </w:p>
    <w:p>
      <w:pPr>
        <w:spacing w:after="0" w:line="1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Arial" w:cs="Arial" w:eastAsia="Arial" w:hAnsi="Arial"/>
          <w:sz w:val="16"/>
          <w:szCs w:val="16"/>
          <w:b w:val="1"/>
          <w:bCs w:val="1"/>
          <w:u w:val="single" w:color="auto"/>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6"/>
          <w:szCs w:val="16"/>
          <w:b w:val="1"/>
          <w:bCs w:val="1"/>
          <w:u w:val="single" w:color="auto"/>
          <w:color w:val="auto"/>
        </w:rPr>
        <w:t>Incorporated Documents</w:t>
      </w:r>
      <w:r>
        <w:rPr>
          <w:rFonts w:ascii="Arial" w:cs="Arial" w:eastAsia="Arial" w:hAnsi="Arial"/>
          <w:sz w:val="16"/>
          <w:szCs w:val="16"/>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165" w:lineRule="exact"/>
        <w:rPr>
          <w:sz w:val="20"/>
          <w:szCs w:val="20"/>
          <w:color w:val="auto"/>
        </w:rPr>
      </w:pPr>
    </w:p>
    <w:p>
      <w:pPr>
        <w:ind w:firstLine="645"/>
        <w:spacing w:after="0" w:line="255" w:lineRule="auto"/>
        <w:tabs>
          <w:tab w:leader="none" w:pos="1353"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Form of Documents</w:t>
      </w:r>
      <w:r>
        <w:rPr>
          <w:rFonts w:ascii="Arial" w:cs="Arial" w:eastAsia="Arial" w:hAnsi="Arial"/>
          <w:sz w:val="18"/>
          <w:szCs w:val="18"/>
          <w:color w:val="auto"/>
        </w:rPr>
        <w:t>. The Registration Statement conformed in all material respects on the Effective Date and on the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w:t>
      </w:r>
    </w:p>
    <w:p>
      <w:pPr>
        <w:spacing w:after="0" w:line="1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applicable, and the rules and regulations of the Commission thereunder. The Registration Statement and the Prospectus conform in all material respects to the requirements applicable to them under the Trust Indenture Act of 1939, as amended (the “</w:t>
      </w:r>
      <w:r>
        <w:rPr>
          <w:rFonts w:ascii="Arial" w:cs="Arial" w:eastAsia="Arial" w:hAnsi="Arial"/>
          <w:sz w:val="16"/>
          <w:szCs w:val="16"/>
          <w:b w:val="1"/>
          <w:bCs w:val="1"/>
          <w:u w:val="single" w:color="auto"/>
          <w:color w:val="auto"/>
        </w:rPr>
        <w:t>Trust Indenture Act</w:t>
      </w:r>
      <w:r>
        <w:rPr>
          <w:rFonts w:ascii="Arial" w:cs="Arial" w:eastAsia="Arial" w:hAnsi="Arial"/>
          <w:sz w:val="16"/>
          <w:szCs w:val="16"/>
          <w:color w:val="auto"/>
        </w:rPr>
        <w:t>”).</w:t>
      </w:r>
    </w:p>
    <w:p>
      <w:pPr>
        <w:spacing w:after="0" w:line="120" w:lineRule="exact"/>
        <w:rPr>
          <w:sz w:val="20"/>
          <w:szCs w:val="20"/>
          <w:color w:val="auto"/>
        </w:rPr>
      </w:pPr>
    </w:p>
    <w:p>
      <w:pPr>
        <w:ind w:right="100" w:firstLine="645"/>
        <w:spacing w:after="0" w:line="277" w:lineRule="auto"/>
        <w:tabs>
          <w:tab w:leader="none" w:pos="1343" w:val="left"/>
        </w:tabs>
        <w:numPr>
          <w:ilvl w:val="0"/>
          <w:numId w:val="5"/>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Registration Statement</w:t>
      </w:r>
      <w:r>
        <w:rPr>
          <w:rFonts w:ascii="Arial" w:cs="Arial" w:eastAsia="Arial" w:hAnsi="Arial"/>
          <w:sz w:val="17"/>
          <w:szCs w:val="17"/>
          <w:color w:val="auto"/>
        </w:rPr>
        <w:t>. The Registration Statement did not, as of its most recent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Effective Date, contain an untrue statement of a material fact or omit to state a material fact required to be stated therein or necessary to make the statements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right="160" w:firstLine="645"/>
        <w:spacing w:after="0" w:line="277"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Prospectus</w:t>
      </w:r>
      <w:r>
        <w:rPr>
          <w:rFonts w:ascii="Arial" w:cs="Arial" w:eastAsia="Arial" w:hAnsi="Arial"/>
          <w:sz w:val="17"/>
          <w:szCs w:val="17"/>
          <w:color w:val="auto"/>
        </w:rPr>
        <w:t>. The Prospectus will not, as of its date and on the Delivery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firstLine="645"/>
        <w:spacing w:after="0" w:line="289" w:lineRule="auto"/>
        <w:tabs>
          <w:tab w:leader="none" w:pos="1343" w:val="left"/>
        </w:tabs>
        <w:numPr>
          <w:ilvl w:val="0"/>
          <w:numId w:val="5"/>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Documents Incorporated by Reference</w:t>
      </w:r>
      <w:r>
        <w:rPr>
          <w:rFonts w:ascii="Arial" w:cs="Arial" w:eastAsia="Arial" w:hAnsi="Arial"/>
          <w:sz w:val="17"/>
          <w:szCs w:val="17"/>
          <w:color w:val="auto"/>
        </w:rPr>
        <w:t>. The Incorporated Documents, when filed</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58" w:lineRule="exact"/>
        <w:rPr>
          <w:rFonts w:ascii="Arial" w:cs="Arial" w:eastAsia="Arial" w:hAnsi="Arial"/>
          <w:sz w:val="17"/>
          <w:szCs w:val="17"/>
          <w:color w:val="auto"/>
        </w:rPr>
      </w:pPr>
    </w:p>
    <w:p>
      <w:pPr>
        <w:ind w:right="160" w:firstLine="645"/>
        <w:spacing w:after="0" w:line="298" w:lineRule="auto"/>
        <w:tabs>
          <w:tab w:leader="none" w:pos="1368"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No Material Misstatements or Omissions in Pricing Disclosure Package</w:t>
      </w:r>
      <w:r>
        <w:rPr>
          <w:rFonts w:ascii="Arial" w:cs="Arial" w:eastAsia="Arial" w:hAnsi="Arial"/>
          <w:sz w:val="16"/>
          <w:szCs w:val="16"/>
          <w:color w:val="auto"/>
        </w:rPr>
        <w:t>. The Pricing Disclosure Package did not,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Time,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firstLine="645"/>
        <w:spacing w:after="0" w:line="277"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Issuer Free Writing Prospectus and Pricing Disclosure Package</w:t>
      </w:r>
      <w:r>
        <w:rPr>
          <w:rFonts w:ascii="Arial" w:cs="Arial" w:eastAsia="Arial" w:hAnsi="Arial"/>
          <w:sz w:val="17"/>
          <w:szCs w:val="17"/>
          <w:color w:val="auto"/>
        </w:rPr>
        <w:t>. Each Issuer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Free 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representation or warranty is made as to information contained in or omitted from such</w:t>
      </w:r>
    </w:p>
    <w:p>
      <w:pPr>
        <w:spacing w:after="0" w:line="17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680" w:gutter="0" w:footer="0" w:header="0"/>
        </w:sectPr>
      </w:pPr>
    </w:p>
    <w:bookmarkStart w:id="4" w:name="page5"/>
    <w:bookmarkEnd w:id="4"/>
    <w:p>
      <w:pPr>
        <w:spacing w:after="0" w:line="1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Issuer Free Writing Prospectus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66" w:lineRule="exact"/>
        <w:rPr>
          <w:sz w:val="20"/>
          <w:szCs w:val="20"/>
          <w:color w:val="auto"/>
        </w:rPr>
      </w:pPr>
    </w:p>
    <w:p>
      <w:pPr>
        <w:ind w:firstLine="645"/>
        <w:spacing w:after="0" w:line="292"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Issuer Free Writing Prospectuses Conform to the Requirements of the Securities Act</w:t>
      </w:r>
      <w:r>
        <w:rPr>
          <w:rFonts w:ascii="Arial" w:cs="Arial" w:eastAsia="Arial" w:hAnsi="Arial"/>
          <w:sz w:val="16"/>
          <w:szCs w:val="16"/>
          <w:color w:val="auto"/>
        </w:rPr>
        <w:t>. Each Issuer Free Writing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161" w:lineRule="exact"/>
        <w:rPr>
          <w:rFonts w:ascii="Arial" w:cs="Arial" w:eastAsia="Arial" w:hAnsi="Arial"/>
          <w:sz w:val="16"/>
          <w:szCs w:val="16"/>
          <w:color w:val="auto"/>
        </w:rPr>
      </w:pPr>
    </w:p>
    <w:p>
      <w:pPr>
        <w:ind w:right="60" w:firstLine="645"/>
        <w:spacing w:after="0" w:line="261" w:lineRule="auto"/>
        <w:tabs>
          <w:tab w:leader="none" w:pos="1358"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Well-Known Seasoned Issuer and Not an Ineligible Issuer</w:t>
      </w:r>
      <w:r>
        <w:rPr>
          <w:rFonts w:ascii="Arial" w:cs="Arial" w:eastAsia="Arial" w:hAnsi="Arial"/>
          <w:sz w:val="18"/>
          <w:szCs w:val="18"/>
          <w:color w:val="auto"/>
        </w:rPr>
        <w:t>. Each of the Issuers is a “well-known seasoned issuer”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in Rule 405 of the Rules and Regulations).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w:t>
      </w:r>
    </w:p>
    <w:p>
      <w:pPr>
        <w:spacing w:after="0" w:line="180" w:lineRule="exact"/>
        <w:rPr>
          <w:rFonts w:ascii="Arial" w:cs="Arial" w:eastAsia="Arial" w:hAnsi="Arial"/>
          <w:sz w:val="18"/>
          <w:szCs w:val="18"/>
          <w:color w:val="auto"/>
        </w:rPr>
      </w:pPr>
    </w:p>
    <w:p>
      <w:pPr>
        <w:ind w:right="40" w:firstLine="645"/>
        <w:spacing w:after="0" w:line="269" w:lineRule="auto"/>
        <w:tabs>
          <w:tab w:leader="none" w:pos="1358"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Formation and Qualification of Certain Entities</w:t>
      </w:r>
      <w:r>
        <w:rPr>
          <w:rFonts w:ascii="Arial" w:cs="Arial" w:eastAsia="Arial" w:hAnsi="Arial"/>
          <w:sz w:val="17"/>
          <w:szCs w:val="17"/>
          <w:color w:val="auto"/>
        </w:rPr>
        <w:t>. Each of the Issuers, the GP Entities and the Material Subsidiaries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and the Partnership (collectively, the “</w:t>
      </w:r>
      <w:r>
        <w:rPr>
          <w:rFonts w:ascii="Arial" w:cs="Arial" w:eastAsia="Arial" w:hAnsi="Arial"/>
          <w:sz w:val="17"/>
          <w:szCs w:val="17"/>
          <w:b w:val="1"/>
          <w:bCs w:val="1"/>
          <w:u w:val="single" w:color="auto"/>
          <w:color w:val="auto"/>
        </w:rPr>
        <w:t>Plains Entities</w:t>
      </w:r>
      <w:r>
        <w:rPr>
          <w:rFonts w:ascii="Arial" w:cs="Arial" w:eastAsia="Arial" w:hAnsi="Arial"/>
          <w:sz w:val="17"/>
          <w:szCs w:val="17"/>
          <w:color w:val="auto"/>
        </w:rPr>
        <w:t>”), taken as a whole (a “</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or (ii) subject the limited partners of the Partnership to any material liability or disability.</w:t>
      </w:r>
    </w:p>
    <w:p>
      <w:pPr>
        <w:spacing w:after="0" w:line="179" w:lineRule="exact"/>
        <w:rPr>
          <w:rFonts w:ascii="Arial" w:cs="Arial" w:eastAsia="Arial" w:hAnsi="Arial"/>
          <w:sz w:val="17"/>
          <w:szCs w:val="17"/>
          <w:color w:val="auto"/>
        </w:rPr>
      </w:pPr>
    </w:p>
    <w:p>
      <w:pPr>
        <w:ind w:right="160" w:firstLine="645"/>
        <w:spacing w:after="0" w:line="282"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Partners</w:t>
      </w:r>
      <w:r>
        <w:rPr>
          <w:rFonts w:ascii="Arial" w:cs="Arial" w:eastAsia="Arial" w:hAnsi="Arial"/>
          <w:sz w:val="18"/>
          <w:szCs w:val="18"/>
          <w:color w:val="auto"/>
        </w:rPr>
        <w:t>. Each Plains Entity or GP Entity that serves as a general partner of another Plains Entity or GP Entity has full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or limited liability</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company power and authority, as the case may be, to serve as general partner of such Plains Entity or GP Entity, in each case in all material respects, as disclosed in the Pricing Disclosure Package and the Prospectus.</w:t>
      </w:r>
    </w:p>
    <w:p>
      <w:pPr>
        <w:spacing w:after="0" w:line="166" w:lineRule="exact"/>
        <w:rPr>
          <w:sz w:val="20"/>
          <w:szCs w:val="20"/>
          <w:color w:val="auto"/>
        </w:rPr>
      </w:pPr>
    </w:p>
    <w:p>
      <w:pPr>
        <w:ind w:right="20" w:firstLine="645"/>
        <w:spacing w:after="0" w:line="270" w:lineRule="auto"/>
        <w:tabs>
          <w:tab w:leader="none" w:pos="1358"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Ownership of Interests in the Partnership, the General Partner and Plains AAP</w:t>
      </w:r>
      <w:r>
        <w:rPr>
          <w:rFonts w:ascii="Arial" w:cs="Arial" w:eastAsia="Arial" w:hAnsi="Arial"/>
          <w:sz w:val="17"/>
          <w:szCs w:val="17"/>
          <w:color w:val="auto"/>
        </w:rPr>
        <w:t>. The GP Entities hold the general partner</w:t>
      </w:r>
      <w:r>
        <w:rPr>
          <w:rFonts w:ascii="Arial" w:cs="Arial" w:eastAsia="Arial" w:hAnsi="Arial"/>
          <w:sz w:val="17"/>
          <w:szCs w:val="17"/>
          <w:b w:val="1"/>
          <w:bCs w:val="1"/>
          <w:color w:val="auto"/>
        </w:rPr>
        <w:t xml:space="preserve"> </w:t>
      </w:r>
      <w:r>
        <w:rPr>
          <w:rFonts w:ascii="Arial" w:cs="Arial" w:eastAsia="Arial" w:hAnsi="Arial"/>
          <w:sz w:val="17"/>
          <w:szCs w:val="17"/>
          <w:color w:val="auto"/>
        </w:rPr>
        <w:t>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Delivery Date, such agreement being referred to herein as the “</w:t>
      </w:r>
      <w:r>
        <w:rPr>
          <w:rFonts w:ascii="Arial" w:cs="Arial" w:eastAsia="Arial" w:hAnsi="Arial"/>
          <w:sz w:val="17"/>
          <w:szCs w:val="17"/>
          <w:b w:val="1"/>
          <w:bCs w:val="1"/>
          <w:u w:val="single" w:color="auto"/>
          <w:color w:val="auto"/>
        </w:rPr>
        <w:t>General Partner LLC Agreement</w:t>
      </w:r>
      <w:r>
        <w:rPr>
          <w:rFonts w:ascii="Arial" w:cs="Arial" w:eastAsia="Arial" w:hAnsi="Arial"/>
          <w:sz w:val="17"/>
          <w:szCs w:val="17"/>
          <w:color w:val="auto"/>
        </w:rPr>
        <w:t>”)) and nonassessable (except as such nonassessability may be affected by Sections 18-607 and 18-804 of the Delaware Limited Liability Company Act (the “</w:t>
      </w:r>
      <w:r>
        <w:rPr>
          <w:rFonts w:ascii="Arial" w:cs="Arial" w:eastAsia="Arial" w:hAnsi="Arial"/>
          <w:sz w:val="17"/>
          <w:szCs w:val="17"/>
          <w:b w:val="1"/>
          <w:bCs w:val="1"/>
          <w:u w:val="single" w:color="auto"/>
          <w:color w:val="auto"/>
        </w:rPr>
        <w:t>Delaware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LLC Act</w:t>
      </w:r>
      <w:r>
        <w:rPr>
          <w:rFonts w:ascii="Arial" w:cs="Arial" w:eastAsia="Arial" w:hAnsi="Arial"/>
          <w:sz w:val="17"/>
          <w:szCs w:val="17"/>
          <w:color w:val="auto"/>
        </w:rPr>
        <w:t>”)); and such general partner and membership interests held by the GP Entities are owned free and clear of all liens, encumbrances,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equities, charges or claims (“</w:t>
      </w:r>
      <w:r>
        <w:rPr>
          <w:rFonts w:ascii="Arial" w:cs="Arial" w:eastAsia="Arial" w:hAnsi="Arial"/>
          <w:sz w:val="17"/>
          <w:szCs w:val="17"/>
          <w:b w:val="1"/>
          <w:bCs w:val="1"/>
          <w:u w:val="single" w:color="auto"/>
          <w:color w:val="auto"/>
        </w:rPr>
        <w:t>Liens</w:t>
      </w:r>
      <w:r>
        <w:rPr>
          <w:rFonts w:ascii="Arial" w:cs="Arial" w:eastAsia="Arial" w:hAnsi="Arial"/>
          <w:sz w:val="17"/>
          <w:szCs w:val="17"/>
          <w:color w:val="auto"/>
        </w:rPr>
        <w:t>”), except (i) as disclosed in the Pricing Disclosure 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w:t>
      </w:r>
    </w:p>
    <w:p>
      <w:pPr>
        <w:spacing w:after="0" w:line="174" w:lineRule="exact"/>
        <w:rPr>
          <w:rFonts w:ascii="Arial" w:cs="Arial" w:eastAsia="Arial" w:hAnsi="Arial"/>
          <w:sz w:val="17"/>
          <w:szCs w:val="17"/>
          <w:color w:val="auto"/>
        </w:rPr>
      </w:pPr>
    </w:p>
    <w:p>
      <w:pPr>
        <w:ind w:right="20" w:firstLine="645"/>
        <w:spacing w:after="0" w:line="268" w:lineRule="auto"/>
        <w:tabs>
          <w:tab w:leader="none" w:pos="1358"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Ownership of the Material Subsidiaries</w:t>
      </w:r>
      <w:r>
        <w:rPr>
          <w:rFonts w:ascii="Arial" w:cs="Arial" w:eastAsia="Arial" w:hAnsi="Arial"/>
          <w:sz w:val="17"/>
          <w:szCs w:val="17"/>
          <w:color w:val="auto"/>
        </w:rPr>
        <w:t>. All of the outstanding shares of capital stock or other equity interests of each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(i) have been duly authorized and validly issued (in accordance with the agreement or certificate of limited partnership, limited liability company agreement, certificate of formation, bylaws or other similar organizational documents (in each case as in effect on the date hereof and as the same may be amended or restated prior to the Delivery Date) (the “</w:t>
      </w:r>
      <w:r>
        <w:rPr>
          <w:rFonts w:ascii="Arial" w:cs="Arial" w:eastAsia="Arial" w:hAnsi="Arial"/>
          <w:sz w:val="17"/>
          <w:szCs w:val="17"/>
          <w:b w:val="1"/>
          <w:bCs w:val="1"/>
          <w:u w:val="single" w:color="auto"/>
          <w:color w:val="auto"/>
        </w:rPr>
        <w:t>Organizational Documents</w:t>
      </w:r>
      <w:r>
        <w:rPr>
          <w:rFonts w:ascii="Arial" w:cs="Arial" w:eastAsia="Arial" w:hAnsi="Arial"/>
          <w:sz w:val="17"/>
          <w:szCs w:val="17"/>
          <w:color w:val="auto"/>
        </w:rPr>
        <w:t>”) of such Material Subsidiary), are fully paid (in the case of an interest in a limited partnership or limited liability company, to the extent required under the Organizational Documents of such Material Subsidiary) and nonassessable (except (A) in the case of an interest in a Delaware limited partnership or Delaware limited liability company, as such nonassessability may be affected by Sections 17-607 and 17-804 of the Delaware Revised Uniform Limited Partnership Act (the “</w:t>
      </w:r>
      <w:r>
        <w:rPr>
          <w:rFonts w:ascii="Arial" w:cs="Arial" w:eastAsia="Arial" w:hAnsi="Arial"/>
          <w:sz w:val="17"/>
          <w:szCs w:val="17"/>
          <w:b w:val="1"/>
          <w:bCs w:val="1"/>
          <w:u w:val="single" w:color="auto"/>
          <w:color w:val="auto"/>
        </w:rPr>
        <w:t>Delaware LP Act</w:t>
      </w:r>
      <w:r>
        <w:rPr>
          <w:rFonts w:ascii="Arial" w:cs="Arial" w:eastAsia="Arial" w:hAnsi="Arial"/>
          <w:sz w:val="17"/>
          <w:szCs w:val="17"/>
          <w:color w:val="auto"/>
        </w:rPr>
        <w: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(C) in the case of an interest in an entity formed under the laws of a foreign jurisdiction, as such nonassessability may be affected by similar provisions of such jurisdiction’s partnership or limited liability company statute, if any, as applicable) and (ii) are owned, directly or indirectly, by the Partnership, free and clear of all Liens. The Subsidiaries other than the Material Subsidiaries would not have, individually or in the aggregate, accounted for (A) more than 10% of the total assets of the Plains Entities, taken as a whole, as of the most recent fiscal year end or (B) more than 10% of the net income of the Plains Entities, taken as a whole, for the most recent fiscal year.</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645"/>
        <w:spacing w:after="0" w:line="282" w:lineRule="auto"/>
        <w:tabs>
          <w:tab w:leader="none" w:pos="1353"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Registration Rights</w:t>
      </w:r>
      <w:r>
        <w:rPr>
          <w:rFonts w:ascii="Arial" w:cs="Arial" w:eastAsia="Arial" w:hAnsi="Arial"/>
          <w:sz w:val="18"/>
          <w:szCs w:val="18"/>
          <w:color w:val="auto"/>
        </w:rPr>
        <w:t>. The offering and sale of the Notes as contemplated by this Agreement do not give rise to any rights for</w:t>
      </w:r>
      <w:r>
        <w:rPr>
          <w:rFonts w:ascii="Arial" w:cs="Arial" w:eastAsia="Arial" w:hAnsi="Arial"/>
          <w:sz w:val="18"/>
          <w:szCs w:val="18"/>
          <w:b w:val="1"/>
          <w:bCs w:val="1"/>
          <w:color w:val="auto"/>
        </w:rPr>
        <w:t xml:space="preserve"> </w:t>
      </w:r>
      <w:r>
        <w:rPr>
          <w:rFonts w:ascii="Arial" w:cs="Arial" w:eastAsia="Arial" w:hAnsi="Arial"/>
          <w:sz w:val="18"/>
          <w:szCs w:val="18"/>
          <w:color w:val="auto"/>
        </w:rPr>
        <w:t>or relating to the registration of any other securities of the Issuers, except such rights as have been waived or satisfied.</w:t>
      </w:r>
    </w:p>
    <w:p>
      <w:pPr>
        <w:spacing w:after="0" w:line="161" w:lineRule="exact"/>
        <w:rPr>
          <w:rFonts w:ascii="Arial" w:cs="Arial" w:eastAsia="Arial" w:hAnsi="Arial"/>
          <w:sz w:val="18"/>
          <w:szCs w:val="18"/>
          <w:color w:val="auto"/>
        </w:rPr>
      </w:pPr>
    </w:p>
    <w:p>
      <w:pPr>
        <w:ind w:right="100" w:firstLine="645"/>
        <w:spacing w:after="0" w:line="347" w:lineRule="auto"/>
        <w:tabs>
          <w:tab w:leader="none" w:pos="1353"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Conformity to Description of Notes</w:t>
      </w:r>
      <w:r>
        <w:rPr>
          <w:rFonts w:ascii="Arial" w:cs="Arial" w:eastAsia="Arial" w:hAnsi="Arial"/>
          <w:sz w:val="16"/>
          <w:szCs w:val="16"/>
          <w:color w:val="auto"/>
        </w:rPr>
        <w:t>. The Notes, when issued and delivered against payment therefor as provided herein and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Indenture, and the Indenture will conform in all material respects to the descriptions thereof contained in the Pricing Disclosure Package and the</w:t>
      </w:r>
    </w:p>
    <w:p>
      <w:pPr>
        <w:sectPr>
          <w:pgSz w:w="11900" w:h="16979" w:orient="portrait"/>
          <w:cols w:equalWidth="0" w:num="1">
            <w:col w:w="10760"/>
          </w:cols>
          <w:pgMar w:left="900" w:top="125" w:right="239" w:bottom="0" w:gutter="0" w:footer="0" w:header="0"/>
        </w:sectPr>
      </w:pPr>
    </w:p>
    <w:bookmarkStart w:id="5" w:name="page6"/>
    <w:bookmarkEnd w:id="5"/>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Prospectus (and any amendment or supplement thereto).</w:t>
      </w:r>
    </w:p>
    <w:p>
      <w:pPr>
        <w:spacing w:after="0" w:line="221" w:lineRule="exact"/>
        <w:rPr>
          <w:sz w:val="20"/>
          <w:szCs w:val="20"/>
          <w:color w:val="auto"/>
        </w:rPr>
      </w:pPr>
    </w:p>
    <w:p>
      <w:pPr>
        <w:ind w:right="20" w:firstLine="645"/>
        <w:spacing w:after="0" w:line="256" w:lineRule="auto"/>
        <w:tabs>
          <w:tab w:leader="none" w:pos="1353"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Each of the Issuers has all requisite partnership or corporate, as applicable, power and authority to issue, sell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the Notes in accordance with and upon the terms and conditions set forth in this Agreement, its Organizational Documents, the Indenture, the Registration Statement, the Pricing Disclosure Package and the Prospectus.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187" w:lineRule="exact"/>
        <w:rPr>
          <w:rFonts w:ascii="Arial" w:cs="Arial" w:eastAsia="Arial" w:hAnsi="Arial"/>
          <w:sz w:val="18"/>
          <w:szCs w:val="18"/>
          <w:color w:val="auto"/>
        </w:rPr>
      </w:pPr>
    </w:p>
    <w:p>
      <w:pPr>
        <w:ind w:right="40" w:firstLine="645"/>
        <w:spacing w:after="0" w:line="282" w:lineRule="auto"/>
        <w:tabs>
          <w:tab w:leader="none" w:pos="1353"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 Execution and Delivery of this Agreement</w:t>
      </w:r>
      <w:r>
        <w:rPr>
          <w:rFonts w:ascii="Arial" w:cs="Arial" w:eastAsia="Arial" w:hAnsi="Arial"/>
          <w:sz w:val="18"/>
          <w:szCs w:val="18"/>
          <w:color w:val="auto"/>
        </w:rPr>
        <w:t>. This Agreement has been duly and validly authorized,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or on behalf of the Issuers.</w:t>
      </w:r>
    </w:p>
    <w:p>
      <w:pPr>
        <w:spacing w:after="0" w:line="161" w:lineRule="exact"/>
        <w:rPr>
          <w:rFonts w:ascii="Arial" w:cs="Arial" w:eastAsia="Arial" w:hAnsi="Arial"/>
          <w:sz w:val="18"/>
          <w:szCs w:val="18"/>
          <w:color w:val="auto"/>
        </w:rPr>
      </w:pPr>
    </w:p>
    <w:p>
      <w:pPr>
        <w:ind w:right="160" w:firstLine="645"/>
        <w:spacing w:after="0" w:line="291" w:lineRule="auto"/>
        <w:tabs>
          <w:tab w:leader="none" w:pos="1368"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Enforceability of the Indenture</w:t>
      </w:r>
      <w:r>
        <w:rPr>
          <w:rFonts w:ascii="Arial" w:cs="Arial" w:eastAsia="Arial" w:hAnsi="Arial"/>
          <w:sz w:val="16"/>
          <w:szCs w:val="16"/>
          <w:color w:val="auto"/>
        </w:rPr>
        <w:t>. The execution and delivery of, and the performance by each of the Issuers of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under, the Indenture have been duly and validly authorized by each of the Issuers; the Indenture has been duly qualified under the Trust Indenture Act and, assuming due authorization, execution and delivery of the Base Indenture and the Supplemental Indenture by the Trustee, when the Supplemental Indenture is executed and delivered by each of the Issuers, will constitute the valid and legally binding agreement of each of the Issuers, enforceable against each of the Issuers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160" w:lineRule="exact"/>
        <w:rPr>
          <w:rFonts w:ascii="Arial" w:cs="Arial" w:eastAsia="Arial" w:hAnsi="Arial"/>
          <w:sz w:val="16"/>
          <w:szCs w:val="16"/>
          <w:color w:val="auto"/>
        </w:rPr>
      </w:pPr>
    </w:p>
    <w:p>
      <w:pPr>
        <w:jc w:val="both"/>
        <w:ind w:right="40" w:firstLine="645"/>
        <w:spacing w:after="0" w:line="277" w:lineRule="auto"/>
        <w:tabs>
          <w:tab w:leader="none" w:pos="1378"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auto"/>
        </w:rPr>
        <w:t>Valid Issuance of the Notes</w:t>
      </w:r>
      <w:r>
        <w:rPr>
          <w:rFonts w:ascii="Arial" w:cs="Arial" w:eastAsia="Arial" w:hAnsi="Arial"/>
          <w:sz w:val="17"/>
          <w:szCs w:val="17"/>
          <w:color w:val="auto"/>
        </w:rPr>
        <w:t>. The Notes have been duly authorized, and, when executed and authenticated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enforceability thereof may be limited by bankruptcy, insolvency, fraudulent transfer, reorganization, moratorium and similar laws relating to or affecting creditors’ rights generally and by general principles of equity</w:t>
      </w:r>
    </w:p>
    <w:p>
      <w:pPr>
        <w:spacing w:after="0" w:line="17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(regardless of whether such enforceability is considered in a proceeding in equity or at law) and except as rights to indemnity and contribution thereunder may be limited by federal or state securities laws.</w:t>
      </w:r>
    </w:p>
    <w:p>
      <w:pPr>
        <w:spacing w:after="0" w:line="166" w:lineRule="exact"/>
        <w:rPr>
          <w:sz w:val="20"/>
          <w:szCs w:val="20"/>
          <w:color w:val="auto"/>
        </w:rPr>
      </w:pPr>
    </w:p>
    <w:p>
      <w:pPr>
        <w:ind w:right="180" w:firstLine="645"/>
        <w:spacing w:after="0" w:line="295" w:lineRule="auto"/>
        <w:tabs>
          <w:tab w:leader="none" w:pos="1358"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Authorization, Execution and Enforceability of the Operating Agreements</w:t>
      </w:r>
      <w:r>
        <w:rPr>
          <w:rFonts w:ascii="Arial" w:cs="Arial" w:eastAsia="Arial" w:hAnsi="Arial"/>
          <w:sz w:val="16"/>
          <w:szCs w:val="16"/>
          <w:color w:val="auto"/>
        </w:rPr>
        <w:t>. The partnership agreement or limited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agreement, as applicable, of each of the Issuers,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55" w:lineRule="exact"/>
        <w:rPr>
          <w:rFonts w:ascii="Arial" w:cs="Arial" w:eastAsia="Arial" w:hAnsi="Arial"/>
          <w:sz w:val="16"/>
          <w:szCs w:val="16"/>
          <w:color w:val="auto"/>
        </w:rPr>
      </w:pPr>
    </w:p>
    <w:p>
      <w:pPr>
        <w:ind w:right="20" w:firstLine="645"/>
        <w:spacing w:after="0" w:line="287" w:lineRule="auto"/>
        <w:tabs>
          <w:tab w:leader="none" w:pos="1353"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No Conflicts or Violations</w:t>
      </w:r>
      <w:r>
        <w:rPr>
          <w:rFonts w:ascii="Arial" w:cs="Arial" w:eastAsia="Arial" w:hAnsi="Arial"/>
          <w:sz w:val="16"/>
          <w:szCs w:val="16"/>
          <w:color w:val="auto"/>
        </w:rPr>
        <w:t>. None of (i) the offering, issuance and sale by the Issuers of the Notes, (ii) the execution, delivery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performance of this Agreement by each of the Issuers, (iii) the consummation of the transactions contemplated by this Agreement or (iv) the execution, delivery and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would reasonably be expected to have a Material Adverse Effect or materially impair the ability of the Issuers to consummate the transactions contemplated by this Agreement.</w:t>
      </w:r>
    </w:p>
    <w:p>
      <w:pPr>
        <w:spacing w:after="0" w:line="164" w:lineRule="exact"/>
        <w:rPr>
          <w:rFonts w:ascii="Arial" w:cs="Arial" w:eastAsia="Arial" w:hAnsi="Arial"/>
          <w:sz w:val="16"/>
          <w:szCs w:val="16"/>
          <w:color w:val="auto"/>
        </w:rPr>
      </w:pPr>
    </w:p>
    <w:p>
      <w:pPr>
        <w:ind w:right="20" w:firstLine="645"/>
        <w:spacing w:after="0" w:line="277" w:lineRule="auto"/>
        <w:tabs>
          <w:tab w:leader="none" w:pos="1353"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auto"/>
        </w:rPr>
        <w:t>No Consents</w:t>
      </w:r>
      <w:r>
        <w:rPr>
          <w:rFonts w:ascii="Arial" w:cs="Arial" w:eastAsia="Arial" w:hAnsi="Arial"/>
          <w:sz w:val="17"/>
          <w:szCs w:val="17"/>
          <w:color w:val="auto"/>
        </w:rPr>
        <w:t>. No consent, approval, authorization, filing with or order of any court, governmental agency or body having</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(iii) the execution, delivery and performance of the Indenture by each of the Issuers or the consummation of the transactions contemplated thereby, except (A) such as have been obtained under the</w:t>
      </w:r>
    </w:p>
    <w:p>
      <w:pPr>
        <w:spacing w:after="0" w:line="17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Securities Act, (B) such as may be required under the blue sky laws of any jurisdiction or the by-laws and rules of the Financial Industry Regulatory Authority, Inc. (“</w:t>
      </w:r>
      <w:r>
        <w:rPr>
          <w:rFonts w:ascii="Arial" w:cs="Arial" w:eastAsia="Arial" w:hAnsi="Arial"/>
          <w:sz w:val="16"/>
          <w:szCs w:val="16"/>
          <w:b w:val="1"/>
          <w:bCs w:val="1"/>
          <w:u w:val="single" w:color="auto"/>
          <w:color w:val="auto"/>
        </w:rPr>
        <w:t>FINRA</w:t>
      </w:r>
      <w:r>
        <w:rPr>
          <w:rFonts w:ascii="Arial" w:cs="Arial" w:eastAsia="Arial" w:hAnsi="Arial"/>
          <w:sz w:val="16"/>
          <w:szCs w:val="16"/>
          <w:color w:val="auto"/>
        </w:rPr>
        <w:t>”) in connection with the purchase and distribution by the Underwriters of the Notes in the manner contemplated herein and in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150" w:lineRule="exact"/>
        <w:rPr>
          <w:sz w:val="20"/>
          <w:szCs w:val="20"/>
          <w:color w:val="auto"/>
        </w:rPr>
      </w:pPr>
    </w:p>
    <w:p>
      <w:pPr>
        <w:ind w:firstLine="645"/>
        <w:spacing w:after="0" w:line="295" w:lineRule="auto"/>
        <w:tabs>
          <w:tab w:leader="none" w:pos="1348" w:val="left"/>
        </w:tabs>
        <w:numPr>
          <w:ilvl w:val="0"/>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No Default</w:t>
      </w:r>
      <w:r>
        <w:rPr>
          <w:rFonts w:ascii="Arial" w:cs="Arial" w:eastAsia="Arial" w:hAnsi="Arial"/>
          <w:sz w:val="16"/>
          <w:szCs w:val="16"/>
          <w:color w:val="auto"/>
        </w:rPr>
        <w:t>. (i) None of the Issuers or the GP Entities or the Material Subsidiaries is in violation of its Organizational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w:t>
      </w:r>
    </w:p>
    <w:p>
      <w:pPr>
        <w:sectPr>
          <w:pgSz w:w="11900" w:h="16939" w:orient="portrait"/>
          <w:cols w:equalWidth="0" w:num="1">
            <w:col w:w="10740"/>
          </w:cols>
          <w:pgMar w:left="900" w:top="125" w:right="259" w:bottom="0" w:gutter="0" w:footer="0" w:header="0"/>
        </w:sectPr>
      </w:pPr>
    </w:p>
    <w:bookmarkStart w:id="6" w:name="page7"/>
    <w:bookmarkEnd w:id="6"/>
    <w:p>
      <w:pPr>
        <w:spacing w:after="0" w:line="101" w:lineRule="exact"/>
        <w:rPr>
          <w:sz w:val="20"/>
          <w:szCs w:val="20"/>
          <w:color w:val="auto"/>
        </w:rPr>
      </w:pPr>
    </w:p>
    <w:p>
      <w:pPr>
        <w:ind w:left="4" w:right="240"/>
        <w:spacing w:after="0" w:line="342" w:lineRule="auto"/>
        <w:rPr>
          <w:sz w:val="20"/>
          <w:szCs w:val="20"/>
          <w:color w:val="auto"/>
        </w:rPr>
      </w:pPr>
      <w:r>
        <w:rPr>
          <w:rFonts w:ascii="Arial" w:cs="Arial" w:eastAsia="Arial" w:hAnsi="Arial"/>
          <w:sz w:val="16"/>
          <w:szCs w:val="16"/>
          <w:color w:val="auto"/>
        </w:rPr>
        <w:t xml:space="preserve">properties may be bound, which breach, default or violation,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would, if continued, reasonably be expected to have a Material Adverse Effect or materially impair the ability of either of the Issuers to perform its obligations under this Agreement.</w:t>
      </w:r>
    </w:p>
    <w:p>
      <w:pPr>
        <w:spacing w:after="0" w:line="120" w:lineRule="exact"/>
        <w:rPr>
          <w:sz w:val="20"/>
          <w:szCs w:val="20"/>
          <w:color w:val="auto"/>
        </w:rPr>
      </w:pPr>
    </w:p>
    <w:p>
      <w:pPr>
        <w:ind w:left="4" w:right="140" w:firstLine="645"/>
        <w:spacing w:after="0" w:line="303" w:lineRule="auto"/>
        <w:tabs>
          <w:tab w:leader="none" w:pos="1357"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Independent Registered Public Accounting Firm</w:t>
      </w:r>
      <w:r>
        <w:rPr>
          <w:rFonts w:ascii="Arial" w:cs="Arial" w:eastAsia="Arial" w:hAnsi="Arial"/>
          <w:sz w:val="16"/>
          <w:szCs w:val="16"/>
          <w:color w:val="auto"/>
        </w:rPr>
        <w:t>. PricewaterhouseCoopers LLP, which has certified the audited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151" w:lineRule="exact"/>
        <w:rPr>
          <w:rFonts w:ascii="Arial" w:cs="Arial" w:eastAsia="Arial" w:hAnsi="Arial"/>
          <w:sz w:val="16"/>
          <w:szCs w:val="16"/>
          <w:color w:val="auto"/>
        </w:rPr>
      </w:pPr>
    </w:p>
    <w:p>
      <w:pPr>
        <w:ind w:left="4" w:right="40" w:firstLine="645"/>
        <w:spacing w:after="0" w:line="289" w:lineRule="auto"/>
        <w:tabs>
          <w:tab w:leader="none" w:pos="1357"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 At September 30, 2016, the Partnership had, on an as further adjusted basis as indicated in the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amendment or 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w:t>
      </w:r>
    </w:p>
    <w:p>
      <w:pPr>
        <w:spacing w:after="0" w:line="16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20"/>
        <w:spacing w:after="0" w:line="291" w:lineRule="auto"/>
        <w:rPr>
          <w:sz w:val="20"/>
          <w:szCs w:val="20"/>
          <w:color w:val="auto"/>
        </w:rPr>
      </w:pPr>
      <w:r>
        <w:rPr>
          <w:rFonts w:ascii="Arial" w:cs="Arial" w:eastAsia="Arial" w:hAnsi="Arial"/>
          <w:sz w:val="16"/>
          <w:szCs w:val="16"/>
          <w:color w:val="auto"/>
        </w:rPr>
        <w:t>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w:t>
      </w:r>
    </w:p>
    <w:p>
      <w:pPr>
        <w:ind w:left="4" w:right="20" w:hanging="4"/>
        <w:spacing w:after="0" w:line="290" w:lineRule="auto"/>
        <w:tabs>
          <w:tab w:leader="none" w:pos="2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Issuers are required by the Securities Act or the Exchange Act to be included in the Registration Statement, the most recent Preliminary Prospectus or the Prospectus.</w:t>
      </w:r>
    </w:p>
    <w:p>
      <w:pPr>
        <w:spacing w:after="0" w:line="160" w:lineRule="exact"/>
        <w:rPr>
          <w:rFonts w:ascii="Arial" w:cs="Arial" w:eastAsia="Arial" w:hAnsi="Arial"/>
          <w:sz w:val="16"/>
          <w:szCs w:val="16"/>
          <w:color w:val="auto"/>
        </w:rPr>
      </w:pPr>
    </w:p>
    <w:p>
      <w:pPr>
        <w:ind w:left="4" w:right="20" w:firstLine="645"/>
        <w:spacing w:after="0" w:line="286" w:lineRule="auto"/>
        <w:tabs>
          <w:tab w:leader="none" w:pos="1347" w:val="left"/>
        </w:tabs>
        <w:numPr>
          <w:ilvl w:val="1"/>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No Material Adverse Change</w:t>
      </w:r>
      <w:r>
        <w:rPr>
          <w:rFonts w:ascii="Arial" w:cs="Arial" w:eastAsia="Arial" w:hAnsi="Arial"/>
          <w:sz w:val="16"/>
          <w:szCs w:val="16"/>
          <w:color w:val="auto"/>
        </w:rPr>
        <w:t>. None of the Plains Entities or the GP Entities has sustained, since the date of the latest audited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 in each case other than as set forth in the Registration Statement, the Pricing Disclosure Package and the Prospectus.</w:t>
      </w:r>
    </w:p>
    <w:p>
      <w:pPr>
        <w:spacing w:after="0" w:line="172" w:lineRule="exact"/>
        <w:rPr>
          <w:sz w:val="20"/>
          <w:szCs w:val="20"/>
          <w:color w:val="auto"/>
        </w:rPr>
      </w:pPr>
    </w:p>
    <w:p>
      <w:pPr>
        <w:ind w:left="4" w:firstLine="645"/>
        <w:spacing w:after="0" w:line="258" w:lineRule="auto"/>
        <w:tabs>
          <w:tab w:leader="none" w:pos="1337"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Required Disclosures and Descriptions</w:t>
      </w:r>
      <w:r>
        <w:rPr>
          <w:rFonts w:ascii="Arial" w:cs="Arial" w:eastAsia="Arial" w:hAnsi="Arial"/>
          <w:sz w:val="18"/>
          <w:szCs w:val="18"/>
          <w:color w:val="auto"/>
        </w:rPr>
        <w:t>. There are no legal or governmental proceedings pending or, to the knowledge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Issuers, 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w:t>
      </w:r>
    </w:p>
    <w:p>
      <w:pPr>
        <w:spacing w:after="0" w:line="1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Registration Statement, the Pricing Disclosure Package or the Prospectus or to be filed as an exhibit to the Registration Statement that are not described or filed as required by the Securities Act or the Exchange Act.</w:t>
      </w:r>
    </w:p>
    <w:p>
      <w:pPr>
        <w:spacing w:after="0" w:line="166" w:lineRule="exact"/>
        <w:rPr>
          <w:sz w:val="20"/>
          <w:szCs w:val="20"/>
          <w:color w:val="auto"/>
        </w:rPr>
      </w:pPr>
    </w:p>
    <w:p>
      <w:pPr>
        <w:ind w:left="4" w:right="20" w:firstLine="645"/>
        <w:spacing w:after="0" w:line="290" w:lineRule="auto"/>
        <w:tabs>
          <w:tab w:leader="none" w:pos="1357"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Title to Properties</w:t>
      </w:r>
      <w:r>
        <w:rPr>
          <w:rFonts w:ascii="Arial" w:cs="Arial" w:eastAsia="Arial" w:hAnsi="Arial"/>
          <w:sz w:val="16"/>
          <w:szCs w:val="16"/>
          <w:color w:val="auto"/>
        </w:rPr>
        <w:t>. The Plains Entities, directly or indirectly, have good and indefeasible title to all real property and good title to</w:t>
      </w:r>
      <w:r>
        <w:rPr>
          <w:rFonts w:ascii="Arial" w:cs="Arial" w:eastAsia="Arial" w:hAnsi="Arial"/>
          <w:sz w:val="16"/>
          <w:szCs w:val="16"/>
          <w:b w:val="1"/>
          <w:bCs w:val="1"/>
          <w:color w:val="auto"/>
        </w:rPr>
        <w:t xml:space="preserve"> </w:t>
      </w:r>
      <w:r>
        <w:rPr>
          <w:rFonts w:ascii="Arial" w:cs="Arial" w:eastAsia="Arial" w:hAnsi="Arial"/>
          <w:sz w:val="16"/>
          <w:szCs w:val="16"/>
          <w:color w:val="auto"/>
        </w:rPr>
        <w:t>all personal property described in the Pricing Disclosure Package and the Prospectus as being owned by them, free and clear of all Liens except (i) as provided in the Third Amended and Restated Credit Agreement dated as of August 19, 2011, as amended (the “</w:t>
      </w:r>
      <w:r>
        <w:rPr>
          <w:rFonts w:ascii="Arial" w:cs="Arial" w:eastAsia="Arial" w:hAnsi="Arial"/>
          <w:sz w:val="16"/>
          <w:szCs w:val="16"/>
          <w:b w:val="1"/>
          <w:bCs w:val="1"/>
          <w:u w:val="single" w:color="auto"/>
          <w:color w:val="auto"/>
        </w:rPr>
        <w:t>Hedged Inventory Facility</w:t>
      </w:r>
      <w:r>
        <w:rPr>
          <w:rFonts w:ascii="Arial" w:cs="Arial" w:eastAsia="Arial" w:hAnsi="Arial"/>
          <w:sz w:val="16"/>
          <w:szCs w:val="16"/>
          <w:color w:val="auto"/>
        </w:rPr>
        <w:t>”), among Plains Marketing, L.P., a Texas limited partnership (“</w:t>
      </w:r>
      <w:r>
        <w:rPr>
          <w:rFonts w:ascii="Arial" w:cs="Arial" w:eastAsia="Arial" w:hAnsi="Arial"/>
          <w:sz w:val="16"/>
          <w:szCs w:val="16"/>
          <w:b w:val="1"/>
          <w:bCs w:val="1"/>
          <w:u w:val="single" w:color="auto"/>
          <w:color w:val="auto"/>
        </w:rPr>
        <w:t>Plains Marketing</w:t>
      </w:r>
      <w:r>
        <w:rPr>
          <w:rFonts w:ascii="Arial" w:cs="Arial" w:eastAsia="Arial" w:hAnsi="Arial"/>
          <w:sz w:val="16"/>
          <w:szCs w:val="16"/>
          <w:color w:val="auto"/>
        </w:rPr>
        <w:t>”), and Plains Midstream Canada ULC, a British Columbia unlimited liability company (“</w:t>
      </w:r>
      <w:r>
        <w:rPr>
          <w:rFonts w:ascii="Arial" w:cs="Arial" w:eastAsia="Arial" w:hAnsi="Arial"/>
          <w:sz w:val="16"/>
          <w:szCs w:val="16"/>
          <w:b w:val="1"/>
          <w:bCs w:val="1"/>
          <w:u w:val="single" w:color="auto"/>
          <w:color w:val="auto"/>
        </w:rPr>
        <w:t>Plains Midstream Canada</w:t>
      </w:r>
      <w:r>
        <w:rPr>
          <w:rFonts w:ascii="Arial" w:cs="Arial" w:eastAsia="Arial" w:hAnsi="Arial"/>
          <w:sz w:val="16"/>
          <w:szCs w:val="16"/>
          <w:color w:val="auto"/>
        </w:rPr>
        <w:t>”), as borrowers, the Partnership, as guarantor,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w:t>
      </w:r>
    </w:p>
    <w:p>
      <w:pPr>
        <w:spacing w:after="0" w:line="159" w:lineRule="exact"/>
        <w:rPr>
          <w:rFonts w:ascii="Arial" w:cs="Arial" w:eastAsia="Arial" w:hAnsi="Arial"/>
          <w:sz w:val="16"/>
          <w:szCs w:val="16"/>
          <w:color w:val="auto"/>
        </w:rPr>
      </w:pPr>
    </w:p>
    <w:p>
      <w:pPr>
        <w:ind w:left="4" w:firstLine="645"/>
        <w:spacing w:after="0" w:line="295" w:lineRule="auto"/>
        <w:tabs>
          <w:tab w:leader="none" w:pos="1337"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Each of the Plains Entities, directly or indirectly, has such permits, consents, licenses, franchises, certificates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authorizations of governmental or regulatory authorities (“</w:t>
      </w: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w:t>
      </w:r>
    </w:p>
    <w:p>
      <w:pPr>
        <w:sectPr>
          <w:pgSz w:w="11900" w:h="16939" w:orient="portrait"/>
          <w:cols w:equalWidth="0" w:num="1">
            <w:col w:w="10764"/>
          </w:cols>
          <w:pgMar w:left="896" w:top="125" w:right="239" w:bottom="0" w:gutter="0" w:footer="0" w:header="0"/>
        </w:sectPr>
      </w:pPr>
    </w:p>
    <w:bookmarkStart w:id="7" w:name="page8"/>
    <w:bookmarkEnd w:id="7"/>
    <w:p>
      <w:pPr>
        <w:ind w:right="280"/>
        <w:spacing w:after="0" w:line="277" w:lineRule="auto"/>
        <w:rPr>
          <w:sz w:val="20"/>
          <w:szCs w:val="20"/>
          <w:color w:val="auto"/>
        </w:rPr>
      </w:pPr>
      <w:r>
        <w:rPr>
          <w:rFonts w:ascii="Arial" w:cs="Arial" w:eastAsia="Arial" w:hAnsi="Arial"/>
          <w:sz w:val="18"/>
          <w:szCs w:val="18"/>
          <w:color w:val="auto"/>
        </w:rPr>
        <w:t>would reasonably be expected to have a Material Adverse Effect, except as set forth in or contemplated in the Pricing Disclosure Package and the Prospectus.</w:t>
      </w:r>
    </w:p>
    <w:p>
      <w:pPr>
        <w:spacing w:after="0" w:line="166" w:lineRule="exact"/>
        <w:rPr>
          <w:sz w:val="20"/>
          <w:szCs w:val="20"/>
          <w:color w:val="auto"/>
        </w:rPr>
      </w:pPr>
    </w:p>
    <w:p>
      <w:pPr>
        <w:ind w:right="60" w:firstLine="645"/>
        <w:spacing w:after="0" w:line="291" w:lineRule="auto"/>
        <w:tabs>
          <w:tab w:leader="none" w:pos="1353"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Rights-of-Way</w:t>
      </w:r>
      <w:r>
        <w:rPr>
          <w:rFonts w:ascii="Arial" w:cs="Arial" w:eastAsia="Arial" w:hAnsi="Arial"/>
          <w:sz w:val="16"/>
          <w:szCs w:val="16"/>
          <w:color w:val="auto"/>
        </w:rPr>
        <w:t>. Each of the Plains Entities, directly or indirectly, has such consents, easements, rights-of-way or licenses from</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w:t>
      </w:r>
      <w:r>
        <w:rPr>
          <w:rFonts w:ascii="Arial" w:cs="Arial" w:eastAsia="Arial" w:hAnsi="Arial"/>
          <w:sz w:val="16"/>
          <w:szCs w:val="16"/>
          <w:b w:val="1"/>
          <w:bCs w:val="1"/>
          <w:u w:val="single" w:color="auto"/>
          <w:color w:val="auto"/>
        </w:rPr>
        <w:t>rights-of-way</w:t>
      </w:r>
      <w:r>
        <w:rPr>
          <w:rFonts w:ascii="Arial" w:cs="Arial" w:eastAsia="Arial" w:hAnsi="Arial"/>
          <w:sz w:val="16"/>
          <w:szCs w:val="16"/>
          <w:color w:val="auto"/>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w:t>
      </w:r>
    </w:p>
    <w:p>
      <w:pPr>
        <w:spacing w:after="0" w:line="16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qualification as may be set forth in the Pricing Disclosure Package and the Prospectus.</w:t>
      </w:r>
    </w:p>
    <w:p>
      <w:pPr>
        <w:spacing w:after="0" w:line="221" w:lineRule="exact"/>
        <w:rPr>
          <w:sz w:val="20"/>
          <w:szCs w:val="20"/>
          <w:color w:val="auto"/>
        </w:rPr>
      </w:pPr>
    </w:p>
    <w:p>
      <w:pPr>
        <w:ind w:right="60" w:firstLine="645"/>
        <w:spacing w:after="0" w:line="255" w:lineRule="auto"/>
        <w:tabs>
          <w:tab w:leader="none" w:pos="1333"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Company</w:t>
      </w:r>
      <w:r>
        <w:rPr>
          <w:rFonts w:ascii="Arial" w:cs="Arial" w:eastAsia="Arial" w:hAnsi="Arial"/>
          <w:sz w:val="18"/>
          <w:szCs w:val="18"/>
          <w:color w:val="auto"/>
        </w:rPr>
        <w:t>. None of the Plains Entities is now, and after sale of the Notes to be sold by the Issuers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189" w:lineRule="exact"/>
        <w:rPr>
          <w:rFonts w:ascii="Arial" w:cs="Arial" w:eastAsia="Arial" w:hAnsi="Arial"/>
          <w:sz w:val="18"/>
          <w:szCs w:val="18"/>
          <w:color w:val="auto"/>
        </w:rPr>
      </w:pPr>
    </w:p>
    <w:p>
      <w:pPr>
        <w:ind w:right="200" w:firstLine="645"/>
        <w:spacing w:after="0" w:line="295" w:lineRule="auto"/>
        <w:tabs>
          <w:tab w:leader="none" w:pos="1335"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Environmental Compliance</w:t>
      </w:r>
      <w:r>
        <w:rPr>
          <w:rFonts w:ascii="Arial" w:cs="Arial" w:eastAsia="Arial" w:hAnsi="Arial"/>
          <w:sz w:val="16"/>
          <w:szCs w:val="16"/>
          <w:color w:val="auto"/>
        </w:rPr>
        <w:t>. Except as described in the Pricing Disclosure Package and the Prospectus, none of the Plains</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6"/>
          <w:szCs w:val="16"/>
          <w:b w:val="1"/>
          <w:bCs w:val="1"/>
          <w:u w:val="single" w:color="auto"/>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Laws</w:t>
      </w:r>
      <w:r>
        <w:rPr>
          <w:rFonts w:ascii="Arial" w:cs="Arial" w:eastAsia="Arial" w:hAnsi="Arial"/>
          <w:sz w:val="16"/>
          <w:szCs w:val="16"/>
          <w:color w:val="auto"/>
        </w:rPr>
        <w:t>”), or lacks any permits, licenses or other approvals required of them under applicable Environmental Laws to own, lease or operate their</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spacing w:after="0" w:line="155" w:lineRule="exact"/>
        <w:rPr>
          <w:rFonts w:ascii="Arial" w:cs="Arial" w:eastAsia="Arial" w:hAnsi="Arial"/>
          <w:sz w:val="16"/>
          <w:szCs w:val="16"/>
          <w:color w:val="auto"/>
        </w:rPr>
      </w:pPr>
    </w:p>
    <w:p>
      <w:pPr>
        <w:ind w:right="720" w:firstLine="645"/>
        <w:spacing w:after="0" w:line="282"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No Labor Disputes</w:t>
      </w:r>
      <w:r>
        <w:rPr>
          <w:rFonts w:ascii="Arial" w:cs="Arial" w:eastAsia="Arial" w:hAnsi="Arial"/>
          <w:sz w:val="18"/>
          <w:szCs w:val="18"/>
          <w:color w:val="auto"/>
        </w:rPr>
        <w:t>. No labor dispute with the employees of any of the Plains Entities or the GP Entities exists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Issuers, is imminent, that would reasonably be expected to have a Material Adverse Effect.</w:t>
      </w:r>
    </w:p>
    <w:p>
      <w:pPr>
        <w:spacing w:after="0" w:line="161" w:lineRule="exact"/>
        <w:rPr>
          <w:rFonts w:ascii="Arial" w:cs="Arial" w:eastAsia="Arial" w:hAnsi="Arial"/>
          <w:sz w:val="18"/>
          <w:szCs w:val="18"/>
          <w:color w:val="auto"/>
        </w:rPr>
      </w:pPr>
    </w:p>
    <w:p>
      <w:pPr>
        <w:ind w:right="140" w:firstLine="645"/>
        <w:spacing w:after="0" w:line="258"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Partnership maintains or is entitled to the benefits of insurance covering its properties, operations, personnel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83" w:lineRule="exact"/>
        <w:rPr>
          <w:rFonts w:ascii="Arial" w:cs="Arial" w:eastAsia="Arial" w:hAnsi="Arial"/>
          <w:sz w:val="18"/>
          <w:szCs w:val="18"/>
          <w:color w:val="auto"/>
        </w:rPr>
      </w:pPr>
    </w:p>
    <w:p>
      <w:pPr>
        <w:ind w:right="20" w:firstLine="645"/>
        <w:spacing w:after="0" w:line="286" w:lineRule="auto"/>
        <w:tabs>
          <w:tab w:leader="none" w:pos="1363"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No Legal Actions</w:t>
      </w:r>
      <w:r>
        <w:rPr>
          <w:rFonts w:ascii="Arial" w:cs="Arial" w:eastAsia="Arial" w:hAnsi="Arial"/>
          <w:sz w:val="16"/>
          <w:szCs w:val="16"/>
          <w:color w:val="auto"/>
        </w:rPr>
        <w:t>. Except as described in the Pricing Disclosure Package and the Prospectus, there is (i) no action, suit or</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would reasonably be expected to have,</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individually or in the aggregate, a Material Adverse Effect or prevent or result in the suspension of the offering and issuance of the Notes.</w:t>
      </w:r>
    </w:p>
    <w:p>
      <w:pPr>
        <w:spacing w:after="0" w:line="233" w:lineRule="exact"/>
        <w:rPr>
          <w:sz w:val="20"/>
          <w:szCs w:val="20"/>
          <w:color w:val="auto"/>
        </w:rPr>
      </w:pPr>
    </w:p>
    <w:p>
      <w:pPr>
        <w:ind w:right="220" w:firstLine="645"/>
        <w:spacing w:after="0" w:line="255" w:lineRule="auto"/>
        <w:tabs>
          <w:tab w:leader="none" w:pos="1363"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Distribution Restrictions</w:t>
      </w:r>
      <w:r>
        <w:rPr>
          <w:rFonts w:ascii="Arial" w:cs="Arial" w:eastAsia="Arial" w:hAnsi="Arial"/>
          <w:sz w:val="18"/>
          <w:szCs w:val="18"/>
          <w:color w:val="auto"/>
        </w:rPr>
        <w:t>. No Subsidiary is currently prohibited, directly or indirectly, from making any distributions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reasonably be expected to have a Material Adverse Effect.</w:t>
      </w:r>
    </w:p>
    <w:p>
      <w:pPr>
        <w:spacing w:after="0" w:line="189" w:lineRule="exact"/>
        <w:rPr>
          <w:rFonts w:ascii="Arial" w:cs="Arial" w:eastAsia="Arial" w:hAnsi="Arial"/>
          <w:sz w:val="18"/>
          <w:szCs w:val="18"/>
          <w:color w:val="auto"/>
        </w:rPr>
      </w:pPr>
    </w:p>
    <w:p>
      <w:pPr>
        <w:ind w:firstLine="645"/>
        <w:spacing w:after="0" w:line="258" w:lineRule="auto"/>
        <w:tabs>
          <w:tab w:leader="none" w:pos="1353"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Distribution of Other Offering Materials</w:t>
      </w:r>
      <w:r>
        <w:rPr>
          <w:rFonts w:ascii="Arial" w:cs="Arial" w:eastAsia="Arial" w:hAnsi="Arial"/>
          <w:sz w:val="18"/>
          <w:szCs w:val="18"/>
          <w:color w:val="auto"/>
        </w:rPr>
        <w:t>. None of the Plains Entities or the GP Entities has distributed and, prior to the later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Arial" w:cs="Arial" w:eastAsia="Arial" w:hAnsi="Arial"/>
          <w:sz w:val="18"/>
          <w:szCs w:val="18"/>
          <w:u w:val="single" w:color="auto"/>
          <w:color w:val="auto"/>
        </w:rPr>
        <w:t>Section 1(h)</w:t>
      </w:r>
      <w:r>
        <w:rPr>
          <w:rFonts w:ascii="Arial" w:cs="Arial" w:eastAsia="Arial" w:hAnsi="Arial"/>
          <w:sz w:val="18"/>
          <w:szCs w:val="18"/>
          <w:color w:val="auto"/>
        </w:rPr>
        <w:t xml:space="preserve"> of this Agreement, or other materials, if any, permitted by the Securities Act, including Rule 134 of the Rules and Regulations.</w:t>
      </w:r>
    </w:p>
    <w:p>
      <w:pPr>
        <w:spacing w:after="0" w:line="183" w:lineRule="exact"/>
        <w:rPr>
          <w:rFonts w:ascii="Arial" w:cs="Arial" w:eastAsia="Arial" w:hAnsi="Arial"/>
          <w:sz w:val="18"/>
          <w:szCs w:val="18"/>
          <w:color w:val="auto"/>
        </w:rPr>
      </w:pPr>
    </w:p>
    <w:p>
      <w:pPr>
        <w:ind w:right="160" w:firstLine="645"/>
        <w:spacing w:after="0" w:line="256" w:lineRule="auto"/>
        <w:tabs>
          <w:tab w:leader="none" w:pos="1363"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Books and Records; Accounting Controls</w:t>
      </w:r>
      <w:r>
        <w:rPr>
          <w:rFonts w:ascii="Arial" w:cs="Arial" w:eastAsia="Arial" w:hAnsi="Arial"/>
          <w:sz w:val="18"/>
          <w:szCs w:val="18"/>
          <w:color w:val="auto"/>
        </w:rPr>
        <w:t>. The Partnership maintains a system of internal accounting controls sufficient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ectPr>
          <w:pgSz w:w="11900" w:h="16838" w:orient="portrait"/>
          <w:cols w:equalWidth="0" w:num="1">
            <w:col w:w="10760"/>
          </w:cols>
          <w:pgMar w:left="900" w:top="125" w:right="239" w:bottom="0" w:gutter="0" w:footer="0" w:header="0"/>
        </w:sectPr>
      </w:pPr>
    </w:p>
    <w:bookmarkStart w:id="8" w:name="page9"/>
    <w:bookmarkEnd w:id="8"/>
    <w:p>
      <w:pPr>
        <w:spacing w:after="0" w:line="101" w:lineRule="exact"/>
        <w:rPr>
          <w:sz w:val="20"/>
          <w:szCs w:val="20"/>
          <w:color w:val="auto"/>
        </w:rPr>
      </w:pPr>
    </w:p>
    <w:p>
      <w:pPr>
        <w:ind w:left="660" w:right="40" w:firstLine="645"/>
        <w:spacing w:after="0" w:line="266" w:lineRule="auto"/>
        <w:tabs>
          <w:tab w:leader="none" w:pos="1978"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Sarbanes-Oxley Act</w:t>
      </w:r>
      <w:r>
        <w:rPr>
          <w:rFonts w:ascii="Arial" w:cs="Arial" w:eastAsia="Arial" w:hAnsi="Arial"/>
          <w:sz w:val="18"/>
          <w:szCs w:val="18"/>
          <w:color w:val="auto"/>
        </w:rPr>
        <w:t>. The Partnership and, to the knowledge of the Issuers, the directors of PAGP GP and the officers of GP LLC,</w:t>
      </w:r>
      <w:r>
        <w:rPr>
          <w:rFonts w:ascii="Arial" w:cs="Arial" w:eastAsia="Arial" w:hAnsi="Arial"/>
          <w:sz w:val="18"/>
          <w:szCs w:val="18"/>
          <w:b w:val="1"/>
          <w:bCs w:val="1"/>
          <w:color w:val="auto"/>
        </w:rPr>
        <w:t xml:space="preserve"> </w:t>
      </w:r>
      <w:r>
        <w:rPr>
          <w:rFonts w:ascii="Arial" w:cs="Arial" w:eastAsia="Arial" w:hAnsi="Arial"/>
          <w:sz w:val="18"/>
          <w:szCs w:val="18"/>
          <w:color w:val="auto"/>
        </w:rPr>
        <w:t>in their capacities as such, are in compliance in all material respects with all applicable and effective provisions of the Sarbanes-Oxley Act of 2002 and the rules and regulations promulgated thereunder.</w:t>
      </w:r>
    </w:p>
    <w:p>
      <w:pPr>
        <w:spacing w:after="0" w:line="176" w:lineRule="exact"/>
        <w:rPr>
          <w:rFonts w:ascii="Arial" w:cs="Arial" w:eastAsia="Arial" w:hAnsi="Arial"/>
          <w:sz w:val="18"/>
          <w:szCs w:val="18"/>
          <w:color w:val="auto"/>
        </w:rPr>
      </w:pPr>
    </w:p>
    <w:p>
      <w:pPr>
        <w:ind w:left="660" w:right="100" w:firstLine="645"/>
        <w:spacing w:after="0" w:line="277" w:lineRule="auto"/>
        <w:tabs>
          <w:tab w:leader="none" w:pos="2013"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Disclosure Controls</w:t>
      </w:r>
      <w:r>
        <w:rPr>
          <w:rFonts w:ascii="Arial" w:cs="Arial" w:eastAsia="Arial" w:hAnsi="Arial"/>
          <w:sz w:val="17"/>
          <w:szCs w:val="17"/>
          <w:color w:val="auto"/>
        </w:rPr>
        <w:t>. The Partnership maintains disclosure controls and procedures (to the extent required by and as such term is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prepared; (ii) have been evaluated for effectiveness as of the end of the Partnership’s most recent fiscal quarter; and (iii) are effective in all material respects to perform the functions for which they are established.</w:t>
      </w:r>
    </w:p>
    <w:p>
      <w:pPr>
        <w:spacing w:after="0" w:line="166" w:lineRule="exact"/>
        <w:rPr>
          <w:sz w:val="20"/>
          <w:szCs w:val="20"/>
          <w:color w:val="auto"/>
        </w:rPr>
      </w:pPr>
    </w:p>
    <w:p>
      <w:pPr>
        <w:jc w:val="both"/>
        <w:ind w:left="660" w:right="160" w:firstLine="645"/>
        <w:spacing w:after="0" w:line="293" w:lineRule="auto"/>
        <w:tabs>
          <w:tab w:leader="none" w:pos="2013" w:val="left"/>
        </w:tabs>
        <w:numPr>
          <w:ilvl w:val="1"/>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No Deficiency in Internal Controls</w:t>
      </w:r>
      <w:r>
        <w:rPr>
          <w:rFonts w:ascii="Arial" w:cs="Arial" w:eastAsia="Arial" w:hAnsi="Arial"/>
          <w:sz w:val="16"/>
          <w:szCs w:val="16"/>
          <w:color w:val="auto"/>
        </w:rPr>
        <w:t>. Based on the evaluation of its disclosure controls and procedures conducted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preparation and filing of the Partnership’s Annual Report on Form 10-K for the most recent fiscal year end, the Partnership is not aware of</w:t>
      </w:r>
    </w:p>
    <w:p>
      <w:pPr>
        <w:spacing w:after="0" w:line="1" w:lineRule="exact"/>
        <w:rPr>
          <w:rFonts w:ascii="Arial" w:cs="Arial" w:eastAsia="Arial" w:hAnsi="Arial"/>
          <w:sz w:val="16"/>
          <w:szCs w:val="16"/>
          <w:color w:val="auto"/>
        </w:rPr>
      </w:pPr>
    </w:p>
    <w:p>
      <w:pPr>
        <w:ind w:left="660" w:right="40" w:hanging="4"/>
        <w:spacing w:after="0" w:line="255"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86" w:lineRule="exact"/>
        <w:rPr>
          <w:rFonts w:ascii="Arial" w:cs="Arial" w:eastAsia="Arial" w:hAnsi="Arial"/>
          <w:sz w:val="18"/>
          <w:szCs w:val="18"/>
          <w:color w:val="auto"/>
        </w:rPr>
      </w:pPr>
    </w:p>
    <w:p>
      <w:pPr>
        <w:ind w:left="660" w:right="60" w:firstLine="645"/>
        <w:spacing w:after="0" w:line="261" w:lineRule="auto"/>
        <w:tabs>
          <w:tab w:leader="none" w:pos="2013"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FCPA</w:t>
      </w:r>
      <w:r>
        <w:rPr>
          <w:rFonts w:ascii="Arial" w:cs="Arial" w:eastAsia="Arial" w:hAnsi="Arial"/>
          <w:sz w:val="18"/>
          <w:szCs w:val="18"/>
          <w:color w:val="auto"/>
        </w:rPr>
        <w:t>. None of the Plains Entities or the GP Entities nor, to the knowledge of the Issuers, any director, officer, agent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80" w:lineRule="exact"/>
        <w:rPr>
          <w:rFonts w:ascii="Arial" w:cs="Arial" w:eastAsia="Arial" w:hAnsi="Arial"/>
          <w:sz w:val="18"/>
          <w:szCs w:val="18"/>
          <w:color w:val="auto"/>
        </w:rPr>
      </w:pPr>
    </w:p>
    <w:p>
      <w:pPr>
        <w:jc w:val="both"/>
        <w:ind w:left="660" w:right="20" w:firstLine="645"/>
        <w:spacing w:after="0" w:line="266" w:lineRule="auto"/>
        <w:tabs>
          <w:tab w:leader="none" w:pos="2013"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Laundering Laws</w:t>
      </w:r>
      <w:r>
        <w:rPr>
          <w:rFonts w:ascii="Arial" w:cs="Arial" w:eastAsia="Arial" w:hAnsi="Arial"/>
          <w:sz w:val="18"/>
          <w:szCs w:val="18"/>
          <w:color w:val="auto"/>
        </w:rPr>
        <w:t>. No action, suit or proceeding by or before any court or governmental agency, authority or body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arbitrator involving the Plains Entities or the GP Entities that involve allegations of money laundering is pending or, to the knowledge of the Issuers, threatened.</w:t>
      </w:r>
    </w:p>
    <w:p>
      <w:pPr>
        <w:spacing w:after="0" w:line="176" w:lineRule="exact"/>
        <w:rPr>
          <w:rFonts w:ascii="Arial" w:cs="Arial" w:eastAsia="Arial" w:hAnsi="Arial"/>
          <w:sz w:val="18"/>
          <w:szCs w:val="18"/>
          <w:color w:val="auto"/>
        </w:rPr>
      </w:pPr>
    </w:p>
    <w:p>
      <w:pPr>
        <w:ind w:left="660" w:firstLine="645"/>
        <w:spacing w:after="0" w:line="266" w:lineRule="auto"/>
        <w:tabs>
          <w:tab w:leader="none" w:pos="2043"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None of the Plains Entities or the GP Entities nor, to the knowledge of the Issuers, any director, officer or employee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Plains Entities or the GP Entities (in their capacity as director, officer or employee) has received notice that it is subject to any sanctions administered by the Office of Foreign Assets Control of the U.S. Treasury Department.</w:t>
      </w:r>
    </w:p>
    <w:p>
      <w:pPr>
        <w:spacing w:after="0" w:line="176" w:lineRule="exact"/>
        <w:rPr>
          <w:rFonts w:ascii="Arial" w:cs="Arial" w:eastAsia="Arial" w:hAnsi="Arial"/>
          <w:sz w:val="18"/>
          <w:szCs w:val="18"/>
          <w:color w:val="auto"/>
        </w:rPr>
      </w:pPr>
    </w:p>
    <w:p>
      <w:pPr>
        <w:ind w:left="660" w:right="100" w:firstLine="645"/>
        <w:spacing w:after="0" w:line="266" w:lineRule="auto"/>
        <w:tabs>
          <w:tab w:leader="none" w:pos="2018"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XBRL</w:t>
      </w:r>
      <w:r>
        <w:rPr>
          <w:rFonts w:ascii="Arial" w:cs="Arial" w:eastAsia="Arial" w:hAnsi="Arial"/>
          <w:sz w:val="18"/>
          <w:szCs w:val="18"/>
          <w:color w:val="auto"/>
        </w:rPr>
        <w:t>. The interactive data in eXtensible Business Reporting Language incorporated by reference in the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Pricing Disclosure Package and the Prospectus fairly presents the information called for in all material respects and has been prepared in accordance with the Commission’s rules and guidelines applicable thereto.</w:t>
      </w:r>
    </w:p>
    <w:p>
      <w:pPr>
        <w:spacing w:after="0" w:line="1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The applicable statements made in the certificates described in </w:t>
      </w:r>
      <w:r>
        <w:rPr>
          <w:rFonts w:ascii="Arial" w:cs="Arial" w:eastAsia="Arial" w:hAnsi="Arial"/>
          <w:sz w:val="18"/>
          <w:szCs w:val="18"/>
          <w:u w:val="single" w:color="auto"/>
          <w:color w:val="auto"/>
        </w:rPr>
        <w:t>Sections 7(j)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7(n)</w:t>
      </w:r>
      <w:r>
        <w:rPr>
          <w:rFonts w:ascii="Arial" w:cs="Arial" w:eastAsia="Arial" w:hAnsi="Arial"/>
          <w:sz w:val="18"/>
          <w:szCs w:val="18"/>
          <w:color w:val="auto"/>
        </w:rPr>
        <w:t xml:space="preserve"> shall be deemed representations and warranties by the Issuers, as to matters covered thereby, to the Underwriters.</w:t>
      </w:r>
    </w:p>
    <w:p>
      <w:pPr>
        <w:spacing w:after="0" w:line="166" w:lineRule="exact"/>
        <w:rPr>
          <w:sz w:val="20"/>
          <w:szCs w:val="20"/>
          <w:color w:val="auto"/>
        </w:rPr>
      </w:pPr>
    </w:p>
    <w:p>
      <w:pPr>
        <w:ind w:right="20" w:firstLine="656"/>
        <w:spacing w:after="0" w:line="261" w:lineRule="auto"/>
        <w:tabs>
          <w:tab w:leader="none" w:pos="1368"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Issuers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 to sell to each Underwriter, and each Underwriter agrees, severally and not jointly, to purchase from the Issuers the principal amount of Notes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at a purchase price of 99.066% of the principal amount thereof, plus accrued interest, if any, from the Delivery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56"/>
        <w:spacing w:after="0" w:line="273" w:lineRule="auto"/>
        <w:tabs>
          <w:tab w:leader="none" w:pos="1368"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and Payment</w:t>
      </w:r>
      <w:r>
        <w:rPr>
          <w:rFonts w:ascii="Arial" w:cs="Arial" w:eastAsia="Arial" w:hAnsi="Arial"/>
          <w:sz w:val="17"/>
          <w:szCs w:val="17"/>
          <w:color w:val="auto"/>
        </w:rPr>
        <w:t>. Delivery of and payment for the Notes shall be made at the office of Vinson &amp; Elkins L.L.P., 1001 Fannin,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Houston, Texas 77002 at 9:00 a.m., Houston time, on November 22, 2016, or at such time on such later date not more than three business days after the foregoing date as the Representatives shall designate, which date and time may be postponed by agreement between the Representatives and the Issuers or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hereof (such date and time of delivery and payment for the Notes being herein called the “</w:t>
      </w:r>
      <w:r>
        <w:rPr>
          <w:rFonts w:ascii="Arial" w:cs="Arial" w:eastAsia="Arial" w:hAnsi="Arial"/>
          <w:sz w:val="17"/>
          <w:szCs w:val="17"/>
          <w:b w:val="1"/>
          <w:bCs w:val="1"/>
          <w:u w:val="single" w:color="auto"/>
          <w:color w:val="auto"/>
        </w:rPr>
        <w:t>Delivery Date</w:t>
      </w:r>
      <w:r>
        <w:rPr>
          <w:rFonts w:ascii="Arial" w:cs="Arial" w:eastAsia="Arial" w:hAnsi="Arial"/>
          <w:sz w:val="17"/>
          <w:szCs w:val="17"/>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Arial" w:cs="Arial" w:eastAsia="Arial" w:hAnsi="Arial"/>
          <w:sz w:val="17"/>
          <w:szCs w:val="17"/>
          <w:b w:val="1"/>
          <w:bCs w:val="1"/>
          <w:u w:val="single" w:color="auto"/>
          <w:color w:val="auto"/>
        </w:rPr>
        <w:t>DTC</w:t>
      </w:r>
      <w:r>
        <w:rPr>
          <w:rFonts w:ascii="Arial" w:cs="Arial" w:eastAsia="Arial" w:hAnsi="Arial"/>
          <w:sz w:val="17"/>
          <w:szCs w:val="17"/>
          <w:color w:val="auto"/>
        </w:rPr>
        <w:t>”). Concurrently, the Issuers shall deliver to the Trustee, as custodian for DTC, one or more global notes representing the Notes (collectively, the “</w:t>
      </w:r>
      <w:r>
        <w:rPr>
          <w:rFonts w:ascii="Arial" w:cs="Arial" w:eastAsia="Arial" w:hAnsi="Arial"/>
          <w:sz w:val="17"/>
          <w:szCs w:val="17"/>
          <w:b w:val="1"/>
          <w:bCs w:val="1"/>
          <w:u w:val="single" w:color="auto"/>
          <w:color w:val="auto"/>
        </w:rPr>
        <w:t>Global Notes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1380" w:hanging="724"/>
        <w:spacing w:after="0"/>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Offering by the Underwriters</w:t>
      </w:r>
      <w:r>
        <w:rPr>
          <w:rFonts w:ascii="Arial" w:cs="Arial" w:eastAsia="Arial" w:hAnsi="Arial"/>
          <w:sz w:val="16"/>
          <w:szCs w:val="16"/>
          <w:color w:val="auto"/>
        </w:rPr>
        <w:t>. It is understood that the several Underwriters propose to offer the Notes for sale to the public as set forth</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Prospectus.</w:t>
      </w:r>
    </w:p>
    <w:p>
      <w:pPr>
        <w:spacing w:after="0" w:line="206" w:lineRule="exact"/>
        <w:rPr>
          <w:rFonts w:ascii="Arial" w:cs="Arial" w:eastAsia="Arial" w:hAnsi="Arial"/>
          <w:sz w:val="16"/>
          <w:szCs w:val="16"/>
          <w:color w:val="auto"/>
        </w:rPr>
      </w:pPr>
    </w:p>
    <w:p>
      <w:pPr>
        <w:ind w:left="1380" w:hanging="724"/>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Agreements of the Issuers</w:t>
      </w:r>
      <w:r>
        <w:rPr>
          <w:rFonts w:ascii="Arial" w:cs="Arial" w:eastAsia="Arial" w:hAnsi="Arial"/>
          <w:sz w:val="18"/>
          <w:szCs w:val="18"/>
          <w:color w:val="auto"/>
        </w:rPr>
        <w:t>. Each of the Issuers, jointly and severally, acknowledges and agrees with the Underwriters that:</w:t>
      </w:r>
    </w:p>
    <w:p>
      <w:pPr>
        <w:spacing w:after="0" w:line="225" w:lineRule="exact"/>
        <w:rPr>
          <w:rFonts w:ascii="Arial" w:cs="Arial" w:eastAsia="Arial" w:hAnsi="Arial"/>
          <w:sz w:val="18"/>
          <w:szCs w:val="18"/>
          <w:color w:val="auto"/>
        </w:rPr>
      </w:pPr>
    </w:p>
    <w:p>
      <w:pPr>
        <w:ind w:left="660" w:right="20" w:firstLine="645"/>
        <w:spacing w:after="0" w:line="261" w:lineRule="auto"/>
        <w:tabs>
          <w:tab w:leader="none" w:pos="2003"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Post-Effective Amendments</w:t>
      </w:r>
      <w:r>
        <w:rPr>
          <w:rFonts w:ascii="Arial" w:cs="Arial" w:eastAsia="Arial" w:hAnsi="Arial"/>
          <w:sz w:val="18"/>
          <w:szCs w:val="18"/>
          <w:color w:val="auto"/>
        </w:rPr>
        <w:t>. If, at the Applicable Time, it is necessary for a post-effective amendment to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180" w:lineRule="exact"/>
        <w:rPr>
          <w:rFonts w:ascii="Arial" w:cs="Arial" w:eastAsia="Arial" w:hAnsi="Arial"/>
          <w:sz w:val="18"/>
          <w:szCs w:val="18"/>
          <w:color w:val="auto"/>
        </w:rPr>
      </w:pPr>
    </w:p>
    <w:p>
      <w:pPr>
        <w:ind w:left="660" w:right="120" w:firstLine="645"/>
        <w:spacing w:after="0" w:line="295" w:lineRule="auto"/>
        <w:tabs>
          <w:tab w:leader="none" w:pos="2013"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Preparation of Prospectus and Registration Statement</w:t>
      </w:r>
      <w:r>
        <w:rPr>
          <w:rFonts w:ascii="Arial" w:cs="Arial" w:eastAsia="Arial" w:hAnsi="Arial"/>
          <w:sz w:val="16"/>
          <w:szCs w:val="16"/>
          <w:color w:val="auto"/>
        </w:rPr>
        <w:t>. The Issuers will advise the Representatives promptly and, if requested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below, of any change in the condition (financial or other), business, prospects, properties, net worth or results of operations of the Plains Entities, taken as a whole, or of</w:t>
      </w:r>
    </w:p>
    <w:p>
      <w:pPr>
        <w:sectPr>
          <w:pgSz w:w="11900" w:h="16939" w:orient="portrait"/>
          <w:cols w:equalWidth="0" w:num="1">
            <w:col w:w="11420"/>
          </w:cols>
          <w:pgMar w:left="240" w:top="121" w:right="239" w:bottom="0" w:gutter="0" w:footer="0" w:header="0"/>
        </w:sectPr>
      </w:pPr>
    </w:p>
    <w:bookmarkStart w:id="9" w:name="page10"/>
    <w:bookmarkEnd w:id="9"/>
    <w:p>
      <w:pPr>
        <w:spacing w:after="0" w:line="115"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Registration Statement, the Partnership will make every commercially reasonable effort to obtain the withdrawal of such order at the earliest possible time.</w:t>
      </w:r>
    </w:p>
    <w:p>
      <w:pPr>
        <w:spacing w:after="0" w:line="166" w:lineRule="exact"/>
        <w:rPr>
          <w:sz w:val="20"/>
          <w:szCs w:val="20"/>
          <w:color w:val="auto"/>
        </w:rPr>
      </w:pPr>
    </w:p>
    <w:p>
      <w:pPr>
        <w:ind w:left="4" w:right="160" w:firstLine="645"/>
        <w:spacing w:after="0" w:line="303" w:lineRule="auto"/>
        <w:tabs>
          <w:tab w:leader="none" w:pos="1347" w:val="left"/>
        </w:tabs>
        <w:numPr>
          <w:ilvl w:val="1"/>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Final Term Sheet and Issuer Free Writing Prospectuses</w:t>
      </w:r>
      <w:r>
        <w:rPr>
          <w:rFonts w:ascii="Arial" w:cs="Arial" w:eastAsia="Arial" w:hAnsi="Arial"/>
          <w:sz w:val="16"/>
          <w:szCs w:val="16"/>
          <w:color w:val="auto"/>
        </w:rPr>
        <w:t>. The Issuers agree (i) to prepare a final term sheet, containing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description of the final terms of the Notes and the offering thereof, in the form approved by the Representatives and attached as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151" w:lineRule="exact"/>
        <w:rPr>
          <w:rFonts w:ascii="Arial" w:cs="Arial" w:eastAsia="Arial" w:hAnsi="Arial"/>
          <w:sz w:val="16"/>
          <w:szCs w:val="16"/>
          <w:color w:val="auto"/>
        </w:rPr>
      </w:pPr>
    </w:p>
    <w:p>
      <w:pPr>
        <w:jc w:val="both"/>
        <w:ind w:left="4" w:right="260" w:firstLine="645"/>
        <w:spacing w:after="0" w:line="289" w:lineRule="auto"/>
        <w:tabs>
          <w:tab w:leader="none" w:pos="1357" w:val="left"/>
        </w:tabs>
        <w:numPr>
          <w:ilvl w:val="1"/>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Copies of Registration Statement</w:t>
      </w:r>
      <w:r>
        <w:rPr>
          <w:rFonts w:ascii="Arial" w:cs="Arial" w:eastAsia="Arial" w:hAnsi="Arial"/>
          <w:sz w:val="16"/>
          <w:szCs w:val="16"/>
          <w:color w:val="auto"/>
        </w:rPr>
        <w:t>. The Issuers will furnish to the Underwriters, without charge, (i) one copy of the manually</w:t>
      </w:r>
      <w:r>
        <w:rPr>
          <w:rFonts w:ascii="Arial" w:cs="Arial" w:eastAsia="Arial" w:hAnsi="Arial"/>
          <w:sz w:val="16"/>
          <w:szCs w:val="16"/>
          <w:b w:val="1"/>
          <w:bCs w:val="1"/>
          <w:color w:val="auto"/>
        </w:rPr>
        <w:t xml:space="preserve"> </w:t>
      </w:r>
      <w:r>
        <w:rPr>
          <w:rFonts w:ascii="Arial" w:cs="Arial" w:eastAsia="Arial" w:hAnsi="Arial"/>
          <w:sz w:val="16"/>
          <w:szCs w:val="16"/>
          <w:color w:val="auto"/>
        </w:rPr>
        <w:t>signed copy of the registration statement corresponding to the Commission’s electronic data gathering, analysis and retrieval system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 version filed with the Commission and of each amendment thereto, including financial statements and all exhibits to the registration statement,</w:t>
      </w:r>
    </w:p>
    <w:p>
      <w:pPr>
        <w:spacing w:after="0" w:line="1" w:lineRule="exact"/>
        <w:rPr>
          <w:rFonts w:ascii="Arial" w:cs="Arial" w:eastAsia="Arial" w:hAnsi="Arial"/>
          <w:sz w:val="16"/>
          <w:szCs w:val="16"/>
          <w:color w:val="auto"/>
        </w:rPr>
      </w:pPr>
    </w:p>
    <w:p>
      <w:pPr>
        <w:ind w:left="4" w:right="120" w:hanging="4"/>
        <w:spacing w:after="0" w:line="302" w:lineRule="auto"/>
        <w:tabs>
          <w:tab w:leader="none" w:pos="2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w:t>
      </w:r>
    </w:p>
    <w:p>
      <w:pPr>
        <w:spacing w:after="0" w:line="151" w:lineRule="exact"/>
        <w:rPr>
          <w:rFonts w:ascii="Arial" w:cs="Arial" w:eastAsia="Arial" w:hAnsi="Arial"/>
          <w:sz w:val="16"/>
          <w:szCs w:val="16"/>
          <w:color w:val="auto"/>
        </w:rPr>
      </w:pPr>
    </w:p>
    <w:p>
      <w:pPr>
        <w:ind w:left="4" w:right="60" w:firstLine="645"/>
        <w:spacing w:after="0" w:line="291" w:lineRule="auto"/>
        <w:tabs>
          <w:tab w:leader="none" w:pos="1347" w:val="left"/>
        </w:tabs>
        <w:numPr>
          <w:ilvl w:val="1"/>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Filing of Amendment or Supplement</w:t>
      </w:r>
      <w:r>
        <w:rPr>
          <w:rFonts w:ascii="Arial" w:cs="Arial" w:eastAsia="Arial" w:hAnsi="Arial"/>
          <w:sz w:val="16"/>
          <w:szCs w:val="16"/>
          <w:color w:val="auto"/>
        </w:rPr>
        <w:t>. For such period as in the opinion of counsel for the Underwriters a prospectus is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Securities Act to be delivered in connection with sales by any Underwriter or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160" w:lineRule="exact"/>
        <w:rPr>
          <w:rFonts w:ascii="Arial" w:cs="Arial" w:eastAsia="Arial" w:hAnsi="Arial"/>
          <w:sz w:val="16"/>
          <w:szCs w:val="16"/>
          <w:color w:val="auto"/>
        </w:rPr>
      </w:pPr>
    </w:p>
    <w:p>
      <w:pPr>
        <w:ind w:left="4" w:right="160" w:firstLine="645"/>
        <w:spacing w:after="0" w:line="274" w:lineRule="auto"/>
        <w:tabs>
          <w:tab w:leader="none" w:pos="1372"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Copies of Documents to the Underwriters</w:t>
      </w:r>
      <w:r>
        <w:rPr>
          <w:rFonts w:ascii="Arial" w:cs="Arial" w:eastAsia="Arial" w:hAnsi="Arial"/>
          <w:sz w:val="17"/>
          <w:szCs w:val="17"/>
          <w:color w:val="auto"/>
        </w:rPr>
        <w:t>. As soon after the Applicable Time as possible and thereafter from time to time for</w:t>
      </w:r>
      <w:r>
        <w:rPr>
          <w:rFonts w:ascii="Arial" w:cs="Arial" w:eastAsia="Arial" w:hAnsi="Arial"/>
          <w:sz w:val="17"/>
          <w:szCs w:val="17"/>
          <w:b w:val="1"/>
          <w:bCs w:val="1"/>
          <w:color w:val="auto"/>
        </w:rPr>
        <w:t xml:space="preserve"> </w:t>
      </w:r>
      <w:r>
        <w:rPr>
          <w:rFonts w:ascii="Arial" w:cs="Arial" w:eastAsia="Arial" w:hAnsi="Arial"/>
          <w:sz w:val="17"/>
          <w:szCs w:val="17"/>
          <w:color w:val="auto"/>
        </w:rPr>
        <w:t>such period as in the opinion of counsel for the Underwriters a prospectus is required by the Securities Act to be delivered in connection with sales by any Underwriter or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85" w:lineRule="auto"/>
        <w:rPr>
          <w:sz w:val="20"/>
          <w:szCs w:val="20"/>
          <w:color w:val="auto"/>
        </w:rPr>
      </w:pPr>
      <w:r>
        <w:rPr>
          <w:rFonts w:ascii="Arial" w:cs="Arial" w:eastAsia="Arial" w:hAnsi="Arial"/>
          <w:sz w:val="16"/>
          <w:szCs w:val="16"/>
          <w:color w:val="auto"/>
        </w:rPr>
        <w:t xml:space="preserve">of the Securities Act as the Underwriters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prospectus is required by the Securities Act to be delivered in connection with sales of the Notes by any Underwriter or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above, file with the Commission an appropriate supplement or amendment thereto (or to such document), and will expeditiously furnish to the Underwriters and dealers a reasonable number of copies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174" w:lineRule="exact"/>
        <w:rPr>
          <w:sz w:val="20"/>
          <w:szCs w:val="20"/>
          <w:color w:val="auto"/>
        </w:rPr>
      </w:pPr>
    </w:p>
    <w:p>
      <w:pPr>
        <w:ind w:left="4" w:firstLine="645"/>
        <w:spacing w:after="0" w:line="272" w:lineRule="auto"/>
        <w:tabs>
          <w:tab w:leader="none" w:pos="1357"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Blue Sky Laws</w:t>
      </w:r>
      <w:r>
        <w:rPr>
          <w:rFonts w:ascii="Arial" w:cs="Arial" w:eastAsia="Arial" w:hAnsi="Arial"/>
          <w:sz w:val="17"/>
          <w:szCs w:val="17"/>
          <w:color w:val="auto"/>
        </w:rPr>
        <w:t>. The Issuers will cooperate with the Representatives and with counsel for the Underwriters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172" w:lineRule="exact"/>
        <w:rPr>
          <w:rFonts w:ascii="Arial" w:cs="Arial" w:eastAsia="Arial" w:hAnsi="Arial"/>
          <w:sz w:val="17"/>
          <w:szCs w:val="17"/>
          <w:color w:val="auto"/>
        </w:rPr>
      </w:pPr>
    </w:p>
    <w:p>
      <w:pPr>
        <w:ind w:left="4" w:right="20" w:firstLine="645"/>
        <w:spacing w:after="0" w:line="314" w:lineRule="auto"/>
        <w:tabs>
          <w:tab w:leader="none" w:pos="1357"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Reports to Security Holders</w:t>
      </w:r>
      <w:r>
        <w:rPr>
          <w:rFonts w:ascii="Arial" w:cs="Arial" w:eastAsia="Arial" w:hAnsi="Arial"/>
          <w:sz w:val="16"/>
          <w:szCs w:val="16"/>
          <w:color w:val="auto"/>
        </w:rPr>
        <w:t>. In accordance with Section 11(a) of the Securities Act and Rule 158 of the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w:t>
      </w:r>
    </w:p>
    <w:p>
      <w:pPr>
        <w:sectPr>
          <w:pgSz w:w="11900" w:h="16953" w:orient="portrait"/>
          <w:cols w:equalWidth="0" w:num="1">
            <w:col w:w="10744"/>
          </w:cols>
          <w:pgMar w:left="896" w:top="125" w:right="259" w:bottom="0" w:gutter="0" w:footer="0" w:header="0"/>
        </w:sectPr>
      </w:pPr>
    </w:p>
    <w:bookmarkStart w:id="10" w:name="page11"/>
    <w:bookmarkEnd w:id="10"/>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meaning of such Rule 158) of the Registration Statement as soon as practicable after the end of such period.</w:t>
      </w:r>
    </w:p>
    <w:p>
      <w:pPr>
        <w:spacing w:after="0" w:line="221" w:lineRule="exact"/>
        <w:rPr>
          <w:sz w:val="20"/>
          <w:szCs w:val="20"/>
          <w:color w:val="auto"/>
        </w:rPr>
      </w:pPr>
    </w:p>
    <w:p>
      <w:pPr>
        <w:ind w:left="4" w:right="200" w:firstLine="645"/>
        <w:spacing w:after="0" w:line="281" w:lineRule="auto"/>
        <w:tabs>
          <w:tab w:leader="none" w:pos="1362" w:val="left"/>
        </w:tabs>
        <w:numPr>
          <w:ilvl w:val="0"/>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Copies of Reports</w:t>
      </w:r>
      <w:r>
        <w:rPr>
          <w:rFonts w:ascii="Arial" w:cs="Arial" w:eastAsia="Arial" w:hAnsi="Arial"/>
          <w:sz w:val="17"/>
          <w:szCs w:val="17"/>
          <w:color w:val="auto"/>
        </w:rPr>
        <w:t>. Unless otherwise available on EDGAR, during the period of two years hereafter, the Issuers will furnish or</w:t>
      </w:r>
      <w:r>
        <w:rPr>
          <w:rFonts w:ascii="Arial" w:cs="Arial" w:eastAsia="Arial" w:hAnsi="Arial"/>
          <w:sz w:val="17"/>
          <w:szCs w:val="17"/>
          <w:b w:val="1"/>
          <w:bCs w:val="1"/>
          <w:color w:val="auto"/>
        </w:rPr>
        <w:t xml:space="preserve"> </w:t>
      </w:r>
      <w:r>
        <w:rPr>
          <w:rFonts w:ascii="Arial" w:cs="Arial" w:eastAsia="Arial" w:hAnsi="Arial"/>
          <w:sz w:val="17"/>
          <w:szCs w:val="17"/>
          <w:color w:val="auto"/>
        </w:rPr>
        <w:t>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164" w:lineRule="exact"/>
        <w:rPr>
          <w:rFonts w:ascii="Arial" w:cs="Arial" w:eastAsia="Arial" w:hAnsi="Arial"/>
          <w:sz w:val="17"/>
          <w:szCs w:val="17"/>
          <w:color w:val="auto"/>
        </w:rPr>
      </w:pPr>
    </w:p>
    <w:p>
      <w:pPr>
        <w:ind w:left="4" w:right="40" w:firstLine="645"/>
        <w:spacing w:after="0" w:line="298" w:lineRule="auto"/>
        <w:tabs>
          <w:tab w:leader="none" w:pos="1362"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Expenses</w:t>
      </w:r>
      <w:r>
        <w:rPr>
          <w:rFonts w:ascii="Arial" w:cs="Arial" w:eastAsia="Arial" w:hAnsi="Arial"/>
          <w:sz w:val="16"/>
          <w:szCs w:val="16"/>
          <w:color w:val="auto"/>
        </w:rPr>
        <w:t>. If this Agreement shall terminate or shall be terminated after execution pursuant to any provisions hereof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than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(except pursuant to the first clause of </w:t>
      </w:r>
      <w:r>
        <w:rPr>
          <w:rFonts w:ascii="Arial" w:cs="Arial" w:eastAsia="Arial" w:hAnsi="Arial"/>
          <w:sz w:val="16"/>
          <w:szCs w:val="16"/>
          <w:u w:val="single" w:color="auto"/>
          <w:color w:val="auto"/>
        </w:rPr>
        <w:t>Section 10(i)</w:t>
      </w:r>
      <w:r>
        <w:rPr>
          <w:rFonts w:ascii="Arial" w:cs="Arial" w:eastAsia="Arial" w:hAnsi="Arial"/>
          <w:sz w:val="16"/>
          <w:szCs w:val="16"/>
          <w:color w:val="auto"/>
        </w:rPr>
        <w:t>))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out-of-pocket expenses (including reasonable fees and expenses of counsel for the Underwriters) incurred by the Underwriters in connection herewith.</w:t>
      </w:r>
    </w:p>
    <w:p>
      <w:pPr>
        <w:spacing w:after="0" w:line="154" w:lineRule="exact"/>
        <w:rPr>
          <w:rFonts w:ascii="Arial" w:cs="Arial" w:eastAsia="Arial" w:hAnsi="Arial"/>
          <w:sz w:val="16"/>
          <w:szCs w:val="16"/>
          <w:color w:val="auto"/>
        </w:rPr>
      </w:pPr>
    </w:p>
    <w:p>
      <w:pPr>
        <w:ind w:left="4" w:right="20" w:firstLine="645"/>
        <w:spacing w:after="0" w:line="282" w:lineRule="auto"/>
        <w:tabs>
          <w:tab w:leader="none" w:pos="1357"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Application of Proceeds</w:t>
      </w:r>
      <w:r>
        <w:rPr>
          <w:rFonts w:ascii="Arial" w:cs="Arial" w:eastAsia="Arial" w:hAnsi="Arial"/>
          <w:sz w:val="18"/>
          <w:szCs w:val="18"/>
          <w:color w:val="auto"/>
        </w:rPr>
        <w:t>. The Issuers will apply the net proceeds from the sale of the Notes in accordance with the description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under the caption “Use of Proceeds” in the Pricing Disclosure Package and the Prospectus.</w:t>
      </w:r>
    </w:p>
    <w:p>
      <w:pPr>
        <w:spacing w:after="0" w:line="161" w:lineRule="exact"/>
        <w:rPr>
          <w:rFonts w:ascii="Arial" w:cs="Arial" w:eastAsia="Arial" w:hAnsi="Arial"/>
          <w:sz w:val="18"/>
          <w:szCs w:val="18"/>
          <w:color w:val="auto"/>
        </w:rPr>
      </w:pPr>
    </w:p>
    <w:p>
      <w:pPr>
        <w:ind w:left="1364" w:hanging="715"/>
        <w:spacing w:after="0"/>
        <w:tabs>
          <w:tab w:leader="none" w:pos="1364" w:val="left"/>
        </w:tabs>
        <w:numPr>
          <w:ilvl w:val="0"/>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Filing of Prospectus</w:t>
      </w:r>
      <w:r>
        <w:rPr>
          <w:rFonts w:ascii="Arial" w:cs="Arial" w:eastAsia="Arial" w:hAnsi="Arial"/>
          <w:sz w:val="17"/>
          <w:szCs w:val="17"/>
          <w:color w:val="auto"/>
        </w:rPr>
        <w:t>. The Issuers will timely file the Prospectus, and any amendment or supplement thereto, pursuant to</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Rule 424(b) of the Rules and Regulations and will advise the Underwriters of the time and manner of such filing.</w:t>
      </w:r>
    </w:p>
    <w:p>
      <w:pPr>
        <w:spacing w:after="0" w:line="207" w:lineRule="exact"/>
        <w:rPr>
          <w:sz w:val="20"/>
          <w:szCs w:val="20"/>
          <w:color w:val="auto"/>
        </w:rPr>
      </w:pPr>
    </w:p>
    <w:p>
      <w:pPr>
        <w:ind w:left="4" w:right="140" w:firstLine="645"/>
        <w:spacing w:after="0" w:line="266" w:lineRule="auto"/>
        <w:tabs>
          <w:tab w:leader="none" w:pos="136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Stabilization</w:t>
      </w:r>
      <w:r>
        <w:rPr>
          <w:rFonts w:ascii="Arial" w:cs="Arial" w:eastAsia="Arial" w:hAnsi="Arial"/>
          <w:sz w:val="18"/>
          <w:szCs w:val="18"/>
          <w:color w:val="auto"/>
        </w:rPr>
        <w:t>. Except as stated in this Agreement and the Prospectus, neither of the Issuers has taken, or will take,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any action designed to or that might reasonably be expected to cause or result in stabilization or manipulation of the price of any security of the Issuers to facilitate the sale or resale of the Notes.</w:t>
      </w:r>
    </w:p>
    <w:p>
      <w:pPr>
        <w:spacing w:after="0" w:line="176" w:lineRule="exact"/>
        <w:rPr>
          <w:rFonts w:ascii="Arial" w:cs="Arial" w:eastAsia="Arial" w:hAnsi="Arial"/>
          <w:sz w:val="18"/>
          <w:szCs w:val="18"/>
          <w:color w:val="auto"/>
        </w:rPr>
      </w:pPr>
    </w:p>
    <w:p>
      <w:pPr>
        <w:ind w:left="4" w:firstLine="645"/>
        <w:spacing w:after="0" w:line="266" w:lineRule="auto"/>
        <w:tabs>
          <w:tab w:leader="none" w:pos="1357"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Company</w:t>
      </w:r>
      <w:r>
        <w:rPr>
          <w:rFonts w:ascii="Arial" w:cs="Arial" w:eastAsia="Arial" w:hAnsi="Arial"/>
          <w:sz w:val="18"/>
          <w:szCs w:val="18"/>
          <w:color w:val="auto"/>
        </w:rPr>
        <w:t>. The Issuers will take such steps as shall be necessary to ensure that none of the Plains Entities or the GP</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shall become an “investment company” within the meaning of such term under the Investment Company Act and the rules and regulations of the Commission thereunder.</w:t>
      </w:r>
    </w:p>
    <w:p>
      <w:pPr>
        <w:spacing w:after="0" w:line="176" w:lineRule="exact"/>
        <w:rPr>
          <w:rFonts w:ascii="Arial" w:cs="Arial" w:eastAsia="Arial" w:hAnsi="Arial"/>
          <w:sz w:val="18"/>
          <w:szCs w:val="18"/>
          <w:color w:val="auto"/>
        </w:rPr>
      </w:pPr>
    </w:p>
    <w:p>
      <w:pPr>
        <w:ind w:left="4" w:right="20" w:firstLine="645"/>
        <w:spacing w:after="0" w:line="347" w:lineRule="auto"/>
        <w:tabs>
          <w:tab w:leader="none" w:pos="1357"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 Act Reports</w:t>
      </w:r>
      <w:r>
        <w:rPr>
          <w:rFonts w:ascii="Arial" w:cs="Arial" w:eastAsia="Arial" w:hAnsi="Arial"/>
          <w:sz w:val="16"/>
          <w:szCs w:val="16"/>
          <w:color w:val="auto"/>
        </w:rPr>
        <w:t>. The Issuers, during the period when the Prospectus is required to be delivered under the Securities Act,</w:t>
      </w:r>
      <w:r>
        <w:rPr>
          <w:rFonts w:ascii="Arial" w:cs="Arial" w:eastAsia="Arial" w:hAnsi="Arial"/>
          <w:sz w:val="16"/>
          <w:szCs w:val="16"/>
          <w:b w:val="1"/>
          <w:bCs w:val="1"/>
          <w:color w:val="auto"/>
        </w:rPr>
        <w:t xml:space="preserve"> </w:t>
      </w:r>
      <w:r>
        <w:rPr>
          <w:rFonts w:ascii="Arial" w:cs="Arial" w:eastAsia="Arial" w:hAnsi="Arial"/>
          <w:sz w:val="16"/>
          <w:szCs w:val="16"/>
          <w:color w:val="auto"/>
        </w:rPr>
        <w:t>will file all documents required to be filed with the Commission pursuant to the Exchange Act within the time periods required by the Exchange Act.</w:t>
      </w:r>
    </w:p>
    <w:p>
      <w:pPr>
        <w:spacing w:after="0" w:line="116" w:lineRule="exact"/>
        <w:rPr>
          <w:rFonts w:ascii="Arial" w:cs="Arial" w:eastAsia="Arial" w:hAnsi="Arial"/>
          <w:sz w:val="16"/>
          <w:szCs w:val="16"/>
          <w:color w:val="auto"/>
        </w:rPr>
      </w:pPr>
    </w:p>
    <w:p>
      <w:pPr>
        <w:ind w:left="4" w:right="260" w:firstLine="645"/>
        <w:spacing w:after="0" w:line="266" w:lineRule="auto"/>
        <w:tabs>
          <w:tab w:leader="none" w:pos="1357"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Free Writing Prospectuses</w:t>
      </w:r>
      <w:r>
        <w:rPr>
          <w:rFonts w:ascii="Arial" w:cs="Arial" w:eastAsia="Arial" w:hAnsi="Arial"/>
          <w:sz w:val="18"/>
          <w:szCs w:val="18"/>
          <w:color w:val="auto"/>
        </w:rPr>
        <w:t>. The Issuers have complied and will comply with the requirements of Rule 433 of the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applicable to any Issuer Free Writing Prospectus, including appropriate legending and timely filing with the Commission or retention where required. The Issuers represent that they have satisfied</w:t>
      </w:r>
    </w:p>
    <w:p>
      <w:pPr>
        <w:spacing w:after="0" w:line="18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 xml:space="preserve">and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63" w:lineRule="exact"/>
        <w:rPr>
          <w:sz w:val="20"/>
          <w:szCs w:val="20"/>
          <w:color w:val="auto"/>
        </w:rPr>
      </w:pPr>
    </w:p>
    <w:p>
      <w:pPr>
        <w:ind w:left="4" w:right="60" w:firstLine="645"/>
        <w:spacing w:after="0" w:line="266" w:lineRule="auto"/>
        <w:tabs>
          <w:tab w:leader="none" w:pos="1357" w:val="left"/>
        </w:tabs>
        <w:numPr>
          <w:ilvl w:val="1"/>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Clear Market</w:t>
      </w:r>
      <w:r>
        <w:rPr>
          <w:rFonts w:ascii="Arial" w:cs="Arial" w:eastAsia="Arial" w:hAnsi="Arial"/>
          <w:sz w:val="18"/>
          <w:szCs w:val="18"/>
          <w:color w:val="auto"/>
        </w:rPr>
        <w:t>. During the period from the date hereof through and including the business day following the Delivery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Issuers will not, without the prior written consent of the Representatives, offer, sell, contract to sell or otherwise dispose of any debt securities issued or guaranteed by the Issuers and having a tenor of more than one year.</w:t>
      </w:r>
    </w:p>
    <w:p>
      <w:pPr>
        <w:spacing w:after="0" w:line="176" w:lineRule="exact"/>
        <w:rPr>
          <w:rFonts w:ascii="Arial" w:cs="Arial" w:eastAsia="Arial" w:hAnsi="Arial"/>
          <w:sz w:val="18"/>
          <w:szCs w:val="18"/>
          <w:color w:val="auto"/>
        </w:rPr>
      </w:pPr>
    </w:p>
    <w:p>
      <w:pPr>
        <w:ind w:left="724" w:hanging="724"/>
        <w:spacing w:after="0"/>
        <w:tabs>
          <w:tab w:leader="none" w:pos="724"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 and Contribution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 w:right="40" w:firstLine="645"/>
        <w:spacing w:after="0" w:line="268" w:lineRule="auto"/>
        <w:tabs>
          <w:tab w:leader="none" w:pos="1347"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of the Issuers, jointly and severally, agrees to indemnify and hold harmless each Underwriter, the directors, officers, employees and agents of each Underwriter, each affiliate of any Underwriter who has participated in the distribution of the Notes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Arial" w:cs="Arial" w:eastAsia="Arial" w:hAnsi="Arial"/>
          <w:sz w:val="17"/>
          <w:szCs w:val="17"/>
          <w:b w:val="1"/>
          <w:bCs w:val="1"/>
          <w:u w:val="single" w:color="auto"/>
          <w:color w:val="auto"/>
        </w:rPr>
        <w:t>Non-Prospectus Road Show</w:t>
      </w:r>
      <w:r>
        <w:rPr>
          <w:rFonts w:ascii="Arial" w:cs="Arial" w:eastAsia="Arial" w:hAnsi="Arial"/>
          <w:sz w:val="17"/>
          <w:szCs w:val="17"/>
          <w:color w:val="auto"/>
        </w:rPr>
        <w:t>”) or (ii) the omission or alleged omission to state in the Registration Statement, any Preliminary Prospectus, the Prospectus,</w:t>
      </w:r>
      <w:r>
        <w:rPr>
          <w:rFonts w:ascii="Arial" w:cs="Arial" w:eastAsia="Arial" w:hAnsi="Arial"/>
          <w:sz w:val="17"/>
          <w:szCs w:val="17"/>
          <w:b w:val="1"/>
          <w:bCs w:val="1"/>
          <w:color w:val="auto"/>
        </w:rPr>
        <w:t xml:space="preserve"> </w:t>
      </w:r>
      <w:r>
        <w:rPr>
          <w:rFonts w:ascii="Arial" w:cs="Arial" w:eastAsia="Arial" w:hAnsi="Arial"/>
          <w:sz w:val="17"/>
          <w:szCs w:val="17"/>
          <w:color w:val="auto"/>
        </w:rPr>
        <w:t>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w:t>
      </w:r>
    </w:p>
    <w:p>
      <w:pPr>
        <w:spacing w:after="0" w:line="18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0" w:gutter="0" w:footer="0" w:header="0"/>
        </w:sectPr>
      </w:pPr>
    </w:p>
    <w:bookmarkStart w:id="11" w:name="page12"/>
    <w:bookmarkEnd w:id="11"/>
    <w:p>
      <w:pPr>
        <w:ind w:right="20"/>
        <w:spacing w:after="0" w:line="270" w:lineRule="auto"/>
        <w:rPr>
          <w:sz w:val="20"/>
          <w:szCs w:val="20"/>
          <w:color w:val="auto"/>
        </w:rPr>
      </w:pPr>
      <w:r>
        <w:rPr>
          <w:rFonts w:ascii="Arial" w:cs="Arial" w:eastAsia="Arial" w:hAnsi="Arial"/>
          <w:sz w:val="17"/>
          <w:szCs w:val="17"/>
          <w:color w:val="auto"/>
        </w:rPr>
        <w:t xml:space="preserve">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The foregoing indemnity agreement is in addition to any liability that the Issuers may otherwise have to any Underwriter or to any director, officer, employee or controlling person of that Underwriter.</w:t>
      </w:r>
    </w:p>
    <w:p>
      <w:pPr>
        <w:spacing w:after="0" w:line="182" w:lineRule="exact"/>
        <w:rPr>
          <w:sz w:val="20"/>
          <w:szCs w:val="20"/>
          <w:color w:val="auto"/>
        </w:rPr>
      </w:pPr>
    </w:p>
    <w:p>
      <w:pPr>
        <w:ind w:right="60" w:firstLine="645"/>
        <w:spacing w:after="0" w:line="285" w:lineRule="auto"/>
        <w:tabs>
          <w:tab w:leader="none" w:pos="13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77" w:lineRule="exact"/>
        <w:rPr>
          <w:rFonts w:ascii="Arial" w:cs="Arial" w:eastAsia="Arial" w:hAnsi="Arial"/>
          <w:sz w:val="16"/>
          <w:szCs w:val="16"/>
          <w:color w:val="auto"/>
        </w:rPr>
      </w:pPr>
    </w:p>
    <w:p>
      <w:pPr>
        <w:ind w:right="560" w:firstLine="645"/>
        <w:spacing w:after="0" w:line="308" w:lineRule="auto"/>
        <w:tabs>
          <w:tab w:leader="none" w:pos="1343"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Underwriter agrees, severally and not jointly, to indemnify and hold harmless the Issuers, GP LLC’s directors and the officers who sign the Registration Statement, and any person who controls either of the Issuers within the meaning of</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such Underwriter shall have the rights and duties given to the Issuers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above. The foregoing indemnity agreement shall be in addition to any liability that the Underwriters may otherwise have.</w:t>
      </w:r>
    </w:p>
    <w:p>
      <w:pPr>
        <w:spacing w:after="0" w:line="180" w:lineRule="exact"/>
        <w:rPr>
          <w:sz w:val="20"/>
          <w:szCs w:val="20"/>
          <w:color w:val="auto"/>
        </w:rPr>
      </w:pPr>
    </w:p>
    <w:p>
      <w:pPr>
        <w:ind w:firstLine="645"/>
        <w:spacing w:after="0" w:line="286" w:lineRule="auto"/>
        <w:tabs>
          <w:tab w:leader="none" w:pos="127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unavailable to an indemnified party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is not permitted by applicable law, in such proportion as is appropriate to reflect not only the relative benefits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17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5"/>
        <w:spacing w:after="0" w:line="291" w:lineRule="auto"/>
        <w:tabs>
          <w:tab w:leader="none" w:pos="12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Issuers and the Underwriters agree that it would not be just and equitable if contribution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were determined by a pro rata allocation (even if the Underwriters were treated as one entity for such purpose) or by any other method of allocation that does not take account of the equitable considerations referred to in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above. The amount paid or payable by an indemnified party as a result of the losses, claims, damages, liabilities and expenses referred to in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w:t>
      </w:r>
      <w:r>
        <w:rPr>
          <w:rFonts w:ascii="Arial" w:cs="Arial" w:eastAsia="Arial" w:hAnsi="Arial"/>
          <w:sz w:val="16"/>
          <w:szCs w:val="16"/>
          <w:u w:val="single" w:color="auto"/>
          <w:color w:val="auto"/>
        </w:rPr>
        <w:t>Section 6</w:t>
      </w:r>
      <w:r>
        <w:rPr>
          <w:rFonts w:ascii="Arial" w:cs="Arial" w:eastAsia="Arial" w:hAnsi="Arial"/>
          <w:sz w:val="16"/>
          <w:szCs w:val="16"/>
          <w:color w:val="auto"/>
        </w:rPr>
        <w:t>, no Underwriter shall be required to contribute any amount in excess of the amount by which the total price of the Notes underwritten by it and distributed to the public exceeds the amount of any damages that</w:t>
      </w:r>
    </w:p>
    <w:p>
      <w:pPr>
        <w:sectPr>
          <w:pgSz w:w="11900" w:h="16838" w:orient="portrait"/>
          <w:cols w:equalWidth="0" w:num="1">
            <w:col w:w="10760"/>
          </w:cols>
          <w:pgMar w:left="900" w:top="584" w:right="239" w:bottom="0" w:gutter="0" w:footer="0" w:header="0"/>
        </w:sectPr>
      </w:pPr>
    </w:p>
    <w:bookmarkStart w:id="12" w:name="page13"/>
    <w:bookmarkEnd w:id="12"/>
    <w:p>
      <w:pPr>
        <w:spacing w:after="0" w:line="137"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 xml:space="preserve">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are several and not joint.</w:t>
      </w:r>
    </w:p>
    <w:p>
      <w:pPr>
        <w:spacing w:after="0" w:line="187" w:lineRule="exact"/>
        <w:rPr>
          <w:sz w:val="20"/>
          <w:szCs w:val="20"/>
          <w:color w:val="auto"/>
        </w:rPr>
      </w:pPr>
    </w:p>
    <w:p>
      <w:pPr>
        <w:ind w:left="600" w:firstLine="645"/>
        <w:spacing w:after="0" w:line="253" w:lineRule="auto"/>
        <w:tabs>
          <w:tab w:leader="none" w:pos="18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97" w:lineRule="exact"/>
        <w:rPr>
          <w:rFonts w:ascii="Arial" w:cs="Arial" w:eastAsia="Arial" w:hAnsi="Arial"/>
          <w:sz w:val="18"/>
          <w:szCs w:val="18"/>
          <w:color w:val="auto"/>
        </w:rPr>
      </w:pPr>
    </w:p>
    <w:p>
      <w:pPr>
        <w:ind w:left="600" w:right="60" w:firstLine="645"/>
        <w:spacing w:after="0" w:line="254" w:lineRule="auto"/>
        <w:tabs>
          <w:tab w:leader="none" w:pos="18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Any losses, claims, damages, liabilities or expenses for which an indemnified party is entitled to indemnification or contribution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PAGP GP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PAGP GP or any of their respective directors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0" w:right="540"/>
        <w:spacing w:after="0" w:line="277" w:lineRule="auto"/>
        <w:rPr>
          <w:sz w:val="20"/>
          <w:szCs w:val="20"/>
          <w:color w:val="auto"/>
        </w:rPr>
      </w:pPr>
      <w:r>
        <w:rPr>
          <w:rFonts w:ascii="Arial" w:cs="Arial" w:eastAsia="Arial" w:hAnsi="Arial"/>
          <w:sz w:val="18"/>
          <w:szCs w:val="18"/>
          <w:color w:val="auto"/>
        </w:rPr>
        <w:t xml:space="preserve">or officers, or any person controlling the Issuers shall be entitled to the benefits of the indemnity, contribution and reimbursement agreements contained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66" w:lineRule="exact"/>
        <w:rPr>
          <w:sz w:val="20"/>
          <w:szCs w:val="20"/>
          <w:color w:val="auto"/>
        </w:rPr>
      </w:pPr>
    </w:p>
    <w:p>
      <w:pPr>
        <w:ind w:left="-60" w:right="180" w:firstLine="656"/>
        <w:spacing w:after="0" w:line="282"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the Obligations of the Underwriters</w:t>
      </w:r>
      <w:r>
        <w:rPr>
          <w:rFonts w:ascii="Arial" w:cs="Arial" w:eastAsia="Arial" w:hAnsi="Arial"/>
          <w:sz w:val="18"/>
          <w:szCs w:val="18"/>
          <w:color w:val="auto"/>
        </w:rPr>
        <w:t>. The several obligations of the Underwriters to purchase the Notes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w:t>
      </w:r>
    </w:p>
    <w:p>
      <w:pPr>
        <w:spacing w:after="0" w:line="165" w:lineRule="exact"/>
        <w:rPr>
          <w:rFonts w:ascii="Arial" w:cs="Arial" w:eastAsia="Arial" w:hAnsi="Arial"/>
          <w:sz w:val="18"/>
          <w:szCs w:val="18"/>
          <w:color w:val="auto"/>
        </w:rPr>
      </w:pPr>
    </w:p>
    <w:p>
      <w:pPr>
        <w:ind w:left="600" w:right="180" w:firstLine="645"/>
        <w:spacing w:after="0" w:line="291" w:lineRule="auto"/>
        <w:tabs>
          <w:tab w:leader="none" w:pos="1869"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167" w:lineRule="exact"/>
        <w:rPr>
          <w:rFonts w:ascii="Arial" w:cs="Arial" w:eastAsia="Arial" w:hAnsi="Arial"/>
          <w:sz w:val="16"/>
          <w:szCs w:val="16"/>
          <w:color w:val="auto"/>
        </w:rPr>
      </w:pPr>
    </w:p>
    <w:p>
      <w:pPr>
        <w:ind w:left="600" w:right="100" w:firstLine="645"/>
        <w:spacing w:after="0" w:line="290" w:lineRule="auto"/>
        <w:tabs>
          <w:tab w:leader="none" w:pos="1879" w:val="left"/>
        </w:tabs>
        <w:numPr>
          <w:ilvl w:val="1"/>
          <w:numId w:val="35"/>
        </w:numPr>
        <w:rPr>
          <w:rFonts w:ascii="Arial" w:cs="Arial" w:eastAsia="Arial" w:hAnsi="Arial"/>
          <w:sz w:val="16"/>
          <w:szCs w:val="16"/>
          <w:color w:val="auto"/>
        </w:rPr>
      </w:pPr>
      <w:r>
        <w:rPr>
          <w:rFonts w:ascii="Arial" w:cs="Arial" w:eastAsia="Arial" w:hAnsi="Arial"/>
          <w:sz w:val="16"/>
          <w:szCs w:val="16"/>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166" w:lineRule="exact"/>
        <w:rPr>
          <w:rFonts w:ascii="Arial" w:cs="Arial" w:eastAsia="Arial" w:hAnsi="Arial"/>
          <w:sz w:val="16"/>
          <w:szCs w:val="16"/>
          <w:color w:val="auto"/>
        </w:rPr>
      </w:pPr>
    </w:p>
    <w:p>
      <w:pPr>
        <w:ind w:left="600" w:right="20" w:firstLine="645"/>
        <w:spacing w:after="0" w:line="277" w:lineRule="auto"/>
        <w:tabs>
          <w:tab w:leader="none" w:pos="186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Vinson &amp; Elkins L.L.P., counsel for the Issuers, dated the Delivery Date and addressed to the Underwriters, to the effect that:</w:t>
      </w:r>
    </w:p>
    <w:p>
      <w:pPr>
        <w:spacing w:after="0" w:line="170" w:lineRule="exact"/>
        <w:rPr>
          <w:rFonts w:ascii="Arial" w:cs="Arial" w:eastAsia="Arial" w:hAnsi="Arial"/>
          <w:sz w:val="18"/>
          <w:szCs w:val="18"/>
          <w:color w:val="auto"/>
        </w:rPr>
      </w:pPr>
    </w:p>
    <w:p>
      <w:pPr>
        <w:ind w:left="1240" w:right="260" w:firstLine="653"/>
        <w:spacing w:after="0" w:line="259" w:lineRule="auto"/>
        <w:tabs>
          <w:tab w:leader="none" w:pos="2517" w:val="left"/>
        </w:tabs>
        <w:numPr>
          <w:ilvl w:val="2"/>
          <w:numId w:val="35"/>
        </w:numPr>
        <w:rPr>
          <w:rFonts w:ascii="Arial" w:cs="Arial" w:eastAsia="Arial" w:hAnsi="Arial"/>
          <w:sz w:val="18"/>
          <w:szCs w:val="18"/>
          <w:color w:val="auto"/>
        </w:rPr>
      </w:pPr>
      <w:r>
        <w:rPr>
          <w:rFonts w:ascii="Arial" w:cs="Arial" w:eastAsia="Arial" w:hAnsi="Arial"/>
          <w:sz w:val="18"/>
          <w:szCs w:val="18"/>
          <w:color w:val="auto"/>
        </w:rPr>
        <w:t>Each of the Issuers,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ind w:left="1240" w:right="100" w:firstLine="653"/>
        <w:spacing w:after="0" w:line="277" w:lineRule="auto"/>
        <w:tabs>
          <w:tab w:leader="none" w:pos="2529" w:val="left"/>
        </w:tabs>
        <w:numPr>
          <w:ilvl w:val="2"/>
          <w:numId w:val="35"/>
        </w:numPr>
        <w:rPr>
          <w:rFonts w:ascii="Arial" w:cs="Arial" w:eastAsia="Arial" w:hAnsi="Arial"/>
          <w:sz w:val="18"/>
          <w:szCs w:val="18"/>
          <w:color w:val="auto"/>
        </w:rPr>
      </w:pPr>
      <w:r>
        <w:rPr>
          <w:rFonts w:ascii="Arial" w:cs="Arial" w:eastAsia="Arial" w:hAnsi="Arial"/>
          <w:sz w:val="18"/>
          <w:szCs w:val="18"/>
          <w:color w:val="auto"/>
        </w:rPr>
        <w:t>Each Domestic Subsidiary or GP Entity that serves as a general partner of another Domestic Subsidiary or GP Entity has full limited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company power and authority to serve as general partner of such Domestic Subsidiary or GP Entity, in each case in all material respects.</w:t>
      </w:r>
    </w:p>
    <w:p>
      <w:pPr>
        <w:spacing w:after="0" w:line="248" w:lineRule="exact"/>
        <w:rPr>
          <w:sz w:val="20"/>
          <w:szCs w:val="20"/>
          <w:color w:val="auto"/>
        </w:rPr>
      </w:pPr>
    </w:p>
    <w:p>
      <w:pPr>
        <w:ind w:left="1240" w:right="140" w:firstLine="653"/>
        <w:spacing w:after="0" w:line="257" w:lineRule="auto"/>
        <w:tabs>
          <w:tab w:leader="none" w:pos="2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188" w:lineRule="exact"/>
        <w:rPr>
          <w:rFonts w:ascii="Arial" w:cs="Arial" w:eastAsia="Arial" w:hAnsi="Arial"/>
          <w:sz w:val="18"/>
          <w:szCs w:val="18"/>
          <w:color w:val="auto"/>
        </w:rPr>
      </w:pPr>
    </w:p>
    <w:p>
      <w:pPr>
        <w:ind w:left="1240" w:right="360" w:firstLine="653"/>
        <w:spacing w:after="0" w:line="342" w:lineRule="auto"/>
        <w:tabs>
          <w:tab w:leader="none" w:pos="253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of the outstanding membership or limited partner interests (other than general partner interests) of each Domestic Subsidiary (A) have been duly authorized and validly issued (in accordance with the Organizational Documents of such Domestic</w:t>
      </w:r>
    </w:p>
    <w:p>
      <w:pPr>
        <w:sectPr>
          <w:pgSz w:w="11900" w:h="16975" w:orient="portrait"/>
          <w:cols w:equalWidth="0" w:num="1">
            <w:col w:w="11320"/>
          </w:cols>
          <w:pgMar w:left="300" w:top="125" w:right="279" w:bottom="0" w:gutter="0" w:footer="0" w:header="0"/>
        </w:sectPr>
      </w:pPr>
    </w:p>
    <w:bookmarkStart w:id="13" w:name="page14"/>
    <w:bookmarkEnd w:id="13"/>
    <w:p>
      <w:pPr>
        <w:spacing w:after="0" w:line="94" w:lineRule="exact"/>
        <w:rPr>
          <w:sz w:val="20"/>
          <w:szCs w:val="20"/>
          <w:color w:val="auto"/>
        </w:rPr>
      </w:pPr>
    </w:p>
    <w:p>
      <w:pPr>
        <w:ind w:left="100" w:right="100"/>
        <w:spacing w:after="0" w:line="283" w:lineRule="auto"/>
        <w:rPr>
          <w:sz w:val="20"/>
          <w:szCs w:val="20"/>
          <w:color w:val="auto"/>
        </w:rPr>
      </w:pPr>
      <w:r>
        <w:rPr>
          <w:rFonts w:ascii="Arial" w:cs="Arial" w:eastAsia="Arial" w:hAnsi="Arial"/>
          <w:sz w:val="16"/>
          <w:szCs w:val="16"/>
          <w:color w:val="auto"/>
        </w:rPr>
        <w:t>Subsidiary), are fully paid (to the extent required under the Organizational Documents of such Domestic Subsidiary) and nonassessable (except (1) in the case of an interest in a Delaware limited partnership or Delaware limited liability company, as such nonassessability may be affected by Sections 17-607 and 17-804 of the Delaware LP Act or Sections 18-607 and 18-804 of the Delaware LLC Act, as applicable and (2)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(1) in respect of which a financing statement under the Uniform Commercial Code of the States of Delaware or Texas naming the Partnership as debtor or, in the case of membership or limited partner interests of a Domestic Subsidiary owned directly by one or more other Domestic Subsidiary, naming any such other Domestic Subsidiary as debtor(s), is on file in the office of the Secretary of State of the States of Delaware or Texas or</w:t>
      </w:r>
    </w:p>
    <w:p>
      <w:pPr>
        <w:spacing w:after="0" w:line="7" w:lineRule="exact"/>
        <w:rPr>
          <w:sz w:val="20"/>
          <w:szCs w:val="20"/>
          <w:color w:val="auto"/>
        </w:rPr>
      </w:pPr>
    </w:p>
    <w:p>
      <w:pPr>
        <w:ind w:left="100" w:right="300" w:firstLine="5"/>
        <w:spacing w:after="0" w:line="290" w:lineRule="auto"/>
        <w:tabs>
          <w:tab w:leader="none" w:pos="3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otherwise known to such counsel, without independent investigation, other than those created by or arising under the limited liability company or partnership laws of the jurisdiction of formation of the respective Domestic Subsidiary, as the case may be.</w:t>
      </w:r>
    </w:p>
    <w:p>
      <w:pPr>
        <w:spacing w:after="0" w:line="161" w:lineRule="exact"/>
        <w:rPr>
          <w:rFonts w:ascii="Arial" w:cs="Arial" w:eastAsia="Arial" w:hAnsi="Arial"/>
          <w:sz w:val="17"/>
          <w:szCs w:val="17"/>
          <w:color w:val="auto"/>
        </w:rPr>
      </w:pPr>
    </w:p>
    <w:p>
      <w:pPr>
        <w:ind w:left="100" w:right="120" w:firstLine="653"/>
        <w:spacing w:after="0" w:line="255" w:lineRule="auto"/>
        <w:tabs>
          <w:tab w:leader="none" w:pos="137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w:t>
      </w:r>
    </w:p>
    <w:p>
      <w:pPr>
        <w:spacing w:after="0" w:line="1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partnership laws of the jurisdiction of formation of the respective Domestic Subsidiary, as the case may be.</w:t>
      </w:r>
    </w:p>
    <w:p>
      <w:pPr>
        <w:spacing w:after="0" w:line="225" w:lineRule="exact"/>
        <w:rPr>
          <w:sz w:val="20"/>
          <w:szCs w:val="20"/>
          <w:color w:val="auto"/>
        </w:rPr>
      </w:pPr>
    </w:p>
    <w:p>
      <w:pPr>
        <w:jc w:val="both"/>
        <w:ind w:left="100" w:right="120" w:firstLine="653"/>
        <w:spacing w:after="0" w:line="264" w:lineRule="auto"/>
        <w:tabs>
          <w:tab w:leader="none" w:pos="13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181" w:lineRule="exact"/>
        <w:rPr>
          <w:rFonts w:ascii="Arial" w:cs="Arial" w:eastAsia="Arial" w:hAnsi="Arial"/>
          <w:sz w:val="18"/>
          <w:szCs w:val="18"/>
          <w:color w:val="auto"/>
        </w:rPr>
      </w:pPr>
    </w:p>
    <w:p>
      <w:pPr>
        <w:ind w:left="100" w:right="380" w:firstLine="653"/>
        <w:spacing w:after="0" w:line="264" w:lineRule="auto"/>
        <w:tabs>
          <w:tab w:leader="none" w:pos="14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such counsel’s knowledge, neither the filing of the Registration Statement nor the offering or sale of the Notes as contemplated by this Agreement gives rise to any rights for or relating to the registration of any Notes or other securities of the Issuers, except such rights as have been waived or satisfied.</w:t>
      </w:r>
    </w:p>
    <w:p>
      <w:pPr>
        <w:spacing w:after="0" w:line="181" w:lineRule="exact"/>
        <w:rPr>
          <w:rFonts w:ascii="Arial" w:cs="Arial" w:eastAsia="Arial" w:hAnsi="Arial"/>
          <w:sz w:val="18"/>
          <w:szCs w:val="18"/>
          <w:color w:val="auto"/>
        </w:rPr>
      </w:pPr>
    </w:p>
    <w:p>
      <w:pPr>
        <w:ind w:left="1420" w:hanging="667"/>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Issuers.</w:t>
      </w:r>
    </w:p>
    <w:p>
      <w:pPr>
        <w:spacing w:after="0" w:line="225" w:lineRule="exact"/>
        <w:rPr>
          <w:rFonts w:ascii="Arial" w:cs="Arial" w:eastAsia="Arial" w:hAnsi="Arial"/>
          <w:sz w:val="18"/>
          <w:szCs w:val="18"/>
          <w:color w:val="auto"/>
        </w:rPr>
      </w:pPr>
    </w:p>
    <w:p>
      <w:pPr>
        <w:ind w:left="100" w:right="60" w:firstLine="653"/>
        <w:spacing w:after="0" w:line="255" w:lineRule="auto"/>
        <w:tabs>
          <w:tab w:leader="none" w:pos="13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Base Indenture and the Supplemental Indenture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rFonts w:ascii="Arial" w:cs="Arial" w:eastAsia="Arial" w:hAnsi="Arial"/>
          <w:sz w:val="18"/>
          <w:szCs w:val="18"/>
          <w:color w:val="auto"/>
        </w:rPr>
      </w:pPr>
    </w:p>
    <w:p>
      <w:pPr>
        <w:ind w:left="100" w:right="60" w:firstLine="653"/>
        <w:spacing w:after="0" w:line="271" w:lineRule="auto"/>
        <w:tabs>
          <w:tab w:leader="none" w:pos="139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20" w:firstLine="653"/>
        <w:spacing w:after="0" w:line="291" w:lineRule="auto"/>
        <w:tabs>
          <w:tab w:leader="none" w:pos="1402"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67" w:lineRule="exact"/>
        <w:rPr>
          <w:rFonts w:ascii="Arial" w:cs="Arial" w:eastAsia="Arial" w:hAnsi="Arial"/>
          <w:sz w:val="16"/>
          <w:szCs w:val="16"/>
          <w:color w:val="auto"/>
        </w:rPr>
      </w:pPr>
    </w:p>
    <w:p>
      <w:pPr>
        <w:ind w:left="100" w:firstLine="653"/>
        <w:spacing w:after="0" w:line="289" w:lineRule="auto"/>
        <w:tabs>
          <w:tab w:leader="none" w:pos="1414"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None of (A) the offering, issuance and sale by the Issuers of the Notes, (B) the execution, delivery and performance of this Agreement by the Issuers, (C) the consummation of the transactions contemplated by this Agreement, (D) the execution and delivery of the Base Indenture and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(i) the Hedged Inventory Facility, (ii) the Credit Agreement dated as of August 19, 2011, as amended, among the Partnership, certain subsidiaries of the Partnership from time to time party thereto and Bank of America, N.A., as administrative agent, and the other lenders party thereto (the</w:t>
      </w:r>
    </w:p>
    <w:p>
      <w:pPr>
        <w:sectPr>
          <w:pgSz w:w="11900" w:h="16932" w:orient="portrait"/>
          <w:cols w:equalWidth="0" w:num="1">
            <w:col w:w="10220"/>
          </w:cols>
          <w:pgMar w:left="1440" w:top="125" w:right="239" w:bottom="0" w:gutter="0" w:footer="0" w:header="0"/>
        </w:sectPr>
      </w:pPr>
    </w:p>
    <w:bookmarkStart w:id="14" w:name="page15"/>
    <w:bookmarkEnd w:id="14"/>
    <w:p>
      <w:pPr>
        <w:ind w:left="100"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PAA Facility</w:t>
      </w:r>
      <w:r>
        <w:rPr>
          <w:rFonts w:ascii="Arial" w:cs="Arial" w:eastAsia="Arial" w:hAnsi="Arial"/>
          <w:sz w:val="18"/>
          <w:szCs w:val="18"/>
          <w:color w:val="auto"/>
        </w:rPr>
        <w:t>”) and(iii) the 364-Day Credit Agreement dated January 16, 2015, as amended (the “</w:t>
      </w:r>
      <w:r>
        <w:rPr>
          <w:rFonts w:ascii="Arial" w:cs="Arial" w:eastAsia="Arial" w:hAnsi="Arial"/>
          <w:sz w:val="18"/>
          <w:szCs w:val="18"/>
          <w:b w:val="1"/>
          <w:bCs w:val="1"/>
          <w:u w:val="single" w:color="auto"/>
          <w:color w:val="auto"/>
        </w:rPr>
        <w:t>364-Day Facility</w:t>
      </w:r>
      <w:r>
        <w:rPr>
          <w:rFonts w:ascii="Arial" w:cs="Arial" w:eastAsia="Arial" w:hAnsi="Arial"/>
          <w:sz w:val="18"/>
          <w:szCs w:val="18"/>
          <w:color w:val="auto"/>
        </w:rPr>
        <w:t>”), among the Partnership, the lenders party thereto and Bank of America, N.A., as administrative agent), (3) results or will result in any violation of the Delaware LP Act, the Delaware LLC Act, the Delaware General Corporation Law (the “</w:t>
      </w:r>
      <w:r>
        <w:rPr>
          <w:rFonts w:ascii="Arial" w:cs="Arial" w:eastAsia="Arial" w:hAnsi="Arial"/>
          <w:sz w:val="18"/>
          <w:szCs w:val="18"/>
          <w:b w:val="1"/>
          <w:bCs w:val="1"/>
          <w:u w:val="single" w:color="auto"/>
          <w:color w:val="auto"/>
        </w:rPr>
        <w:t>DGCL</w:t>
      </w:r>
      <w:r>
        <w:rPr>
          <w:rFonts w:ascii="Arial" w:cs="Arial" w:eastAsia="Arial" w:hAnsi="Arial"/>
          <w:sz w:val="18"/>
          <w:szCs w:val="18"/>
          <w:color w:val="auto"/>
        </w:rPr>
        <w:t xml:space="preserve">”), the laws of the State of Texas or federal law, or (4) results or will result in the creation or imposition of any Lien upon any property or assets of either of the Issuers, the Domestic Subsidiaries or the GP Entities which conflicts, breaches, violations or defaults in the case of </w:t>
      </w:r>
      <w:r>
        <w:rPr>
          <w:rFonts w:ascii="Arial" w:cs="Arial" w:eastAsia="Arial" w:hAnsi="Arial"/>
          <w:sz w:val="18"/>
          <w:szCs w:val="18"/>
          <w:u w:val="single" w:color="auto"/>
          <w:color w:val="auto"/>
        </w:rPr>
        <w:t>clauses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would reasonably be expected to have a Material Adverse Effect or materially impair the ability of the Issuers to consummate the transactions contemplated by this Agreement, it being understood that such counsel need not express an opinion in </w:t>
      </w:r>
      <w:r>
        <w:rPr>
          <w:rFonts w:ascii="Arial" w:cs="Arial" w:eastAsia="Arial" w:hAnsi="Arial"/>
          <w:sz w:val="18"/>
          <w:szCs w:val="18"/>
          <w:u w:val="single" w:color="auto"/>
          <w:color w:val="auto"/>
        </w:rPr>
        <w:t>clause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paragraph (xiii)</w:t>
      </w:r>
      <w:r>
        <w:rPr>
          <w:rFonts w:ascii="Arial" w:cs="Arial" w:eastAsia="Arial" w:hAnsi="Arial"/>
          <w:sz w:val="18"/>
          <w:szCs w:val="18"/>
          <w:color w:val="auto"/>
        </w:rPr>
        <w:t xml:space="preserve"> with respect to any securities or other anti-fraud law.</w:t>
      </w:r>
    </w:p>
    <w:p>
      <w:pPr>
        <w:spacing w:after="0" w:line="189" w:lineRule="exact"/>
        <w:rPr>
          <w:sz w:val="20"/>
          <w:szCs w:val="20"/>
          <w:color w:val="auto"/>
        </w:rPr>
      </w:pPr>
    </w:p>
    <w:p>
      <w:pPr>
        <w:ind w:left="100" w:right="40" w:firstLine="653"/>
        <w:spacing w:after="0" w:line="264" w:lineRule="auto"/>
        <w:tabs>
          <w:tab w:leader="none" w:pos="14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federal, Delaware or Texas court, governmental agency or body having jurisdiction over the Issuers, the GP Entities, the Domestic Subsidiaries or any of their respective properties is required in connection with (A) the offering,</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20"/>
        <w:spacing w:after="0" w:line="271" w:lineRule="auto"/>
        <w:rPr>
          <w:sz w:val="20"/>
          <w:szCs w:val="20"/>
          <w:color w:val="auto"/>
        </w:rPr>
      </w:pPr>
      <w:r>
        <w:rPr>
          <w:rFonts w:ascii="Arial" w:cs="Arial" w:eastAsia="Arial" w:hAnsi="Arial"/>
          <w:sz w:val="17"/>
          <w:szCs w:val="17"/>
          <w:color w:val="auto"/>
        </w:rPr>
        <w:t>issuance and sale by the Issuers of the Notes, (B) the execution, delivery and performance of this Agreement by the Issuers and the consummation of the transactions contemplated by this Agreement, or (C) the execution and delivery of the Base Indenture and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and (3) such other that have been obtained or taken and are in full force and effect.</w:t>
      </w:r>
    </w:p>
    <w:p>
      <w:pPr>
        <w:spacing w:after="0" w:line="179" w:lineRule="exact"/>
        <w:rPr>
          <w:sz w:val="20"/>
          <w:szCs w:val="20"/>
          <w:color w:val="auto"/>
        </w:rPr>
      </w:pPr>
    </w:p>
    <w:p>
      <w:pPr>
        <w:ind w:left="100" w:right="60" w:firstLine="653"/>
        <w:spacing w:after="0" w:line="255" w:lineRule="auto"/>
        <w:tabs>
          <w:tab w:leader="none" w:pos="13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Disclosure Package and the Prospectus under the caption “Material U.S. Federal Income Tax Consequences” in relation to the Notes in each of the Pricing Disclosure Package and the Prospectus, insofar as such statements purport to summarize certain provisions of documents and legal matters referred to therein, fairly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193" w:lineRule="exact"/>
        <w:rPr>
          <w:rFonts w:ascii="Arial" w:cs="Arial" w:eastAsia="Arial" w:hAnsi="Arial"/>
          <w:sz w:val="18"/>
          <w:szCs w:val="18"/>
          <w:color w:val="auto"/>
        </w:rPr>
      </w:pPr>
    </w:p>
    <w:p>
      <w:pPr>
        <w:ind w:left="100" w:firstLine="653"/>
        <w:spacing w:after="0" w:line="257" w:lineRule="auto"/>
        <w:tabs>
          <w:tab w:leader="none" w:pos="14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Statement became effective under the Securities Act upon its filing on September 25, 2015;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or the free writing prospectus pursuant to Rule 433 of the Rules and Regulations has been made in the manner and within the time period required by such Rule.</w:t>
      </w:r>
    </w:p>
    <w:p>
      <w:pPr>
        <w:spacing w:after="0" w:line="188" w:lineRule="exact"/>
        <w:rPr>
          <w:rFonts w:ascii="Arial" w:cs="Arial" w:eastAsia="Arial" w:hAnsi="Arial"/>
          <w:sz w:val="18"/>
          <w:szCs w:val="18"/>
          <w:color w:val="auto"/>
        </w:rPr>
      </w:pPr>
    </w:p>
    <w:p>
      <w:pPr>
        <w:ind w:left="100" w:right="120" w:firstLine="653"/>
        <w:spacing w:after="0" w:line="302" w:lineRule="auto"/>
        <w:tabs>
          <w:tab w:leader="none" w:pos="141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w:t>
      </w:r>
    </w:p>
    <w:p>
      <w:pPr>
        <w:spacing w:after="0" w:line="154" w:lineRule="exact"/>
        <w:rPr>
          <w:rFonts w:ascii="Arial" w:cs="Arial" w:eastAsia="Arial" w:hAnsi="Arial"/>
          <w:sz w:val="16"/>
          <w:szCs w:val="16"/>
          <w:color w:val="auto"/>
        </w:rPr>
      </w:pPr>
    </w:p>
    <w:p>
      <w:pPr>
        <w:ind w:left="100" w:firstLine="653"/>
        <w:spacing w:after="0" w:line="264" w:lineRule="auto"/>
        <w:tabs>
          <w:tab w:leader="none" w:pos="14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Issuers are not, and after sale of the Notes to be sold by the Issuers hereunder and application of the net proceeds from such sale as described in the Pricing Disclosure Package and the Prospectus under the caption “Use of Proceeds,” neither of the Issuers will be, an “investment company” within the</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meaning of the Investment Company Act, and the rules and regulations of the Commission thereunder.</w:t>
      </w:r>
    </w:p>
    <w:p>
      <w:pPr>
        <w:spacing w:after="0" w:line="225" w:lineRule="exact"/>
        <w:rPr>
          <w:sz w:val="20"/>
          <w:szCs w:val="20"/>
          <w:color w:val="auto"/>
        </w:rPr>
      </w:pPr>
    </w:p>
    <w:p>
      <w:pPr>
        <w:ind w:left="100" w:right="80" w:firstLine="648"/>
        <w:spacing w:after="0" w:line="272" w:lineRule="auto"/>
        <w:rPr>
          <w:sz w:val="20"/>
          <w:szCs w:val="20"/>
          <w:color w:val="auto"/>
        </w:rPr>
      </w:pPr>
      <w:r>
        <w:rPr>
          <w:rFonts w:ascii="Arial" w:cs="Arial" w:eastAsia="Arial" w:hAnsi="Arial"/>
          <w:sz w:val="17"/>
          <w:szCs w:val="17"/>
          <w:color w:val="auto"/>
        </w:rPr>
        <w:t xml:space="preserve">In addition, such counsel shall state that they have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w:t>
      </w:r>
      <w:r>
        <w:rPr>
          <w:rFonts w:ascii="Arial" w:cs="Arial" w:eastAsia="Arial" w:hAnsi="Arial"/>
          <w:sz w:val="17"/>
          <w:szCs w:val="17"/>
          <w:u w:val="single" w:color="auto"/>
          <w:color w:val="auto"/>
        </w:rPr>
        <w:t>opinion (xv)</w:t>
      </w:r>
      <w:r>
        <w:rPr>
          <w:rFonts w:ascii="Arial" w:cs="Arial" w:eastAsia="Arial" w:hAnsi="Arial"/>
          <w:sz w:val="17"/>
          <w:szCs w:val="17"/>
          <w:color w:val="auto"/>
        </w:rPr>
        <w:t xml:space="preserve"> above), on the basis of the foregoing, no facts have come to the attention of such counsel that lead them to believe that:</w:t>
      </w:r>
    </w:p>
    <w:p>
      <w:pPr>
        <w:spacing w:after="0" w:line="178" w:lineRule="exact"/>
        <w:rPr>
          <w:sz w:val="20"/>
          <w:szCs w:val="20"/>
          <w:color w:val="auto"/>
        </w:rPr>
      </w:pPr>
    </w:p>
    <w:p>
      <w:pPr>
        <w:ind w:left="760" w:right="100" w:firstLine="641"/>
        <w:spacing w:after="0" w:line="342" w:lineRule="auto"/>
        <w:tabs>
          <w:tab w:leader="none" w:pos="2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23" w:lineRule="exact"/>
        <w:rPr>
          <w:rFonts w:ascii="Arial" w:cs="Arial" w:eastAsia="Arial" w:hAnsi="Arial"/>
          <w:sz w:val="16"/>
          <w:szCs w:val="16"/>
          <w:color w:val="auto"/>
        </w:rPr>
      </w:pPr>
    </w:p>
    <w:p>
      <w:pPr>
        <w:ind w:left="760" w:firstLine="641"/>
        <w:spacing w:after="0" w:line="264" w:lineRule="auto"/>
        <w:tabs>
          <w:tab w:leader="none" w:pos="20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81" w:lineRule="exact"/>
        <w:rPr>
          <w:rFonts w:ascii="Arial" w:cs="Arial" w:eastAsia="Arial" w:hAnsi="Arial"/>
          <w:sz w:val="18"/>
          <w:szCs w:val="18"/>
          <w:color w:val="auto"/>
        </w:rPr>
      </w:pPr>
    </w:p>
    <w:p>
      <w:pPr>
        <w:jc w:val="both"/>
        <w:ind w:left="760" w:right="160" w:firstLine="641"/>
        <w:spacing w:after="0" w:line="264" w:lineRule="auto"/>
        <w:tabs>
          <w:tab w:leader="none" w:pos="20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left="100" w:right="600"/>
        <w:spacing w:after="0" w:line="342" w:lineRule="auto"/>
        <w:rPr>
          <w:sz w:val="20"/>
          <w:szCs w:val="20"/>
          <w:color w:val="auto"/>
        </w:rPr>
      </w:pPr>
      <w:r>
        <w:rPr>
          <w:rFonts w:ascii="Arial" w:cs="Arial" w:eastAsia="Arial" w:hAnsi="Arial"/>
          <w:sz w:val="16"/>
          <w:szCs w:val="16"/>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w:t>
      </w:r>
    </w:p>
    <w:p>
      <w:pPr>
        <w:sectPr>
          <w:pgSz w:w="11900" w:h="16838" w:orient="portrait"/>
          <w:cols w:equalWidth="0" w:num="1">
            <w:col w:w="10220"/>
          </w:cols>
          <w:pgMar w:left="1440" w:top="121" w:right="239" w:bottom="0" w:gutter="0" w:footer="0" w:header="0"/>
        </w:sectPr>
      </w:pPr>
    </w:p>
    <w:bookmarkStart w:id="15" w:name="page16"/>
    <w:bookmarkEnd w:id="15"/>
    <w:p>
      <w:pPr>
        <w:ind w:left="640" w:right="180"/>
        <w:spacing w:after="0" w:line="277" w:lineRule="auto"/>
        <w:rPr>
          <w:sz w:val="20"/>
          <w:szCs w:val="20"/>
          <w:color w:val="auto"/>
        </w:rPr>
      </w:pPr>
      <w:r>
        <w:rPr>
          <w:rFonts w:ascii="Arial" w:cs="Arial" w:eastAsia="Arial" w:hAnsi="Arial"/>
          <w:sz w:val="18"/>
          <w:szCs w:val="18"/>
          <w:color w:val="auto"/>
        </w:rPr>
        <w:t>Registration Statement, the Pricing Disclosure Package and the Prospectus or (ii) any other financial information included or incorporated by reference in the Registration Statement, the Pricing Disclosure Package and the Prospectus.</w:t>
      </w:r>
    </w:p>
    <w:p>
      <w:pPr>
        <w:spacing w:after="0" w:line="170" w:lineRule="exact"/>
        <w:rPr>
          <w:sz w:val="20"/>
          <w:szCs w:val="20"/>
          <w:color w:val="auto"/>
        </w:rPr>
      </w:pPr>
    </w:p>
    <w:p>
      <w:pPr>
        <w:jc w:val="both"/>
        <w:ind w:left="640" w:right="200" w:firstLine="648"/>
        <w:spacing w:after="0" w:line="291"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GP LLC, PAGP GP and the Issuers, to the extent they deem appropriate, and information obtained from public officials or public records,</w:t>
      </w:r>
    </w:p>
    <w:p>
      <w:pPr>
        <w:ind w:left="640" w:right="100" w:firstLine="5"/>
        <w:spacing w:after="0" w:line="255" w:lineRule="auto"/>
        <w:tabs>
          <w:tab w:leader="none" w:pos="9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assume that all documents submitted to them as originals are authentic, that all copies submitted to them conform to the originals thereof, and that the signatures on all documents examined by them are genuine, (C) state that their opinion is limited to federal laws of the United States, the</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86" w:lineRule="auto"/>
        <w:rPr>
          <w:sz w:val="20"/>
          <w:szCs w:val="20"/>
          <w:color w:val="auto"/>
        </w:rPr>
      </w:pPr>
      <w:r>
        <w:rPr>
          <w:rFonts w:ascii="Arial" w:cs="Arial" w:eastAsia="Arial" w:hAnsi="Arial"/>
          <w:sz w:val="17"/>
          <w:szCs w:val="17"/>
          <w:color w:val="auto"/>
        </w:rPr>
        <w:t>Delaware LP Act, the Delaware LLC Act, the DGCL, the laws of the State of Texas and the laws of the State of New York and (D) state that they express no opinion with respect to (i) any permits to own or operate any real or personal property or (ii) foreign, state or local taxes or tax statutes to which any of the limited partners of the Partnership or any of the Plains Entities may be subject.</w:t>
      </w:r>
    </w:p>
    <w:p>
      <w:pPr>
        <w:spacing w:after="0" w:line="166" w:lineRule="exact"/>
        <w:rPr>
          <w:sz w:val="20"/>
          <w:szCs w:val="20"/>
          <w:color w:val="auto"/>
        </w:rPr>
      </w:pPr>
    </w:p>
    <w:p>
      <w:pPr>
        <w:ind w:right="180" w:firstLine="645"/>
        <w:spacing w:after="0" w:line="255" w:lineRule="auto"/>
        <w:tabs>
          <w:tab w:leader="none" w:pos="12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Norton Rose Fulbright US LLP, special counsel for the Issuers, dated the Delivery Date and addressed to the Underwriters, to the effect that none of the offering, issuance or sale by the Issuers of the Notes, the execution, delivery and performance of this Agreement by the Issuers, the consummation of the transactions contemplated hereby, the execution, delivery and performance of the Indenture by the Issuers or the consummation of the transactions contemplated thereby, results in a breach of, or constitutes a default under (or an event which, with notice or lapse of time or both, would constitute such an event) the provisions of any Credit Facility (as defined in Annex A to such opinion).</w:t>
      </w:r>
    </w:p>
    <w:p>
      <w:pPr>
        <w:spacing w:after="0" w:line="19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GP LLC, PAGP GP and the Issuers,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exclusive of conflict of law principles, excepting in the foregoing instance, municipal, local and county ordinances, laws, rules and regulations.</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rendering such opinion, such counsel shall state that such opinion letter may be relied upon only by the Underwriters in connection with the transactions contemplated by this Agreement and no other use or distribution of such opinion letter may be made without such counsel’s prior written consent.</w:t>
      </w:r>
    </w:p>
    <w:p>
      <w:pPr>
        <w:spacing w:after="0" w:line="181" w:lineRule="exact"/>
        <w:rPr>
          <w:sz w:val="20"/>
          <w:szCs w:val="20"/>
          <w:color w:val="auto"/>
        </w:rPr>
      </w:pPr>
    </w:p>
    <w:p>
      <w:pPr>
        <w:ind w:right="240" w:firstLine="645"/>
        <w:spacing w:after="0" w:line="277" w:lineRule="auto"/>
        <w:tabs>
          <w:tab w:leader="none" w:pos="12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the general counsel for GP LLC dated the Delivery Date and addressed to the Underwriters, to the effect that:</w:t>
      </w:r>
    </w:p>
    <w:p>
      <w:pPr>
        <w:spacing w:after="0" w:line="170" w:lineRule="exact"/>
        <w:rPr>
          <w:rFonts w:ascii="Arial" w:cs="Arial" w:eastAsia="Arial" w:hAnsi="Arial"/>
          <w:sz w:val="18"/>
          <w:szCs w:val="18"/>
          <w:color w:val="auto"/>
        </w:rPr>
      </w:pPr>
    </w:p>
    <w:p>
      <w:pPr>
        <w:ind w:left="640" w:right="20" w:firstLine="653"/>
        <w:spacing w:after="0" w:line="253" w:lineRule="auto"/>
        <w:tabs>
          <w:tab w:leader="none" w:pos="1917"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None of (A) the offering, issuance and sale by the Issuers of the Notes, (B) the execution, delivery and performance by the Issuers of this Agreement, (C) the consummation of the transactions contemplated by this Agreement or (D) the execution, delivery and performance of the Indenture by the Issuers or the consummation of the transactions contemplated thereby (1)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Material Subsidiaries is a party or by which any one of them may be bound (excluding, for this purpose, any document or agreement filed as an exhibit to the Registration Statement or an Incorporated Document or (a) the Hedged Inventory Facility, (b) the PAA Facility and (c) the 364-Day Facility) or (2) violates or will violate any statute, law or</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40"/>
        <w:spacing w:after="0" w:line="279" w:lineRule="auto"/>
        <w:rPr>
          <w:sz w:val="20"/>
          <w:szCs w:val="20"/>
          <w:color w:val="auto"/>
        </w:rPr>
      </w:pPr>
      <w:r>
        <w:rPr>
          <w:rFonts w:ascii="Arial" w:cs="Arial" w:eastAsia="Arial" w:hAnsi="Arial"/>
          <w:sz w:val="17"/>
          <w:szCs w:val="17"/>
          <w:color w:val="auto"/>
        </w:rPr>
        <w:t xml:space="preserve">regulation or any order, judgment, decree or injunction known to such counsel of any court or governmental agency or body directed to either of the Issuers, the GP Entities or the Material Subsidiaries or any of their respective properties in a proceeding to which any of them is a party, which would, in the case of either </w:t>
      </w:r>
      <w:r>
        <w:rPr>
          <w:rFonts w:ascii="Arial" w:cs="Arial" w:eastAsia="Arial" w:hAnsi="Arial"/>
          <w:sz w:val="17"/>
          <w:szCs w:val="17"/>
          <w:u w:val="single" w:color="auto"/>
          <w:color w:val="auto"/>
        </w:rPr>
        <w:t>(1)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w:t>
      </w:r>
      <w:r>
        <w:rPr>
          <w:rFonts w:ascii="Arial" w:cs="Arial" w:eastAsia="Arial" w:hAnsi="Arial"/>
          <w:sz w:val="17"/>
          <w:szCs w:val="17"/>
          <w:color w:val="auto"/>
        </w:rPr>
        <w:t>, reasonably be expected to have a Material Adverse Effect or materially impair the ability of the Issuers to consummate the transactions contemplated by this Agreement.</w:t>
      </w:r>
    </w:p>
    <w:p>
      <w:pPr>
        <w:spacing w:after="0" w:line="171" w:lineRule="exact"/>
        <w:rPr>
          <w:sz w:val="20"/>
          <w:szCs w:val="20"/>
          <w:color w:val="auto"/>
        </w:rPr>
      </w:pPr>
    </w:p>
    <w:p>
      <w:pPr>
        <w:jc w:val="both"/>
        <w:ind w:left="640" w:right="80" w:firstLine="653"/>
        <w:spacing w:after="0" w:line="264" w:lineRule="auto"/>
        <w:tabs>
          <w:tab w:leader="none" w:pos="192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81" w:lineRule="exact"/>
        <w:rPr>
          <w:rFonts w:ascii="Arial" w:cs="Arial" w:eastAsia="Arial" w:hAnsi="Arial"/>
          <w:sz w:val="18"/>
          <w:szCs w:val="18"/>
          <w:color w:val="auto"/>
        </w:rPr>
      </w:pPr>
    </w:p>
    <w:p>
      <w:pPr>
        <w:ind w:left="640" w:right="60" w:firstLine="653"/>
        <w:spacing w:after="0" w:line="259" w:lineRule="auto"/>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87" w:lineRule="exact"/>
        <w:rPr>
          <w:sz w:val="20"/>
          <w:szCs w:val="20"/>
          <w:color w:val="auto"/>
        </w:rPr>
      </w:pPr>
    </w:p>
    <w:p>
      <w:pPr>
        <w:ind w:left="640" w:right="180" w:firstLine="648"/>
        <w:spacing w:after="0" w:line="255" w:lineRule="auto"/>
        <w:rPr>
          <w:sz w:val="20"/>
          <w:szCs w:val="20"/>
          <w:color w:val="auto"/>
        </w:rPr>
      </w:pPr>
      <w:r>
        <w:rPr>
          <w:rFonts w:ascii="Arial" w:cs="Arial" w:eastAsia="Arial" w:hAnsi="Arial"/>
          <w:sz w:val="18"/>
          <w:szCs w:val="18"/>
          <w:color w:val="auto"/>
        </w:rPr>
        <w:t>In addition, such counsel shall state that he has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spacing w:after="0" w:line="189" w:lineRule="exact"/>
        <w:rPr>
          <w:sz w:val="20"/>
          <w:szCs w:val="20"/>
          <w:color w:val="auto"/>
        </w:rPr>
      </w:pPr>
    </w:p>
    <w:p>
      <w:pPr>
        <w:ind w:left="1300" w:right="100" w:firstLine="641"/>
        <w:spacing w:after="0" w:line="342" w:lineRule="auto"/>
        <w:tabs>
          <w:tab w:leader="none" w:pos="2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ectPr>
          <w:pgSz w:w="11900" w:h="16838" w:orient="portrait"/>
          <w:cols w:equalWidth="0" w:num="1">
            <w:col w:w="10760"/>
          </w:cols>
          <w:pgMar w:left="900" w:top="125" w:right="239" w:bottom="0" w:gutter="0" w:footer="0" w:header="0"/>
        </w:sectPr>
      </w:pPr>
    </w:p>
    <w:bookmarkStart w:id="16" w:name="page17"/>
    <w:bookmarkEnd w:id="16"/>
    <w:p>
      <w:pPr>
        <w:ind w:left="1304" w:firstLine="641"/>
        <w:spacing w:after="0" w:line="264" w:lineRule="auto"/>
        <w:tabs>
          <w:tab w:leader="none" w:pos="25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81" w:lineRule="exact"/>
        <w:rPr>
          <w:rFonts w:ascii="Arial" w:cs="Arial" w:eastAsia="Arial" w:hAnsi="Arial"/>
          <w:sz w:val="18"/>
          <w:szCs w:val="18"/>
          <w:color w:val="auto"/>
        </w:rPr>
      </w:pPr>
    </w:p>
    <w:p>
      <w:pPr>
        <w:ind w:left="1304" w:right="180" w:firstLine="641"/>
        <w:spacing w:after="0" w:line="277" w:lineRule="auto"/>
        <w:tabs>
          <w:tab w:leader="none" w:pos="25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Prospectus, as of its date and as of the Delivery Date, included or includes an untrue statement of a material fact or omitted or omits to state a material fact necessary in order to make the statements</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therein, in the light of the circumstances under which they were made, not misleading,</w:t>
      </w:r>
    </w:p>
    <w:p>
      <w:pPr>
        <w:spacing w:after="0" w:line="225" w:lineRule="exact"/>
        <w:rPr>
          <w:sz w:val="20"/>
          <w:szCs w:val="20"/>
          <w:color w:val="auto"/>
        </w:rPr>
      </w:pPr>
    </w:p>
    <w:p>
      <w:pPr>
        <w:ind w:left="644" w:right="220"/>
        <w:spacing w:after="0" w:line="279"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spacing w:after="0" w:line="171" w:lineRule="exact"/>
        <w:rPr>
          <w:sz w:val="20"/>
          <w:szCs w:val="20"/>
          <w:color w:val="auto"/>
        </w:rPr>
      </w:pPr>
    </w:p>
    <w:p>
      <w:pPr>
        <w:ind w:left="4" w:right="160"/>
        <w:spacing w:after="0" w:line="285" w:lineRule="auto"/>
        <w:rPr>
          <w:sz w:val="20"/>
          <w:szCs w:val="20"/>
          <w:color w:val="auto"/>
        </w:rPr>
      </w:pPr>
      <w:r>
        <w:rPr>
          <w:rFonts w:ascii="Arial" w:cs="Arial" w:eastAsia="Arial" w:hAnsi="Arial"/>
          <w:sz w:val="16"/>
          <w:szCs w:val="16"/>
          <w:color w:val="auto"/>
        </w:rPr>
        <w:t>In rendering such opinion, such counsel may rely in respect of matters of fact upon (A) information obtained from public officials or public records and (B) to the extent such counsel deems appropriate, certificates of officers and employees of GP LLC, PAGP GP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w:t>
      </w:r>
    </w:p>
    <w:p>
      <w:pPr>
        <w:spacing w:after="0" w:line="2" w:lineRule="exact"/>
        <w:rPr>
          <w:sz w:val="20"/>
          <w:szCs w:val="20"/>
          <w:color w:val="auto"/>
        </w:rPr>
      </w:pPr>
    </w:p>
    <w:p>
      <w:pPr>
        <w:ind w:left="264" w:hanging="264"/>
        <w:spacing w:after="0"/>
        <w:tabs>
          <w:tab w:leader="none" w:pos="264"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either federal or state securities laws in the opinion referenced in </w:t>
      </w:r>
      <w:r>
        <w:rPr>
          <w:rFonts w:ascii="Arial" w:cs="Arial" w:eastAsia="Arial" w:hAnsi="Arial"/>
          <w:sz w:val="16"/>
          <w:szCs w:val="16"/>
          <w:u w:val="single" w:color="auto"/>
          <w:color w:val="auto"/>
        </w:rPr>
        <w:t>Section 7(e)(i)(D)(2)</w:t>
      </w:r>
      <w:r>
        <w:rPr>
          <w:rFonts w:ascii="Arial" w:cs="Arial" w:eastAsia="Arial" w:hAnsi="Arial"/>
          <w:sz w:val="16"/>
          <w:szCs w:val="16"/>
          <w:color w:val="auto"/>
        </w:rPr>
        <w:t xml:space="preserve"> above or (y) foreign, state or local taxes or tax statutes.</w:t>
      </w:r>
    </w:p>
    <w:p>
      <w:pPr>
        <w:spacing w:after="0" w:line="233" w:lineRule="exact"/>
        <w:rPr>
          <w:rFonts w:ascii="Arial" w:cs="Arial" w:eastAsia="Arial" w:hAnsi="Arial"/>
          <w:sz w:val="16"/>
          <w:szCs w:val="16"/>
          <w:color w:val="auto"/>
        </w:rPr>
      </w:pPr>
    </w:p>
    <w:p>
      <w:pPr>
        <w:ind w:left="4" w:right="180" w:firstLine="645"/>
        <w:spacing w:after="0" w:line="277" w:lineRule="auto"/>
        <w:tabs>
          <w:tab w:leader="none" w:pos="12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internal Canadian counsel for the Partnership, dated the Delivery Date and addressed to the Underwriters, to the effect that:</w:t>
      </w:r>
    </w:p>
    <w:p>
      <w:pPr>
        <w:spacing w:after="0" w:line="170" w:lineRule="exact"/>
        <w:rPr>
          <w:rFonts w:ascii="Arial" w:cs="Arial" w:eastAsia="Arial" w:hAnsi="Arial"/>
          <w:sz w:val="18"/>
          <w:szCs w:val="18"/>
          <w:color w:val="auto"/>
        </w:rPr>
      </w:pPr>
    </w:p>
    <w:p>
      <w:pPr>
        <w:ind w:left="644" w:right="140" w:firstLine="653"/>
        <w:spacing w:after="0" w:line="255" w:lineRule="auto"/>
        <w:tabs>
          <w:tab w:leader="none" w:pos="1921" w:val="left"/>
        </w:tabs>
        <w:numPr>
          <w:ilvl w:val="2"/>
          <w:numId w:val="49"/>
        </w:numPr>
        <w:rPr>
          <w:rFonts w:ascii="Arial" w:cs="Arial" w:eastAsia="Arial" w:hAnsi="Arial"/>
          <w:sz w:val="18"/>
          <w:szCs w:val="18"/>
          <w:color w:val="auto"/>
        </w:rPr>
      </w:pPr>
      <w:r>
        <w:rPr>
          <w:rFonts w:ascii="Arial" w:cs="Arial" w:eastAsia="Arial" w:hAnsi="Arial"/>
          <w:sz w:val="18"/>
          <w:szCs w:val="18"/>
          <w:color w:val="auto"/>
        </w:rPr>
        <w:t>Plains Midstream Canada has been duly 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New Brunswick, Nova Scotia, Ontario, Quebec and Saskatchewan.</w:t>
      </w:r>
    </w:p>
    <w:p>
      <w:pPr>
        <w:spacing w:after="0" w:line="193" w:lineRule="exact"/>
        <w:rPr>
          <w:rFonts w:ascii="Arial" w:cs="Arial" w:eastAsia="Arial" w:hAnsi="Arial"/>
          <w:sz w:val="18"/>
          <w:szCs w:val="18"/>
          <w:color w:val="auto"/>
        </w:rPr>
      </w:pPr>
    </w:p>
    <w:p>
      <w:pPr>
        <w:ind w:left="644" w:right="120" w:firstLine="653"/>
        <w:spacing w:after="0" w:line="259" w:lineRule="auto"/>
        <w:tabs>
          <w:tab w:leader="none" w:pos="1932" w:val="left"/>
        </w:tabs>
        <w:numPr>
          <w:ilvl w:val="2"/>
          <w:numId w:val="49"/>
        </w:numPr>
        <w:rPr>
          <w:rFonts w:ascii="Arial" w:cs="Arial" w:eastAsia="Arial" w:hAnsi="Arial"/>
          <w:sz w:val="18"/>
          <w:szCs w:val="18"/>
          <w:color w:val="auto"/>
        </w:rPr>
      </w:pPr>
      <w:r>
        <w:rPr>
          <w:rFonts w:ascii="Arial" w:cs="Arial" w:eastAsia="Arial" w:hAnsi="Arial"/>
          <w:sz w:val="18"/>
          <w:szCs w:val="18"/>
          <w:color w:val="auto"/>
        </w:rPr>
        <w:t>Plains Midstream Canada is the registered holder of 100% of the issued and outstanding capital stock of Aurora Pipeline Company Ltd., a corporation incorporated under the laws of Canada (“</w:t>
      </w:r>
      <w:r>
        <w:rPr>
          <w:rFonts w:ascii="Arial" w:cs="Arial" w:eastAsia="Arial" w:hAnsi="Arial"/>
          <w:sz w:val="18"/>
          <w:szCs w:val="18"/>
          <w:b w:val="1"/>
          <w:bCs w:val="1"/>
          <w:u w:val="single" w:color="auto"/>
          <w:color w:val="auto"/>
        </w:rPr>
        <w:t>Aurora</w:t>
      </w:r>
      <w:r>
        <w:rPr>
          <w:rFonts w:ascii="Arial" w:cs="Arial" w:eastAsia="Arial" w:hAnsi="Arial"/>
          <w:sz w:val="18"/>
          <w:szCs w:val="18"/>
          <w:color w:val="auto"/>
        </w:rPr>
        <w:t>”); such share capital has been duly authorized and validly issued in accordance with the Aurora Articles of Continuance, as fully paid and nonassessable shares (except as such nonassessability may be affected by the laws of the Province of Alberta).</w:t>
      </w:r>
    </w:p>
    <w:p>
      <w:pPr>
        <w:spacing w:after="0" w:line="186" w:lineRule="exact"/>
        <w:rPr>
          <w:rFonts w:ascii="Arial" w:cs="Arial" w:eastAsia="Arial" w:hAnsi="Arial"/>
          <w:sz w:val="18"/>
          <w:szCs w:val="18"/>
          <w:color w:val="auto"/>
        </w:rPr>
      </w:pPr>
    </w:p>
    <w:p>
      <w:pPr>
        <w:jc w:val="both"/>
        <w:ind w:left="644" w:right="20" w:firstLine="653"/>
        <w:spacing w:after="0" w:line="264" w:lineRule="auto"/>
        <w:tabs>
          <w:tab w:leader="none" w:pos="1944" w:val="left"/>
        </w:tabs>
        <w:numPr>
          <w:ilvl w:val="2"/>
          <w:numId w:val="49"/>
        </w:numPr>
        <w:rPr>
          <w:rFonts w:ascii="Arial" w:cs="Arial" w:eastAsia="Arial" w:hAnsi="Arial"/>
          <w:sz w:val="18"/>
          <w:szCs w:val="18"/>
          <w:color w:val="auto"/>
        </w:rPr>
      </w:pPr>
      <w:r>
        <w:rPr>
          <w:rFonts w:ascii="Arial" w:cs="Arial" w:eastAsia="Arial" w:hAnsi="Arial"/>
          <w:sz w:val="18"/>
          <w:szCs w:val="18"/>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300"/>
        <w:spacing w:after="0" w:line="308" w:lineRule="auto"/>
        <w:rPr>
          <w:sz w:val="20"/>
          <w:szCs w:val="20"/>
          <w:color w:val="auto"/>
        </w:rPr>
      </w:pPr>
      <w:r>
        <w:rPr>
          <w:rFonts w:ascii="Arial" w:cs="Arial" w:eastAsia="Arial" w:hAnsi="Arial"/>
          <w:sz w:val="17"/>
          <w:szCs w:val="17"/>
          <w:color w:val="auto"/>
        </w:rPr>
        <w:t>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47" w:lineRule="exact"/>
        <w:rPr>
          <w:sz w:val="20"/>
          <w:szCs w:val="20"/>
          <w:color w:val="auto"/>
        </w:rPr>
      </w:pPr>
    </w:p>
    <w:p>
      <w:pPr>
        <w:ind w:left="644" w:right="140" w:firstLine="653"/>
        <w:spacing w:after="0" w:line="312" w:lineRule="auto"/>
        <w:tabs>
          <w:tab w:leader="none" w:pos="1934"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Issuers of the Notes or the execution, delivery and performance of the Indenture by the Issuers.</w:t>
      </w:r>
    </w:p>
    <w:p>
      <w:pPr>
        <w:spacing w:after="0" w:line="146" w:lineRule="exact"/>
        <w:rPr>
          <w:rFonts w:ascii="Arial" w:cs="Arial" w:eastAsia="Arial" w:hAnsi="Arial"/>
          <w:sz w:val="16"/>
          <w:szCs w:val="16"/>
          <w:color w:val="auto"/>
        </w:rPr>
      </w:pPr>
    </w:p>
    <w:p>
      <w:pPr>
        <w:ind w:left="644" w:firstLine="653"/>
        <w:spacing w:after="0" w:line="291" w:lineRule="auto"/>
        <w:tabs>
          <w:tab w:leader="none" w:pos="1922"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None of the offering, issuance and sale by the Issuers of the Notes, the execution, delivery and performance of this Agreement by the Issuers or the consummation of the transactions contemplated hereby,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167" w:lineRule="exact"/>
        <w:rPr>
          <w:rFonts w:ascii="Arial" w:cs="Arial" w:eastAsia="Arial" w:hAnsi="Arial"/>
          <w:sz w:val="16"/>
          <w:szCs w:val="16"/>
          <w:color w:val="auto"/>
        </w:rPr>
      </w:pPr>
    </w:p>
    <w:p>
      <w:pPr>
        <w:ind w:left="644" w:right="120" w:firstLine="653"/>
        <w:spacing w:after="0" w:line="276" w:lineRule="auto"/>
        <w:tabs>
          <w:tab w:leader="none" w:pos="193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w:t>
      </w:r>
    </w:p>
    <w:p>
      <w:pPr>
        <w:spacing w:after="0" w:line="173"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ectPr>
          <w:pgSz w:w="11900" w:h="16838" w:orient="portrait"/>
          <w:cols w:equalWidth="0" w:num="1">
            <w:col w:w="10764"/>
          </w:cols>
          <w:pgMar w:left="896" w:top="125" w:right="239" w:bottom="0" w:gutter="0" w:footer="0" w:header="0"/>
        </w:sectPr>
      </w:pPr>
    </w:p>
    <w:bookmarkStart w:id="17" w:name="page18"/>
    <w:bookmarkEnd w:id="17"/>
    <w:p>
      <w:pPr>
        <w:ind w:left="660" w:right="240" w:firstLine="645"/>
        <w:spacing w:after="0" w:line="308" w:lineRule="auto"/>
        <w:tabs>
          <w:tab w:leader="none" w:pos="193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Representatives shall have received an opinion of Baker Botts L.L.P., counsel for the Underwriters, dated the Delivery Date and addressed to the Underwriters, with respect to the offering, issuance and sale by the Issuers of the Notes, the Indenture,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Registration Statement, the Pricing Disclosure Package, the Prospectus (together with any amendment or supplement thereto) and other related matters the Underwriters may reasonably require.</w:t>
      </w:r>
    </w:p>
    <w:p>
      <w:pPr>
        <w:spacing w:after="0" w:line="170" w:lineRule="exact"/>
        <w:rPr>
          <w:sz w:val="20"/>
          <w:szCs w:val="20"/>
          <w:color w:val="auto"/>
        </w:rPr>
      </w:pPr>
    </w:p>
    <w:p>
      <w:pPr>
        <w:ind w:left="660" w:right="120" w:firstLine="645"/>
        <w:spacing w:after="0" w:line="273" w:lineRule="auto"/>
        <w:tabs>
          <w:tab w:leader="none" w:pos="1939"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cut-off date for the procedures performed by such accountants and described in such letter shall be a date not more than five days prior to the date of such letter.</w:t>
      </w:r>
    </w:p>
    <w:p>
      <w:pPr>
        <w:spacing w:after="0" w:line="178" w:lineRule="exact"/>
        <w:rPr>
          <w:rFonts w:ascii="Arial" w:cs="Arial" w:eastAsia="Arial" w:hAnsi="Arial"/>
          <w:sz w:val="17"/>
          <w:szCs w:val="17"/>
          <w:color w:val="auto"/>
        </w:rPr>
      </w:pPr>
    </w:p>
    <w:p>
      <w:pPr>
        <w:jc w:val="both"/>
        <w:ind w:left="660" w:right="20" w:firstLine="645"/>
        <w:spacing w:after="0" w:line="286" w:lineRule="auto"/>
        <w:tabs>
          <w:tab w:leader="none" w:pos="1937"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On the Delivery Date, the Representatives shall have received from PricewaterhouseCoopers LLP a letter, dated as of the Delivery Date, to the effect that it reaffirms the statements made in the letter furnished pursuant to </w:t>
      </w:r>
      <w:r>
        <w:rPr>
          <w:rFonts w:ascii="Arial" w:cs="Arial" w:eastAsia="Arial" w:hAnsi="Arial"/>
          <w:sz w:val="17"/>
          <w:szCs w:val="17"/>
          <w:u w:val="single" w:color="auto"/>
          <w:color w:val="auto"/>
        </w:rPr>
        <w:t>paragraph (h)</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except that the date referred to in the proviso in </w:t>
      </w:r>
      <w:r>
        <w:rPr>
          <w:rFonts w:ascii="Arial" w:cs="Arial" w:eastAsia="Arial" w:hAnsi="Arial"/>
          <w:sz w:val="17"/>
          <w:szCs w:val="17"/>
          <w:u w:val="single" w:color="auto"/>
          <w:color w:val="auto"/>
        </w:rPr>
        <w:t>Section 7(h)</w:t>
      </w:r>
      <w:r>
        <w:rPr>
          <w:rFonts w:ascii="Arial" w:cs="Arial" w:eastAsia="Arial" w:hAnsi="Arial"/>
          <w:sz w:val="17"/>
          <w:szCs w:val="17"/>
          <w:color w:val="auto"/>
        </w:rPr>
        <w:t xml:space="preserve"> hereof shall be a date not more than three business days prior to the Delivery Date.</w:t>
      </w:r>
    </w:p>
    <w:p>
      <w:pPr>
        <w:spacing w:after="0" w:line="165" w:lineRule="exact"/>
        <w:rPr>
          <w:rFonts w:ascii="Arial" w:cs="Arial" w:eastAsia="Arial" w:hAnsi="Arial"/>
          <w:sz w:val="17"/>
          <w:szCs w:val="17"/>
          <w:color w:val="auto"/>
        </w:rPr>
      </w:pPr>
    </w:p>
    <w:p>
      <w:pPr>
        <w:ind w:left="660" w:firstLine="645"/>
        <w:spacing w:after="0" w:line="259" w:lineRule="auto"/>
        <w:tabs>
          <w:tab w:leader="none" w:pos="19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Partnership shall have furnished to the Representatives at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186" w:lineRule="exact"/>
        <w:rPr>
          <w:rFonts w:ascii="Arial" w:cs="Arial" w:eastAsia="Arial" w:hAnsi="Arial"/>
          <w:sz w:val="18"/>
          <w:szCs w:val="18"/>
          <w:color w:val="auto"/>
        </w:rPr>
      </w:pPr>
    </w:p>
    <w:p>
      <w:pPr>
        <w:ind w:left="1300" w:right="20" w:firstLine="653"/>
        <w:spacing w:after="0" w:line="264" w:lineRule="auto"/>
        <w:tabs>
          <w:tab w:leader="none" w:pos="257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in this Agreement are true and correct on and as of the Delivery Date with the same effect as if made on the Delivery Date and the Partnership has complied in all material respects with all the agreements and satisfied all the conditions on its part to be performed or satisfied at or prior to the Delivery Date;</w:t>
      </w:r>
    </w:p>
    <w:p>
      <w:pPr>
        <w:spacing w:after="0" w:line="181" w:lineRule="exact"/>
        <w:rPr>
          <w:rFonts w:ascii="Arial" w:cs="Arial" w:eastAsia="Arial" w:hAnsi="Arial"/>
          <w:sz w:val="18"/>
          <w:szCs w:val="18"/>
          <w:color w:val="auto"/>
        </w:rPr>
      </w:pPr>
    </w:p>
    <w:p>
      <w:pPr>
        <w:ind w:left="1300" w:right="60" w:firstLine="653"/>
        <w:spacing w:after="0" w:line="308" w:lineRule="auto"/>
        <w:tabs>
          <w:tab w:leader="none" w:pos="2589" w:val="left"/>
        </w:tabs>
        <w:numPr>
          <w:ilvl w:val="1"/>
          <w:numId w:val="52"/>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146" w:lineRule="exact"/>
        <w:rPr>
          <w:rFonts w:ascii="Arial" w:cs="Arial" w:eastAsia="Arial" w:hAnsi="Arial"/>
          <w:sz w:val="17"/>
          <w:szCs w:val="17"/>
          <w:color w:val="auto"/>
        </w:rPr>
      </w:pPr>
    </w:p>
    <w:p>
      <w:pPr>
        <w:ind w:left="2600" w:hanging="647"/>
        <w:spacing w:after="0"/>
        <w:tabs>
          <w:tab w:leader="none" w:pos="26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 the Registration Statement, as of the Effective Date, (B) the Prospectus, as of its date and on the Delivery Date, and</w:t>
      </w:r>
    </w:p>
    <w:p>
      <w:pPr>
        <w:spacing w:after="0" w:line="46" w:lineRule="exact"/>
        <w:rPr>
          <w:rFonts w:ascii="Arial" w:cs="Arial" w:eastAsia="Arial" w:hAnsi="Arial"/>
          <w:sz w:val="16"/>
          <w:szCs w:val="16"/>
          <w:color w:val="auto"/>
        </w:rPr>
      </w:pPr>
    </w:p>
    <w:p>
      <w:pPr>
        <w:ind w:left="1300" w:right="60"/>
        <w:spacing w:after="0" w:line="277" w:lineRule="auto"/>
        <w:rPr>
          <w:rFonts w:ascii="Arial" w:cs="Arial" w:eastAsia="Arial" w:hAnsi="Arial"/>
          <w:sz w:val="16"/>
          <w:szCs w:val="16"/>
          <w:color w:val="auto"/>
        </w:rPr>
      </w:pPr>
      <w:r>
        <w:rPr>
          <w:rFonts w:ascii="Arial" w:cs="Arial" w:eastAsia="Arial" w:hAnsi="Arial"/>
          <w:sz w:val="17"/>
          <w:szCs w:val="17"/>
          <w:color w:val="auto"/>
        </w:rPr>
        <w:t>(C)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73" w:lineRule="auto"/>
        <w:tabs>
          <w:tab w:leader="none" w:pos="1939" w:val="left"/>
        </w:tabs>
        <w:numPr>
          <w:ilvl w:val="1"/>
          <w:numId w:val="53"/>
        </w:numPr>
        <w:rPr>
          <w:rFonts w:ascii="Arial" w:cs="Arial" w:eastAsia="Arial" w:hAnsi="Arial"/>
          <w:sz w:val="17"/>
          <w:szCs w:val="17"/>
          <w:color w:val="auto"/>
        </w:rPr>
      </w:pPr>
      <w:r>
        <w:rPr>
          <w:rFonts w:ascii="Arial" w:cs="Arial" w:eastAsia="Arial" w:hAnsi="Arial"/>
          <w:sz w:val="17"/>
          <w:szCs w:val="17"/>
          <w:color w:val="auto"/>
        </w:rPr>
        <w:t>PAA Finance shall have furnished to the Representatives at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and PAA Finance has complied in all material respects with all the agreements and satisfied all the conditions on its part to be performed or satisfied at or prior to the Delivery Date.</w:t>
      </w:r>
    </w:p>
    <w:p>
      <w:pPr>
        <w:spacing w:after="0" w:line="174" w:lineRule="exact"/>
        <w:rPr>
          <w:rFonts w:ascii="Arial" w:cs="Arial" w:eastAsia="Arial" w:hAnsi="Arial"/>
          <w:sz w:val="17"/>
          <w:szCs w:val="17"/>
          <w:color w:val="auto"/>
        </w:rPr>
      </w:pPr>
    </w:p>
    <w:p>
      <w:pPr>
        <w:ind w:left="660" w:firstLine="645"/>
        <w:spacing w:after="0" w:line="286" w:lineRule="auto"/>
        <w:tabs>
          <w:tab w:leader="none" w:pos="19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At the Delivery Date, the Notes shall be rated at least “Baa3” by Moody’s Investors Service, Inc. (“</w:t>
      </w:r>
      <w:r>
        <w:rPr>
          <w:rFonts w:ascii="Arial" w:cs="Arial" w:eastAsia="Arial" w:hAnsi="Arial"/>
          <w:sz w:val="16"/>
          <w:szCs w:val="16"/>
          <w:b w:val="1"/>
          <w:bCs w:val="1"/>
          <w:u w:val="single" w:color="auto"/>
          <w:color w:val="auto"/>
        </w:rPr>
        <w:t>Moody’s</w:t>
      </w:r>
      <w:r>
        <w:rPr>
          <w:rFonts w:ascii="Arial" w:cs="Arial" w:eastAsia="Arial" w:hAnsi="Arial"/>
          <w:sz w:val="16"/>
          <w:szCs w:val="16"/>
          <w:color w:val="auto"/>
        </w:rPr>
        <w:t>”) and “BBB-” by S&amp;P Global Ratings, a division of S&amp;P Global, Inc. (“</w:t>
      </w:r>
      <w:r>
        <w:rPr>
          <w:rFonts w:ascii="Arial" w:cs="Arial" w:eastAsia="Arial" w:hAnsi="Arial"/>
          <w:sz w:val="16"/>
          <w:szCs w:val="16"/>
          <w:b w:val="1"/>
          <w:bCs w:val="1"/>
          <w:u w:val="single" w:color="auto"/>
          <w:color w:val="auto"/>
        </w:rPr>
        <w:t>S&amp;P</w:t>
      </w:r>
      <w:r>
        <w:rPr>
          <w:rFonts w:ascii="Arial" w:cs="Arial" w:eastAsia="Arial" w:hAnsi="Arial"/>
          <w:sz w:val="16"/>
          <w:szCs w:val="16"/>
          <w:color w:val="auto"/>
        </w:rPr>
        <w:t>”)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(i) the Notes below “Baa3” by Moody’s and “BBB-” by S&amp;P or (ii) the Issuers’ other debt securities by any “nationally recognized statistical rating agency,” as that term is defined under Section 3(a)</w:t>
      </w:r>
    </w:p>
    <w:p>
      <w:pPr>
        <w:spacing w:after="0" w:line="2" w:lineRule="exact"/>
        <w:rPr>
          <w:rFonts w:ascii="Arial" w:cs="Arial" w:eastAsia="Arial" w:hAnsi="Arial"/>
          <w:sz w:val="16"/>
          <w:szCs w:val="16"/>
          <w:color w:val="auto"/>
        </w:rPr>
      </w:pPr>
    </w:p>
    <w:p>
      <w:pPr>
        <w:ind w:left="660" w:right="20" w:hanging="4"/>
        <w:spacing w:after="0" w:line="261" w:lineRule="auto"/>
        <w:tabs>
          <w:tab w:leader="none" w:pos="10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under the Exchange Act, and no such organization shall have publicly announced that it has under surveillance or review, with possible negative implications, its ratings of the Notes or either of the Issuers’ other debt securities.</w:t>
      </w:r>
    </w:p>
    <w:p>
      <w:pPr>
        <w:spacing w:after="0" w:line="183" w:lineRule="exact"/>
        <w:rPr>
          <w:rFonts w:ascii="Arial" w:cs="Arial" w:eastAsia="Arial" w:hAnsi="Arial"/>
          <w:sz w:val="18"/>
          <w:szCs w:val="18"/>
          <w:color w:val="auto"/>
        </w:rPr>
      </w:pPr>
    </w:p>
    <w:p>
      <w:pPr>
        <w:ind w:left="660" w:right="60" w:firstLine="645"/>
        <w:spacing w:after="0" w:line="277" w:lineRule="auto"/>
        <w:tabs>
          <w:tab w:leader="none" w:pos="19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Issuers and the Trustee shall have executed and delivered the Supplemental Indenture, and the Issuers shall have executed and delivered the Global Notes.</w:t>
      </w:r>
    </w:p>
    <w:p>
      <w:pPr>
        <w:spacing w:after="0" w:line="170" w:lineRule="exact"/>
        <w:rPr>
          <w:rFonts w:ascii="Arial" w:cs="Arial" w:eastAsia="Arial" w:hAnsi="Arial"/>
          <w:sz w:val="18"/>
          <w:szCs w:val="18"/>
          <w:color w:val="auto"/>
        </w:rPr>
      </w:pPr>
    </w:p>
    <w:p>
      <w:pPr>
        <w:ind w:left="660" w:right="780" w:firstLine="645"/>
        <w:spacing w:after="0" w:line="277" w:lineRule="auto"/>
        <w:tabs>
          <w:tab w:leader="none" w:pos="1939"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Representatives shall have received from the Partnership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signed by the Chief Financial Officer of the General Partner.</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All such opinions, certificates, letters and other documents referred to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If any of the conditions specified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w:t>
      </w:r>
    </w:p>
    <w:p>
      <w:pPr>
        <w:sectPr>
          <w:pgSz w:w="11900" w:h="16838" w:orient="portrait"/>
          <w:cols w:equalWidth="0" w:num="1">
            <w:col w:w="11400"/>
          </w:cols>
          <w:pgMar w:left="240" w:top="125" w:right="259" w:bottom="55"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5" w:gutter="0" w:footer="0" w:header="0"/>
          <w:type w:val="continuous"/>
        </w:sectPr>
      </w:pPr>
    </w:p>
    <w:bookmarkStart w:id="18" w:name="page19"/>
    <w:bookmarkEnd w:id="18"/>
    <w:p>
      <w:pPr>
        <w:ind w:firstLine="656"/>
        <w:spacing w:after="0" w:line="285" w:lineRule="auto"/>
        <w:tabs>
          <w:tab w:leader="none" w:pos="1280" w:val="left"/>
        </w:tabs>
        <w:numPr>
          <w:ilvl w:val="1"/>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The Issuers agree to pay the following costs and expenses and all other costs and expenses incident to the performance by it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w:t>
      </w:r>
    </w:p>
    <w:p>
      <w:pPr>
        <w:spacing w:after="0" w:line="1" w:lineRule="exact"/>
        <w:rPr>
          <w:rFonts w:ascii="Arial" w:cs="Arial" w:eastAsia="Arial" w:hAnsi="Arial"/>
          <w:sz w:val="16"/>
          <w:szCs w:val="16"/>
          <w:color w:val="auto"/>
        </w:rPr>
      </w:pPr>
    </w:p>
    <w:p>
      <w:pPr>
        <w:ind w:right="40" w:firstLine="8"/>
        <w:spacing w:after="0" w:line="268" w:lineRule="auto"/>
        <w:tabs>
          <w:tab w:leader="none" w:pos="305"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Arial" w:cs="Arial" w:eastAsia="Arial" w:hAnsi="Arial"/>
          <w:sz w:val="17"/>
          <w:szCs w:val="17"/>
          <w:u w:val="single" w:color="auto"/>
          <w:color w:val="auto"/>
        </w:rPr>
        <w:t>Section 5(g)</w:t>
      </w:r>
      <w:r>
        <w:rPr>
          <w:rFonts w:ascii="Arial" w:cs="Arial" w:eastAsia="Arial" w:hAnsi="Arial"/>
          <w:sz w:val="17"/>
          <w:szCs w:val="17"/>
          <w:color w:val="auto"/>
        </w:rPr>
        <w:t xml:space="preserve">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w:t>
      </w:r>
    </w:p>
    <w:p>
      <w:pPr>
        <w:spacing w:after="0" w:line="18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It is understood, however, that except as otherwise provided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5(i)</w:t>
      </w:r>
      <w:r>
        <w:rPr>
          <w:rFonts w:ascii="Arial" w:cs="Arial" w:eastAsia="Arial" w:hAnsi="Arial"/>
          <w:sz w:val="18"/>
          <w:szCs w:val="18"/>
          <w:color w:val="auto"/>
        </w:rPr>
        <w:t xml:space="preserve">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w:t>
      </w:r>
    </w:p>
    <w:p>
      <w:pPr>
        <w:spacing w:after="0" w:line="183" w:lineRule="exact"/>
        <w:rPr>
          <w:sz w:val="20"/>
          <w:szCs w:val="20"/>
          <w:color w:val="auto"/>
        </w:rPr>
      </w:pPr>
    </w:p>
    <w:p>
      <w:pPr>
        <w:ind w:right="60" w:firstLine="656"/>
        <w:spacing w:after="0" w:line="291" w:lineRule="auto"/>
        <w:tabs>
          <w:tab w:leader="none" w:pos="1280"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Default by an Underwriter</w:t>
      </w:r>
      <w:r>
        <w:rPr>
          <w:rFonts w:ascii="Arial" w:cs="Arial" w:eastAsia="Arial" w:hAnsi="Arial"/>
          <w:sz w:val="16"/>
          <w:szCs w:val="16"/>
          <w:color w:val="auto"/>
        </w:rPr>
        <w:t>. If any one or more of the Underwriters shall fail or refuse to purchase Notes that it or they are obligated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principal amount of Notes set forth opposite the names of all non-defaulting Underwriters or in such other proportion as the Representatives may specify in accordance with the Agreement Among Underwriters of J.P. Morgan Securities LLC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Arial" w:cs="Arial" w:eastAsia="Arial" w:hAnsi="Arial"/>
          <w:sz w:val="16"/>
          <w:szCs w:val="16"/>
          <w:b w:val="1"/>
          <w:bCs w:val="1"/>
          <w:u w:val="single" w:color="auto"/>
          <w:color w:val="auto"/>
        </w:rPr>
        <w:t>Underwriter</w:t>
      </w:r>
      <w:r>
        <w:rPr>
          <w:rFonts w:ascii="Arial" w:cs="Arial" w:eastAsia="Arial" w:hAnsi="Arial"/>
          <w:sz w:val="16"/>
          <w:szCs w:val="16"/>
          <w:color w:val="auto"/>
        </w:rPr>
        <w:t xml:space="preserve">” as used in this Agreement includes, for all purposes of this Agreement, any party not listed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who, with the Representatives’ approval and the approval of the Issuers, purchases Notes that a defaulting Underwriter is obligated, but fails or refuses, to purchase.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Any notice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may be given by telegram, telecopy or telephone but shall be subsequently confirmed by letter.</w:t>
      </w:r>
    </w:p>
    <w:p>
      <w:pPr>
        <w:spacing w:after="0" w:line="221" w:lineRule="exact"/>
        <w:rPr>
          <w:sz w:val="20"/>
          <w:szCs w:val="20"/>
          <w:color w:val="auto"/>
        </w:rPr>
      </w:pPr>
    </w:p>
    <w:p>
      <w:pPr>
        <w:ind w:right="40" w:firstLine="656"/>
        <w:spacing w:after="0" w:line="270" w:lineRule="auto"/>
        <w:tabs>
          <w:tab w:leader="none" w:pos="1256"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Agreement</w:t>
      </w:r>
      <w:r>
        <w:rPr>
          <w:rFonts w:ascii="Arial" w:cs="Arial" w:eastAsia="Arial" w:hAnsi="Arial"/>
          <w:sz w:val="17"/>
          <w:szCs w:val="17"/>
          <w:color w:val="auto"/>
        </w:rPr>
        <w:t>. This Agreement shall be subject to termination in the Representatives’ absolute discretion, without liability on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 of any Underwriter to any Issuer, by notice to the Issuers prior to delivery of and payment for the Notes, if at any time prior to such time (i) trading in the Partnership’s Common Units shall have been suspended by the Commission or the NYSE or trading in securities generally on the New York Stock Exchange, the NYSE MKT LLC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or with respect to Euroclear SA/NV and Clearstream Banking, société anonyme,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w:t>
      </w:r>
    </w:p>
    <w:p>
      <w:pPr>
        <w:spacing w:after="0" w:line="174" w:lineRule="exact"/>
        <w:rPr>
          <w:rFonts w:ascii="Arial" w:cs="Arial" w:eastAsia="Arial" w:hAnsi="Arial"/>
          <w:sz w:val="17"/>
          <w:szCs w:val="17"/>
          <w:color w:val="auto"/>
        </w:rPr>
      </w:pPr>
    </w:p>
    <w:p>
      <w:pPr>
        <w:ind w:right="160" w:firstLine="656"/>
        <w:spacing w:after="0" w:line="278" w:lineRule="auto"/>
        <w:tabs>
          <w:tab w:leader="none" w:pos="1249"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Notice; Successors</w:t>
      </w:r>
      <w:r>
        <w:rPr>
          <w:rFonts w:ascii="Arial" w:cs="Arial" w:eastAsia="Arial" w:hAnsi="Arial"/>
          <w:sz w:val="17"/>
          <w:szCs w:val="17"/>
          <w:color w:val="auto"/>
        </w:rPr>
        <w:t>. Except as otherwise provided in Sections 5, 9 and 10 hereof, all communications hereunder will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only on receipt, and, if sent to the Underwriters, will be mailed, delivered or telefaxed to the Representatives c/o J.P. Morgan Securities LLC, 383 Madison Avenue, New York, New York 10179 (fax: 646-291-1469); c/o BNP Paribas Securities Corp., 787 Seventh Avenue, New York, New York 10019, Attention: Syndicate Desk, (email: new.york.syndicate@us.bnpparibas.com); c/o Merrill Lynch, Pierce, Fenner &amp; Smith Incorporated, 50 Rockefeller Plaza, NY1-050-12-01, New York, New York 10020, Attention: High Grade Transaction Management/Legal, (Fax: 646 855-5958); and Wells Fargo Securities, LLC, 550 South Tryon Street,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Charlotte, NC 28202, Attention: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Transaction Management (fax: 704-410-0326); with a copy (which shall not constitute notice) to Baker Botts L.L.P., 910 Louisiana St., Houston, Texas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77002, Attention: Joshua Davidson; or, if sent to either of the Issuers, will be mailed, delivered or telefaxed to it at 333 Clay St., Suite 1600, Houston, Texas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77002, Attention: General Counsel (fax: (713) 646-4313).</w:t>
      </w:r>
    </w:p>
    <w:p>
      <w:pPr>
        <w:sectPr>
          <w:pgSz w:w="11900" w:h="16838" w:orient="portrait"/>
          <w:cols w:equalWidth="0" w:num="1">
            <w:col w:w="11420"/>
          </w:cols>
          <w:pgMar w:left="240" w:top="580" w:right="239" w:bottom="0" w:gutter="0" w:footer="0" w:header="0"/>
        </w:sectPr>
      </w:pPr>
    </w:p>
    <w:bookmarkStart w:id="19" w:name="page20"/>
    <w:bookmarkEnd w:id="19"/>
    <w:p>
      <w:pPr>
        <w:ind w:right="60" w:firstLine="648"/>
        <w:spacing w:after="0" w:line="276" w:lineRule="auto"/>
        <w:rPr>
          <w:sz w:val="20"/>
          <w:szCs w:val="20"/>
          <w:color w:val="auto"/>
        </w:rPr>
      </w:pPr>
      <w:r>
        <w:rPr>
          <w:rFonts w:ascii="Arial" w:cs="Arial" w:eastAsia="Arial" w:hAnsi="Arial"/>
          <w:sz w:val="17"/>
          <w:szCs w:val="17"/>
          <w:color w:val="auto"/>
        </w:rPr>
        <w:t xml:space="preserve">This Agreement has been and is made solely for the benefit of the several Underwriters and their directors, officers, employees, agents and other controlling persons referred to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and the Issuers and GP LLC’s directors and officers who sign the Registration Statement, and other controlling persons referred to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w:t>
      </w:r>
    </w:p>
    <w:p>
      <w:pPr>
        <w:spacing w:after="0" w:line="169" w:lineRule="exact"/>
        <w:rPr>
          <w:sz w:val="20"/>
          <w:szCs w:val="20"/>
          <w:color w:val="auto"/>
        </w:rPr>
      </w:pPr>
    </w:p>
    <w:p>
      <w:pPr>
        <w:ind w:right="40" w:firstLine="656"/>
        <w:spacing w:after="0" w:line="287" w:lineRule="auto"/>
        <w:tabs>
          <w:tab w:leader="none" w:pos="1256" w:val="left"/>
        </w:tabs>
        <w:numPr>
          <w:ilvl w:val="1"/>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Information Furnished by the Underwriters</w:t>
      </w:r>
      <w:r>
        <w:rPr>
          <w:rFonts w:ascii="Arial" w:cs="Arial" w:eastAsia="Arial" w:hAnsi="Arial"/>
          <w:sz w:val="16"/>
          <w:szCs w:val="16"/>
          <w:color w:val="auto"/>
        </w:rPr>
        <w:t>. The Issuers acknowledge that the following statements set forth in the most recent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Preliminary Prospectus and the Prospectus constitute the only information furnished by or on behalf of the Underwriters through the Representatives as such information is referred to in </w:t>
      </w:r>
      <w:r>
        <w:rPr>
          <w:rFonts w:ascii="Arial" w:cs="Arial" w:eastAsia="Arial" w:hAnsi="Arial"/>
          <w:sz w:val="16"/>
          <w:szCs w:val="16"/>
          <w:u w:val="single" w:color="auto"/>
          <w:color w:val="auto"/>
        </w:rPr>
        <w:t>Sections 1(c)</w:t>
      </w:r>
      <w:r>
        <w:rPr>
          <w:rFonts w:ascii="Arial" w:cs="Arial" w:eastAsia="Arial" w:hAnsi="Arial"/>
          <w:sz w:val="16"/>
          <w:szCs w:val="16"/>
          <w:color w:val="auto"/>
        </w:rPr>
        <w:t xml:space="preserve">, </w:t>
      </w:r>
      <w:r>
        <w:rPr>
          <w:rFonts w:ascii="Arial" w:cs="Arial" w:eastAsia="Arial" w:hAnsi="Arial"/>
          <w:sz w:val="16"/>
          <w:szCs w:val="16"/>
          <w:u w:val="single" w:color="auto"/>
          <w:color w:val="auto"/>
        </w:rPr>
        <w:t>1(d)</w:t>
      </w:r>
      <w:r>
        <w:rPr>
          <w:rFonts w:ascii="Arial" w:cs="Arial" w:eastAsia="Arial" w:hAnsi="Arial"/>
          <w:sz w:val="16"/>
          <w:szCs w:val="16"/>
          <w:color w:val="auto"/>
        </w:rPr>
        <w:t xml:space="preserve">, </w:t>
      </w:r>
      <w:r>
        <w:rPr>
          <w:rFonts w:ascii="Arial" w:cs="Arial" w:eastAsia="Arial" w:hAnsi="Arial"/>
          <w:sz w:val="16"/>
          <w:szCs w:val="16"/>
          <w:u w:val="single" w:color="auto"/>
          <w:color w:val="auto"/>
        </w:rPr>
        <w:t>1(f)</w:t>
      </w:r>
      <w:r>
        <w:rPr>
          <w:rFonts w:ascii="Arial" w:cs="Arial" w:eastAsia="Arial" w:hAnsi="Arial"/>
          <w:sz w:val="16"/>
          <w:szCs w:val="16"/>
          <w:color w:val="auto"/>
        </w:rPr>
        <w:t xml:space="preserve">, </w:t>
      </w:r>
      <w:r>
        <w:rPr>
          <w:rFonts w:ascii="Arial" w:cs="Arial" w:eastAsia="Arial" w:hAnsi="Arial"/>
          <w:sz w:val="16"/>
          <w:szCs w:val="16"/>
          <w:u w:val="single" w:color="auto"/>
          <w:color w:val="auto"/>
        </w:rPr>
        <w:t>1(g)</w:t>
      </w:r>
      <w:r>
        <w:rPr>
          <w:rFonts w:ascii="Arial" w:cs="Arial" w:eastAsia="Arial" w:hAnsi="Arial"/>
          <w:sz w:val="16"/>
          <w:szCs w:val="16"/>
          <w:color w:val="auto"/>
        </w:rPr>
        <w:t xml:space="preserve">, </w:t>
      </w:r>
      <w:r>
        <w:rPr>
          <w:rFonts w:ascii="Arial" w:cs="Arial" w:eastAsia="Arial" w:hAnsi="Arial"/>
          <w:sz w:val="16"/>
          <w:szCs w:val="16"/>
          <w:u w:val="single" w:color="auto"/>
          <w:color w:val="auto"/>
        </w:rPr>
        <w:t>5(p)</w:t>
      </w:r>
      <w:r>
        <w:rPr>
          <w:rFonts w:ascii="Arial" w:cs="Arial" w:eastAsia="Arial" w:hAnsi="Arial"/>
          <w:sz w:val="16"/>
          <w:szCs w:val="16"/>
          <w:color w:val="auto"/>
        </w:rPr>
        <w:t xml:space="preserve">, </w:t>
      </w:r>
      <w:r>
        <w:rPr>
          <w:rFonts w:ascii="Arial" w:cs="Arial" w:eastAsia="Arial" w:hAnsi="Arial"/>
          <w:sz w:val="16"/>
          <w:szCs w:val="16"/>
          <w:u w:val="single" w:color="auto"/>
          <w:color w:val="auto"/>
        </w:rPr>
        <w:t>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6(c)</w:t>
      </w:r>
      <w:r>
        <w:rPr>
          <w:rFonts w:ascii="Arial" w:cs="Arial" w:eastAsia="Arial" w:hAnsi="Arial"/>
          <w:sz w:val="16"/>
          <w:szCs w:val="16"/>
          <w:color w:val="auto"/>
        </w:rPr>
        <w:t xml:space="preserve"> hereof: (A) the names of the Underwriters, (B) the table under the first paragraph under the heading “Underwriting,” (C) the first paragraph under the heading “Underwriting — Underwriting Discounts” related to concessions and</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first paragraph and the first two sentences of the second paragraph under the heading “Underwriting — Stabilization and Short Positions.”</w:t>
      </w:r>
    </w:p>
    <w:p>
      <w:pPr>
        <w:spacing w:after="0" w:line="218" w:lineRule="exact"/>
        <w:rPr>
          <w:rFonts w:ascii="Arial" w:cs="Arial" w:eastAsia="Arial" w:hAnsi="Arial"/>
          <w:sz w:val="17"/>
          <w:szCs w:val="17"/>
          <w:color w:val="auto"/>
        </w:rPr>
      </w:pPr>
    </w:p>
    <w:p>
      <w:pPr>
        <w:ind w:right="20" w:firstLine="656"/>
        <w:spacing w:after="0" w:line="290" w:lineRule="auto"/>
        <w:tabs>
          <w:tab w:leader="none" w:pos="1256" w:val="left"/>
        </w:tabs>
        <w:numPr>
          <w:ilvl w:val="1"/>
          <w:numId w:val="60"/>
        </w:numPr>
        <w:rPr>
          <w:rFonts w:ascii="Arial" w:cs="Arial" w:eastAsia="Arial" w:hAnsi="Arial"/>
          <w:sz w:val="16"/>
          <w:szCs w:val="16"/>
          <w:color w:val="auto"/>
        </w:rPr>
      </w:pPr>
      <w:r>
        <w:rPr>
          <w:rFonts w:ascii="Arial" w:cs="Arial" w:eastAsia="Arial" w:hAnsi="Arial"/>
          <w:sz w:val="16"/>
          <w:szCs w:val="16"/>
          <w:b w:val="1"/>
          <w:bCs w:val="1"/>
          <w:u w:val="single" w:color="auto"/>
          <w:color w:val="auto"/>
        </w:rPr>
        <w:t>Research Analyst Independence</w:t>
      </w:r>
      <w:r>
        <w:rPr>
          <w:rFonts w:ascii="Arial" w:cs="Arial" w:eastAsia="Arial" w:hAnsi="Arial"/>
          <w:sz w:val="16"/>
          <w:szCs w:val="16"/>
          <w:color w:val="auto"/>
        </w:rPr>
        <w:t>. The Issuers acknowledge that the Underwriters’ research analysts and research departments are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59" w:lineRule="exact"/>
        <w:rPr>
          <w:rFonts w:ascii="Arial" w:cs="Arial" w:eastAsia="Arial" w:hAnsi="Arial"/>
          <w:sz w:val="16"/>
          <w:szCs w:val="16"/>
          <w:color w:val="auto"/>
        </w:rPr>
      </w:pPr>
    </w:p>
    <w:p>
      <w:pPr>
        <w:ind w:right="440" w:firstLine="656"/>
        <w:spacing w:after="0" w:line="282" w:lineRule="auto"/>
        <w:tabs>
          <w:tab w:leader="none" w:pos="1256"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Issuers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or any of them, with respect to the subject matter hereof.</w:t>
      </w:r>
    </w:p>
    <w:p>
      <w:pPr>
        <w:spacing w:after="0" w:line="161" w:lineRule="exact"/>
        <w:rPr>
          <w:rFonts w:ascii="Arial" w:cs="Arial" w:eastAsia="Arial" w:hAnsi="Arial"/>
          <w:sz w:val="18"/>
          <w:szCs w:val="18"/>
          <w:color w:val="auto"/>
        </w:rPr>
      </w:pPr>
    </w:p>
    <w:p>
      <w:pPr>
        <w:ind w:left="1260" w:hanging="604"/>
        <w:spacing w:after="0"/>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hanging="604"/>
        <w:spacing w:after="0"/>
        <w:tabs>
          <w:tab w:leader="none" w:pos="1260"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Date of Agreement</w:t>
      </w:r>
      <w:r>
        <w:rPr>
          <w:rFonts w:ascii="Arial" w:cs="Arial" w:eastAsia="Arial" w:hAnsi="Arial"/>
          <w:sz w:val="17"/>
          <w:szCs w:val="17"/>
          <w:color w:val="auto"/>
        </w:rPr>
        <w:t>. This Agreement shall become effective upon the execution and delivery hereof by the parties hereto.</w:t>
      </w:r>
    </w:p>
    <w:p>
      <w:pPr>
        <w:spacing w:after="0" w:line="236" w:lineRule="exact"/>
        <w:rPr>
          <w:rFonts w:ascii="Arial" w:cs="Arial" w:eastAsia="Arial" w:hAnsi="Arial"/>
          <w:sz w:val="17"/>
          <w:szCs w:val="17"/>
          <w:color w:val="auto"/>
        </w:rPr>
      </w:pPr>
    </w:p>
    <w:p>
      <w:pPr>
        <w:ind w:right="40" w:firstLine="656"/>
        <w:spacing w:after="0" w:line="271" w:lineRule="auto"/>
        <w:tabs>
          <w:tab w:leader="none" w:pos="1256"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No Fiduciary Duty</w:t>
      </w:r>
      <w:r>
        <w:rPr>
          <w:rFonts w:ascii="Arial" w:cs="Arial" w:eastAsia="Arial" w:hAnsi="Arial"/>
          <w:sz w:val="17"/>
          <w:szCs w:val="17"/>
          <w:color w:val="auto"/>
        </w:rPr>
        <w:t>. The Issuers acknowledge and agree that in connection with this offering and sale of the Notes or any other services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w:t>
      </w:r>
    </w:p>
    <w:p>
      <w:pPr>
        <w:spacing w:after="0" w:line="174" w:lineRule="exact"/>
        <w:rPr>
          <w:rFonts w:ascii="Arial" w:cs="Arial" w:eastAsia="Arial" w:hAnsi="Arial"/>
          <w:sz w:val="17"/>
          <w:szCs w:val="17"/>
          <w:color w:val="auto"/>
        </w:rPr>
      </w:pPr>
    </w:p>
    <w:p>
      <w:pPr>
        <w:ind w:right="60" w:firstLine="656"/>
        <w:spacing w:after="0" w:line="261" w:lineRule="auto"/>
        <w:tabs>
          <w:tab w:leader="none" w:pos="1256"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confirm that the foregoing correctly sets forth the agreement among the Issuers and the Underwriters.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PAA GP LLC</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PLAINS AAP, L.P.</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its Sole Member</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Sharon Spurlin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ectPr>
          <w:pgSz w:w="11900" w:h="16838" w:orient="portrait"/>
          <w:cols w:equalWidth="0" w:num="1">
            <w:col w:w="11420"/>
          </w:cols>
          <w:pgMar w:left="240" w:top="341" w:right="239" w:bottom="0" w:gutter="0" w:footer="0" w:header="0"/>
        </w:sectPr>
      </w:pPr>
    </w:p>
    <w:bookmarkStart w:id="20" w:name="page21"/>
    <w:bookmarkEnd w:id="20"/>
    <w:p>
      <w:pPr>
        <w:ind w:left="5720"/>
        <w:spacing w:after="0"/>
        <w:rPr>
          <w:sz w:val="20"/>
          <w:szCs w:val="20"/>
          <w:color w:val="auto"/>
        </w:rPr>
      </w:pPr>
      <w:r>
        <w:rPr>
          <w:rFonts w:ascii="Arial" w:cs="Arial" w:eastAsia="Arial" w:hAnsi="Arial"/>
          <w:sz w:val="18"/>
          <w:szCs w:val="18"/>
          <w:b w:val="1"/>
          <w:bCs w:val="1"/>
          <w:color w:val="auto"/>
        </w:rPr>
        <w:t>PAA FINANCE CORP.</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Sharon Spurlin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PAA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by the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Wells Fargo Securities, LLC</w:t>
            </w:r>
          </w:p>
        </w:tc>
        <w:tc>
          <w:tcPr>
            <w:tcW w:w="116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418"/>
        </w:trPr>
        <w:tc>
          <w:tcPr>
            <w:tcW w:w="5500" w:type="dxa"/>
            <w:vAlign w:val="bottom"/>
            <w:gridSpan w:val="3"/>
          </w:tcPr>
          <w:p>
            <w:pPr>
              <w:spacing w:after="0"/>
              <w:rPr>
                <w:sz w:val="20"/>
                <w:szCs w:val="20"/>
                <w:color w:val="auto"/>
              </w:rPr>
            </w:pPr>
            <w:r>
              <w:rPr>
                <w:rFonts w:ascii="Arial" w:cs="Arial" w:eastAsia="Arial" w:hAnsi="Arial"/>
                <w:sz w:val="18"/>
                <w:szCs w:val="18"/>
                <w:color w:val="auto"/>
              </w:rPr>
              <w:t>As Representatives of the several Underwriters</w:t>
            </w:r>
          </w:p>
        </w:tc>
        <w:tc>
          <w:tcPr>
            <w:tcW w:w="116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By: J.P. Morgan Securities LLC</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By: BNP Paribas Securities Corp.</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/s/ Maria Sramek</w:t>
            </w:r>
          </w:p>
        </w:tc>
        <w:tc>
          <w:tcPr>
            <w:tcW w:w="1160" w:type="dxa"/>
            <w:vAlign w:val="bottom"/>
          </w:tcPr>
          <w:p>
            <w:pPr>
              <w:ind w:left="460"/>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/s/ B. Campbell Andersen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Sramek</w:t>
            </w:r>
          </w:p>
        </w:tc>
        <w:tc>
          <w:tcPr>
            <w:tcW w:w="116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 Campbell Andersen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Executive Director</w:t>
            </w:r>
          </w:p>
        </w:tc>
        <w:tc>
          <w:tcPr>
            <w:tcW w:w="1160" w:type="dxa"/>
            <w:vAlign w:val="bottom"/>
          </w:tcPr>
          <w:p>
            <w:pPr>
              <w:ind w:left="46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34"/>
        </w:trPr>
        <w:tc>
          <w:tcPr>
            <w:tcW w:w="5500" w:type="dxa"/>
            <w:vAlign w:val="bottom"/>
            <w:gridSpan w:val="3"/>
          </w:tcPr>
          <w:p>
            <w:pPr>
              <w:spacing w:after="0"/>
              <w:rPr>
                <w:sz w:val="20"/>
                <w:szCs w:val="20"/>
                <w:color w:val="auto"/>
              </w:rPr>
            </w:pPr>
            <w:r>
              <w:rPr>
                <w:rFonts w:ascii="Arial" w:cs="Arial" w:eastAsia="Arial" w:hAnsi="Arial"/>
                <w:sz w:val="18"/>
                <w:szCs w:val="18"/>
                <w:color w:val="auto"/>
              </w:rPr>
              <w:t>By: Merrill Lynch, Pierce, Fenner &amp; Smith</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By: Wells Fargo Securities, LLC</w:t>
            </w:r>
          </w:p>
        </w:tc>
      </w:tr>
      <w:tr>
        <w:trPr>
          <w:trHeight w:val="230"/>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Incorporated</w:t>
            </w:r>
          </w:p>
        </w:tc>
        <w:tc>
          <w:tcPr>
            <w:tcW w:w="116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/s/ Kevin Wehler</w:t>
            </w:r>
          </w:p>
        </w:tc>
        <w:tc>
          <w:tcPr>
            <w:tcW w:w="1160" w:type="dxa"/>
            <w:vAlign w:val="bottom"/>
          </w:tcPr>
          <w:p>
            <w:pPr>
              <w:ind w:left="460"/>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/s/ Carolyn Hurley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Wehler</w:t>
            </w:r>
          </w:p>
        </w:tc>
        <w:tc>
          <w:tcPr>
            <w:tcW w:w="116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Carolyn Hurley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Managing Director</w:t>
            </w:r>
          </w:p>
        </w:tc>
        <w:tc>
          <w:tcPr>
            <w:tcW w:w="1160" w:type="dxa"/>
            <w:vAlign w:val="bottom"/>
          </w:tcPr>
          <w:p>
            <w:pPr>
              <w:ind w:left="46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4760" w:type="dxa"/>
            <w:vAlign w:val="bottom"/>
            <w:gridSpan w:val="5"/>
          </w:tcPr>
          <w:p>
            <w:pPr>
              <w:jc w:val="center"/>
              <w:ind w:left="170"/>
              <w:spacing w:after="0"/>
              <w:rPr>
                <w:sz w:val="20"/>
                <w:szCs w:val="20"/>
                <w:color w:val="auto"/>
              </w:rPr>
            </w:pPr>
            <w:r>
              <w:rPr>
                <w:rFonts w:ascii="Arial" w:cs="Arial" w:eastAsia="Arial" w:hAnsi="Arial"/>
                <w:sz w:val="18"/>
                <w:szCs w:val="18"/>
                <w:i w:val="1"/>
                <w:iCs w:val="1"/>
                <w:color w:val="auto"/>
                <w:w w:val="92"/>
              </w:rPr>
              <w:t>Underwriters’ Signature Page to Underwriting Agreement</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2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740"/>
        </w:trPr>
        <w:tc>
          <w:tcPr>
            <w:tcW w:w="3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0" w:type="dxa"/>
            <w:vAlign w:val="bottom"/>
            <w:gridSpan w:val="4"/>
          </w:tcPr>
          <w:p>
            <w:pPr>
              <w:jc w:val="center"/>
              <w:ind w:right="1610"/>
              <w:spacing w:after="0"/>
              <w:rPr>
                <w:sz w:val="20"/>
                <w:szCs w:val="20"/>
                <w:color w:val="auto"/>
              </w:rPr>
            </w:pPr>
            <w:r>
              <w:rPr>
                <w:rFonts w:ascii="Arial" w:cs="Arial" w:eastAsia="Arial" w:hAnsi="Arial"/>
                <w:sz w:val="18"/>
                <w:szCs w:val="18"/>
                <w:b w:val="1"/>
                <w:bCs w:val="1"/>
                <w:color w:val="auto"/>
              </w:rPr>
              <w:t>SCHEDULE I</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9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0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89"/>
              </w:rPr>
              <w:t>Notes to be Purchased</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9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108,750,000</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108,750,000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Incorporated</w:t>
            </w:r>
          </w:p>
        </w:tc>
        <w:tc>
          <w:tcPr>
            <w:tcW w:w="19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108,750,000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108,750,000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1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67,500,000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DNB Markets, Inc.</w:t>
            </w:r>
          </w:p>
        </w:tc>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67,500,000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67,500,000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CIBC World Markets Corp.</w:t>
            </w:r>
          </w:p>
        </w:tc>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18,750,000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1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ING Financial Markets LLC</w:t>
            </w:r>
          </w:p>
        </w:tc>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18,750,000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1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Regions Securities LLC</w:t>
            </w:r>
          </w:p>
        </w:tc>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18,750,000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18,750,000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18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0" w:type="dxa"/>
            <w:vAlign w:val="bottom"/>
            <w:gridSpan w:val="4"/>
          </w:tcPr>
          <w:p>
            <w:pPr>
              <w:jc w:val="center"/>
              <w:ind w:right="1610"/>
              <w:spacing w:after="0"/>
              <w:rPr>
                <w:sz w:val="20"/>
                <w:szCs w:val="20"/>
                <w:color w:val="auto"/>
              </w:rPr>
            </w:pPr>
            <w:r>
              <w:rPr>
                <w:rFonts w:ascii="Arial" w:cs="Arial" w:eastAsia="Arial" w:hAnsi="Arial"/>
                <w:sz w:val="18"/>
                <w:szCs w:val="18"/>
                <w:color w:val="auto"/>
              </w:rPr>
              <w:t>I-1</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0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-3322320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-3322320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Registration No. 333-207139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November 15, 2016</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Final Term Sheet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$750,000,000 4.500% Senior Notes due 2026</w:t>
      </w:r>
    </w:p>
    <w:p>
      <w:pPr>
        <w:sectPr>
          <w:pgSz w:w="11900" w:h="16838" w:orient="portrait"/>
          <w:cols w:equalWidth="0" w:num="1">
            <w:col w:w="11460"/>
          </w:cols>
          <w:pgMar w:left="240" w:top="121"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Issuers:</w:t>
            </w:r>
          </w:p>
        </w:tc>
        <w:tc>
          <w:tcPr>
            <w:tcW w:w="6120" w:type="dxa"/>
            <w:vAlign w:val="bottom"/>
          </w:tcPr>
          <w:p>
            <w:pPr>
              <w:ind w:left="500"/>
              <w:spacing w:after="0"/>
              <w:rPr>
                <w:sz w:val="20"/>
                <w:szCs w:val="20"/>
                <w:color w:val="auto"/>
              </w:rPr>
            </w:pPr>
            <w:r>
              <w:rPr>
                <w:rFonts w:ascii="Arial" w:cs="Arial" w:eastAsia="Arial" w:hAnsi="Arial"/>
                <w:sz w:val="18"/>
                <w:szCs w:val="18"/>
                <w:color w:val="auto"/>
              </w:rPr>
              <w:t>Plains All American Pipeline, L.P. and PAA Finance Corp.</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Ratings (Moody’s / S&amp;P / Fitch):*</w:t>
            </w:r>
          </w:p>
        </w:tc>
        <w:tc>
          <w:tcPr>
            <w:tcW w:w="6120" w:type="dxa"/>
            <w:vAlign w:val="bottom"/>
          </w:tcPr>
          <w:p>
            <w:pPr>
              <w:ind w:left="500"/>
              <w:spacing w:after="0"/>
              <w:rPr>
                <w:sz w:val="20"/>
                <w:szCs w:val="20"/>
                <w:color w:val="auto"/>
              </w:rPr>
            </w:pPr>
            <w:r>
              <w:rPr>
                <w:rFonts w:ascii="Arial" w:cs="Arial" w:eastAsia="Arial" w:hAnsi="Arial"/>
                <w:sz w:val="18"/>
                <w:szCs w:val="18"/>
                <w:color w:val="auto"/>
              </w:rPr>
              <w:t>[Ratings Intentionally Omitted]</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Security Type:</w:t>
            </w:r>
          </w:p>
        </w:tc>
        <w:tc>
          <w:tcPr>
            <w:tcW w:w="6120" w:type="dxa"/>
            <w:vAlign w:val="bottom"/>
          </w:tcPr>
          <w:p>
            <w:pPr>
              <w:ind w:left="500"/>
              <w:spacing w:after="0"/>
              <w:rPr>
                <w:sz w:val="20"/>
                <w:szCs w:val="20"/>
                <w:color w:val="auto"/>
              </w:rPr>
            </w:pPr>
            <w:r>
              <w:rPr>
                <w:rFonts w:ascii="Arial" w:cs="Arial" w:eastAsia="Arial" w:hAnsi="Arial"/>
                <w:sz w:val="18"/>
                <w:szCs w:val="18"/>
                <w:color w:val="auto"/>
              </w:rPr>
              <w:t>Senior Unsecured Notes</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Legal Format:</w:t>
            </w:r>
          </w:p>
        </w:tc>
        <w:tc>
          <w:tcPr>
            <w:tcW w:w="6120" w:type="dxa"/>
            <w:vAlign w:val="bottom"/>
          </w:tcPr>
          <w:p>
            <w:pPr>
              <w:ind w:left="500"/>
              <w:spacing w:after="0"/>
              <w:rPr>
                <w:sz w:val="20"/>
                <w:szCs w:val="20"/>
                <w:color w:val="auto"/>
              </w:rPr>
            </w:pPr>
            <w:r>
              <w:rPr>
                <w:rFonts w:ascii="Arial" w:cs="Arial" w:eastAsia="Arial" w:hAnsi="Arial"/>
                <w:sz w:val="18"/>
                <w:szCs w:val="18"/>
                <w:color w:val="auto"/>
              </w:rPr>
              <w:t>SEC Registered</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Pricing Date:</w:t>
            </w:r>
          </w:p>
        </w:tc>
        <w:tc>
          <w:tcPr>
            <w:tcW w:w="6120" w:type="dxa"/>
            <w:vAlign w:val="bottom"/>
          </w:tcPr>
          <w:p>
            <w:pPr>
              <w:ind w:left="500"/>
              <w:spacing w:after="0"/>
              <w:rPr>
                <w:sz w:val="20"/>
                <w:szCs w:val="20"/>
                <w:color w:val="auto"/>
              </w:rPr>
            </w:pPr>
            <w:r>
              <w:rPr>
                <w:rFonts w:ascii="Arial" w:cs="Arial" w:eastAsia="Arial" w:hAnsi="Arial"/>
                <w:sz w:val="18"/>
                <w:szCs w:val="18"/>
                <w:color w:val="auto"/>
              </w:rPr>
              <w:t>November 15, 2016</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Settlement Date (T+5):</w:t>
            </w:r>
          </w:p>
        </w:tc>
        <w:tc>
          <w:tcPr>
            <w:tcW w:w="6120" w:type="dxa"/>
            <w:vAlign w:val="bottom"/>
          </w:tcPr>
          <w:p>
            <w:pPr>
              <w:ind w:left="500"/>
              <w:spacing w:after="0"/>
              <w:rPr>
                <w:sz w:val="20"/>
                <w:szCs w:val="20"/>
                <w:color w:val="auto"/>
              </w:rPr>
            </w:pPr>
            <w:r>
              <w:rPr>
                <w:rFonts w:ascii="Arial" w:cs="Arial" w:eastAsia="Arial" w:hAnsi="Arial"/>
                <w:sz w:val="18"/>
                <w:szCs w:val="18"/>
                <w:color w:val="auto"/>
              </w:rPr>
              <w:t>November 22, 2016</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Maturity Date:</w:t>
            </w:r>
          </w:p>
        </w:tc>
        <w:tc>
          <w:tcPr>
            <w:tcW w:w="6120" w:type="dxa"/>
            <w:vAlign w:val="bottom"/>
          </w:tcPr>
          <w:p>
            <w:pPr>
              <w:ind w:left="500"/>
              <w:spacing w:after="0"/>
              <w:rPr>
                <w:sz w:val="20"/>
                <w:szCs w:val="20"/>
                <w:color w:val="auto"/>
              </w:rPr>
            </w:pPr>
            <w:r>
              <w:rPr>
                <w:rFonts w:ascii="Arial" w:cs="Arial" w:eastAsia="Arial" w:hAnsi="Arial"/>
                <w:sz w:val="18"/>
                <w:szCs w:val="18"/>
                <w:color w:val="auto"/>
              </w:rPr>
              <w:t>December 15, 2026</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Principal Amount:</w:t>
            </w:r>
          </w:p>
        </w:tc>
        <w:tc>
          <w:tcPr>
            <w:tcW w:w="6120" w:type="dxa"/>
            <w:vAlign w:val="bottom"/>
          </w:tcPr>
          <w:p>
            <w:pPr>
              <w:ind w:left="500"/>
              <w:spacing w:after="0"/>
              <w:rPr>
                <w:sz w:val="20"/>
                <w:szCs w:val="20"/>
                <w:color w:val="auto"/>
              </w:rPr>
            </w:pPr>
            <w:r>
              <w:rPr>
                <w:rFonts w:ascii="Arial" w:cs="Arial" w:eastAsia="Arial" w:hAnsi="Arial"/>
                <w:sz w:val="18"/>
                <w:szCs w:val="18"/>
                <w:color w:val="auto"/>
              </w:rPr>
              <w:t>$750,000,000</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Benchmark Treasury:</w:t>
            </w:r>
          </w:p>
        </w:tc>
        <w:tc>
          <w:tcPr>
            <w:tcW w:w="6120" w:type="dxa"/>
            <w:vAlign w:val="bottom"/>
          </w:tcPr>
          <w:p>
            <w:pPr>
              <w:ind w:left="500"/>
              <w:spacing w:after="0"/>
              <w:rPr>
                <w:sz w:val="20"/>
                <w:szCs w:val="20"/>
                <w:color w:val="auto"/>
              </w:rPr>
            </w:pPr>
            <w:r>
              <w:rPr>
                <w:rFonts w:ascii="Arial" w:cs="Arial" w:eastAsia="Arial" w:hAnsi="Arial"/>
                <w:sz w:val="18"/>
                <w:szCs w:val="18"/>
                <w:color w:val="auto"/>
              </w:rPr>
              <w:t>UST 2.00% due November 15, 2026</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6120" w:type="dxa"/>
            <w:vAlign w:val="bottom"/>
          </w:tcPr>
          <w:p>
            <w:pPr>
              <w:ind w:left="500"/>
              <w:spacing w:after="0"/>
              <w:rPr>
                <w:sz w:val="20"/>
                <w:szCs w:val="20"/>
                <w:color w:val="auto"/>
              </w:rPr>
            </w:pPr>
            <w:r>
              <w:rPr>
                <w:rFonts w:ascii="Arial" w:cs="Arial" w:eastAsia="Arial" w:hAnsi="Arial"/>
                <w:sz w:val="18"/>
                <w:szCs w:val="18"/>
                <w:color w:val="auto"/>
              </w:rPr>
              <w:t>2.235%</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6120" w:type="dxa"/>
            <w:vAlign w:val="bottom"/>
          </w:tcPr>
          <w:p>
            <w:pPr>
              <w:ind w:left="500"/>
              <w:spacing w:after="0"/>
              <w:rPr>
                <w:sz w:val="20"/>
                <w:szCs w:val="20"/>
                <w:color w:val="auto"/>
              </w:rPr>
            </w:pPr>
            <w:r>
              <w:rPr>
                <w:rFonts w:ascii="Arial" w:cs="Arial" w:eastAsia="Arial" w:hAnsi="Arial"/>
                <w:sz w:val="18"/>
                <w:szCs w:val="18"/>
                <w:color w:val="auto"/>
              </w:rPr>
              <w:t>+230 bps</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Yield to Maturity:</w:t>
            </w:r>
          </w:p>
        </w:tc>
        <w:tc>
          <w:tcPr>
            <w:tcW w:w="6120" w:type="dxa"/>
            <w:vAlign w:val="bottom"/>
          </w:tcPr>
          <w:p>
            <w:pPr>
              <w:ind w:left="500"/>
              <w:spacing w:after="0"/>
              <w:rPr>
                <w:sz w:val="20"/>
                <w:szCs w:val="20"/>
                <w:color w:val="auto"/>
              </w:rPr>
            </w:pPr>
            <w:r>
              <w:rPr>
                <w:rFonts w:ascii="Arial" w:cs="Arial" w:eastAsia="Arial" w:hAnsi="Arial"/>
                <w:sz w:val="18"/>
                <w:szCs w:val="18"/>
                <w:color w:val="auto"/>
              </w:rPr>
              <w:t>4.535%</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Coupon:</w:t>
            </w:r>
          </w:p>
        </w:tc>
        <w:tc>
          <w:tcPr>
            <w:tcW w:w="6120" w:type="dxa"/>
            <w:vAlign w:val="bottom"/>
          </w:tcPr>
          <w:p>
            <w:pPr>
              <w:ind w:left="500"/>
              <w:spacing w:after="0"/>
              <w:rPr>
                <w:sz w:val="20"/>
                <w:szCs w:val="20"/>
                <w:color w:val="auto"/>
              </w:rPr>
            </w:pPr>
            <w:r>
              <w:rPr>
                <w:rFonts w:ascii="Arial" w:cs="Arial" w:eastAsia="Arial" w:hAnsi="Arial"/>
                <w:sz w:val="18"/>
                <w:szCs w:val="18"/>
                <w:color w:val="auto"/>
              </w:rPr>
              <w:t>4.500%</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Public Offering Price:</w:t>
            </w:r>
          </w:p>
        </w:tc>
        <w:tc>
          <w:tcPr>
            <w:tcW w:w="6120" w:type="dxa"/>
            <w:vAlign w:val="bottom"/>
          </w:tcPr>
          <w:p>
            <w:pPr>
              <w:ind w:left="500"/>
              <w:spacing w:after="0"/>
              <w:rPr>
                <w:sz w:val="20"/>
                <w:szCs w:val="20"/>
                <w:color w:val="auto"/>
              </w:rPr>
            </w:pPr>
            <w:r>
              <w:rPr>
                <w:rFonts w:ascii="Arial" w:cs="Arial" w:eastAsia="Arial" w:hAnsi="Arial"/>
                <w:sz w:val="18"/>
                <w:szCs w:val="18"/>
                <w:color w:val="auto"/>
              </w:rPr>
              <w:t>99.716%</w:t>
            </w:r>
          </w:p>
        </w:tc>
      </w:tr>
      <w:tr>
        <w:trPr>
          <w:trHeight w:val="418"/>
        </w:trPr>
        <w:tc>
          <w:tcPr>
            <w:tcW w:w="5340" w:type="dxa"/>
            <w:vAlign w:val="bottom"/>
          </w:tcPr>
          <w:p>
            <w:pPr>
              <w:spacing w:after="0"/>
              <w:rPr>
                <w:sz w:val="20"/>
                <w:szCs w:val="20"/>
                <w:color w:val="auto"/>
              </w:rPr>
            </w:pPr>
            <w:r>
              <w:rPr>
                <w:rFonts w:ascii="Arial" w:cs="Arial" w:eastAsia="Arial" w:hAnsi="Arial"/>
                <w:sz w:val="18"/>
                <w:szCs w:val="18"/>
                <w:color w:val="auto"/>
                <w:w w:val="94"/>
              </w:rPr>
              <w:t>Net Proceeds (after deducting the underwriting discount and estimated</w:t>
            </w:r>
          </w:p>
        </w:tc>
        <w:tc>
          <w:tcPr>
            <w:tcW w:w="6120" w:type="dxa"/>
            <w:vAlign w:val="bottom"/>
          </w:tcPr>
          <w:p>
            <w:pPr>
              <w:ind w:left="500"/>
              <w:spacing w:after="0"/>
              <w:rPr>
                <w:sz w:val="20"/>
                <w:szCs w:val="20"/>
                <w:color w:val="auto"/>
              </w:rPr>
            </w:pPr>
            <w:r>
              <w:rPr>
                <w:rFonts w:ascii="Arial" w:cs="Arial" w:eastAsia="Arial" w:hAnsi="Arial"/>
                <w:sz w:val="18"/>
                <w:szCs w:val="18"/>
                <w:color w:val="auto"/>
              </w:rPr>
              <w:t>$741.3 million</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offering expenses) to the Partnership:</w:t>
            </w:r>
          </w:p>
        </w:tc>
        <w:tc>
          <w:tcPr>
            <w:tcW w:w="6120" w:type="dxa"/>
            <w:vAlign w:val="bottom"/>
          </w:tcPr>
          <w:p>
            <w:pPr>
              <w:spacing w:after="0"/>
              <w:rPr>
                <w:sz w:val="20"/>
                <w:szCs w:val="20"/>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Make-Whole Call:</w:t>
            </w:r>
          </w:p>
        </w:tc>
        <w:tc>
          <w:tcPr>
            <w:tcW w:w="6120" w:type="dxa"/>
            <w:vAlign w:val="bottom"/>
          </w:tcPr>
          <w:p>
            <w:pPr>
              <w:ind w:left="500"/>
              <w:spacing w:after="0"/>
              <w:rPr>
                <w:sz w:val="20"/>
                <w:szCs w:val="20"/>
                <w:color w:val="auto"/>
              </w:rPr>
            </w:pPr>
            <w:r>
              <w:rPr>
                <w:rFonts w:ascii="Arial" w:cs="Arial" w:eastAsia="Arial" w:hAnsi="Arial"/>
                <w:sz w:val="18"/>
                <w:szCs w:val="18"/>
                <w:color w:val="auto"/>
              </w:rPr>
              <w:t>T+ 35 bps</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Call at Par:</w:t>
            </w:r>
          </w:p>
        </w:tc>
        <w:tc>
          <w:tcPr>
            <w:tcW w:w="6120" w:type="dxa"/>
            <w:vAlign w:val="bottom"/>
          </w:tcPr>
          <w:p>
            <w:pPr>
              <w:ind w:left="500"/>
              <w:spacing w:after="0"/>
              <w:rPr>
                <w:sz w:val="20"/>
                <w:szCs w:val="20"/>
                <w:color w:val="auto"/>
              </w:rPr>
            </w:pPr>
            <w:r>
              <w:rPr>
                <w:rFonts w:ascii="Arial" w:cs="Arial" w:eastAsia="Arial" w:hAnsi="Arial"/>
                <w:sz w:val="18"/>
                <w:szCs w:val="18"/>
                <w:color w:val="auto"/>
              </w:rPr>
              <w:t>On or after September 15, 2026</w:t>
            </w:r>
          </w:p>
        </w:tc>
      </w:tr>
      <w:tr>
        <w:trPr>
          <w:trHeight w:val="432"/>
        </w:trPr>
        <w:tc>
          <w:tcPr>
            <w:tcW w:w="5340" w:type="dxa"/>
            <w:vAlign w:val="bottom"/>
          </w:tcPr>
          <w:p>
            <w:pPr>
              <w:spacing w:after="0"/>
              <w:rPr>
                <w:sz w:val="24"/>
                <w:szCs w:val="24"/>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II-1</w:t>
            </w:r>
          </w:p>
        </w:tc>
      </w:tr>
      <w:tr>
        <w:trPr>
          <w:trHeight w:val="132"/>
        </w:trPr>
        <w:tc>
          <w:tcPr>
            <w:tcW w:w="5340" w:type="dxa"/>
            <w:vAlign w:val="bottom"/>
            <w:tcBorders>
              <w:bottom w:val="single" w:sz="8" w:color="808080"/>
            </w:tcBorders>
          </w:tcPr>
          <w:p>
            <w:pPr>
              <w:spacing w:after="0"/>
              <w:rPr>
                <w:sz w:val="11"/>
                <w:szCs w:val="11"/>
                <w:color w:val="auto"/>
              </w:rPr>
            </w:pPr>
          </w:p>
        </w:tc>
        <w:tc>
          <w:tcPr>
            <w:tcW w:w="6120" w:type="dxa"/>
            <w:vAlign w:val="bottom"/>
            <w:tcBorders>
              <w:bottom w:val="single" w:sz="8" w:color="808080"/>
            </w:tcBorders>
          </w:tcPr>
          <w:p>
            <w:pPr>
              <w:spacing w:after="0"/>
              <w:rPr>
                <w:sz w:val="11"/>
                <w:szCs w:val="11"/>
                <w:color w:val="auto"/>
              </w:rPr>
            </w:pPr>
          </w:p>
        </w:tc>
      </w:tr>
      <w:tr>
        <w:trPr>
          <w:trHeight w:val="780"/>
        </w:trPr>
        <w:tc>
          <w:tcPr>
            <w:tcW w:w="5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120" w:type="dxa"/>
            <w:vAlign w:val="bottom"/>
          </w:tcPr>
          <w:p>
            <w:pPr>
              <w:ind w:left="500"/>
              <w:spacing w:after="0"/>
              <w:rPr>
                <w:sz w:val="20"/>
                <w:szCs w:val="20"/>
                <w:color w:val="auto"/>
              </w:rPr>
            </w:pPr>
            <w:r>
              <w:rPr>
                <w:rFonts w:ascii="Arial" w:cs="Arial" w:eastAsia="Arial" w:hAnsi="Arial"/>
                <w:sz w:val="18"/>
                <w:szCs w:val="18"/>
                <w:color w:val="auto"/>
              </w:rPr>
              <w:t>June 15 and December 15, beginning on June 15, 2017</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CUSIP / ISIN:</w:t>
            </w:r>
          </w:p>
        </w:tc>
        <w:tc>
          <w:tcPr>
            <w:tcW w:w="6120" w:type="dxa"/>
            <w:vAlign w:val="bottom"/>
          </w:tcPr>
          <w:p>
            <w:pPr>
              <w:ind w:left="500"/>
              <w:spacing w:after="0"/>
              <w:rPr>
                <w:sz w:val="20"/>
                <w:szCs w:val="20"/>
                <w:color w:val="auto"/>
              </w:rPr>
            </w:pPr>
            <w:r>
              <w:rPr>
                <w:rFonts w:ascii="Arial" w:cs="Arial" w:eastAsia="Arial" w:hAnsi="Arial"/>
                <w:sz w:val="18"/>
                <w:szCs w:val="18"/>
                <w:color w:val="auto"/>
              </w:rPr>
              <w:t>72650R BL5 / US72650RBL50</w:t>
            </w:r>
          </w:p>
        </w:tc>
      </w:tr>
      <w:tr>
        <w:trPr>
          <w:trHeight w:val="418"/>
        </w:trPr>
        <w:tc>
          <w:tcPr>
            <w:tcW w:w="53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6120" w:type="dxa"/>
            <w:vAlign w:val="bottom"/>
          </w:tcPr>
          <w:p>
            <w:pPr>
              <w:ind w:left="500"/>
              <w:spacing w:after="0"/>
              <w:rPr>
                <w:sz w:val="20"/>
                <w:szCs w:val="20"/>
                <w:color w:val="auto"/>
              </w:rPr>
            </w:pPr>
            <w:r>
              <w:rPr>
                <w:rFonts w:ascii="Arial" w:cs="Arial" w:eastAsia="Arial" w:hAnsi="Arial"/>
                <w:sz w:val="18"/>
                <w:szCs w:val="18"/>
                <w:color w:val="auto"/>
              </w:rPr>
              <w:t>J.P. Morgan Securities LLC</w:t>
            </w:r>
          </w:p>
        </w:tc>
      </w:tr>
      <w:tr>
        <w:trPr>
          <w:trHeight w:val="216"/>
        </w:trPr>
        <w:tc>
          <w:tcPr>
            <w:tcW w:w="5340" w:type="dxa"/>
            <w:vAlign w:val="bottom"/>
          </w:tcPr>
          <w:p>
            <w:pPr>
              <w:spacing w:after="0"/>
              <w:rPr>
                <w:sz w:val="18"/>
                <w:szCs w:val="18"/>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5340" w:type="dxa"/>
            <w:vAlign w:val="bottom"/>
          </w:tcPr>
          <w:p>
            <w:pPr>
              <w:spacing w:after="0"/>
              <w:rPr>
                <w:sz w:val="18"/>
                <w:szCs w:val="18"/>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5340" w:type="dxa"/>
            <w:vAlign w:val="bottom"/>
          </w:tcPr>
          <w:p>
            <w:pPr>
              <w:spacing w:after="0"/>
              <w:rPr>
                <w:sz w:val="18"/>
                <w:szCs w:val="18"/>
                <w:color w:val="auto"/>
              </w:rPr>
            </w:pPr>
          </w:p>
        </w:tc>
        <w:tc>
          <w:tcPr>
            <w:tcW w:w="6120" w:type="dxa"/>
            <w:vAlign w:val="bottom"/>
          </w:tcPr>
          <w:p>
            <w:pPr>
              <w:ind w:left="1440"/>
              <w:spacing w:after="0"/>
              <w:rPr>
                <w:sz w:val="20"/>
                <w:szCs w:val="20"/>
                <w:color w:val="auto"/>
              </w:rPr>
            </w:pPr>
            <w:r>
              <w:rPr>
                <w:rFonts w:ascii="Arial" w:cs="Arial" w:eastAsia="Arial" w:hAnsi="Arial"/>
                <w:sz w:val="18"/>
                <w:szCs w:val="18"/>
                <w:color w:val="auto"/>
              </w:rPr>
              <w:t>Incorporated</w:t>
            </w:r>
          </w:p>
        </w:tc>
      </w:tr>
      <w:tr>
        <w:trPr>
          <w:trHeight w:val="216"/>
        </w:trPr>
        <w:tc>
          <w:tcPr>
            <w:tcW w:w="5340" w:type="dxa"/>
            <w:vAlign w:val="bottom"/>
          </w:tcPr>
          <w:p>
            <w:pPr>
              <w:spacing w:after="0"/>
              <w:rPr>
                <w:sz w:val="18"/>
                <w:szCs w:val="18"/>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Wells Fargo Securities, LLC</w:t>
            </w:r>
          </w:p>
        </w:tc>
      </w:tr>
      <w:tr>
        <w:trPr>
          <w:trHeight w:val="216"/>
        </w:trPr>
        <w:tc>
          <w:tcPr>
            <w:tcW w:w="5340" w:type="dxa"/>
            <w:vAlign w:val="bottom"/>
          </w:tcPr>
          <w:p>
            <w:pPr>
              <w:spacing w:after="0"/>
              <w:rPr>
                <w:sz w:val="18"/>
                <w:szCs w:val="18"/>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BBVA Securities, LLC</w:t>
            </w:r>
          </w:p>
        </w:tc>
      </w:tr>
      <w:tr>
        <w:trPr>
          <w:trHeight w:val="216"/>
        </w:trPr>
        <w:tc>
          <w:tcPr>
            <w:tcW w:w="5340" w:type="dxa"/>
            <w:vAlign w:val="bottom"/>
          </w:tcPr>
          <w:p>
            <w:pPr>
              <w:spacing w:after="0"/>
              <w:rPr>
                <w:sz w:val="18"/>
                <w:szCs w:val="18"/>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DNB Markets, Inc.</w:t>
            </w:r>
          </w:p>
        </w:tc>
      </w:tr>
      <w:tr>
        <w:trPr>
          <w:trHeight w:val="230"/>
        </w:trPr>
        <w:tc>
          <w:tcPr>
            <w:tcW w:w="5340" w:type="dxa"/>
            <w:vAlign w:val="bottom"/>
          </w:tcPr>
          <w:p>
            <w:pPr>
              <w:spacing w:after="0"/>
              <w:rPr>
                <w:sz w:val="20"/>
                <w:szCs w:val="20"/>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SMBC Nikko Securities America, Inc.</w:t>
            </w:r>
          </w:p>
        </w:tc>
      </w:tr>
      <w:tr>
        <w:trPr>
          <w:trHeight w:val="418"/>
        </w:trPr>
        <w:tc>
          <w:tcPr>
            <w:tcW w:w="5340" w:type="dxa"/>
            <w:vAlign w:val="bottom"/>
          </w:tcPr>
          <w:p>
            <w:pPr>
              <w:spacing w:after="0"/>
              <w:rPr>
                <w:sz w:val="20"/>
                <w:szCs w:val="20"/>
                <w:color w:val="auto"/>
              </w:rPr>
            </w:pPr>
            <w:r>
              <w:rPr>
                <w:rFonts w:ascii="Arial" w:cs="Arial" w:eastAsia="Arial" w:hAnsi="Arial"/>
                <w:sz w:val="18"/>
                <w:szCs w:val="18"/>
                <w:color w:val="auto"/>
              </w:rPr>
              <w:t>Co-Managers:</w:t>
            </w:r>
          </w:p>
        </w:tc>
        <w:tc>
          <w:tcPr>
            <w:tcW w:w="6120" w:type="dxa"/>
            <w:vAlign w:val="bottom"/>
          </w:tcPr>
          <w:p>
            <w:pPr>
              <w:ind w:left="500"/>
              <w:spacing w:after="0"/>
              <w:rPr>
                <w:sz w:val="20"/>
                <w:szCs w:val="20"/>
                <w:color w:val="auto"/>
              </w:rPr>
            </w:pPr>
            <w:r>
              <w:rPr>
                <w:rFonts w:ascii="Arial" w:cs="Arial" w:eastAsia="Arial" w:hAnsi="Arial"/>
                <w:sz w:val="18"/>
                <w:szCs w:val="18"/>
                <w:color w:val="auto"/>
              </w:rPr>
              <w:t>CIBC World Markets Corp.</w:t>
            </w:r>
          </w:p>
        </w:tc>
      </w:tr>
      <w:tr>
        <w:trPr>
          <w:trHeight w:val="216"/>
        </w:trPr>
        <w:tc>
          <w:tcPr>
            <w:tcW w:w="5340" w:type="dxa"/>
            <w:vAlign w:val="bottom"/>
          </w:tcPr>
          <w:p>
            <w:pPr>
              <w:spacing w:after="0"/>
              <w:rPr>
                <w:sz w:val="18"/>
                <w:szCs w:val="18"/>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Fifth Third Securities, Inc.</w:t>
            </w:r>
          </w:p>
        </w:tc>
      </w:tr>
      <w:tr>
        <w:trPr>
          <w:trHeight w:val="216"/>
        </w:trPr>
        <w:tc>
          <w:tcPr>
            <w:tcW w:w="5340" w:type="dxa"/>
            <w:vAlign w:val="bottom"/>
          </w:tcPr>
          <w:p>
            <w:pPr>
              <w:spacing w:after="0"/>
              <w:rPr>
                <w:sz w:val="18"/>
                <w:szCs w:val="18"/>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ING Financial Markets LLC</w:t>
            </w:r>
          </w:p>
        </w:tc>
      </w:tr>
      <w:tr>
        <w:trPr>
          <w:trHeight w:val="216"/>
        </w:trPr>
        <w:tc>
          <w:tcPr>
            <w:tcW w:w="5340" w:type="dxa"/>
            <w:vAlign w:val="bottom"/>
          </w:tcPr>
          <w:p>
            <w:pPr>
              <w:spacing w:after="0"/>
              <w:rPr>
                <w:sz w:val="18"/>
                <w:szCs w:val="18"/>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PNC Capital Markets LLC</w:t>
            </w:r>
          </w:p>
        </w:tc>
      </w:tr>
      <w:tr>
        <w:trPr>
          <w:trHeight w:val="216"/>
        </w:trPr>
        <w:tc>
          <w:tcPr>
            <w:tcW w:w="5340" w:type="dxa"/>
            <w:vAlign w:val="bottom"/>
          </w:tcPr>
          <w:p>
            <w:pPr>
              <w:spacing w:after="0"/>
              <w:rPr>
                <w:sz w:val="18"/>
                <w:szCs w:val="18"/>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Regions Securities LLC</w:t>
            </w:r>
          </w:p>
        </w:tc>
      </w:tr>
      <w:tr>
        <w:trPr>
          <w:trHeight w:val="230"/>
        </w:trPr>
        <w:tc>
          <w:tcPr>
            <w:tcW w:w="5340" w:type="dxa"/>
            <w:vAlign w:val="bottom"/>
          </w:tcPr>
          <w:p>
            <w:pPr>
              <w:spacing w:after="0"/>
              <w:rPr>
                <w:sz w:val="20"/>
                <w:szCs w:val="20"/>
                <w:color w:val="auto"/>
              </w:rPr>
            </w:pPr>
          </w:p>
        </w:tc>
        <w:tc>
          <w:tcPr>
            <w:tcW w:w="6120" w:type="dxa"/>
            <w:vAlign w:val="bottom"/>
          </w:tcPr>
          <w:p>
            <w:pPr>
              <w:ind w:left="500"/>
              <w:spacing w:after="0"/>
              <w:rPr>
                <w:sz w:val="20"/>
                <w:szCs w:val="20"/>
                <w:color w:val="auto"/>
              </w:rPr>
            </w:pPr>
            <w:r>
              <w:rPr>
                <w:rFonts w:ascii="Arial" w:cs="Arial" w:eastAsia="Arial" w:hAnsi="Arial"/>
                <w:sz w:val="18"/>
                <w:szCs w:val="18"/>
                <w:color w:val="auto"/>
              </w:rPr>
              <w:t>U.S. Bancorp Investments,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-2994660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-2994660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Delivery of the notes is expected to be made against payment therefor on or about November 22, 2016, which is the 5th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w:t>
      </w:r>
    </w:p>
    <w:p>
      <w:pPr>
        <w:ind w:right="220"/>
        <w:spacing w:after="0" w:line="255" w:lineRule="auto"/>
        <w:rPr>
          <w:sz w:val="20"/>
          <w:szCs w:val="20"/>
          <w:color w:val="auto"/>
        </w:rPr>
      </w:pPr>
      <w:r>
        <w:rPr>
          <w:rFonts w:ascii="Arial" w:cs="Arial" w:eastAsia="Arial" w:hAnsi="Arial"/>
          <w:sz w:val="18"/>
          <w:szCs w:val="18"/>
          <w:color w:val="auto"/>
        </w:rPr>
        <w:t>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w:t>
      </w:r>
    </w:p>
    <w:p>
      <w:pPr>
        <w:sectPr>
          <w:pgSz w:w="11900" w:h="16838" w:orient="portrait"/>
          <w:cols w:equalWidth="0" w:num="1">
            <w:col w:w="11460"/>
          </w:cols>
          <w:pgMar w:left="240" w:top="341" w:right="199" w:bottom="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collect at 1-212-834-4533, BNP Paribas Securities Corp. toll-free at 1-800-854-5674, Merrill Lynch, Pierce, Fenner &amp; Smith Incorporated toll-free at 1-800-294-1322 or Wells Fargo Securities, LLC toll-free at 1-800-645-3751.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gridSpan w:val="3"/>
          </w:tcPr>
          <w:p>
            <w:pPr>
              <w:ind w:left="124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385"/>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12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40" w:type="dxa"/>
            <w:vAlign w:val="bottom"/>
          </w:tcPr>
          <w:p>
            <w:pPr>
              <w:ind w:left="180"/>
              <w:spacing w:after="0"/>
              <w:rPr>
                <w:sz w:val="20"/>
                <w:szCs w:val="20"/>
                <w:color w:val="auto"/>
              </w:rPr>
            </w:pPr>
            <w:r>
              <w:rPr>
                <w:rFonts w:ascii="Arial" w:cs="Arial" w:eastAsia="Arial" w:hAnsi="Arial"/>
                <w:sz w:val="14"/>
                <w:szCs w:val="14"/>
                <w:b w:val="1"/>
                <w:bCs w:val="1"/>
                <w:color w:val="auto"/>
              </w:rPr>
              <w:t>Jurisdiction in which registered or qualified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Plains All American Pipeline, L.P.</w:t>
            </w:r>
          </w:p>
        </w:tc>
        <w:tc>
          <w:tcPr>
            <w:tcW w:w="280" w:type="dxa"/>
            <w:vAlign w:val="bottom"/>
            <w:tcBorders>
              <w:top w:val="single" w:sz="8" w:color="CCEEFF"/>
            </w:tcBorders>
            <w:shd w:val="clear" w:color="auto" w:fill="CCEEFF"/>
          </w:tcPr>
          <w:p>
            <w:pPr>
              <w:spacing w:after="0"/>
              <w:rPr>
                <w:sz w:val="18"/>
                <w:szCs w:val="18"/>
                <w:color w:val="auto"/>
              </w:rPr>
            </w:pPr>
          </w:p>
        </w:tc>
        <w:tc>
          <w:tcPr>
            <w:tcW w:w="74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Finance Corp.</w:t>
            </w: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GP LLC</w:t>
            </w: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AAP, L.P.</w:t>
            </w: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All American GP LLC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California, Illinois, Louisiana, Oklahoma, Texas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GP Holdings, L.P.</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PAA GP Holdings LLC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L.P.</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California, Illinois, Louisiana, Oklahoma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Pipeline, L.P.</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California, Illinois, Louisiana, Oklahoma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Products Terminals LLC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Alberta, Manitoba, New Brunswick, Nova Scotia, Ontario, Quebec, Saskatchewan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South Texas Gathering LLC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Oklahoma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Pacific Pipeline System LLC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Utah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Pine Prairie Energy Center, LLC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Louisiana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Alabama, Mississippi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8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California, Illinois, Oklahoma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180" w:type="dxa"/>
            <w:vAlign w:val="bottom"/>
            <w:gridSpan w:val="2"/>
          </w:tcPr>
          <w:p>
            <w:pPr>
              <w:jc w:val="center"/>
              <w:ind w:right="5220"/>
              <w:spacing w:after="0"/>
              <w:rPr>
                <w:sz w:val="20"/>
                <w:szCs w:val="20"/>
                <w:color w:val="auto"/>
              </w:rPr>
            </w:pPr>
            <w:r>
              <w:rPr>
                <w:rFonts w:ascii="Arial" w:cs="Arial" w:eastAsia="Arial" w:hAnsi="Arial"/>
                <w:sz w:val="18"/>
                <w:szCs w:val="18"/>
                <w:color w:val="auto"/>
                <w:w w:val="99"/>
              </w:rPr>
              <w:t>A-1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140" w:type="dxa"/>
            <w:vAlign w:val="bottom"/>
            <w:gridSpan w:val="3"/>
          </w:tcPr>
          <w:p>
            <w:pPr>
              <w:jc w:val="center"/>
              <w:ind w:right="3260"/>
              <w:spacing w:after="0"/>
              <w:rPr>
                <w:sz w:val="20"/>
                <w:szCs w:val="20"/>
                <w:color w:val="auto"/>
              </w:rPr>
            </w:pPr>
            <w:r>
              <w:rPr>
                <w:rFonts w:ascii="Arial" w:cs="Arial" w:eastAsia="Arial" w:hAnsi="Arial"/>
                <w:sz w:val="18"/>
                <w:szCs w:val="18"/>
                <w:b w:val="1"/>
                <w:bCs w:val="1"/>
                <w:color w:val="auto"/>
              </w:rPr>
              <w:t>CHIEF FINANCIAL OFFICER’S CERTIFICATE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140" w:type="dxa"/>
            <w:vAlign w:val="bottom"/>
            <w:gridSpan w:val="3"/>
          </w:tcPr>
          <w:p>
            <w:pPr>
              <w:jc w:val="center"/>
              <w:ind w:right="3260"/>
              <w:spacing w:after="0"/>
              <w:rPr>
                <w:sz w:val="20"/>
                <w:szCs w:val="20"/>
                <w:color w:val="auto"/>
              </w:rPr>
            </w:pPr>
            <w:r>
              <w:rPr>
                <w:rFonts w:ascii="Arial" w:cs="Arial" w:eastAsia="Arial" w:hAnsi="Arial"/>
                <w:sz w:val="18"/>
                <w:szCs w:val="18"/>
                <w:color w:val="auto"/>
                <w:w w:val="91"/>
              </w:rPr>
              <w:t>November 15,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undersigned, in his capacity as the Chief Financial Officer of Plains All American GP LLC, a Delaware limited liability company, which is the general partner of Plains AAP, L.P., a Delaware limited liability partnership, which is the sole member of PAA GP LLC, a Delaware limited liability company, which is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September 30, 2016. In addition, as of the date of this certificate, the total debt of the Partnership is approximately $11.9 billion.</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PAA Finance Corp. and .P. Morgan Securities LLC, BNP Paribas Securities Corp., Merrill Lynch, Pierce, Fenner &amp; Smith Incorporated and Wells Fargo Securities, LLC, as the representatives of the several Underwriters.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hereunto affixed his signature as of the date first written above.</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24" w:name="page25"/>
    <w:bookmarkEnd w:id="24"/>
    <w:p>
      <w:pPr>
        <w:spacing w:after="0" w:line="150"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November 18,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40" w:firstLine="648"/>
        <w:spacing w:after="0" w:line="298" w:lineRule="auto"/>
        <w:rPr>
          <w:sz w:val="20"/>
          <w:szCs w:val="20"/>
          <w:color w:val="auto"/>
        </w:rPr>
      </w:pPr>
      <w:r>
        <w:rPr>
          <w:rFonts w:ascii="Arial" w:cs="Arial" w:eastAsia="Arial" w:hAnsi="Arial"/>
          <w:sz w:val="16"/>
          <w:szCs w:val="16"/>
          <w:color w:val="auto"/>
        </w:rPr>
        <w:t>We have acted as counsel to Plains All American Pipeline,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with respect to certain legal matters in connection with the registration by the Partnership and PAA Finance Corp., a Delaware corporation and wholly owned subsidiary of the Partnership (“</w:t>
      </w:r>
      <w:r>
        <w:rPr>
          <w:rFonts w:ascii="Arial" w:cs="Arial" w:eastAsia="Arial" w:hAnsi="Arial"/>
          <w:sz w:val="16"/>
          <w:szCs w:val="16"/>
          <w:b w:val="1"/>
          <w:bCs w:val="1"/>
          <w:color w:val="auto"/>
        </w:rPr>
        <w:t>PAA Finance,</w:t>
      </w:r>
      <w:r>
        <w:rPr>
          <w:rFonts w:ascii="Arial" w:cs="Arial" w:eastAsia="Arial" w:hAnsi="Arial"/>
          <w:sz w:val="16"/>
          <w:szCs w:val="16"/>
          <w:color w:val="auto"/>
        </w:rPr>
        <w:t>” and together with the Partnership, the “</w:t>
      </w:r>
      <w:r>
        <w:rPr>
          <w:rFonts w:ascii="Arial" w:cs="Arial" w:eastAsia="Arial" w:hAnsi="Arial"/>
          <w:sz w:val="16"/>
          <w:szCs w:val="16"/>
          <w:b w:val="1"/>
          <w:bCs w:val="1"/>
          <w:color w:val="auto"/>
        </w:rPr>
        <w:t>Issuers</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the offer and sale by the Issuers of $750,000,000 aggregate principal amount of 4.500% Senior Notes due 2026 (the “</w:t>
      </w:r>
      <w:r>
        <w:rPr>
          <w:rFonts w:ascii="Arial" w:cs="Arial" w:eastAsia="Arial" w:hAnsi="Arial"/>
          <w:sz w:val="16"/>
          <w:szCs w:val="16"/>
          <w:b w:val="1"/>
          <w:bCs w:val="1"/>
          <w:color w:val="auto"/>
        </w:rPr>
        <w:t>Notes</w:t>
      </w:r>
      <w:r>
        <w:rPr>
          <w:rFonts w:ascii="Arial" w:cs="Arial" w:eastAsia="Arial" w:hAnsi="Arial"/>
          <w:sz w:val="16"/>
          <w:szCs w:val="16"/>
          <w:color w:val="auto"/>
        </w:rPr>
        <w:t>”), to be issued and sold pursuant to the Underwriting Agreement dated November 15, 2016, by and among the Issuers and the Underwriters named therein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w:t>
      </w:r>
    </w:p>
    <w:p>
      <w:pPr>
        <w:spacing w:after="0" w:line="154"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The Notes are being offered and sold pursuant to a prospectus supplement dated November 15, 2016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Rule 424(b)(5) on November 16, 2016, to the prospectus dated September 25, 2015, (such prospectus, as amended and supplemented by the Prospectus Supplement, the “</w:t>
      </w:r>
      <w:r>
        <w:rPr>
          <w:rFonts w:ascii="Arial" w:cs="Arial" w:eastAsia="Arial" w:hAnsi="Arial"/>
          <w:sz w:val="18"/>
          <w:szCs w:val="18"/>
          <w:b w:val="1"/>
          <w:bCs w:val="1"/>
          <w:color w:val="auto"/>
        </w:rPr>
        <w:t>Prospectus</w:t>
      </w:r>
      <w:r>
        <w:rPr>
          <w:rFonts w:ascii="Arial" w:cs="Arial" w:eastAsia="Arial" w:hAnsi="Arial"/>
          <w:sz w:val="18"/>
          <w:szCs w:val="18"/>
          <w:color w:val="auto"/>
        </w:rPr>
        <w:t>”), included in and forming part of the Registration Statement on Form S-3 (Registration No. 333-207139)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Capitalized terms used but not defined herein shall have the meanings given such terms in the Underwriting Agreement.</w:t>
      </w:r>
    </w:p>
    <w:p>
      <w:pPr>
        <w:spacing w:after="0" w:line="184"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color w:val="auto"/>
        </w:rPr>
        <w:t>The Notes are to be issued as securities pursuant to that certain Indenture, dated as of September 25, 2002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among the Issuers, and U.S. Bank National Association, as successor to Wachovia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and supplemented by the Thirtieth Supplemental Indenture thereto, to be dated as of November 22, 2016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by and among the Issuers and the Trustee (the Base Indenture, as so amended and supplemented by the Supplemental Indenture, the “</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16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rendering the opinions set forth below, we have examined and relied upon (i) the Registration Statement, the Prospectus Supplement and the Prospectus; (ii) the Sixth</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20"/>
                <w:szCs w:val="20"/>
                <w:color w:val="auto"/>
              </w:rPr>
            </w:pPr>
            <w:r>
              <w:rPr>
                <w:rFonts w:ascii="Arial" w:cs="Arial" w:eastAsia="Arial" w:hAnsi="Arial"/>
                <w:sz w:val="16"/>
                <w:szCs w:val="16"/>
                <w:b w:val="1"/>
                <w:bCs w:val="1"/>
                <w:color w:val="auto"/>
              </w:rPr>
              <w:t>Vinson &amp; Elkins LLP Attorneys at Law</w:t>
            </w:r>
          </w:p>
        </w:tc>
        <w:tc>
          <w:tcPr>
            <w:tcW w:w="5580" w:type="dxa"/>
            <w:vAlign w:val="bottom"/>
          </w:tcPr>
          <w:p>
            <w:pPr>
              <w:ind w:left="780"/>
              <w:spacing w:after="0"/>
              <w:rPr>
                <w:sz w:val="20"/>
                <w:szCs w:val="20"/>
                <w:color w:val="auto"/>
              </w:rPr>
            </w:pPr>
            <w:r>
              <w:rPr>
                <w:rFonts w:ascii="Arial" w:cs="Arial" w:eastAsia="Arial" w:hAnsi="Arial"/>
                <w:sz w:val="16"/>
                <w:szCs w:val="16"/>
                <w:color w:val="auto"/>
              </w:rPr>
              <w:t>1001 Fannin Street, Suite 2500</w:t>
            </w:r>
          </w:p>
        </w:tc>
      </w:tr>
      <w:tr>
        <w:trPr>
          <w:trHeight w:val="199"/>
        </w:trPr>
        <w:tc>
          <w:tcPr>
            <w:tcW w:w="5880" w:type="dxa"/>
            <w:vAlign w:val="bottom"/>
          </w:tcPr>
          <w:p>
            <w:pPr>
              <w:spacing w:after="0"/>
              <w:rPr>
                <w:sz w:val="20"/>
                <w:szCs w:val="20"/>
                <w:color w:val="auto"/>
              </w:rPr>
            </w:pPr>
            <w:r>
              <w:rPr>
                <w:rFonts w:ascii="Arial" w:cs="Arial" w:eastAsia="Arial" w:hAnsi="Arial"/>
                <w:sz w:val="16"/>
                <w:szCs w:val="16"/>
                <w:color w:val="auto"/>
              </w:rPr>
              <w:t>Austin Beijing Dallas Dubai Hong Kong Houston London Moscow New York</w:t>
            </w:r>
          </w:p>
        </w:tc>
        <w:tc>
          <w:tcPr>
            <w:tcW w:w="5580" w:type="dxa"/>
            <w:vAlign w:val="bottom"/>
          </w:tcPr>
          <w:p>
            <w:pPr>
              <w:ind w:left="780"/>
              <w:spacing w:after="0"/>
              <w:rPr>
                <w:sz w:val="20"/>
                <w:szCs w:val="20"/>
                <w:color w:val="auto"/>
              </w:rPr>
            </w:pPr>
            <w:r>
              <w:rPr>
                <w:rFonts w:ascii="Arial" w:cs="Arial" w:eastAsia="Arial" w:hAnsi="Arial"/>
                <w:sz w:val="16"/>
                <w:szCs w:val="16"/>
                <w:color w:val="auto"/>
              </w:rPr>
              <w:t>Houston, TX 77002-6760</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Palo Alto Richmond Riyadh San Francisco Taipei Tokyo Washington</w:t>
            </w:r>
          </w:p>
        </w:tc>
        <w:tc>
          <w:tcPr>
            <w:tcW w:w="5580" w:type="dxa"/>
            <w:vAlign w:val="bottom"/>
          </w:tcPr>
          <w:p>
            <w:pPr>
              <w:ind w:left="78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www.velaw.com</w:t>
            </w:r>
          </w:p>
        </w:tc>
      </w:tr>
      <w:tr>
        <w:trPr>
          <w:trHeight w:val="354"/>
        </w:trPr>
        <w:tc>
          <w:tcPr>
            <w:tcW w:w="588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November 18, 2016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3751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7515"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00" w:firstLine="41"/>
        <w:spacing w:after="0" w:line="270" w:lineRule="auto"/>
        <w:rPr>
          <w:sz w:val="20"/>
          <w:szCs w:val="20"/>
          <w:color w:val="auto"/>
        </w:rPr>
      </w:pPr>
      <w:r>
        <w:rPr>
          <w:rFonts w:ascii="Arial" w:cs="Arial" w:eastAsia="Arial" w:hAnsi="Arial"/>
          <w:sz w:val="17"/>
          <w:szCs w:val="17"/>
          <w:color w:val="auto"/>
        </w:rPr>
        <w:t>Amended and Restated Agreement of Limited Partnership of the Partnership, dated as of November 15, 2016; (iii) the organizational certificates and the limited partnership or limited liability company agreements (as the case may be) of PAA GP LLC, a Delaware limited liability company (the “</w:t>
      </w:r>
      <w:r>
        <w:rPr>
          <w:rFonts w:ascii="Arial" w:cs="Arial" w:eastAsia="Arial" w:hAnsi="Arial"/>
          <w:sz w:val="17"/>
          <w:szCs w:val="17"/>
          <w:b w:val="1"/>
          <w:bCs w:val="1"/>
          <w:color w:val="auto"/>
        </w:rPr>
        <w:t>General</w:t>
      </w:r>
      <w:r>
        <w:rPr>
          <w:rFonts w:ascii="Arial" w:cs="Arial" w:eastAsia="Arial" w:hAnsi="Arial"/>
          <w:sz w:val="17"/>
          <w:szCs w:val="17"/>
          <w:color w:val="auto"/>
        </w:rPr>
        <w:t xml:space="preserve"> </w:t>
      </w:r>
      <w:r>
        <w:rPr>
          <w:rFonts w:ascii="Arial" w:cs="Arial" w:eastAsia="Arial" w:hAnsi="Arial"/>
          <w:sz w:val="17"/>
          <w:szCs w:val="17"/>
          <w:b w:val="1"/>
          <w:bCs w:val="1"/>
          <w:color w:val="auto"/>
        </w:rPr>
        <w:t>Partner</w:t>
      </w:r>
      <w:r>
        <w:rPr>
          <w:rFonts w:ascii="Arial" w:cs="Arial" w:eastAsia="Arial" w:hAnsi="Arial"/>
          <w:sz w:val="17"/>
          <w:szCs w:val="17"/>
          <w:color w:val="auto"/>
        </w:rPr>
        <w:t>”), which is the general partner of the Partnership, of Plains AAP, L.P., a Delaware limited partnership (“</w:t>
      </w:r>
      <w:r>
        <w:rPr>
          <w:rFonts w:ascii="Arial" w:cs="Arial" w:eastAsia="Arial" w:hAnsi="Arial"/>
          <w:sz w:val="17"/>
          <w:szCs w:val="17"/>
          <w:b w:val="1"/>
          <w:bCs w:val="1"/>
          <w:color w:val="auto"/>
        </w:rPr>
        <w:t>Plains AAP</w:t>
      </w:r>
      <w:r>
        <w:rPr>
          <w:rFonts w:ascii="Arial" w:cs="Arial" w:eastAsia="Arial" w:hAnsi="Arial"/>
          <w:sz w:val="17"/>
          <w:szCs w:val="17"/>
          <w:color w:val="auto"/>
        </w:rPr>
        <w:t>”), which owns a 100%</w:t>
      </w:r>
      <w:r>
        <w:rPr>
          <w:rFonts w:ascii="Arial" w:cs="Arial" w:eastAsia="Arial" w:hAnsi="Arial"/>
          <w:sz w:val="17"/>
          <w:szCs w:val="17"/>
          <w:b w:val="1"/>
          <w:bCs w:val="1"/>
          <w:color w:val="auto"/>
        </w:rPr>
        <w:t xml:space="preserve"> </w:t>
      </w:r>
      <w:r>
        <w:rPr>
          <w:rFonts w:ascii="Arial" w:cs="Arial" w:eastAsia="Arial" w:hAnsi="Arial"/>
          <w:sz w:val="17"/>
          <w:szCs w:val="17"/>
          <w:color w:val="auto"/>
        </w:rPr>
        <w:t>membership interest in the General Partner, of Plains All American GP LLC, a Delaware limited liability company (“</w:t>
      </w:r>
      <w:r>
        <w:rPr>
          <w:rFonts w:ascii="Arial" w:cs="Arial" w:eastAsia="Arial" w:hAnsi="Arial"/>
          <w:sz w:val="17"/>
          <w:szCs w:val="17"/>
          <w:b w:val="1"/>
          <w:bCs w:val="1"/>
          <w:color w:val="auto"/>
        </w:rPr>
        <w:t>GP LLC</w:t>
      </w:r>
      <w:r>
        <w:rPr>
          <w:rFonts w:ascii="Arial" w:cs="Arial" w:eastAsia="Arial" w:hAnsi="Arial"/>
          <w:sz w:val="17"/>
          <w:szCs w:val="17"/>
          <w:color w:val="auto"/>
        </w:rPr>
        <w:t>”), which is the general partner of Plains AAP, of Plains GP Holdings, L.P., a Delaware limited partnership (“</w:t>
      </w:r>
      <w:r>
        <w:rPr>
          <w:rFonts w:ascii="Arial" w:cs="Arial" w:eastAsia="Arial" w:hAnsi="Arial"/>
          <w:sz w:val="17"/>
          <w:szCs w:val="17"/>
          <w:b w:val="1"/>
          <w:bCs w:val="1"/>
          <w:color w:val="auto"/>
        </w:rPr>
        <w:t>PAGP</w:t>
      </w:r>
      <w:r>
        <w:rPr>
          <w:rFonts w:ascii="Arial" w:cs="Arial" w:eastAsia="Arial" w:hAnsi="Arial"/>
          <w:sz w:val="17"/>
          <w:szCs w:val="17"/>
          <w:color w:val="auto"/>
        </w:rPr>
        <w:t>”), which owns a 100% membership interest in GP LLC, and of PAA GP Holdings, LLC, a Delaware limited liability company, which owns a 100% membership interest in PAGP; (iv) the bylaws and certificate of incorporation of PAA Finance; (v) the Underwriting Agreement, a copy of which is being filed with the Securities and Exchange Commission, together with this Exhibit 5.1, as an exhibit to the Partnership’s Current Report on Form 8-K prior to the closing of the sale of the Notes; (vi) the Base Indenture and the Supplemental Indenture and (vii) such other certificates, statutes and other instruments and documents as we consider appropriate for purposes of the opinions hereafter expressed. In addition, we reviewed such questions of law as we considered appropriate.</w:t>
      </w:r>
    </w:p>
    <w:p>
      <w:pPr>
        <w:spacing w:after="0" w:line="17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Based upon and subject to the foregoing and the assumptions, limitations and qualifications set forth herein, we are of the opinion that when (a) the Supplemental Indenture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constitute valid and legally binding obligations of the Issuers, enforceable against the Issuers in accordance with their terms.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right="260" w:firstLine="656"/>
        <w:spacing w:after="0" w:line="308" w:lineRule="auto"/>
        <w:tabs>
          <w:tab w:leader="none" w:pos="1363" w:val="left"/>
        </w:tabs>
        <w:numPr>
          <w:ilvl w:val="1"/>
          <w:numId w:val="63"/>
        </w:numPr>
        <w:rPr>
          <w:rFonts w:ascii="Arial" w:cs="Arial" w:eastAsia="Arial" w:hAnsi="Arial"/>
          <w:sz w:val="17"/>
          <w:szCs w:val="17"/>
          <w:color w:val="auto"/>
        </w:rPr>
      </w:pPr>
      <w:r>
        <w:rPr>
          <w:rFonts w:ascii="Arial" w:cs="Arial" w:eastAsia="Arial" w:hAnsi="Arial"/>
          <w:sz w:val="17"/>
          <w:szCs w:val="17"/>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46" w:lineRule="exact"/>
        <w:rPr>
          <w:rFonts w:ascii="Arial" w:cs="Arial" w:eastAsia="Arial" w:hAnsi="Arial"/>
          <w:sz w:val="17"/>
          <w:szCs w:val="17"/>
          <w:color w:val="auto"/>
        </w:rPr>
      </w:pPr>
    </w:p>
    <w:p>
      <w:pPr>
        <w:ind w:right="240" w:firstLine="656"/>
        <w:spacing w:after="0" w:line="291" w:lineRule="auto"/>
        <w:tabs>
          <w:tab w:leader="none" w:pos="1353" w:val="left"/>
        </w:tabs>
        <w:numPr>
          <w:ilvl w:val="1"/>
          <w:numId w:val="63"/>
        </w:numPr>
        <w:rPr>
          <w:rFonts w:ascii="Arial" w:cs="Arial" w:eastAsia="Arial" w:hAnsi="Arial"/>
          <w:sz w:val="16"/>
          <w:szCs w:val="16"/>
          <w:color w:val="auto"/>
        </w:rPr>
      </w:pPr>
      <w:r>
        <w:rPr>
          <w:rFonts w:ascii="Arial" w:cs="Arial" w:eastAsia="Arial" w:hAnsi="Arial"/>
          <w:sz w:val="16"/>
          <w:szCs w:val="16"/>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w:t>
      </w: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signatures on each such document examined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November 18, 2016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3751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7515"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us are genuine, (iv) each certificate from governmental officials reviewed by us is accurate, complete and authentic, and all official public records are accurate and complete, (v) each natural person signing any document reviewed by us had the legal capacity to do so and each person signing in a representative</w:t>
      </w:r>
    </w:p>
    <w:p>
      <w:pPr>
        <w:sectPr>
          <w:pgSz w:w="11900" w:h="16989" w:orient="portrait"/>
          <w:cols w:equalWidth="0" w:num="1">
            <w:col w:w="11460"/>
          </w:cols>
          <w:pgMar w:left="240" w:top="121" w:right="199" w:bottom="0" w:gutter="0" w:footer="0" w:header="0"/>
        </w:sectPr>
      </w:pPr>
    </w:p>
    <w:bookmarkStart w:id="25" w:name="page26"/>
    <w:bookmarkEnd w:id="25"/>
    <w:p>
      <w:pPr>
        <w:ind w:right="40"/>
        <w:spacing w:after="0" w:line="277" w:lineRule="auto"/>
        <w:rPr>
          <w:sz w:val="20"/>
          <w:szCs w:val="20"/>
          <w:color w:val="auto"/>
        </w:rPr>
      </w:pPr>
      <w:r>
        <w:rPr>
          <w:rFonts w:ascii="Arial" w:cs="Arial" w:eastAsia="Arial" w:hAnsi="Arial"/>
          <w:sz w:val="18"/>
          <w:szCs w:val="18"/>
          <w:color w:val="auto"/>
        </w:rPr>
        <w:t>capacity any document reviewed by us had authority to sign in such capacity and (vi) the Notes will be issued and sold in compliance with applicable federal and state securities laws and in the manner stated in the Prospectus and the Underwriting Agreement.</w:t>
      </w:r>
    </w:p>
    <w:p>
      <w:pPr>
        <w:spacing w:after="0" w:line="170" w:lineRule="exact"/>
        <w:rPr>
          <w:sz w:val="20"/>
          <w:szCs w:val="20"/>
          <w:color w:val="auto"/>
        </w:rPr>
      </w:pPr>
    </w:p>
    <w:p>
      <w:pPr>
        <w:ind w:left="1360" w:hanging="704"/>
        <w:spacing w:after="0"/>
        <w:tabs>
          <w:tab w:leader="none" w:pos="1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opinion is limited in all respects to the laws of the State of New York. We do not express any opinions as to the laws of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jurisdiction.</w:t>
      </w:r>
    </w:p>
    <w:p>
      <w:pPr>
        <w:spacing w:after="0" w:line="210" w:lineRule="exact"/>
        <w:rPr>
          <w:rFonts w:ascii="Arial" w:cs="Arial" w:eastAsia="Arial" w:hAnsi="Arial"/>
          <w:sz w:val="16"/>
          <w:szCs w:val="16"/>
          <w:color w:val="auto"/>
        </w:rPr>
      </w:pPr>
    </w:p>
    <w:p>
      <w:pPr>
        <w:ind w:firstLine="656"/>
        <w:spacing w:after="0" w:line="264" w:lineRule="auto"/>
        <w:tabs>
          <w:tab w:leader="none" w:pos="13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81" w:lineRule="exact"/>
        <w:rPr>
          <w:rFonts w:ascii="Arial" w:cs="Arial" w:eastAsia="Arial" w:hAnsi="Arial"/>
          <w:sz w:val="18"/>
          <w:szCs w:val="18"/>
          <w:color w:val="auto"/>
        </w:rPr>
      </w:pPr>
    </w:p>
    <w:p>
      <w:pPr>
        <w:ind w:right="180" w:firstLine="656"/>
        <w:spacing w:after="0" w:line="259" w:lineRule="auto"/>
        <w:tabs>
          <w:tab w:leader="none" w:pos="1343"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o"/>
      <w:numFmt w:val="bullet"/>
      <w:start w:val="1"/>
    </w:lvl>
  </w:abstractNum>
  <w:abstractNum w:abstractNumId="1">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614FD4A1"/>
    <w:multiLevelType w:val="hybridMultilevel"/>
    <w:lvl w:ilvl="0">
      <w:lvlJc w:val="left"/>
      <w:lvlText w:val="(%1)"/>
      <w:numFmt w:val="lowerRoman"/>
      <w:start w:val="7"/>
    </w:lvl>
  </w:abstractNum>
  <w:abstractNum w:abstractNumId="3">
    <w:nsid w:val="419AC241"/>
    <w:multiLevelType w:val="hybridMultilevel"/>
    <w:lvl w:ilvl="0">
      <w:lvlJc w:val="left"/>
      <w:lvlText w:val="(%1)"/>
      <w:numFmt w:val="lowerLetter"/>
      <w:start w:val="2"/>
    </w:lvl>
  </w:abstractNum>
  <w:abstractNum w:abstractNumId="4">
    <w:nsid w:val="5577F8E1"/>
    <w:multiLevelType w:val="hybridMultilevel"/>
    <w:lvl w:ilvl="0">
      <w:lvlJc w:val="left"/>
      <w:lvlText w:val="(%1)"/>
      <w:numFmt w:val="lowerLetter"/>
      <w:start w:val="3"/>
    </w:lvl>
  </w:abstractNum>
  <w:abstractNum w:abstractNumId="5">
    <w:nsid w:val="440BADFC"/>
    <w:multiLevelType w:val="hybridMultilevel"/>
    <w:lvl w:ilvl="0">
      <w:lvlJc w:val="left"/>
      <w:lvlText w:val="(%1)"/>
      <w:numFmt w:val="lowerLetter"/>
      <w:start w:val="8"/>
    </w:lvl>
  </w:abstractNum>
  <w:abstractNum w:abstractNumId="6">
    <w:nsid w:val="5072367"/>
    <w:multiLevelType w:val="hybridMultilevel"/>
    <w:lvl w:ilvl="0">
      <w:lvlJc w:val="left"/>
      <w:lvlText w:val="(%1)"/>
      <w:numFmt w:val="lowerLetter"/>
      <w:start w:val="12"/>
    </w:lvl>
  </w:abstractNum>
  <w:abstractNum w:abstractNumId="7">
    <w:nsid w:val="3804823E"/>
    <w:multiLevelType w:val="hybridMultilevel"/>
    <w:lvl w:ilvl="0">
      <w:lvlJc w:val="left"/>
      <w:lvlText w:val="(%1)"/>
      <w:numFmt w:val="lowerLetter"/>
      <w:start w:val="14"/>
    </w:lvl>
  </w:abstractNum>
  <w:abstractNum w:abstractNumId="8">
    <w:nsid w:val="77465F01"/>
    <w:multiLevelType w:val="hybridMultilevel"/>
    <w:lvl w:ilvl="0">
      <w:lvlJc w:val="left"/>
      <w:lvlText w:val="(%1)"/>
      <w:numFmt w:val="lowerLetter"/>
      <w:start w:val="16"/>
    </w:lvl>
  </w:abstractNum>
  <w:abstractNum w:abstractNumId="9">
    <w:nsid w:val="7724C67E"/>
    <w:multiLevelType w:val="hybridMultilevel"/>
    <w:lvl w:ilvl="0">
      <w:lvlJc w:val="left"/>
      <w:lvlText w:val="(%1)"/>
      <w:numFmt w:val="lowerLetter"/>
      <w:start w:val="20"/>
    </w:lvl>
  </w:abstractNum>
  <w:abstractNum w:abstractNumId="10">
    <w:nsid w:val="5C482A97"/>
    <w:multiLevelType w:val="hybridMultilevel"/>
    <w:lvl w:ilvl="0">
      <w:lvlJc w:val="left"/>
      <w:lvlText w:val="(%1)"/>
      <w:numFmt w:val="lowerLetter"/>
      <w:start w:val="23"/>
    </w:lvl>
  </w:abstractNum>
  <w:abstractNum w:abstractNumId="11">
    <w:nsid w:val="2463B9EA"/>
    <w:multiLevelType w:val="hybridMultilevel"/>
    <w:lvl w:ilvl="0">
      <w:lvlJc w:val="left"/>
      <w:lvlText w:val="(%1)"/>
      <w:numFmt w:val="lowerLetter"/>
      <w:start w:val="24"/>
    </w:lvl>
  </w:abstractNum>
  <w:abstractNum w:abstractNumId="12">
    <w:nsid w:val="5E884ADC"/>
    <w:multiLevelType w:val="hybridMultilevel"/>
    <w:lvl w:ilvl="0">
      <w:lvlJc w:val="left"/>
      <w:lvlText w:val="(%1)"/>
      <w:numFmt w:val="lowerLetter"/>
      <w:start w:val="35"/>
    </w:lvl>
    <w:lvl w:ilvl="1">
      <w:lvlJc w:val="left"/>
      <w:lvlText w:val="(%2)"/>
      <w:numFmt w:val="lowerLetter"/>
      <w:start w:val="26"/>
    </w:lvl>
  </w:abstractNum>
  <w:abstractNum w:abstractNumId="13">
    <w:nsid w:val="51EAD36B"/>
    <w:multiLevelType w:val="hybridMultilevel"/>
    <w:lvl w:ilvl="0">
      <w:lvlJc w:val="left"/>
      <w:lvlText w:val="(%1)"/>
      <w:numFmt w:val="lowerLetter"/>
      <w:start w:val="27"/>
    </w:lvl>
  </w:abstractNum>
  <w:abstractNum w:abstractNumId="14">
    <w:nsid w:val="2D517796"/>
    <w:multiLevelType w:val="hybridMultilevel"/>
    <w:lvl w:ilvl="0">
      <w:lvlJc w:val="left"/>
      <w:lvlText w:val="(%1)"/>
      <w:numFmt w:val="lowerLetter"/>
      <w:start w:val="28"/>
    </w:lvl>
  </w:abstractNum>
  <w:abstractNum w:abstractNumId="15">
    <w:nsid w:val="580BD78F"/>
    <w:multiLevelType w:val="hybridMultilevel"/>
    <w:lvl w:ilvl="0">
      <w:lvlJc w:val="left"/>
      <w:lvlText w:val="(%1)"/>
      <w:numFmt w:val="lowerLetter"/>
      <w:start w:val="30"/>
    </w:lvl>
  </w:abstractNum>
  <w:abstractNum w:abstractNumId="16">
    <w:nsid w:val="153EA438"/>
    <w:multiLevelType w:val="hybridMultilevel"/>
    <w:lvl w:ilvl="0">
      <w:lvlJc w:val="left"/>
      <w:lvlText w:val="(%1)"/>
      <w:numFmt w:val="lowerLetter"/>
      <w:start w:val="31"/>
    </w:lvl>
  </w:abstractNum>
  <w:abstractNum w:abstractNumId="17">
    <w:nsid w:val="3855585C"/>
    <w:multiLevelType w:val="hybridMultilevel"/>
    <w:lvl w:ilvl="0">
      <w:lvlJc w:val="left"/>
      <w:lvlText w:val="(%1)"/>
      <w:numFmt w:val="lowerLetter"/>
      <w:start w:val="36"/>
    </w:lvl>
  </w:abstractNum>
  <w:abstractNum w:abstractNumId="18">
    <w:nsid w:val="70A64E2A"/>
    <w:multiLevelType w:val="hybridMultilevel"/>
    <w:lvl w:ilvl="0">
      <w:lvlJc w:val="left"/>
      <w:lvlText w:val="(%1)"/>
      <w:numFmt w:val="lowerLetter"/>
      <w:start w:val="39"/>
    </w:lvl>
  </w:abstractNum>
  <w:abstractNum w:abstractNumId="19">
    <w:nsid w:val="6A2342EC"/>
    <w:multiLevelType w:val="hybridMultilevel"/>
    <w:lvl w:ilvl="0">
      <w:lvlJc w:val="left"/>
      <w:lvlText w:val="%1"/>
      <w:numFmt w:val="lowerLetter"/>
      <w:start w:val="1"/>
    </w:lvl>
    <w:lvl w:ilvl="1">
      <w:lvlJc w:val="left"/>
      <w:lvlText w:val="(%2)"/>
      <w:numFmt w:val="lowerLetter"/>
      <w:start w:val="41"/>
    </w:lvl>
  </w:abstractNum>
  <w:abstractNum w:abstractNumId="20">
    <w:nsid w:val="2A487CB0"/>
    <w:multiLevelType w:val="hybridMultilevel"/>
    <w:lvl w:ilvl="0">
      <w:lvlJc w:val="left"/>
      <w:lvlText w:val="(%1)"/>
      <w:numFmt w:val="lowerLetter"/>
      <w:start w:val="9"/>
    </w:lvl>
    <w:lvl w:ilvl="1">
      <w:lvlJc w:val="left"/>
      <w:lvlText w:val="(%2)"/>
      <w:numFmt w:val="lowerLetter"/>
      <w:start w:val="42"/>
    </w:lvl>
  </w:abstractNum>
  <w:abstractNum w:abstractNumId="21">
    <w:nsid w:val="1D4ED43B"/>
    <w:multiLevelType w:val="hybridMultilevel"/>
    <w:lvl w:ilvl="0">
      <w:lvlJc w:val="left"/>
      <w:lvlText w:val="%1."/>
      <w:numFmt w:val="decimal"/>
      <w:start w:val="2"/>
    </w:lvl>
  </w:abstractNum>
  <w:abstractNum w:abstractNumId="22">
    <w:nsid w:val="725A06FB"/>
    <w:multiLevelType w:val="hybridMultilevel"/>
    <w:lvl w:ilvl="0">
      <w:lvlJc w:val="left"/>
      <w:lvlText w:val="%1."/>
      <w:numFmt w:val="decimal"/>
      <w:start w:val="3"/>
    </w:lvl>
    <w:lvl w:ilvl="1">
      <w:lvlJc w:val="left"/>
      <w:lvlText w:val="(%2)"/>
      <w:numFmt w:val="lowerLetter"/>
      <w:start w:val="1"/>
    </w:lvl>
  </w:abstractNum>
  <w:abstractNum w:abstractNumId="23">
    <w:nsid w:val="2CD89A32"/>
    <w:multiLevelType w:val="hybridMultilevel"/>
    <w:lvl w:ilvl="0">
      <w:lvlJc w:val="left"/>
      <w:lvlText w:val="%1"/>
      <w:numFmt w:val="lowerLetter"/>
      <w:start w:val="1"/>
    </w:lvl>
    <w:lvl w:ilvl="1">
      <w:lvlJc w:val="left"/>
      <w:lvlText w:val="(%2)"/>
      <w:numFmt w:val="lowerLetter"/>
      <w:start w:val="3"/>
    </w:lvl>
  </w:abstractNum>
  <w:abstractNum w:abstractNumId="24">
    <w:nsid w:val="57E4CCAF"/>
    <w:multiLevelType w:val="hybridMultilevel"/>
    <w:lvl w:ilvl="0">
      <w:lvlJc w:val="left"/>
      <w:lvlText w:val="(%1)"/>
      <w:numFmt w:val="lowerLetter"/>
      <w:start w:val="35"/>
    </w:lvl>
    <w:lvl w:ilvl="1">
      <w:lvlJc w:val="left"/>
      <w:lvlText w:val="(%2)"/>
      <w:numFmt w:val="lowerLetter"/>
      <w:start w:val="5"/>
    </w:lvl>
  </w:abstractNum>
  <w:abstractNum w:abstractNumId="25">
    <w:nsid w:val="7A6D8D3C"/>
    <w:multiLevelType w:val="hybridMultilevel"/>
    <w:lvl w:ilvl="0">
      <w:lvlJc w:val="left"/>
      <w:lvlText w:val="(%1)"/>
      <w:numFmt w:val="lowerLetter"/>
      <w:start w:val="7"/>
    </w:lvl>
  </w:abstractNum>
  <w:abstractNum w:abstractNumId="26">
    <w:nsid w:val="4B588F54"/>
    <w:multiLevelType w:val="hybridMultilevel"/>
    <w:lvl w:ilvl="0">
      <w:lvlJc w:val="left"/>
      <w:lvlText w:val="(%1)"/>
      <w:numFmt w:val="lowerLetter"/>
      <w:start w:val="9"/>
    </w:lvl>
  </w:abstractNum>
  <w:abstractNum w:abstractNumId="27">
    <w:nsid w:val="542289EC"/>
    <w:multiLevelType w:val="hybridMultilevel"/>
    <w:lvl w:ilvl="0">
      <w:lvlJc w:val="left"/>
      <w:lvlText w:val="(%1)"/>
      <w:numFmt w:val="lowerLetter"/>
      <w:start w:val="13"/>
    </w:lvl>
  </w:abstractNum>
  <w:abstractNum w:abstractNumId="28">
    <w:nsid w:val="6DE91B18"/>
    <w:multiLevelType w:val="hybridMultilevel"/>
    <w:lvl w:ilvl="0">
      <w:lvlJc w:val="left"/>
      <w:lvlText w:val="%1"/>
      <w:numFmt w:val="decimal"/>
      <w:start w:val="1"/>
    </w:lvl>
    <w:lvl w:ilvl="1">
      <w:lvlJc w:val="left"/>
      <w:lvlText w:val="(%2)"/>
      <w:numFmt w:val="lowerLetter"/>
      <w:start w:val="17"/>
    </w:lvl>
  </w:abstractNum>
  <w:abstractNum w:abstractNumId="29">
    <w:nsid w:val="38437FDB"/>
    <w:multiLevelType w:val="hybridMultilevel"/>
    <w:lvl w:ilvl="0">
      <w:lvlJc w:val="left"/>
      <w:lvlText w:val="%1."/>
      <w:numFmt w:val="decimal"/>
      <w:start w:val="6"/>
    </w:lvl>
    <w:lvl w:ilvl="1">
      <w:lvlJc w:val="left"/>
      <w:lvlText w:val="(%2)"/>
      <w:numFmt w:val="lowerLetter"/>
      <w:start w:val="1"/>
    </w:lvl>
  </w:abstractNum>
  <w:abstractNum w:abstractNumId="30">
    <w:nsid w:val="7644A45C"/>
    <w:multiLevelType w:val="hybridMultilevel"/>
    <w:lvl w:ilvl="0">
      <w:lvlJc w:val="left"/>
      <w:lvlText w:val="(%1)"/>
      <w:numFmt w:val="lowerLetter"/>
      <w:start w:val="2"/>
    </w:lvl>
  </w:abstractNum>
  <w:abstractNum w:abstractNumId="31">
    <w:nsid w:val="32FFF902"/>
    <w:multiLevelType w:val="hybridMultilevel"/>
    <w:lvl w:ilvl="0">
      <w:lvlJc w:val="left"/>
      <w:lvlText w:val="(%1)"/>
      <w:numFmt w:val="lowerLetter"/>
      <w:start w:val="4"/>
    </w:lvl>
  </w:abstractNum>
  <w:abstractNum w:abstractNumId="32">
    <w:nsid w:val="684A481A"/>
    <w:multiLevelType w:val="hybridMultilevel"/>
    <w:lvl w:ilvl="0">
      <w:lvlJc w:val="left"/>
      <w:lvlText w:val="(%1)"/>
      <w:numFmt w:val="lowerLetter"/>
      <w:start w:val="5"/>
    </w:lvl>
  </w:abstractNum>
  <w:abstractNum w:abstractNumId="33">
    <w:nsid w:val="579478FE"/>
    <w:multiLevelType w:val="hybridMultilevel"/>
    <w:lvl w:ilvl="0">
      <w:lvlJc w:val="left"/>
      <w:lvlText w:val="(%1)"/>
      <w:numFmt w:val="lowerLetter"/>
      <w:start w:val="6"/>
    </w:lvl>
  </w:abstractNum>
  <w:abstractNum w:abstractNumId="34">
    <w:nsid w:val="749ABB4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5">
    <w:nsid w:val="3DC240FB"/>
    <w:multiLevelType w:val="hybridMultilevel"/>
    <w:lvl w:ilvl="0">
      <w:lvlJc w:val="left"/>
      <w:lvlText w:val="(%1)"/>
      <w:numFmt w:val="lowerRoman"/>
      <w:start w:val="3"/>
    </w:lvl>
  </w:abstractNum>
  <w:abstractNum w:abstractNumId="36">
    <w:nsid w:val="1BA026FA"/>
    <w:multiLevelType w:val="hybridMultilevel"/>
    <w:lvl w:ilvl="0">
      <w:lvlJc w:val="left"/>
      <w:lvlText w:val="(%1)"/>
      <w:numFmt w:val="decimal"/>
      <w:start w:val="2"/>
    </w:lvl>
    <w:lvl w:ilvl="1">
      <w:lvlJc w:val="left"/>
      <w:lvlText w:val="(%2)"/>
      <w:numFmt w:val="lowerRoman"/>
      <w:start w:val="5"/>
    </w:lvl>
  </w:abstractNum>
  <w:abstractNum w:abstractNumId="37">
    <w:nsid w:val="79A1DEAA"/>
    <w:multiLevelType w:val="hybridMultilevel"/>
    <w:lvl w:ilvl="0">
      <w:lvlJc w:val="left"/>
      <w:lvlText w:val="(%1)"/>
      <w:numFmt w:val="lowerRoman"/>
      <w:start w:val="6"/>
    </w:lvl>
  </w:abstractNum>
  <w:abstractNum w:abstractNumId="38">
    <w:nsid w:val="75C6C33A"/>
    <w:multiLevelType w:val="hybridMultilevel"/>
    <w:lvl w:ilvl="0">
      <w:lvlJc w:val="left"/>
      <w:lvlText w:val="(%1)"/>
      <w:numFmt w:val="lowerRoman"/>
      <w:start w:val="12"/>
    </w:lvl>
  </w:abstractNum>
  <w:abstractNum w:abstractNumId="39">
    <w:nsid w:val="12E685FB"/>
    <w:multiLevelType w:val="hybridMultilevel"/>
    <w:lvl w:ilvl="0">
      <w:lvlJc w:val="left"/>
      <w:lvlText w:val="(%1)"/>
      <w:numFmt w:val="lowerRoman"/>
      <w:start w:val="14"/>
    </w:lvl>
  </w:abstractNum>
  <w:abstractNum w:abstractNumId="40">
    <w:nsid w:val="70C6A529"/>
    <w:multiLevelType w:val="hybridMultilevel"/>
    <w:lvl w:ilvl="0">
      <w:lvlJc w:val="left"/>
      <w:lvlText w:val="(%1)"/>
      <w:numFmt w:val="lowerRoman"/>
      <w:start w:val="15"/>
    </w:lvl>
  </w:abstractNum>
  <w:abstractNum w:abstractNumId="41">
    <w:nsid w:val="520EEDD1"/>
    <w:multiLevelType w:val="hybridMultilevel"/>
    <w:lvl w:ilvl="0">
      <w:lvlJc w:val="left"/>
      <w:lvlText w:val="(%1)"/>
      <w:numFmt w:val="upperLetter"/>
      <w:start w:val="1"/>
    </w:lvl>
  </w:abstractNum>
  <w:abstractNum w:abstractNumId="42">
    <w:nsid w:val="374A3FE6"/>
    <w:multiLevelType w:val="hybridMultilevel"/>
    <w:lvl w:ilvl="0">
      <w:lvlJc w:val="left"/>
      <w:lvlText w:val="(%1)"/>
      <w:numFmt w:val="upperLetter"/>
      <w:start w:val="2"/>
    </w:lvl>
  </w:abstractNum>
  <w:abstractNum w:abstractNumId="43">
    <w:nsid w:val="4F4EF005"/>
    <w:multiLevelType w:val="hybridMultilevel"/>
    <w:lvl w:ilvl="0">
      <w:lvlJc w:val="left"/>
      <w:lvlText w:val="(%1)"/>
      <w:numFmt w:val="lowerLetter"/>
      <w:start w:val="4"/>
    </w:lvl>
  </w:abstractNum>
  <w:abstractNum w:abstractNumId="44">
    <w:nsid w:val="23F9C13C"/>
    <w:multiLevelType w:val="hybridMultilevel"/>
    <w:lvl w:ilvl="0">
      <w:lvlJc w:val="left"/>
      <w:lvlText w:val="(%1)"/>
      <w:numFmt w:val="lowerLetter"/>
      <w:start w:val="5"/>
    </w:lvl>
    <w:lvl w:ilvl="1">
      <w:lvlJc w:val="left"/>
      <w:lvlText w:val="(%2)"/>
      <w:numFmt w:val="lowerLetter"/>
      <w:start w:val="9"/>
    </w:lvl>
  </w:abstractNum>
  <w:abstractNum w:abstractNumId="45">
    <w:nsid w:val="649BB77C"/>
    <w:multiLevelType w:val="hybridMultilevel"/>
    <w:lvl w:ilvl="0">
      <w:lvlJc w:val="left"/>
      <w:lvlText w:val="(%1)"/>
      <w:numFmt w:val="lowerRoman"/>
      <w:start w:val="2"/>
    </w:lvl>
  </w:abstractNum>
  <w:abstractNum w:abstractNumId="46">
    <w:nsid w:val="275AC794"/>
    <w:multiLevelType w:val="hybridMultilevel"/>
    <w:lvl w:ilvl="0">
      <w:lvlJc w:val="left"/>
      <w:lvlText w:val="(%1)"/>
      <w:numFmt w:val="upperLetter"/>
      <w:start w:val="1"/>
    </w:lvl>
  </w:abstractNum>
  <w:abstractNum w:abstractNumId="47">
    <w:nsid w:val="39386575"/>
    <w:multiLevelType w:val="hybridMultilevel"/>
    <w:lvl w:ilvl="0">
      <w:lvlJc w:val="left"/>
      <w:lvlText w:val="(%1)"/>
      <w:numFmt w:val="upperLetter"/>
      <w:start w:val="2"/>
    </w:lvl>
  </w:abstractNum>
  <w:abstractNum w:abstractNumId="48">
    <w:nsid w:val="1CF10FD8"/>
    <w:multiLevelType w:val="hybridMultilevel"/>
    <w:lvl w:ilvl="0">
      <w:lvlJc w:val="left"/>
      <w:lvlText w:val="(%1)"/>
      <w:numFmt w:val="lowerLetter"/>
      <w:start w:val="24"/>
    </w:lvl>
    <w:lvl w:ilvl="1">
      <w:lvlJc w:val="left"/>
      <w:lvlText w:val="(%2)"/>
      <w:numFmt w:val="lowerLetter"/>
      <w:start w:val="6"/>
    </w:lvl>
    <w:lvl w:ilvl="2">
      <w:lvlJc w:val="left"/>
      <w:lvlText w:val="(%3)"/>
      <w:numFmt w:val="lowerRoman"/>
      <w:start w:val="1"/>
    </w:lvl>
  </w:abstractNum>
  <w:abstractNum w:abstractNumId="49">
    <w:nsid w:val="180115BE"/>
    <w:multiLevelType w:val="hybridMultilevel"/>
    <w:lvl w:ilvl="0">
      <w:lvlJc w:val="left"/>
      <w:lvlText w:val="(%1)"/>
      <w:numFmt w:val="lowerRoman"/>
      <w:start w:val="4"/>
    </w:lvl>
  </w:abstractNum>
  <w:abstractNum w:abstractNumId="50">
    <w:nsid w:val="235BA861"/>
    <w:multiLevelType w:val="hybridMultilevel"/>
    <w:lvl w:ilvl="0">
      <w:lvlJc w:val="left"/>
      <w:lvlText w:val="(%1)"/>
      <w:numFmt w:val="lowerLetter"/>
      <w:start w:val="7"/>
    </w:lvl>
  </w:abstractNum>
  <w:abstractNum w:abstractNumId="51">
    <w:nsid w:val="47398C89"/>
    <w:multiLevelType w:val="hybridMultilevel"/>
    <w:lvl w:ilvl="0">
      <w:lvlJc w:val="left"/>
      <w:lvlText w:val="(%1)"/>
      <w:numFmt w:val="lowerLetter"/>
      <w:start w:val="8"/>
    </w:lvl>
    <w:lvl w:ilvl="1">
      <w:lvlJc w:val="left"/>
      <w:lvlText w:val="(%2)"/>
      <w:numFmt w:val="lowerRoman"/>
      <w:start w:val="1"/>
    </w:lvl>
  </w:abstractNum>
  <w:abstractNum w:abstractNumId="52">
    <w:nsid w:val="354FE9F9"/>
    <w:multiLevelType w:val="hybridMultilevel"/>
    <w:lvl w:ilvl="0">
      <w:lvlJc w:val="left"/>
      <w:lvlText w:val="%1"/>
      <w:numFmt w:val="decimal"/>
      <w:start w:val="1"/>
    </w:lvl>
    <w:lvl w:ilvl="1">
      <w:lvlJc w:val="left"/>
      <w:lvlText w:val="(%2)"/>
      <w:numFmt w:val="lowerLetter"/>
      <w:start w:val="11"/>
    </w:lvl>
  </w:abstractNum>
  <w:abstractNum w:abstractNumId="53">
    <w:nsid w:val="15B5AF5C"/>
    <w:multiLevelType w:val="hybridMultilevel"/>
    <w:lvl w:ilvl="0">
      <w:lvlJc w:val="left"/>
      <w:lvlText w:val="(%1)"/>
      <w:numFmt w:val="decimal"/>
      <w:start w:val="62"/>
    </w:lvl>
    <w:lvl w:ilvl="1">
      <w:lvlJc w:val="left"/>
      <w:lvlText w:val="(%2)"/>
      <w:numFmt w:val="lowerLetter"/>
      <w:start w:val="13"/>
    </w:lvl>
  </w:abstractNum>
  <w:abstractNum w:abstractNumId="54">
    <w:nsid w:val="741226BB"/>
    <w:multiLevelType w:val="hybridMultilevel"/>
    <w:lvl w:ilvl="0">
      <w:lvlJc w:val="left"/>
      <w:lvlText w:val="%1"/>
      <w:numFmt w:val="lowerRoman"/>
      <w:start w:val="1"/>
    </w:lvl>
    <w:lvl w:ilvl="1">
      <w:lvlJc w:val="left"/>
      <w:lvlText w:val="%2."/>
      <w:numFmt w:val="decimal"/>
      <w:start w:val="8"/>
    </w:lvl>
  </w:abstractNum>
  <w:abstractNum w:abstractNumId="55">
    <w:nsid w:val="D34B6A8"/>
    <w:multiLevelType w:val="hybridMultilevel"/>
    <w:lvl w:ilvl="0">
      <w:lvlJc w:val="left"/>
      <w:lvlText w:val="(%1)"/>
      <w:numFmt w:val="lowerRoman"/>
      <w:start w:val="4"/>
    </w:lvl>
    <w:lvl w:ilvl="1">
      <w:lvlJc w:val="left"/>
      <w:lvlText w:val="%2"/>
      <w:numFmt w:val="decimal"/>
      <w:start w:val="1"/>
    </w:lvl>
  </w:abstractNum>
  <w:abstractNum w:abstractNumId="56">
    <w:nsid w:val="10233C99"/>
    <w:multiLevelType w:val="hybridMultilevel"/>
    <w:lvl w:ilvl="0">
      <w:lvlJc w:val="left"/>
      <w:lvlText w:val="%1."/>
      <w:numFmt w:val="decimal"/>
      <w:start w:val="9"/>
    </w:lvl>
  </w:abstractNum>
  <w:abstractNum w:abstractNumId="57">
    <w:nsid w:val="3F6AB60F"/>
    <w:multiLevelType w:val="hybridMultilevel"/>
    <w:lvl w:ilvl="0">
      <w:lvlJc w:val="left"/>
      <w:lvlText w:val="%1."/>
      <w:numFmt w:val="decimal"/>
      <w:start w:val="10"/>
    </w:lvl>
  </w:abstractNum>
  <w:abstractNum w:abstractNumId="58">
    <w:nsid w:val="61574095"/>
    <w:multiLevelType w:val="hybridMultilevel"/>
    <w:lvl w:ilvl="0">
      <w:lvlJc w:val="left"/>
      <w:lvlText w:val="%1"/>
      <w:numFmt w:val="upperLetter"/>
      <w:start w:val="1"/>
    </w:lvl>
    <w:lvl w:ilvl="1">
      <w:lvlJc w:val="left"/>
      <w:lvlText w:val="%2."/>
      <w:numFmt w:val="decimal"/>
      <w:start w:val="12"/>
    </w:lvl>
  </w:abstractNum>
  <w:abstractNum w:abstractNumId="59">
    <w:nsid w:val="7E0C57B1"/>
    <w:multiLevelType w:val="hybridMultilevel"/>
    <w:lvl w:ilvl="0">
      <w:lvlJc w:val="left"/>
      <w:lvlText w:val="(%1)"/>
      <w:numFmt w:val="upperLetter"/>
      <w:start w:val="4"/>
    </w:lvl>
    <w:lvl w:ilvl="1">
      <w:lvlJc w:val="left"/>
      <w:lvlText w:val="%2."/>
      <w:numFmt w:val="decimal"/>
      <w:start w:val="13"/>
    </w:lvl>
  </w:abstractNum>
  <w:abstractNum w:abstractNumId="60">
    <w:nsid w:val="77AE35EB"/>
    <w:multiLevelType w:val="hybridMultilevel"/>
    <w:lvl w:ilvl="0">
      <w:lvlJc w:val="left"/>
      <w:lvlText w:val="%1."/>
      <w:numFmt w:val="decimal"/>
      <w:start w:val="16"/>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lowerRoman"/>
      <w:start w:val="1"/>
    </w:lvl>
    <w:lvl w:ilvl="1">
      <w:lvlJc w:val="left"/>
      <w:lvlText w:val="%2."/>
      <w:numFmt w:val="upperLetter"/>
      <w:start w:val="1"/>
    </w:lvl>
  </w:abstractNum>
  <w:abstractNum w:abstractNumId="63">
    <w:nsid w:val="5FF87E05"/>
    <w:multiLevelType w:val="hybridMultilevel"/>
    <w:lvl w:ilvl="0">
      <w:lvlJc w:val="left"/>
      <w:lvlText w:val="(%1)"/>
      <w:numFmt w:val="lowerRoman"/>
      <w:start w:val="3"/>
    </w:lvl>
    <w:lvl w:ilvl="1">
      <w:lvlJc w:val="left"/>
      <w:lvlText w:val="%2"/>
      <w:numFmt w:val="upperLetter"/>
      <w:start w:val="1"/>
    </w:lvl>
  </w:abstractNum>
  <w:abstractNum w:abstractNumId="64">
    <w:nsid w:val="2F305DEF"/>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2020-01-21T19:52:35Z</dcterms:created>
  <dcterms:modified xsi:type="dcterms:W3CDTF">2020-01-21T19:52:35Z</dcterms:modified>
</cp:coreProperties>
</file>