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8789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8789670"/>
                    </a:xfrm>
                    <a:prstGeom prst="rect">
                      <a:avLst/>
                    </a:prstGeom>
                    <a:noFill/>
                  </pic:spPr>
                </pic:pic>
              </a:graphicData>
            </a:graphic>
          </wp:anchor>
        </w:drawing>
      </w:r>
    </w:p>
    <w:p>
      <w:pPr>
        <w:spacing w:after="0" w:line="36" w:lineRule="exact"/>
        <w:rPr>
          <w:sz w:val="24"/>
          <w:szCs w:val="24"/>
          <w:color w:val="auto"/>
        </w:rPr>
      </w:pPr>
    </w:p>
    <w:p>
      <w:pPr>
        <w:sectPr>
          <w:pgSz w:w="11900" w:h="16844" w:orient="portrait"/>
          <w:cols w:equalWidth="0" w:num="2">
            <w:col w:w="2320" w:space="380"/>
            <w:col w:w="8820"/>
          </w:cols>
          <w:pgMar w:left="240" w:top="224" w:right="1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900" w:type="dxa"/>
            <w:vAlign w:val="bottom"/>
            <w:gridSpan w:val="5"/>
          </w:tcPr>
          <w:p>
            <w:pPr>
              <w:ind w:left="2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20" w:type="dxa"/>
            <w:vAlign w:val="bottom"/>
            <w:gridSpan w:val="4"/>
          </w:tcPr>
          <w:p>
            <w:pPr>
              <w:ind w:left="4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SINNOTT ROBERT V</w:t>
              </w:r>
            </w:hyperlink>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0" w:type="dxa"/>
            <w:vAlign w:val="bottom"/>
            <w:gridSpan w:val="6"/>
          </w:tcPr>
          <w:p>
            <w:pPr>
              <w:ind w:left="2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PLAINS GP HOLDINGS LP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PAGP</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80" w:type="dxa"/>
            <w:vAlign w:val="bottom"/>
            <w:gridSpan w:val="2"/>
            <w:vMerge w:val="restart"/>
          </w:tcPr>
          <w:p>
            <w:pPr>
              <w:ind w:left="40"/>
              <w:spacing w:after="0"/>
              <w:rPr>
                <w:sz w:val="20"/>
                <w:szCs w:val="20"/>
                <w:color w:val="auto"/>
              </w:rPr>
            </w:pPr>
            <w:r>
              <w:rPr>
                <w:rFonts w:ascii="Arial" w:cs="Arial" w:eastAsia="Arial" w:hAnsi="Arial"/>
                <w:sz w:val="13"/>
                <w:szCs w:val="13"/>
                <w:color w:val="auto"/>
              </w:rPr>
              <w:t>(Check all applicable)</w:t>
            </w:r>
          </w:p>
        </w:tc>
        <w:tc>
          <w:tcPr>
            <w:tcW w:w="13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80" w:type="dxa"/>
            <w:vAlign w:val="bottom"/>
          </w:tcPr>
          <w:p>
            <w:pPr>
              <w:spacing w:after="0"/>
              <w:rPr>
                <w:sz w:val="4"/>
                <w:szCs w:val="4"/>
                <w:color w:val="auto"/>
              </w:rPr>
            </w:pP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3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3"/>
            <w:vMerge w:val="continue"/>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vMerge w:val="restart"/>
          </w:tcPr>
          <w:p>
            <w:pPr>
              <w:ind w:left="2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940" w:type="dxa"/>
            <w:vAlign w:val="bottom"/>
          </w:tcPr>
          <w:p>
            <w:pPr>
              <w:spacing w:after="0"/>
              <w:rPr>
                <w:sz w:val="2"/>
                <w:szCs w:val="2"/>
                <w:color w:val="auto"/>
              </w:rPr>
            </w:pP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5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2080" w:type="dxa"/>
            <w:vAlign w:val="bottom"/>
            <w:gridSpan w:val="2"/>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340" w:type="dxa"/>
            <w:vAlign w:val="bottom"/>
            <w:gridSpan w:val="2"/>
            <w:vMerge w:val="restart"/>
          </w:tcPr>
          <w:p>
            <w:pPr>
              <w:ind w:left="1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80" w:type="dxa"/>
            <w:vAlign w:val="bottom"/>
            <w:gridSpan w:val="2"/>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900" w:type="dxa"/>
            <w:vAlign w:val="bottom"/>
            <w:gridSpan w:val="5"/>
            <w:vMerge w:val="restart"/>
          </w:tcPr>
          <w:p>
            <w:pPr>
              <w:ind w:left="2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(First)</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(Middle)</w:t>
            </w:r>
          </w:p>
        </w:tc>
        <w:tc>
          <w:tcPr>
            <w:tcW w:w="2900" w:type="dxa"/>
            <w:vAlign w:val="bottom"/>
            <w:gridSpan w:val="5"/>
            <w:vMerge w:val="continue"/>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ind w:left="580"/>
              <w:spacing w:after="0"/>
              <w:rPr>
                <w:sz w:val="20"/>
                <w:szCs w:val="20"/>
                <w:color w:val="auto"/>
              </w:rPr>
            </w:pPr>
            <w:r>
              <w:rPr>
                <w:rFonts w:ascii="Arial" w:cs="Arial" w:eastAsia="Arial" w:hAnsi="Arial"/>
                <w:sz w:val="13"/>
                <w:szCs w:val="13"/>
                <w:color w:val="auto"/>
              </w:rPr>
              <w:t>below)</w:t>
            </w:r>
          </w:p>
        </w:tc>
        <w:tc>
          <w:tcPr>
            <w:tcW w:w="94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restart"/>
          </w:tcPr>
          <w:p>
            <w:pPr>
              <w:spacing w:after="0"/>
              <w:rPr>
                <w:sz w:val="20"/>
                <w:szCs w:val="20"/>
                <w:color w:val="auto"/>
              </w:rPr>
            </w:pPr>
            <w:r>
              <w:rPr>
                <w:rFonts w:ascii="Arial" w:cs="Arial" w:eastAsia="Arial" w:hAnsi="Arial"/>
                <w:sz w:val="17"/>
                <w:szCs w:val="17"/>
                <w:color w:val="0000FF"/>
              </w:rPr>
              <w:t>1800 AVE OF THE STATE</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Arial" w:cs="Arial" w:eastAsia="Arial" w:hAnsi="Arial"/>
                <w:sz w:val="17"/>
                <w:szCs w:val="17"/>
                <w:color w:val="0000FF"/>
              </w:rPr>
              <w:t>03/28/2018</w:t>
            </w: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Arial" w:cs="Arial" w:eastAsia="Arial" w:hAnsi="Arial"/>
                <w:sz w:val="17"/>
                <w:szCs w:val="17"/>
                <w:color w:val="0000FF"/>
              </w:rPr>
              <w:t>2ND FLR</w:t>
            </w: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3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0" w:type="dxa"/>
            <w:vAlign w:val="bottom"/>
            <w:gridSpan w:val="6"/>
            <w:vMerge w:val="restart"/>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20" w:type="dxa"/>
            <w:vAlign w:val="bottom"/>
            <w:gridSpan w:val="4"/>
            <w:vMerge w:val="restart"/>
          </w:tcPr>
          <w:p>
            <w:pPr>
              <w:ind w:left="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0" w:type="dxa"/>
            <w:vAlign w:val="bottom"/>
            <w:gridSpan w:val="6"/>
            <w:vMerge w:val="continue"/>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520" w:type="dxa"/>
            <w:vAlign w:val="bottom"/>
            <w:tcBorders>
              <w:bottom w:val="single" w:sz="8" w:color="9A9A9A"/>
            </w:tcBorders>
          </w:tcPr>
          <w:p>
            <w:pPr>
              <w:spacing w:after="0"/>
              <w:rPr>
                <w:sz w:val="5"/>
                <w:szCs w:val="5"/>
                <w:color w:val="auto"/>
              </w:rPr>
            </w:pPr>
          </w:p>
        </w:tc>
        <w:tc>
          <w:tcPr>
            <w:tcW w:w="126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Line)</w:t>
            </w: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7"/>
                <w:szCs w:val="17"/>
                <w:color w:val="0000FF"/>
              </w:rPr>
              <w:t>LOS ANGELES</w:t>
            </w:r>
          </w:p>
        </w:tc>
        <w:tc>
          <w:tcPr>
            <w:tcW w:w="1300" w:type="dxa"/>
            <w:vAlign w:val="bottom"/>
            <w:gridSpan w:val="2"/>
          </w:tcPr>
          <w:p>
            <w:pPr>
              <w:ind w:left="60"/>
              <w:spacing w:after="0"/>
              <w:rPr>
                <w:sz w:val="20"/>
                <w:szCs w:val="20"/>
                <w:color w:val="auto"/>
              </w:rPr>
            </w:pPr>
            <w:r>
              <w:rPr>
                <w:rFonts w:ascii="Arial" w:cs="Arial" w:eastAsia="Arial" w:hAnsi="Arial"/>
                <w:sz w:val="17"/>
                <w:szCs w:val="17"/>
                <w:color w:val="0000FF"/>
              </w:rPr>
              <w:t>CA</w:t>
            </w:r>
          </w:p>
        </w:tc>
        <w:tc>
          <w:tcPr>
            <w:tcW w:w="1260" w:type="dxa"/>
            <w:vAlign w:val="bottom"/>
          </w:tcPr>
          <w:p>
            <w:pPr>
              <w:ind w:left="40"/>
              <w:spacing w:after="0"/>
              <w:rPr>
                <w:sz w:val="20"/>
                <w:szCs w:val="20"/>
                <w:color w:val="auto"/>
              </w:rPr>
            </w:pPr>
            <w:r>
              <w:rPr>
                <w:rFonts w:ascii="Arial" w:cs="Arial" w:eastAsia="Arial" w:hAnsi="Arial"/>
                <w:sz w:val="17"/>
                <w:szCs w:val="17"/>
                <w:color w:val="0000FF"/>
              </w:rPr>
              <w:t>90067</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20" w:type="dxa"/>
            <w:vAlign w:val="bottom"/>
            <w:gridSpan w:val="4"/>
          </w:tcPr>
          <w:p>
            <w:pPr>
              <w:ind w:left="6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300" w:type="dxa"/>
            <w:vAlign w:val="bottom"/>
            <w:gridSpan w:val="2"/>
          </w:tcPr>
          <w:p>
            <w:pPr>
              <w:ind w:left="6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2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gridSpan w:val="2"/>
          </w:tcPr>
          <w:p>
            <w:pPr>
              <w:spacing w:after="0"/>
              <w:rPr>
                <w:sz w:val="10"/>
                <w:szCs w:val="10"/>
                <w:color w:val="auto"/>
              </w:rPr>
            </w:pPr>
          </w:p>
        </w:tc>
        <w:tc>
          <w:tcPr>
            <w:tcW w:w="250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13"/>
          </w:tcPr>
          <w:p>
            <w:pPr>
              <w:ind w:left="3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13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4"/>
                <w:szCs w:val="14"/>
                <w:color w:val="auto"/>
              </w:rPr>
            </w:pPr>
          </w:p>
        </w:tc>
        <w:tc>
          <w:tcPr>
            <w:tcW w:w="1220" w:type="dxa"/>
            <w:vAlign w:val="bottom"/>
          </w:tcPr>
          <w:p>
            <w:pPr>
              <w:ind w:left="1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3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3"/>
          </w:tcPr>
          <w:p>
            <w:pPr>
              <w:ind w:left="480"/>
              <w:spacing w:after="0" w:line="130"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1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13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40" w:type="dxa"/>
            <w:vAlign w:val="bottom"/>
            <w:gridSpan w:val="5"/>
          </w:tcPr>
          <w:p>
            <w:pPr>
              <w:ind w:left="4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13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7"/>
              <w:spacing w:after="0" w:line="133"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jc w:val="right"/>
              <w:ind w:right="163"/>
              <w:spacing w:after="0"/>
              <w:rPr>
                <w:sz w:val="20"/>
                <w:szCs w:val="20"/>
                <w:color w:val="auto"/>
              </w:rPr>
            </w:pPr>
            <w:r>
              <w:rPr>
                <w:rFonts w:ascii="Arial" w:cs="Arial" w:eastAsia="Arial" w:hAnsi="Arial"/>
                <w:sz w:val="12"/>
                <w:szCs w:val="12"/>
                <w:b w:val="1"/>
                <w:bCs w:val="1"/>
                <w:color w:val="auto"/>
                <w:w w:val="95"/>
              </w:rPr>
              <w:t>Price</w:t>
            </w:r>
          </w:p>
        </w:tc>
        <w:tc>
          <w:tcPr>
            <w:tcW w:w="2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3"/>
              </w:rPr>
              <w:t>03/28/2018</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8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7,899</w:t>
            </w:r>
          </w:p>
        </w:tc>
        <w:tc>
          <w:tcPr>
            <w:tcW w:w="500" w:type="dxa"/>
            <w:vAlign w:val="bottom"/>
            <w:vMerge w:val="restart"/>
          </w:tcPr>
          <w:p>
            <w:pPr>
              <w:jc w:val="center"/>
              <w:ind w:right="27"/>
              <w:spacing w:after="0"/>
              <w:rPr>
                <w:sz w:val="20"/>
                <w:szCs w:val="20"/>
                <w:color w:val="auto"/>
              </w:rPr>
            </w:pPr>
            <w:r>
              <w:rPr>
                <w:rFonts w:ascii="Arial" w:cs="Arial" w:eastAsia="Arial" w:hAnsi="Arial"/>
                <w:sz w:val="17"/>
                <w:szCs w:val="17"/>
                <w:color w:val="0000FF"/>
              </w:rPr>
              <w:t>A</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7,899</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line="251" w:lineRule="exact"/>
              <w:rPr>
                <w:sz w:val="20"/>
                <w:szCs w:val="20"/>
                <w:color w:val="auto"/>
              </w:rPr>
            </w:pPr>
            <w:r>
              <w:rPr>
                <w:rFonts w:ascii="Arial" w:cs="Arial" w:eastAsia="Arial" w:hAnsi="Arial"/>
                <w:sz w:val="17"/>
                <w:szCs w:val="17"/>
                <w:color w:val="0000FF"/>
                <w:w w:val="99"/>
              </w:rPr>
              <w:t>See footnotes</w:t>
            </w:r>
            <w:r>
              <w:rPr>
                <w:rFonts w:ascii="Arial" w:cs="Arial" w:eastAsia="Arial" w:hAnsi="Arial"/>
                <w:sz w:val="22"/>
                <w:szCs w:val="22"/>
                <w:color w:val="008000"/>
                <w:w w:val="99"/>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320" w:type="dxa"/>
            <w:vAlign w:val="bottom"/>
            <w:vMerge w:val="restart"/>
          </w:tcPr>
          <w:p>
            <w:pPr>
              <w:ind w:left="10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0" w:type="dxa"/>
            <w:vAlign w:val="bottom"/>
            <w:gridSpan w:val="3"/>
            <w:vMerge w:val="restart"/>
          </w:tcPr>
          <w:p>
            <w:pPr>
              <w:ind w:left="580"/>
              <w:spacing w:after="0"/>
              <w:rPr>
                <w:sz w:val="20"/>
                <w:szCs w:val="20"/>
                <w:color w:val="auto"/>
              </w:rPr>
            </w:pPr>
            <w:r>
              <w:rPr>
                <w:rFonts w:ascii="Arial" w:cs="Arial" w:eastAsia="Arial" w:hAnsi="Arial"/>
                <w:sz w:val="17"/>
                <w:szCs w:val="17"/>
                <w:color w:val="0000FF"/>
                <w:w w:val="93"/>
              </w:rPr>
              <w:t>03/28/2018</w:t>
            </w:r>
          </w:p>
        </w:tc>
        <w:tc>
          <w:tcPr>
            <w:tcW w:w="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Arial" w:cs="Arial" w:eastAsia="Arial" w:hAnsi="Arial"/>
                <w:sz w:val="13"/>
                <w:szCs w:val="13"/>
                <w:color w:val="0000FF"/>
              </w:rPr>
              <w:t>J</w:t>
            </w:r>
          </w:p>
        </w:tc>
        <w:tc>
          <w:tcPr>
            <w:tcW w:w="860" w:type="dxa"/>
            <w:vAlign w:val="bottom"/>
            <w:gridSpan w:val="2"/>
            <w:vMerge w:val="restart"/>
          </w:tcPr>
          <w:p>
            <w:pPr>
              <w:ind w:left="200"/>
              <w:spacing w:after="0"/>
              <w:rPr>
                <w:sz w:val="20"/>
                <w:szCs w:val="20"/>
                <w:color w:val="auto"/>
              </w:rPr>
            </w:pPr>
            <w:r>
              <w:rPr>
                <w:rFonts w:ascii="Arial" w:cs="Arial" w:eastAsia="Arial" w:hAnsi="Arial"/>
                <w:sz w:val="17"/>
                <w:szCs w:val="17"/>
                <w:color w:val="0000FF"/>
              </w:rPr>
              <w:t>7,899</w:t>
            </w:r>
          </w:p>
        </w:tc>
        <w:tc>
          <w:tcPr>
            <w:tcW w:w="500" w:type="dxa"/>
            <w:vAlign w:val="bottom"/>
            <w:vMerge w:val="restart"/>
          </w:tcPr>
          <w:p>
            <w:pPr>
              <w:jc w:val="center"/>
              <w:ind w:right="27"/>
              <w:spacing w:after="0"/>
              <w:rPr>
                <w:sz w:val="20"/>
                <w:szCs w:val="20"/>
                <w:color w:val="auto"/>
              </w:rPr>
            </w:pPr>
            <w:r>
              <w:rPr>
                <w:rFonts w:ascii="Arial" w:cs="Arial" w:eastAsia="Arial" w:hAnsi="Arial"/>
                <w:sz w:val="17"/>
                <w:szCs w:val="17"/>
                <w:color w:val="0000FF"/>
                <w:w w:val="97"/>
              </w:rPr>
              <w:t>D</w:t>
            </w:r>
          </w:p>
        </w:tc>
        <w:tc>
          <w:tcPr>
            <w:tcW w:w="540" w:type="dxa"/>
            <w:vAlign w:val="bottom"/>
            <w:vMerge w:val="restart"/>
          </w:tcPr>
          <w:p>
            <w:pPr>
              <w:jc w:val="right"/>
              <w:ind w:right="12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rPr>
              <w:t>0</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line="251" w:lineRule="exact"/>
              <w:rPr>
                <w:sz w:val="20"/>
                <w:szCs w:val="20"/>
                <w:color w:val="auto"/>
              </w:rPr>
            </w:pPr>
            <w:r>
              <w:rPr>
                <w:rFonts w:ascii="Arial" w:cs="Arial" w:eastAsia="Arial" w:hAnsi="Arial"/>
                <w:sz w:val="17"/>
                <w:szCs w:val="17"/>
                <w:color w:val="0000FF"/>
                <w:w w:val="99"/>
              </w:rPr>
              <w:t>See footnotes</w:t>
            </w:r>
            <w:r>
              <w:rPr>
                <w:rFonts w:ascii="Arial" w:cs="Arial" w:eastAsia="Arial" w:hAnsi="Arial"/>
                <w:sz w:val="22"/>
                <w:szCs w:val="22"/>
                <w:color w:val="008000"/>
                <w:w w:val="99"/>
                <w:vertAlign w:val="superscript"/>
              </w:rPr>
              <w:t>(1)</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0" w:type="dxa"/>
            <w:vAlign w:val="bottom"/>
            <w:gridSpan w:val="3"/>
            <w:vMerge w:val="continue"/>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1320" w:type="dxa"/>
            <w:vAlign w:val="bottom"/>
            <w:vMerge w:val="restart"/>
          </w:tcPr>
          <w:p>
            <w:pPr>
              <w:ind w:left="100"/>
              <w:spacing w:after="0"/>
              <w:rPr>
                <w:sz w:val="20"/>
                <w:szCs w:val="20"/>
                <w:color w:val="auto"/>
              </w:rPr>
            </w:pPr>
            <w:r>
              <w:rPr>
                <w:rFonts w:ascii="Arial" w:cs="Arial" w:eastAsia="Arial" w:hAnsi="Arial"/>
                <w:sz w:val="11"/>
                <w:szCs w:val="11"/>
                <w:color w:val="008000"/>
              </w:rPr>
              <w:t>(2)(3)(4)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32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Rosa Sinnott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Robert Sinnott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558,492</w:t>
            </w:r>
          </w:p>
        </w:tc>
        <w:tc>
          <w:tcPr>
            <w:tcW w:w="940" w:type="dxa"/>
            <w:vAlign w:val="bottom"/>
            <w:vMerge w:val="restart"/>
          </w:tcPr>
          <w:p>
            <w:pPr>
              <w:ind w:left="460"/>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2010 GRAT dtd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340" w:type="dxa"/>
            <w:vAlign w:val="bottom"/>
            <w:gridSpan w:val="2"/>
            <w:vMerge w:val="restart"/>
          </w:tcPr>
          <w:p>
            <w:pPr>
              <w:ind w:left="100"/>
              <w:spacing w:after="0"/>
              <w:rPr>
                <w:sz w:val="20"/>
                <w:szCs w:val="20"/>
                <w:color w:val="auto"/>
              </w:rPr>
            </w:pPr>
            <w:r>
              <w:rPr>
                <w:rFonts w:ascii="Arial" w:cs="Arial" w:eastAsia="Arial" w:hAnsi="Arial"/>
                <w:sz w:val="17"/>
                <w:szCs w:val="17"/>
                <w:color w:val="0000FF"/>
              </w:rPr>
              <w:t>1/28/10 John</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Sinnott, TTEE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Cliffwood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7"/>
                <w:szCs w:val="17"/>
                <w:color w:val="0000FF"/>
              </w:rPr>
              <w:t>Class A Shares</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gridSpan w:val="2"/>
          </w:tcPr>
          <w:p>
            <w:pPr>
              <w:jc w:val="center"/>
              <w:spacing w:after="0"/>
              <w:rPr>
                <w:sz w:val="20"/>
                <w:szCs w:val="20"/>
                <w:color w:val="auto"/>
              </w:rPr>
            </w:pPr>
            <w:r>
              <w:rPr>
                <w:rFonts w:ascii="Arial" w:cs="Arial" w:eastAsia="Arial" w:hAnsi="Arial"/>
                <w:sz w:val="17"/>
                <w:szCs w:val="17"/>
                <w:color w:val="0000FF"/>
                <w:w w:val="88"/>
              </w:rPr>
              <w:t>75,104</w:t>
            </w:r>
          </w:p>
        </w:tc>
        <w:tc>
          <w:tcPr>
            <w:tcW w:w="940" w:type="dxa"/>
            <w:vAlign w:val="bottom"/>
          </w:tcPr>
          <w:p>
            <w:pPr>
              <w:ind w:left="460"/>
              <w:spacing w:after="0"/>
              <w:rPr>
                <w:sz w:val="20"/>
                <w:szCs w:val="20"/>
                <w:color w:val="auto"/>
              </w:rPr>
            </w:pPr>
            <w:r>
              <w:rPr>
                <w:rFonts w:ascii="Arial" w:cs="Arial" w:eastAsia="Arial" w:hAnsi="Arial"/>
                <w:sz w:val="17"/>
                <w:szCs w:val="17"/>
                <w:color w:val="0000FF"/>
              </w:rPr>
              <w:t>I</w:t>
            </w: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Energy</w:t>
            </w: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7"/>
                <w:szCs w:val="17"/>
                <w:color w:val="0000FF"/>
              </w:rPr>
              <w:t>Partners</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w w:val="94"/>
              </w:rPr>
              <w:t>Robert and Rosa</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Sinnott Living</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Trust dtd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0000FF"/>
              </w:rPr>
              <w:t>37,552</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60" w:type="dxa"/>
            <w:vAlign w:val="bottom"/>
            <w:gridSpan w:val="2"/>
          </w:tcPr>
          <w:p>
            <w:pPr>
              <w:ind w:left="440"/>
              <w:spacing w:after="0"/>
              <w:rPr>
                <w:sz w:val="20"/>
                <w:szCs w:val="20"/>
                <w:color w:val="auto"/>
              </w:rPr>
            </w:pPr>
            <w:r>
              <w:rPr>
                <w:rFonts w:ascii="Arial" w:cs="Arial" w:eastAsia="Arial" w:hAnsi="Arial"/>
                <w:sz w:val="17"/>
                <w:szCs w:val="17"/>
                <w:color w:val="0000FF"/>
              </w:rPr>
              <w:t>10/24/97,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80" w:type="dxa"/>
            <w:vAlign w:val="bottom"/>
            <w:gridSpan w:val="3"/>
            <w:vMerge w:val="restart"/>
          </w:tcPr>
          <w:p>
            <w:pPr>
              <w:ind w:left="440"/>
              <w:spacing w:after="0"/>
              <w:rPr>
                <w:sz w:val="20"/>
                <w:szCs w:val="20"/>
                <w:color w:val="auto"/>
              </w:rPr>
            </w:pPr>
            <w:r>
              <w:rPr>
                <w:rFonts w:ascii="Arial" w:cs="Arial" w:eastAsia="Arial" w:hAnsi="Arial"/>
                <w:sz w:val="17"/>
                <w:szCs w:val="17"/>
                <w:color w:val="0000FF"/>
              </w:rPr>
              <w:t>Robert V.</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Sinnott and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Rosa R. Sinnott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440"/>
              <w:spacing w:after="0"/>
              <w:rPr>
                <w:sz w:val="20"/>
                <w:szCs w:val="20"/>
                <w:color w:val="auto"/>
              </w:rPr>
            </w:pPr>
            <w:r>
              <w:rPr>
                <w:rFonts w:ascii="Arial" w:cs="Arial" w:eastAsia="Arial" w:hAnsi="Arial"/>
                <w:sz w:val="17"/>
                <w:szCs w:val="17"/>
                <w:color w:val="0000FF"/>
              </w:rPr>
              <w:t>Trustees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Class A Shares</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0000FF"/>
              </w:rPr>
              <w:t>257,624</w:t>
            </w:r>
          </w:p>
        </w:tc>
        <w:tc>
          <w:tcPr>
            <w:tcW w:w="880" w:type="dxa"/>
            <w:vAlign w:val="bottom"/>
            <w:vMerge w:val="restart"/>
          </w:tcPr>
          <w:p>
            <w:pPr>
              <w:ind w:left="740"/>
              <w:spacing w:after="0"/>
              <w:rPr>
                <w:sz w:val="20"/>
                <w:szCs w:val="20"/>
                <w:color w:val="auto"/>
              </w:rPr>
            </w:pPr>
            <w:r>
              <w:rPr>
                <w:rFonts w:ascii="Arial" w:cs="Arial" w:eastAsia="Arial" w:hAnsi="Arial"/>
                <w:sz w:val="17"/>
                <w:szCs w:val="17"/>
                <w:color w:val="0000FF"/>
              </w:rPr>
              <w:t>I</w:t>
            </w:r>
          </w:p>
        </w:tc>
        <w:tc>
          <w:tcPr>
            <w:tcW w:w="1680" w:type="dxa"/>
            <w:vAlign w:val="bottom"/>
            <w:gridSpan w:val="3"/>
          </w:tcPr>
          <w:p>
            <w:pPr>
              <w:ind w:left="440"/>
              <w:spacing w:after="0" w:line="251" w:lineRule="exact"/>
              <w:rPr>
                <w:sz w:val="20"/>
                <w:szCs w:val="20"/>
                <w:color w:val="auto"/>
              </w:rPr>
            </w:pPr>
            <w:r>
              <w:rPr>
                <w:rFonts w:ascii="Arial" w:cs="Arial" w:eastAsia="Arial" w:hAnsi="Arial"/>
                <w:sz w:val="17"/>
                <w:szCs w:val="17"/>
                <w:color w:val="0000FF"/>
                <w:w w:val="99"/>
              </w:rPr>
              <w:t>See footnotes</w:t>
            </w:r>
            <w:r>
              <w:rPr>
                <w:rFonts w:ascii="Arial" w:cs="Arial" w:eastAsia="Arial" w:hAnsi="Arial"/>
                <w:sz w:val="22"/>
                <w:szCs w:val="22"/>
                <w:color w:val="008000"/>
                <w:w w:val="99"/>
                <w:vertAlign w:val="superscript"/>
              </w:rPr>
              <w:t>(3)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62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restart"/>
          </w:tcPr>
          <w:p>
            <w:pPr>
              <w:ind w:left="440"/>
              <w:spacing w:after="0"/>
              <w:rPr>
                <w:sz w:val="20"/>
                <w:szCs w:val="20"/>
                <w:color w:val="auto"/>
              </w:rPr>
            </w:pPr>
            <w:r>
              <w:rPr>
                <w:rFonts w:ascii="Arial" w:cs="Arial" w:eastAsia="Arial" w:hAnsi="Arial"/>
                <w:sz w:val="11"/>
                <w:szCs w:val="11"/>
                <w:color w:val="008000"/>
              </w:rPr>
              <w:t>(7)</w:t>
            </w: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8100" w:type="dxa"/>
            <w:vAlign w:val="bottom"/>
            <w:tcBorders>
              <w:bottom w:val="single" w:sz="8" w:color="2C2C2C"/>
            </w:tcBorders>
            <w:gridSpan w:val="10"/>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100" w:type="dxa"/>
            <w:vAlign w:val="bottom"/>
            <w:tcBorders>
              <w:top w:val="single" w:sz="8" w:color="2C2C2C"/>
            </w:tcBorders>
            <w:gridSpan w:val="10"/>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120" w:type="dxa"/>
            <w:vAlign w:val="bottom"/>
            <w:gridSpan w:val="8"/>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 of</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9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 (Instr. 3</w:t>
            </w:r>
          </w:p>
        </w:tc>
        <w:tc>
          <w:tcPr>
            <w:tcW w:w="8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7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vMerge w:val="restart"/>
          </w:tcPr>
          <w:p>
            <w:pPr>
              <w:ind w:left="100"/>
              <w:spacing w:after="0"/>
              <w:rPr>
                <w:sz w:val="20"/>
                <w:szCs w:val="20"/>
                <w:color w:val="auto"/>
              </w:rPr>
            </w:pPr>
            <w:r>
              <w:rPr>
                <w:rFonts w:ascii="Arial" w:cs="Arial" w:eastAsia="Arial" w:hAnsi="Arial"/>
                <w:sz w:val="13"/>
                <w:szCs w:val="13"/>
                <w:color w:val="0000FF"/>
              </w:rPr>
              <w:t>Class</w:t>
            </w:r>
          </w:p>
        </w:tc>
        <w:tc>
          <w:tcPr>
            <w:tcW w:w="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00" w:type="dxa"/>
            <w:vAlign w:val="bottom"/>
            <w:vMerge w:val="restart"/>
          </w:tcPr>
          <w:p>
            <w:pPr>
              <w:ind w:left="780"/>
              <w:spacing w:after="0"/>
              <w:rPr>
                <w:sz w:val="20"/>
                <w:szCs w:val="20"/>
                <w:color w:val="auto"/>
              </w:rPr>
            </w:pPr>
            <w:r>
              <w:rPr>
                <w:rFonts w:ascii="Arial" w:cs="Arial" w:eastAsia="Arial" w:hAnsi="Arial"/>
                <w:sz w:val="11"/>
                <w:szCs w:val="11"/>
                <w:color w:val="008000"/>
                <w:w w:val="74"/>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vMerge w:val="restart"/>
          </w:tcPr>
          <w:p>
            <w:pPr>
              <w:ind w:left="60"/>
              <w:spacing w:after="0" w:line="128" w:lineRule="exact"/>
              <w:rPr>
                <w:sz w:val="20"/>
                <w:szCs w:val="20"/>
                <w:color w:val="auto"/>
              </w:rPr>
            </w:pPr>
            <w:r>
              <w:rPr>
                <w:rFonts w:ascii="Arial" w:cs="Arial" w:eastAsia="Arial" w:hAnsi="Arial"/>
                <w:sz w:val="13"/>
                <w:szCs w:val="13"/>
                <w:color w:val="0000FF"/>
                <w:w w:val="95"/>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vMerge w:val="restart"/>
          </w:tcPr>
          <w:p>
            <w:pPr>
              <w:ind w:left="280"/>
              <w:spacing w:after="0"/>
              <w:rPr>
                <w:sz w:val="20"/>
                <w:szCs w:val="20"/>
                <w:color w:val="auto"/>
              </w:rPr>
            </w:pPr>
            <w:r>
              <w:rPr>
                <w:rFonts w:ascii="Arial" w:cs="Arial" w:eastAsia="Arial" w:hAnsi="Arial"/>
                <w:sz w:val="11"/>
                <w:szCs w:val="11"/>
                <w:color w:val="008000"/>
              </w:rPr>
              <w:t>(1)(2)</w:t>
            </w:r>
          </w:p>
        </w:tc>
        <w:tc>
          <w:tcPr>
            <w:tcW w:w="740" w:type="dxa"/>
            <w:vAlign w:val="bottom"/>
            <w:vMerge w:val="restart"/>
          </w:tcPr>
          <w:p>
            <w:pPr>
              <w:jc w:val="right"/>
              <w:ind w:right="182"/>
              <w:spacing w:after="0"/>
              <w:rPr>
                <w:sz w:val="20"/>
                <w:szCs w:val="20"/>
                <w:color w:val="auto"/>
              </w:rPr>
            </w:pPr>
            <w:r>
              <w:rPr>
                <w:rFonts w:ascii="Arial" w:cs="Arial" w:eastAsia="Arial" w:hAnsi="Arial"/>
                <w:sz w:val="11"/>
                <w:szCs w:val="11"/>
                <w:color w:val="008000"/>
              </w:rPr>
              <w:t>(1)(2)</w:t>
            </w:r>
          </w:p>
        </w:tc>
        <w:tc>
          <w:tcPr>
            <w:tcW w:w="480" w:type="dxa"/>
            <w:vAlign w:val="bottom"/>
            <w:vMerge w:val="continue"/>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7"/>
                <w:szCs w:val="17"/>
                <w:color w:val="0000FF"/>
              </w:rPr>
              <w:t>7,899</w:t>
            </w:r>
          </w:p>
        </w:tc>
        <w:tc>
          <w:tcPr>
            <w:tcW w:w="800" w:type="dxa"/>
            <w:vAlign w:val="bottom"/>
          </w:tcPr>
          <w:p>
            <w:pPr>
              <w:spacing w:after="0"/>
              <w:rPr>
                <w:sz w:val="5"/>
                <w:szCs w:val="5"/>
                <w:color w:val="auto"/>
              </w:rPr>
            </w:pPr>
          </w:p>
        </w:tc>
        <w:tc>
          <w:tcPr>
            <w:tcW w:w="880" w:type="dxa"/>
            <w:vAlign w:val="bottom"/>
            <w:vMerge w:val="restart"/>
          </w:tcPr>
          <w:p>
            <w:pPr>
              <w:ind w:left="40"/>
              <w:spacing w:after="0" w:line="208" w:lineRule="exact"/>
              <w:rPr>
                <w:sz w:val="20"/>
                <w:szCs w:val="20"/>
                <w:color w:val="auto"/>
              </w:rPr>
            </w:pPr>
            <w:r>
              <w:rPr>
                <w:rFonts w:ascii="Arial" w:cs="Arial" w:eastAsia="Arial" w:hAnsi="Arial"/>
                <w:sz w:val="13"/>
                <w:szCs w:val="13"/>
                <w:color w:val="0000FF"/>
                <w:w w:val="98"/>
              </w:rPr>
              <w:t>18,319,052</w:t>
            </w:r>
            <w:r>
              <w:rPr>
                <w:rFonts w:ascii="Arial" w:cs="Arial" w:eastAsia="Arial" w:hAnsi="Arial"/>
                <w:sz w:val="22"/>
                <w:szCs w:val="22"/>
                <w:color w:val="008000"/>
                <w:w w:val="98"/>
                <w:vertAlign w:val="superscript"/>
              </w:rPr>
              <w:t>(6)</w:t>
            </w:r>
          </w:p>
        </w:tc>
        <w:tc>
          <w:tcPr>
            <w:tcW w:w="76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00" w:type="dxa"/>
            <w:vAlign w:val="bottom"/>
            <w:vMerge w:val="restart"/>
          </w:tcPr>
          <w:p>
            <w:pPr>
              <w:ind w:left="34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vMerge w:val="restart"/>
          </w:tcPr>
          <w:p>
            <w:pPr>
              <w:ind w:left="260"/>
              <w:spacing w:after="0" w:line="141" w:lineRule="exact"/>
              <w:rPr>
                <w:sz w:val="20"/>
                <w:szCs w:val="20"/>
                <w:color w:val="auto"/>
              </w:rPr>
            </w:pPr>
            <w:r>
              <w:rPr>
                <w:rFonts w:ascii="Arial" w:cs="Arial" w:eastAsia="Arial" w:hAnsi="Arial"/>
                <w:sz w:val="13"/>
                <w:szCs w:val="13"/>
                <w:color w:val="0000FF"/>
              </w:rPr>
              <w:t>03/28/2018</w:t>
            </w:r>
          </w:p>
        </w:tc>
        <w:tc>
          <w:tcPr>
            <w:tcW w:w="1120" w:type="dxa"/>
            <w:vAlign w:val="bottom"/>
          </w:tcPr>
          <w:p>
            <w:pPr>
              <w:spacing w:after="0"/>
              <w:rPr>
                <w:sz w:val="5"/>
                <w:szCs w:val="5"/>
                <w:color w:val="auto"/>
              </w:rPr>
            </w:pPr>
          </w:p>
        </w:tc>
        <w:tc>
          <w:tcPr>
            <w:tcW w:w="82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60" w:type="dxa"/>
            <w:vAlign w:val="bottom"/>
            <w:vMerge w:val="restart"/>
          </w:tcPr>
          <w:p>
            <w:pPr>
              <w:ind w:left="400"/>
              <w:spacing w:after="0" w:line="141" w:lineRule="exact"/>
              <w:rPr>
                <w:sz w:val="20"/>
                <w:szCs w:val="20"/>
                <w:color w:val="auto"/>
              </w:rPr>
            </w:pPr>
            <w:r>
              <w:rPr>
                <w:rFonts w:ascii="Arial" w:cs="Arial" w:eastAsia="Arial" w:hAnsi="Arial"/>
                <w:sz w:val="13"/>
                <w:szCs w:val="13"/>
                <w:color w:val="0000FF"/>
              </w:rPr>
              <w:t>7,899</w:t>
            </w: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480" w:type="dxa"/>
            <w:vAlign w:val="bottom"/>
            <w:vMerge w:val="restart"/>
          </w:tcPr>
          <w:p>
            <w:pPr>
              <w:ind w:left="200"/>
              <w:spacing w:after="0" w:line="141" w:lineRule="exact"/>
              <w:rPr>
                <w:sz w:val="20"/>
                <w:szCs w:val="20"/>
                <w:color w:val="auto"/>
              </w:rPr>
            </w:pPr>
            <w:r>
              <w:rPr>
                <w:rFonts w:ascii="Arial" w:cs="Arial" w:eastAsia="Arial" w:hAnsi="Arial"/>
                <w:sz w:val="13"/>
                <w:szCs w:val="13"/>
                <w:color w:val="0000FF"/>
              </w:rPr>
              <w:t>A</w:t>
            </w:r>
          </w:p>
        </w:tc>
        <w:tc>
          <w:tcPr>
            <w:tcW w:w="600" w:type="dxa"/>
            <w:vAlign w:val="bottom"/>
            <w:vMerge w:val="continue"/>
          </w:tcPr>
          <w:p>
            <w:pPr>
              <w:spacing w:after="0"/>
              <w:rPr>
                <w:sz w:val="5"/>
                <w:szCs w:val="5"/>
                <w:color w:val="auto"/>
              </w:rPr>
            </w:pPr>
          </w:p>
        </w:tc>
        <w:tc>
          <w:tcPr>
            <w:tcW w:w="800" w:type="dxa"/>
            <w:vAlign w:val="bottom"/>
            <w:vMerge w:val="restart"/>
          </w:tcPr>
          <w:p>
            <w:pPr>
              <w:ind w:left="300"/>
              <w:spacing w:after="0" w:line="14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80" w:type="dxa"/>
            <w:vAlign w:val="bottom"/>
            <w:vMerge w:val="continue"/>
          </w:tcPr>
          <w:p>
            <w:pPr>
              <w:spacing w:after="0"/>
              <w:rPr>
                <w:sz w:val="5"/>
                <w:szCs w:val="5"/>
                <w:color w:val="auto"/>
              </w:rPr>
            </w:pPr>
          </w:p>
        </w:tc>
        <w:tc>
          <w:tcPr>
            <w:tcW w:w="76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I</w:t>
            </w:r>
          </w:p>
        </w:tc>
        <w:tc>
          <w:tcPr>
            <w:tcW w:w="9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A Units/GP</w:t>
            </w:r>
          </w:p>
        </w:tc>
        <w:tc>
          <w:tcPr>
            <w:tcW w:w="80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gridSpan w:val="2"/>
          </w:tcPr>
          <w:p>
            <w:pPr>
              <w:ind w:left="60"/>
              <w:spacing w:after="0" w:line="80" w:lineRule="exact"/>
              <w:rPr>
                <w:sz w:val="20"/>
                <w:szCs w:val="20"/>
                <w:color w:val="auto"/>
              </w:rPr>
            </w:pPr>
            <w:r>
              <w:rPr>
                <w:rFonts w:ascii="Arial" w:cs="Arial" w:eastAsia="Arial" w:hAnsi="Arial"/>
                <w:sz w:val="9"/>
                <w:szCs w:val="9"/>
                <w:color w:val="0000FF"/>
              </w:rPr>
              <w:t>See footnotes</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3"/>
                <w:szCs w:val="13"/>
                <w:color w:val="0000FF"/>
                <w:w w:val="97"/>
              </w:rPr>
              <w:t>Shares</w:t>
            </w: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ind w:left="60"/>
              <w:spacing w:after="0" w:line="84" w:lineRule="exact"/>
              <w:rPr>
                <w:sz w:val="20"/>
                <w:szCs w:val="20"/>
                <w:color w:val="auto"/>
              </w:rPr>
            </w:pPr>
            <w:r>
              <w:rPr>
                <w:rFonts w:ascii="Arial" w:cs="Arial" w:eastAsia="Arial" w:hAnsi="Arial"/>
                <w:sz w:val="9"/>
                <w:szCs w:val="9"/>
                <w:color w:val="008000"/>
              </w:rPr>
              <w:t>(2)(3)</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180" w:firstLine="6"/>
        <w:spacing w:after="0" w:line="249"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As of the date of this Form 4, the Reporting Person holds an indirect ownership interest in Plains GP Holdings, L.P. (the "Issuer") through his ownership in KAFU Holdings (QP), L.P. ("KAFU"). Further the Reporting Person is the Co-Chairman of Kayne Anderson Capital Advisors, L.P. ("KACALP"), an SEC registered investment adviser and the managing member of KAFU. The Reporting Person may be deemed to be the beneficial owner of all of the interests held by KAFU.</w:t>
      </w:r>
    </w:p>
    <w:p>
      <w:pPr>
        <w:spacing w:after="0" w:line="25"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Eight Amended and Restated limited partnership agreement of Plains AAP, L.P. ("AAP") provides that each limited partner has the right at any time (without expiration) to immediately exchange (the</w:t>
      </w:r>
    </w:p>
    <w:p>
      <w:pPr>
        <w:sectPr>
          <w:pgSz w:w="11900" w:h="16844" w:orient="portrait"/>
          <w:cols w:equalWidth="0" w:num="1">
            <w:col w:w="11520"/>
          </w:cols>
          <w:pgMar w:left="240" w:top="224" w:right="139" w:bottom="0" w:gutter="0" w:footer="0" w:header="0"/>
          <w:type w:val="continuous"/>
        </w:sectPr>
      </w:pPr>
    </w:p>
    <w:bookmarkStart w:id="1" w:name="page2"/>
    <w:bookmarkEnd w:id="1"/>
    <w:p>
      <w:pPr>
        <w:ind w:right="260"/>
        <w:spacing w:after="0" w:line="264" w:lineRule="auto"/>
        <w:rPr>
          <w:sz w:val="20"/>
          <w:szCs w:val="20"/>
          <w:color w:val="auto"/>
        </w:rPr>
      </w:pPr>
      <w:r>
        <w:rPr>
          <w:rFonts w:ascii="Arial" w:cs="Arial" w:eastAsia="Arial" w:hAnsi="Arial"/>
          <w:sz w:val="13"/>
          <w:szCs w:val="13"/>
          <w:color w:val="008000"/>
        </w:rPr>
        <w:t>"Exchange Right") its Class A units in AAP, together with a like number of associated Class B shares in the Issuer and GP units in PAA GP Holdings LLC, for a like number of Class A shares of the Issuer. On March 28, 2018, KAFU Holdings (QP), L.P. exercised the Exchange Right with respect to 7,899 Class A Units.</w:t>
      </w:r>
    </w:p>
    <w:p>
      <w:pPr>
        <w:spacing w:after="0" w:line="16" w:lineRule="exact"/>
        <w:rPr>
          <w:sz w:val="20"/>
          <w:szCs w:val="20"/>
          <w:color w:val="auto"/>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 securities held by KAFU and KACALP, except to the extent of his pecuniary interest therein.</w:t>
      </w:r>
    </w:p>
    <w:p>
      <w:pPr>
        <w:spacing w:after="0" w:line="49" w:lineRule="exact"/>
        <w:rPr>
          <w:rFonts w:ascii="Arial" w:cs="Arial" w:eastAsia="Arial" w:hAnsi="Arial"/>
          <w:sz w:val="13"/>
          <w:szCs w:val="13"/>
          <w:color w:val="008000"/>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transactions involve in-kind distributions to redeeming limited partners of KAFU Holdings (QP), L.P.</w:t>
      </w:r>
    </w:p>
    <w:p>
      <w:pPr>
        <w:spacing w:after="0" w:line="49" w:lineRule="exact"/>
        <w:rPr>
          <w:rFonts w:ascii="Arial" w:cs="Arial" w:eastAsia="Arial" w:hAnsi="Arial"/>
          <w:sz w:val="13"/>
          <w:szCs w:val="13"/>
          <w:color w:val="008000"/>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Cliffwood Energy Partners, L.P. is a family investment vehicle. Mr. Sinnott is the managing member of the general partner.</w:t>
      </w:r>
    </w:p>
    <w:p>
      <w:pPr>
        <w:spacing w:after="0" w:line="49" w:lineRule="exact"/>
        <w:rPr>
          <w:rFonts w:ascii="Arial" w:cs="Arial" w:eastAsia="Arial" w:hAnsi="Arial"/>
          <w:sz w:val="13"/>
          <w:szCs w:val="13"/>
          <w:color w:val="008000"/>
        </w:rPr>
      </w:pPr>
    </w:p>
    <w:p>
      <w:pPr>
        <w:ind w:firstLine="6"/>
        <w:spacing w:after="0" w:line="249" w:lineRule="auto"/>
        <w:tabs>
          <w:tab w:leader="none" w:pos="13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 a simultaneous transaction, KAFU exercised the redemption right provided for in the limited partnership agreement of AAP with respect to 39,224 Class A units. As a result, such Class A units were cancelled and 39,224 Common Units of Plains All American Pipeline, L.P. were distributed by AAP to KAFU. The number of derivative securities owned reflects both the exchange transaction reported herein and the simultaneous redemption transaction.</w:t>
      </w:r>
    </w:p>
    <w:p>
      <w:pPr>
        <w:spacing w:after="0" w:line="25" w:lineRule="exact"/>
        <w:rPr>
          <w:rFonts w:ascii="Arial" w:cs="Arial" w:eastAsia="Arial" w:hAnsi="Arial"/>
          <w:sz w:val="13"/>
          <w:szCs w:val="13"/>
          <w:color w:val="008000"/>
        </w:rPr>
      </w:pPr>
    </w:p>
    <w:p>
      <w:pPr>
        <w:ind w:left="140" w:hanging="134"/>
        <w:spacing w:after="0"/>
        <w:tabs>
          <w:tab w:leader="none" w:pos="1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by KACALP. The Reporting Person is Co-Chairman of KACALP and may be deemed to beneficially own the Class A Shares.</w:t>
      </w:r>
    </w:p>
    <w:p>
      <w:pPr>
        <w:spacing w:after="0" w:line="62" w:lineRule="exact"/>
        <w:rPr>
          <w:sz w:val="20"/>
          <w:szCs w:val="20"/>
          <w:color w:val="auto"/>
        </w:rPr>
      </w:pPr>
    </w:p>
    <w:tbl>
      <w:tblPr>
        <w:tblLayout w:type="fixed"/>
        <w:tblInd w:w="6820" w:type="dxa"/>
        <w:tblCellMar>
          <w:top w:w="0" w:type="dxa"/>
          <w:left w:w="0" w:type="dxa"/>
          <w:bottom w:w="0" w:type="dxa"/>
          <w:right w:w="0" w:type="dxa"/>
        </w:tblCellMar>
      </w:tblPr>
      <w:tr>
        <w:trPr>
          <w:trHeight w:val="195"/>
        </w:trPr>
        <w:tc>
          <w:tcPr>
            <w:tcW w:w="1200" w:type="dxa"/>
            <w:vAlign w:val="bottom"/>
          </w:tcPr>
          <w:p>
            <w:pPr>
              <w:spacing w:after="0"/>
              <w:rPr>
                <w:sz w:val="20"/>
                <w:szCs w:val="20"/>
                <w:color w:val="auto"/>
              </w:rPr>
            </w:pPr>
            <w:r>
              <w:rPr>
                <w:rFonts w:ascii="Arial" w:cs="Arial" w:eastAsia="Arial" w:hAnsi="Arial"/>
                <w:sz w:val="17"/>
                <w:szCs w:val="17"/>
                <w:color w:val="0000FF"/>
                <w:w w:val="91"/>
              </w:rPr>
              <w:t>Robert V. Sinnott</w:t>
            </w:r>
          </w:p>
        </w:tc>
        <w:tc>
          <w:tcPr>
            <w:tcW w:w="900" w:type="dxa"/>
            <w:vAlign w:val="bottom"/>
          </w:tcPr>
          <w:p>
            <w:pPr>
              <w:spacing w:after="0"/>
              <w:rPr>
                <w:sz w:val="16"/>
                <w:szCs w:val="16"/>
                <w:color w:val="auto"/>
              </w:rPr>
            </w:pPr>
          </w:p>
        </w:tc>
        <w:tc>
          <w:tcPr>
            <w:tcW w:w="980" w:type="dxa"/>
            <w:vAlign w:val="bottom"/>
            <w:gridSpan w:val="2"/>
          </w:tcPr>
          <w:p>
            <w:pPr>
              <w:ind w:left="200"/>
              <w:spacing w:after="0"/>
              <w:rPr>
                <w:sz w:val="20"/>
                <w:szCs w:val="20"/>
                <w:color w:val="auto"/>
              </w:rPr>
            </w:pPr>
            <w:r>
              <w:rPr>
                <w:rFonts w:ascii="Arial" w:cs="Arial" w:eastAsia="Arial" w:hAnsi="Arial"/>
                <w:sz w:val="17"/>
                <w:szCs w:val="17"/>
                <w:color w:val="0000FF"/>
                <w:w w:val="89"/>
              </w:rPr>
              <w:t>03/29/2018</w:t>
            </w:r>
          </w:p>
        </w:tc>
      </w:tr>
      <w:tr>
        <w:trPr>
          <w:trHeight w:val="20"/>
        </w:trPr>
        <w:tc>
          <w:tcPr>
            <w:tcW w:w="12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2"/>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right="3660" w:firstLine="6"/>
        <w:spacing w:after="0" w:line="317"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80" w:top="13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625" TargetMode="External"/><Relationship Id="rId13"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2020-01-13T23:46:51Z</dcterms:created>
  <dcterms:modified xsi:type="dcterms:W3CDTF">2020-01-13T23:46:51Z</dcterms:modified>
</cp:coreProperties>
</file>