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06/09/2017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4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2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2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08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06/09/2017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40" w:type="dxa"/>
            <w:vAlign w:val="bottom"/>
            <w:vMerge w:val="restart"/>
          </w:tcPr>
          <w:p>
            <w:pPr>
              <w:ind w:left="240"/>
              <w:spacing w:after="0"/>
              <w:rPr>
                <w:sz w:val="20"/>
                <w:szCs w:val="20"/>
                <w:color w:val="auto"/>
              </w:rPr>
            </w:pPr>
            <w:r>
              <w:rPr>
                <w:rFonts w:ascii="Arial" w:cs="Arial" w:eastAsia="Arial" w:hAnsi="Arial"/>
                <w:sz w:val="18"/>
                <w:szCs w:val="18"/>
                <w:color w:val="0000FF"/>
                <w:w w:val="87"/>
              </w:rPr>
              <w:t>31,000</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34"/>
              <w:spacing w:after="0"/>
              <w:rPr>
                <w:sz w:val="20"/>
                <w:szCs w:val="20"/>
                <w:color w:val="auto"/>
              </w:rPr>
            </w:pPr>
            <w:r>
              <w:rPr>
                <w:rFonts w:ascii="Arial" w:cs="Arial" w:eastAsia="Arial" w:hAnsi="Arial"/>
                <w:sz w:val="11"/>
                <w:szCs w:val="11"/>
                <w:color w:val="008000"/>
              </w:rPr>
              <w:t>(1)(2)</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288,281,171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60" w:type="dxa"/>
            <w:vAlign w:val="bottom"/>
            <w:gridSpan w:val="9"/>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3"/>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6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 if applicable.</w:t>
      </w:r>
    </w:p>
    <w:p>
      <w:pPr>
        <w:spacing w:after="0" w:line="8" w:lineRule="exact"/>
        <w:rPr>
          <w:rFonts w:ascii="Arial" w:cs="Arial" w:eastAsia="Arial" w:hAnsi="Arial"/>
          <w:sz w:val="12"/>
          <w:szCs w:val="12"/>
          <w:color w:val="008000"/>
        </w:rPr>
      </w:pPr>
    </w:p>
    <w:p>
      <w:pPr>
        <w:ind w:left="20" w:right="38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June 9, 2017, a holder of AAP Class A units exercised Redemption Rights with respect to 31,000 AAP Class A units, resulting in the cancellation of such AAP Class A units and the distribution of 31,000 Common Units from AAP to the redeeming partner.</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06/09/2017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2020-01-16T03:29:38Z</dcterms:created>
  <dcterms:modified xsi:type="dcterms:W3CDTF">2020-01-16T03:29:38Z</dcterms:modified>
</cp:coreProperties>
</file>