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15"/>
        </w:rPr>
      </w:pPr>
      <w:bookmarkStart w:id="0" w:name="a13-26950_1s8.htm"/>
      <w:bookmarkStart w:id="1" w:name="ksa1326950_1s8"/>
      <w:bookmarkEnd w:id="0"/>
      <w:bookmarkEnd w:id="1"/>
      <w:r>
        <w:rPr>
          <w:rFonts w:ascii="Times New Roman" w:hAnsi="Times New Roman"/>
          <w:b/>
          <w:sz w:val="15"/>
        </w:rPr>
        <w:t>As filed with the Securities and Exchange Commission on December 31, 2013</w:t>
      </w:r>
    </w:p>
    <w:p>
      <w:pPr>
        <w:pStyle w:val="TextBody"/>
        <w:spacing w:before="0" w:after="0"/>
        <w:ind w:left="0" w:right="0" w:hanging="0"/>
        <w:jc w:val="right"/>
        <w:rPr>
          <w:rFonts w:ascii="Times New Roman" w:hAnsi="Times New Roman"/>
          <w:b/>
          <w:sz w:val="15"/>
        </w:rPr>
      </w:pPr>
      <w:r>
        <w:rPr>
          <w:rFonts w:ascii="Times New Roman" w:hAnsi="Times New Roman"/>
          <w:b/>
          <w:sz w:val="15"/>
        </w:rPr>
        <w:t>Registration No. 333-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SECURITIES AND EXCHANGE COMMISSION</w:t>
      </w:r>
    </w:p>
    <w:p>
      <w:pPr>
        <w:pStyle w:val="TextBody"/>
        <w:spacing w:before="0" w:after="0"/>
        <w:ind w:left="0" w:right="0" w:hanging="0"/>
        <w:jc w:val="center"/>
        <w:rPr>
          <w:rFonts w:ascii="Times New Roman" w:hAnsi="Times New Roman"/>
          <w:b/>
          <w:sz w:val="15"/>
        </w:rPr>
      </w:pPr>
      <w:r>
        <w:rPr>
          <w:rFonts w:ascii="Times New Roman" w:hAnsi="Times New Roman"/>
          <w:b/>
          <w:sz w:val="15"/>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FORM S-8</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8"/>
        </w:rPr>
      </w:pPr>
      <w:r>
        <w:rPr>
          <w:rFonts w:ascii="Times New Roman" w:hAnsi="Times New Roman"/>
          <w:b/>
          <w:sz w:val="18"/>
        </w:rPr>
        <w:t>REGISTRATION STATEMENT</w:t>
      </w:r>
    </w:p>
    <w:p>
      <w:pPr>
        <w:pStyle w:val="TextBody"/>
        <w:spacing w:before="0" w:after="0"/>
        <w:ind w:left="0" w:right="0" w:hanging="0"/>
        <w:jc w:val="center"/>
        <w:rPr>
          <w:rFonts w:ascii="Times New Roman" w:hAnsi="Times New Roman"/>
          <w:b/>
          <w:sz w:val="18"/>
        </w:rPr>
      </w:pPr>
      <w:r>
        <w:rPr>
          <w:rFonts w:ascii="Times New Roman" w:hAnsi="Times New Roman"/>
          <w:b/>
          <w:sz w:val="18"/>
        </w:rPr>
        <w:t>UNDER</w:t>
      </w:r>
    </w:p>
    <w:p>
      <w:pPr>
        <w:pStyle w:val="TextBody"/>
        <w:spacing w:before="0" w:after="0"/>
        <w:ind w:left="0" w:right="0" w:hanging="0"/>
        <w:jc w:val="center"/>
        <w:rPr>
          <w:rFonts w:ascii="Times New Roman" w:hAnsi="Times New Roman"/>
          <w:b/>
          <w:sz w:val="18"/>
        </w:rPr>
      </w:pPr>
      <w:r>
        <w:rPr>
          <w:rFonts w:ascii="Times New Roman" w:hAnsi="Times New Roman"/>
          <w:b/>
          <w:sz w:val="18"/>
        </w:rPr>
        <w:t>THE SECURITIES ACT OF 1933</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PLAINS ALL AMERICAN PIPELINE, L.P.</w:t>
      </w:r>
    </w:p>
    <w:p>
      <w:pPr>
        <w:pStyle w:val="TextBody"/>
        <w:spacing w:before="0" w:after="0"/>
        <w:ind w:left="0" w:right="0" w:hanging="0"/>
        <w:jc w:val="center"/>
        <w:rPr>
          <w:rFonts w:ascii="Times New Roman" w:hAnsi="Times New Roman"/>
          <w:sz w:val="15"/>
        </w:rPr>
      </w:pPr>
      <w:r>
        <w:rPr>
          <w:rFonts w:ascii="Times New Roman" w:hAnsi="Times New Roman"/>
          <w:sz w:val="15"/>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5"/>
              </w:rPr>
            </w:pPr>
            <w:r>
              <w:rPr>
                <w:rFonts w:ascii="Times New Roman" w:hAnsi="Times New Roman"/>
                <w:b/>
                <w:sz w:val="15"/>
              </w:rPr>
              <w:t>Delaware</w:t>
            </w:r>
          </w:p>
          <w:p>
            <w:pPr>
              <w:pStyle w:val="TableContents"/>
              <w:spacing w:before="0" w:after="0"/>
              <w:ind w:left="0" w:right="0" w:hanging="0"/>
              <w:jc w:val="center"/>
              <w:rPr>
                <w:rFonts w:ascii="Times New Roman" w:hAnsi="Times New Roman"/>
                <w:sz w:val="15"/>
              </w:rPr>
            </w:pPr>
            <w:r>
              <w:rPr>
                <w:rFonts w:ascii="Times New Roman" w:hAnsi="Times New Roman"/>
                <w:sz w:val="15"/>
              </w:rPr>
              <w:t>(State or Other Jurisdiction of</w:t>
            </w:r>
          </w:p>
          <w:p>
            <w:pPr>
              <w:pStyle w:val="TableContents"/>
              <w:spacing w:before="0" w:after="0"/>
              <w:ind w:left="0" w:right="0" w:hanging="0"/>
              <w:jc w:val="center"/>
              <w:rPr>
                <w:rFonts w:ascii="Times New Roman" w:hAnsi="Times New Roman"/>
                <w:sz w:val="15"/>
              </w:rPr>
            </w:pPr>
            <w:r>
              <w:rPr>
                <w:rFonts w:ascii="Times New Roman" w:hAnsi="Times New Roman"/>
                <w:sz w:val="15"/>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5"/>
              </w:rPr>
            </w:pPr>
            <w:r>
              <w:rPr>
                <w:rFonts w:ascii="Times New Roman" w:hAnsi="Times New Roman"/>
                <w:b/>
                <w:sz w:val="15"/>
              </w:rPr>
              <w:t>76-0582150</w:t>
            </w:r>
          </w:p>
          <w:p>
            <w:pPr>
              <w:pStyle w:val="TableContents"/>
              <w:spacing w:before="0" w:after="0"/>
              <w:ind w:left="0" w:right="0" w:hanging="0"/>
              <w:jc w:val="center"/>
              <w:rPr>
                <w:rFonts w:ascii="Times New Roman" w:hAnsi="Times New Roman"/>
                <w:sz w:val="15"/>
              </w:rPr>
            </w:pPr>
            <w:r>
              <w:rPr>
                <w:rFonts w:ascii="Times New Roman" w:hAnsi="Times New Roman"/>
                <w:sz w:val="15"/>
              </w:rPr>
              <w:t>(I.R.S. Employer</w:t>
            </w:r>
          </w:p>
          <w:p>
            <w:pPr>
              <w:pStyle w:val="TableContents"/>
              <w:spacing w:before="0" w:after="0"/>
              <w:ind w:left="0" w:right="0" w:hanging="0"/>
              <w:jc w:val="center"/>
              <w:rPr>
                <w:rFonts w:ascii="Times New Roman" w:hAnsi="Times New Roman"/>
                <w:sz w:val="15"/>
              </w:rPr>
            </w:pPr>
            <w:r>
              <w:rPr>
                <w:rFonts w:ascii="Times New Roman" w:hAnsi="Times New Roman"/>
                <w:sz w:val="15"/>
              </w:rPr>
              <w:t>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333 Clay Street, Suite 1600</w:t>
      </w:r>
    </w:p>
    <w:p>
      <w:pPr>
        <w:pStyle w:val="TextBody"/>
        <w:spacing w:before="0" w:after="0"/>
        <w:ind w:left="0" w:right="0" w:hanging="0"/>
        <w:jc w:val="center"/>
        <w:rPr>
          <w:rFonts w:ascii="Times New Roman" w:hAnsi="Times New Roman"/>
          <w:b/>
          <w:sz w:val="15"/>
        </w:rPr>
      </w:pPr>
      <w:r>
        <w:rPr>
          <w:rFonts w:ascii="Times New Roman" w:hAnsi="Times New Roman"/>
          <w:b/>
          <w:sz w:val="15"/>
        </w:rPr>
        <w:t>Houston, Texas 77002</w:t>
      </w:r>
    </w:p>
    <w:p>
      <w:pPr>
        <w:pStyle w:val="TextBody"/>
        <w:spacing w:before="0" w:after="0"/>
        <w:ind w:left="0" w:right="0" w:hanging="0"/>
        <w:jc w:val="center"/>
        <w:rPr>
          <w:rFonts w:ascii="Times New Roman" w:hAnsi="Times New Roman"/>
          <w:sz w:val="15"/>
        </w:rPr>
      </w:pPr>
      <w:r>
        <w:rPr>
          <w:rFonts w:ascii="Times New Roman" w:hAnsi="Times New Roman"/>
          <w:sz w:val="15"/>
        </w:rPr>
        <w:t>(Address of Principal Executive Offices, Including Zip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PLAINS ALL AMERICAN PNG SUCCESSOR LONG-TERM INCENTIVE PLAN</w:t>
      </w:r>
    </w:p>
    <w:p>
      <w:pPr>
        <w:pStyle w:val="TextBody"/>
        <w:spacing w:before="0" w:after="0"/>
        <w:ind w:left="0" w:right="0" w:hanging="0"/>
        <w:jc w:val="center"/>
        <w:rPr>
          <w:rFonts w:ascii="Times New Roman" w:hAnsi="Times New Roman"/>
          <w:sz w:val="15"/>
        </w:rPr>
      </w:pPr>
      <w:r>
        <w:rPr>
          <w:rFonts w:ascii="Times New Roman" w:hAnsi="Times New Roman"/>
          <w:sz w:val="15"/>
        </w:rPr>
        <w:t>(Full Title of the Plan)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Richard McGee</w:t>
      </w:r>
    </w:p>
    <w:p>
      <w:pPr>
        <w:pStyle w:val="TextBody"/>
        <w:spacing w:before="0" w:after="0"/>
        <w:ind w:left="0" w:right="0" w:hanging="0"/>
        <w:jc w:val="center"/>
        <w:rPr>
          <w:rFonts w:ascii="Times New Roman" w:hAnsi="Times New Roman"/>
          <w:b/>
          <w:sz w:val="15"/>
        </w:rPr>
      </w:pPr>
      <w:r>
        <w:rPr>
          <w:rFonts w:ascii="Times New Roman" w:hAnsi="Times New Roman"/>
          <w:b/>
          <w:sz w:val="15"/>
        </w:rPr>
        <w:t>Executive Vice President</w:t>
      </w:r>
    </w:p>
    <w:p>
      <w:pPr>
        <w:pStyle w:val="TextBody"/>
        <w:spacing w:before="0" w:after="0"/>
        <w:ind w:left="0" w:right="0" w:hanging="0"/>
        <w:jc w:val="center"/>
        <w:rPr>
          <w:rFonts w:ascii="Times New Roman" w:hAnsi="Times New Roman"/>
          <w:b/>
          <w:sz w:val="15"/>
        </w:rPr>
      </w:pPr>
      <w:r>
        <w:rPr>
          <w:rFonts w:ascii="Times New Roman" w:hAnsi="Times New Roman"/>
          <w:b/>
          <w:sz w:val="15"/>
        </w:rPr>
        <w:t>333 Clay Street, Suite 1600</w:t>
      </w:r>
    </w:p>
    <w:p>
      <w:pPr>
        <w:pStyle w:val="TextBody"/>
        <w:spacing w:before="0" w:after="0"/>
        <w:ind w:left="0" w:right="0" w:hanging="0"/>
        <w:jc w:val="center"/>
        <w:rPr>
          <w:rFonts w:ascii="Times New Roman" w:hAnsi="Times New Roman"/>
          <w:b/>
          <w:sz w:val="15"/>
        </w:rPr>
      </w:pPr>
      <w:r>
        <w:rPr>
          <w:rFonts w:ascii="Times New Roman" w:hAnsi="Times New Roman"/>
          <w:b/>
          <w:sz w:val="15"/>
        </w:rPr>
        <w:t>Houston, Texas 77002</w:t>
      </w:r>
    </w:p>
    <w:p>
      <w:pPr>
        <w:pStyle w:val="TextBody"/>
        <w:spacing w:before="0" w:after="0"/>
        <w:ind w:left="0" w:right="0" w:hanging="0"/>
        <w:jc w:val="center"/>
        <w:rPr>
          <w:rFonts w:ascii="Times New Roman" w:hAnsi="Times New Roman"/>
          <w:b/>
          <w:sz w:val="15"/>
        </w:rPr>
      </w:pPr>
      <w:r>
        <w:rPr>
          <w:rFonts w:ascii="Times New Roman" w:hAnsi="Times New Roman"/>
          <w:b/>
          <w:sz w:val="15"/>
        </w:rPr>
        <w:t>(713) 646-4100</w:t>
      </w:r>
    </w:p>
    <w:p>
      <w:pPr>
        <w:pStyle w:val="TextBody"/>
        <w:spacing w:before="0" w:after="0"/>
        <w:ind w:left="0" w:right="0" w:hanging="0"/>
        <w:jc w:val="center"/>
        <w:rPr>
          <w:rFonts w:ascii="Times New Roman" w:hAnsi="Times New Roman"/>
          <w:sz w:val="15"/>
        </w:rPr>
      </w:pPr>
      <w:r>
        <w:rPr>
          <w:rFonts w:ascii="Times New Roman" w:hAnsi="Times New Roman"/>
          <w:sz w:val="15"/>
        </w:rPr>
        <w:t>(Name, Address and Telephone Number of Agent For Service)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copy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David P. Oelman</w:t>
      </w:r>
    </w:p>
    <w:p>
      <w:pPr>
        <w:pStyle w:val="TextBody"/>
        <w:spacing w:before="0" w:after="0"/>
        <w:ind w:left="0" w:right="0" w:hanging="0"/>
        <w:jc w:val="center"/>
        <w:rPr>
          <w:rFonts w:ascii="Times New Roman" w:hAnsi="Times New Roman"/>
          <w:b/>
          <w:sz w:val="15"/>
        </w:rPr>
      </w:pPr>
      <w:r>
        <w:rPr>
          <w:rFonts w:ascii="Times New Roman" w:hAnsi="Times New Roman"/>
          <w:b/>
          <w:sz w:val="15"/>
        </w:rPr>
        <w:t>D. Alan Beck, Jr.</w:t>
      </w:r>
    </w:p>
    <w:p>
      <w:pPr>
        <w:pStyle w:val="TextBody"/>
        <w:spacing w:before="0" w:after="0"/>
        <w:ind w:left="0" w:right="0" w:hanging="0"/>
        <w:jc w:val="center"/>
        <w:rPr>
          <w:rFonts w:ascii="Times New Roman" w:hAnsi="Times New Roman"/>
          <w:sz w:val="15"/>
        </w:rPr>
      </w:pPr>
      <w:r>
        <w:rPr>
          <w:rFonts w:ascii="Times New Roman" w:hAnsi="Times New Roman"/>
          <w:sz w:val="15"/>
        </w:rPr>
        <w:t>Vinson &amp; Elkins L.L.P.</w:t>
      </w:r>
    </w:p>
    <w:p>
      <w:pPr>
        <w:pStyle w:val="TextBody"/>
        <w:spacing w:before="0" w:after="0"/>
        <w:ind w:left="0" w:right="0" w:hanging="0"/>
        <w:jc w:val="center"/>
        <w:rPr>
          <w:rFonts w:ascii="Times New Roman" w:hAnsi="Times New Roman"/>
          <w:sz w:val="15"/>
        </w:rPr>
      </w:pPr>
      <w:r>
        <w:rPr>
          <w:rFonts w:ascii="Times New Roman" w:hAnsi="Times New Roman"/>
          <w:sz w:val="15"/>
        </w:rPr>
        <w:t>1001 Fannin Street, Suite 2500</w:t>
      </w:r>
    </w:p>
    <w:p>
      <w:pPr>
        <w:pStyle w:val="TextBody"/>
        <w:spacing w:before="0" w:after="0"/>
        <w:ind w:left="0" w:right="0" w:hanging="0"/>
        <w:jc w:val="center"/>
        <w:rPr>
          <w:rFonts w:ascii="Times New Roman" w:hAnsi="Times New Roman"/>
          <w:sz w:val="15"/>
        </w:rPr>
      </w:pPr>
      <w:r>
        <w:rPr>
          <w:rFonts w:ascii="Times New Roman" w:hAnsi="Times New Roman"/>
          <w:sz w:val="15"/>
        </w:rPr>
        <w:t>Houston, Texas 77002</w:t>
      </w:r>
    </w:p>
    <w:p>
      <w:pPr>
        <w:pStyle w:val="TextBody"/>
        <w:spacing w:before="0" w:after="0"/>
        <w:ind w:left="0" w:right="0" w:hanging="0"/>
        <w:jc w:val="center"/>
        <w:rPr>
          <w:rFonts w:ascii="Times New Roman" w:hAnsi="Times New Roman"/>
          <w:sz w:val="15"/>
        </w:rPr>
      </w:pPr>
      <w:r>
        <w:rPr>
          <w:rFonts w:ascii="Times New Roman" w:hAnsi="Times New Roman"/>
          <w:sz w:val="15"/>
        </w:rPr>
        <w:t>(713) 758-2222</w:t>
      </w:r>
    </w:p>
    <w:p>
      <w:pPr>
        <w:pStyle w:val="TextBody"/>
        <w:spacing w:before="0" w:after="0"/>
        <w:ind w:left="0" w:right="0" w:hanging="0"/>
        <w:rPr/>
      </w:pPr>
      <w:r>
        <w:rPr/>
        <w:t> </w:t>
      </w:r>
    </w:p>
    <w:p>
      <w:pPr>
        <w:pStyle w:val="TextBody"/>
        <w:spacing w:before="0" w:after="0"/>
        <w:ind w:left="0" w:right="0" w:hanging="0"/>
        <w:rPr>
          <w:rFonts w:ascii="Times New Roman" w:hAnsi="Times New Roman"/>
          <w:sz w:val="15"/>
        </w:rPr>
      </w:pPr>
      <w:r>
        <w:rPr>
          <w:rFonts w:ascii="Times New Roman" w:hAnsi="Times New Roman"/>
          <w:sz w:val="15"/>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34"/>
        <w:gridCol w:w="644"/>
        <w:gridCol w:w="1611"/>
        <w:gridCol w:w="644"/>
        <w:gridCol w:w="1826"/>
        <w:gridCol w:w="644"/>
        <w:gridCol w:w="2473"/>
        <w:gridCol w:w="429"/>
      </w:tblGrid>
      <w:tr>
        <w:trPr/>
        <w:tc>
          <w:tcPr>
            <w:tcW w:w="1934"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Large accelerated filer</w:t>
            </w:r>
          </w:p>
        </w:tc>
        <w:tc>
          <w:tcPr>
            <w:tcW w:w="644" w:type="dxa"/>
            <w:tcBorders/>
            <w:shd w:fill="auto" w:val="clear"/>
            <w:vAlign w:val="bottom"/>
          </w:tcPr>
          <w:p>
            <w:pPr>
              <w:pStyle w:val="TableContents"/>
              <w:spacing w:before="0" w:after="0"/>
              <w:ind w:left="0" w:right="0" w:hanging="0"/>
              <w:rPr>
                <w:rFonts w:ascii="Wingdings" w:hAnsi="Wingdings"/>
                <w:sz w:val="15"/>
              </w:rPr>
            </w:pPr>
            <w:r>
              <w:rPr>
                <w:rFonts w:ascii="Wingdings" w:hAnsi="Wingdings"/>
                <w:sz w:val="15"/>
              </w:rPr>
              <w:t>x</w:t>
            </w:r>
          </w:p>
        </w:tc>
        <w:tc>
          <w:tcPr>
            <w:tcW w:w="1611"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Accelerated filer</w:t>
            </w:r>
          </w:p>
        </w:tc>
        <w:tc>
          <w:tcPr>
            <w:tcW w:w="644" w:type="dxa"/>
            <w:tcBorders/>
            <w:shd w:fill="auto" w:val="clear"/>
            <w:vAlign w:val="bottom"/>
          </w:tcPr>
          <w:p>
            <w:pPr>
              <w:pStyle w:val="TableContents"/>
              <w:spacing w:before="0" w:after="0"/>
              <w:ind w:left="0" w:right="0" w:hanging="0"/>
              <w:rPr>
                <w:rFonts w:ascii="Wingdings" w:hAnsi="Wingdings"/>
                <w:sz w:val="15"/>
              </w:rPr>
            </w:pPr>
            <w:r>
              <w:rPr>
                <w:rFonts w:ascii="Wingdings" w:hAnsi="Wingdings"/>
                <w:sz w:val="15"/>
              </w:rPr>
              <w:t>o</w:t>
            </w:r>
          </w:p>
        </w:tc>
        <w:tc>
          <w:tcPr>
            <w:tcW w:w="1826"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Non-accelerated filer</w:t>
            </w:r>
          </w:p>
        </w:tc>
        <w:tc>
          <w:tcPr>
            <w:tcW w:w="644" w:type="dxa"/>
            <w:tcBorders/>
            <w:shd w:fill="auto" w:val="clear"/>
            <w:vAlign w:val="bottom"/>
          </w:tcPr>
          <w:p>
            <w:pPr>
              <w:pStyle w:val="TableContents"/>
              <w:spacing w:before="0" w:after="0"/>
              <w:ind w:left="0" w:right="0" w:hanging="0"/>
              <w:rPr>
                <w:rFonts w:ascii="Wingdings" w:hAnsi="Wingdings"/>
                <w:sz w:val="15"/>
              </w:rPr>
            </w:pPr>
            <w:r>
              <w:rPr>
                <w:rFonts w:ascii="Wingdings" w:hAnsi="Wingdings"/>
                <w:sz w:val="15"/>
              </w:rPr>
              <w:t>o</w:t>
            </w:r>
          </w:p>
        </w:tc>
        <w:tc>
          <w:tcPr>
            <w:tcW w:w="247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Smaller Reporting Company</w:t>
            </w:r>
          </w:p>
        </w:tc>
        <w:tc>
          <w:tcPr>
            <w:tcW w:w="429" w:type="dxa"/>
            <w:tcBorders/>
            <w:shd w:fill="auto" w:val="clear"/>
            <w:vAlign w:val="bottom"/>
          </w:tcPr>
          <w:p>
            <w:pPr>
              <w:pStyle w:val="TableContents"/>
              <w:spacing w:before="0" w:after="0"/>
              <w:ind w:left="0" w:right="0" w:hanging="0"/>
              <w:rPr>
                <w:rFonts w:ascii="Wingdings" w:hAnsi="Wingdings"/>
                <w:sz w:val="15"/>
              </w:rPr>
            </w:pPr>
            <w:r>
              <w:rPr>
                <w:rFonts w:ascii="Wingdings" w:hAnsi="Wingdings"/>
                <w:sz w:val="15"/>
              </w:rPr>
              <w:t>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CALCULATION OF REGISTRATION FEE</w:t>
      </w:r>
    </w:p>
    <w:tbl>
      <w:tblPr>
        <w:tblW w:w="5000" w:type="pct"/>
        <w:jc w:val="left"/>
        <w:tblInd w:w="0" w:type="dxa"/>
        <w:tblCellMar>
          <w:top w:w="0" w:type="dxa"/>
          <w:left w:w="0" w:type="dxa"/>
          <w:bottom w:w="28" w:type="dxa"/>
          <w:right w:w="0" w:type="dxa"/>
        </w:tblCellMar>
      </w:tblPr>
      <w:tblGrid>
        <w:gridCol w:w="2250"/>
        <w:gridCol w:w="110"/>
        <w:gridCol w:w="110"/>
        <w:gridCol w:w="1621"/>
        <w:gridCol w:w="215"/>
        <w:gridCol w:w="110"/>
        <w:gridCol w:w="205"/>
        <w:gridCol w:w="1520"/>
        <w:gridCol w:w="215"/>
        <w:gridCol w:w="110"/>
        <w:gridCol w:w="133"/>
        <w:gridCol w:w="1595"/>
        <w:gridCol w:w="214"/>
        <w:gridCol w:w="110"/>
        <w:gridCol w:w="149"/>
        <w:gridCol w:w="1468"/>
        <w:gridCol w:w="70"/>
      </w:tblGrid>
      <w:tr>
        <w:trPr/>
        <w:tc>
          <w:tcPr>
            <w:tcW w:w="2250"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10"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10"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621"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215"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10"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725" w:type="dxa"/>
            <w:gridSpan w:val="2"/>
            <w:tcBorders>
              <w:bottom w:val="double" w:sz="6" w:space="0" w:color="000000"/>
            </w:tcBorders>
            <w:shd w:fill="auto" w:val="clear"/>
            <w:vAlign w:val="bottom"/>
          </w:tcPr>
          <w:p>
            <w:pPr>
              <w:pStyle w:val="TableContents"/>
              <w:spacing w:before="0" w:after="0"/>
              <w:ind w:left="0" w:right="0" w:hanging="0"/>
              <w:jc w:val="center"/>
              <w:rPr/>
            </w:pPr>
            <w:r>
              <w:rPr/>
              <w:t> </w:t>
            </w:r>
          </w:p>
        </w:tc>
        <w:tc>
          <w:tcPr>
            <w:tcW w:w="215"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10"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728" w:type="dxa"/>
            <w:gridSpan w:val="2"/>
            <w:tcBorders>
              <w:bottom w:val="double" w:sz="6" w:space="0" w:color="000000"/>
            </w:tcBorders>
            <w:shd w:fill="auto" w:val="clear"/>
            <w:vAlign w:val="bottom"/>
          </w:tcPr>
          <w:p>
            <w:pPr>
              <w:pStyle w:val="TableContents"/>
              <w:spacing w:before="0" w:after="0"/>
              <w:ind w:left="0" w:right="0" w:hanging="0"/>
              <w:jc w:val="center"/>
              <w:rPr/>
            </w:pPr>
            <w:r>
              <w:rPr/>
              <w:t> </w:t>
            </w:r>
          </w:p>
        </w:tc>
        <w:tc>
          <w:tcPr>
            <w:tcW w:w="214"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10"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617" w:type="dxa"/>
            <w:gridSpan w:val="2"/>
            <w:tcBorders>
              <w:bottom w:val="double" w:sz="6" w:space="0" w:color="000000"/>
            </w:tcBorders>
            <w:shd w:fill="auto" w:val="clear"/>
            <w:vAlign w:val="bottom"/>
          </w:tcPr>
          <w:p>
            <w:pPr>
              <w:pStyle w:val="TableContents"/>
              <w:spacing w:before="0" w:after="0"/>
              <w:ind w:left="0" w:right="0" w:hanging="0"/>
              <w:jc w:val="center"/>
              <w:rPr/>
            </w:pPr>
            <w:r>
              <w:rPr/>
              <w:t> </w:t>
            </w:r>
          </w:p>
        </w:tc>
        <w:tc>
          <w:tcPr>
            <w:tcW w:w="70" w:type="dxa"/>
            <w:tcBorders>
              <w:bottom w:val="double" w:sz="6" w:space="0" w:color="000000"/>
            </w:tcBorders>
            <w:shd w:fill="auto" w:val="clear"/>
            <w:vAlign w:val="bottom"/>
          </w:tcPr>
          <w:p>
            <w:pPr>
              <w:pStyle w:val="TableContents"/>
              <w:spacing w:before="0" w:after="0"/>
              <w:ind w:left="0" w:right="0" w:hanging="0"/>
              <w:jc w:val="center"/>
              <w:rPr/>
            </w:pPr>
            <w:r>
              <w:rPr/>
              <w:t> </w:t>
            </w:r>
          </w:p>
        </w:tc>
      </w:tr>
      <w:tr>
        <w:trPr/>
        <w:tc>
          <w:tcPr>
            <w:tcW w:w="22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securities</w:t>
              <w:br/>
              <w:t>to be registered</w:t>
            </w:r>
          </w:p>
        </w:tc>
        <w:tc>
          <w:tcPr>
            <w:tcW w:w="110"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0"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621"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2"/>
              </w:rPr>
              <w:t>Amount to be</w:t>
              <w:br/>
              <w:t>Registered </w:t>
            </w:r>
            <w:r>
              <w:rPr>
                <w:b/>
                <w:sz w:val="8"/>
              </w:rPr>
              <w:t>(1)</w:t>
            </w:r>
          </w:p>
        </w:tc>
        <w:tc>
          <w:tcPr>
            <w:tcW w:w="215"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0"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72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Proposed</w:t>
              <w:br/>
              <w:t>maximum offering</w:t>
              <w:br/>
              <w:t>price per unit</w:t>
            </w:r>
          </w:p>
        </w:tc>
        <w:tc>
          <w:tcPr>
            <w:tcW w:w="215"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0"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728"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Proposed</w:t>
              <w:br/>
              <w:t>maximum</w:t>
              <w:br/>
              <w:t>aggregate</w:t>
              <w:br/>
              <w:t>offering price</w:t>
            </w:r>
          </w:p>
        </w:tc>
        <w:tc>
          <w:tcPr>
            <w:tcW w:w="214"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0"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617"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w:t>
              <w:br/>
              <w:t>registration fee</w:t>
            </w:r>
          </w:p>
        </w:tc>
        <w:tc>
          <w:tcPr>
            <w:tcW w:w="70" w:type="dxa"/>
            <w:tcBorders>
              <w:bottom w:val="single" w:sz="8" w:space="0" w:color="000000"/>
            </w:tcBorders>
            <w:shd w:fill="auto" w:val="clear"/>
            <w:vAlign w:val="bottom"/>
          </w:tcPr>
          <w:p>
            <w:pPr>
              <w:pStyle w:val="TableContents"/>
              <w:spacing w:before="0" w:after="0"/>
              <w:ind w:left="0" w:right="0" w:hanging="0"/>
              <w:jc w:val="center"/>
              <w:rPr/>
            </w:pPr>
            <w:r>
              <w:rPr/>
              <w:t> </w:t>
            </w:r>
          </w:p>
        </w:tc>
      </w:tr>
      <w:tr>
        <w:trPr/>
        <w:tc>
          <w:tcPr>
            <w:tcW w:w="2250" w:type="dxa"/>
            <w:tcBorders>
              <w:bottom w:val="single" w:sz="8" w:space="0" w:color="000000"/>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Common Units, representing limited partner interests</w:t>
            </w:r>
          </w:p>
        </w:tc>
        <w:tc>
          <w:tcPr>
            <w:tcW w:w="110"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0" w:type="dxa"/>
            <w:tcBorders>
              <w:bottom w:val="single" w:sz="8" w:space="0" w:color="000000"/>
            </w:tcBorders>
            <w:shd w:fill="auto" w:val="clear"/>
            <w:vAlign w:val="bottom"/>
          </w:tcPr>
          <w:p>
            <w:pPr>
              <w:pStyle w:val="TableContents"/>
              <w:spacing w:before="0" w:after="0"/>
              <w:ind w:left="0" w:right="0" w:hanging="0"/>
              <w:rPr/>
            </w:pPr>
            <w:r>
              <w:rPr/>
              <w:t> </w:t>
            </w:r>
          </w:p>
        </w:tc>
        <w:tc>
          <w:tcPr>
            <w:tcW w:w="1621"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 xml:space="preserve">1,319,980 units </w:t>
            </w:r>
          </w:p>
        </w:tc>
        <w:tc>
          <w:tcPr>
            <w:tcW w:w="215"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0"/>
              </w:rPr>
            </w:pPr>
            <w:r>
              <w:rPr>
                <w:rFonts w:ascii="Times New Roman" w:hAnsi="Times New Roman"/>
                <w:sz w:val="10"/>
              </w:rPr>
              <w:t>(2)</w:t>
            </w:r>
          </w:p>
        </w:tc>
        <w:tc>
          <w:tcPr>
            <w:tcW w:w="110" w:type="dxa"/>
            <w:tcBorders>
              <w:bottom w:val="single" w:sz="8" w:space="0" w:color="000000"/>
            </w:tcBorders>
            <w:shd w:fill="auto" w:val="clear"/>
            <w:vAlign w:val="bottom"/>
          </w:tcPr>
          <w:p>
            <w:pPr>
              <w:pStyle w:val="TableContents"/>
              <w:spacing w:before="0" w:after="0"/>
              <w:ind w:left="0" w:right="0" w:hanging="0"/>
              <w:rPr/>
            </w:pPr>
            <w:r>
              <w:rPr/>
              <w:t> </w:t>
            </w:r>
          </w:p>
        </w:tc>
        <w:tc>
          <w:tcPr>
            <w:tcW w:w="205" w:type="dxa"/>
            <w:tcBorders>
              <w:bottom w:val="single" w:sz="8" w:space="0" w:color="000000"/>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52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51.17</w:t>
            </w:r>
          </w:p>
        </w:tc>
        <w:tc>
          <w:tcPr>
            <w:tcW w:w="215"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0"/>
              </w:rPr>
            </w:pPr>
            <w:r>
              <w:rPr>
                <w:rFonts w:ascii="Times New Roman" w:hAnsi="Times New Roman"/>
                <w:sz w:val="10"/>
              </w:rPr>
              <w:t>(3)</w:t>
            </w:r>
          </w:p>
        </w:tc>
        <w:tc>
          <w:tcPr>
            <w:tcW w:w="110" w:type="dxa"/>
            <w:tcBorders>
              <w:bottom w:val="single" w:sz="8" w:space="0" w:color="000000"/>
            </w:tcBorders>
            <w:shd w:fill="auto" w:val="clear"/>
            <w:vAlign w:val="bottom"/>
          </w:tcPr>
          <w:p>
            <w:pPr>
              <w:pStyle w:val="TableContents"/>
              <w:spacing w:before="0" w:after="0"/>
              <w:ind w:left="0" w:right="0" w:hanging="0"/>
              <w:rPr/>
            </w:pPr>
            <w:r>
              <w:rPr/>
              <w:t> </w:t>
            </w:r>
          </w:p>
        </w:tc>
        <w:tc>
          <w:tcPr>
            <w:tcW w:w="133" w:type="dxa"/>
            <w:tcBorders>
              <w:bottom w:val="single" w:sz="8" w:space="0" w:color="000000"/>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595"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67,543,376.60</w:t>
            </w:r>
          </w:p>
        </w:tc>
        <w:tc>
          <w:tcPr>
            <w:tcW w:w="214" w:type="dxa"/>
            <w:tcBorders>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0"/>
              </w:rPr>
            </w:pPr>
            <w:r>
              <w:rPr>
                <w:rFonts w:ascii="Times New Roman" w:hAnsi="Times New Roman"/>
                <w:sz w:val="10"/>
              </w:rPr>
              <w:t>(3)</w:t>
            </w:r>
          </w:p>
        </w:tc>
        <w:tc>
          <w:tcPr>
            <w:tcW w:w="110" w:type="dxa"/>
            <w:tcBorders>
              <w:bottom w:val="single" w:sz="8" w:space="0" w:color="000000"/>
            </w:tcBorders>
            <w:shd w:fill="auto" w:val="clear"/>
            <w:vAlign w:val="bottom"/>
          </w:tcPr>
          <w:p>
            <w:pPr>
              <w:pStyle w:val="TableContents"/>
              <w:spacing w:before="0" w:after="0"/>
              <w:ind w:left="0" w:right="0" w:hanging="0"/>
              <w:rPr/>
            </w:pPr>
            <w:r>
              <w:rPr/>
              <w:t> </w:t>
            </w:r>
          </w:p>
        </w:tc>
        <w:tc>
          <w:tcPr>
            <w:tcW w:w="149" w:type="dxa"/>
            <w:tcBorders>
              <w:bottom w:val="single" w:sz="8" w:space="0" w:color="000000"/>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468"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8,699.59</w:t>
            </w:r>
          </w:p>
        </w:tc>
        <w:tc>
          <w:tcPr>
            <w:tcW w:w="70" w:type="dxa"/>
            <w:tcBorders>
              <w:bottom w:val="single" w:sz="8" w:space="0" w:color="000000"/>
            </w:tcBorders>
            <w:shd w:fill="auto" w:val="clear"/>
            <w:vAlign w:val="bottom"/>
          </w:tcPr>
          <w:p>
            <w:pPr>
              <w:pStyle w:val="TableContents"/>
              <w:spacing w:before="0" w:after="0"/>
              <w:ind w:left="0" w:right="0" w:hanging="0"/>
              <w:rPr/>
            </w:pPr>
            <w:r>
              <w:rPr/>
              <w:t> </w:t>
            </w:r>
          </w:p>
        </w:tc>
      </w:tr>
      <w:tr>
        <w:trPr/>
        <w:tc>
          <w:tcPr>
            <w:tcW w:w="225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1621" w:type="dxa"/>
            <w:tcBorders/>
            <w:shd w:fill="auto" w:val="clear"/>
            <w:tcMar>
              <w:bottom w:w="0" w:type="dxa"/>
            </w:tcMar>
            <w:vAlign w:val="center"/>
          </w:tcPr>
          <w:p>
            <w:pPr>
              <w:pStyle w:val="TableContents"/>
              <w:spacing w:before="0" w:after="283"/>
              <w:rPr>
                <w:sz w:val="4"/>
                <w:szCs w:val="4"/>
              </w:rPr>
            </w:pPr>
            <w:r>
              <w:rPr>
                <w:sz w:val="4"/>
                <w:szCs w:val="4"/>
              </w:rPr>
            </w:r>
          </w:p>
        </w:tc>
        <w:tc>
          <w:tcPr>
            <w:tcW w:w="215"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205" w:type="dxa"/>
            <w:tcBorders/>
            <w:shd w:fill="auto" w:val="clear"/>
            <w:tcMar>
              <w:bottom w:w="0" w:type="dxa"/>
            </w:tcMar>
            <w:vAlign w:val="center"/>
          </w:tcPr>
          <w:p>
            <w:pPr>
              <w:pStyle w:val="TableContents"/>
              <w:spacing w:before="0" w:after="283"/>
              <w:rPr>
                <w:sz w:val="4"/>
                <w:szCs w:val="4"/>
              </w:rPr>
            </w:pPr>
            <w:r>
              <w:rPr>
                <w:sz w:val="4"/>
                <w:szCs w:val="4"/>
              </w:rPr>
            </w:r>
          </w:p>
        </w:tc>
        <w:tc>
          <w:tcPr>
            <w:tcW w:w="1520" w:type="dxa"/>
            <w:tcBorders/>
            <w:shd w:fill="auto" w:val="clear"/>
            <w:tcMar>
              <w:bottom w:w="0" w:type="dxa"/>
            </w:tcMar>
            <w:vAlign w:val="center"/>
          </w:tcPr>
          <w:p>
            <w:pPr>
              <w:pStyle w:val="TableContents"/>
              <w:spacing w:before="0" w:after="283"/>
              <w:rPr>
                <w:sz w:val="4"/>
                <w:szCs w:val="4"/>
              </w:rPr>
            </w:pPr>
            <w:r>
              <w:rPr>
                <w:sz w:val="4"/>
                <w:szCs w:val="4"/>
              </w:rPr>
            </w:r>
          </w:p>
        </w:tc>
        <w:tc>
          <w:tcPr>
            <w:tcW w:w="215"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133" w:type="dxa"/>
            <w:tcBorders/>
            <w:shd w:fill="auto" w:val="clear"/>
            <w:tcMar>
              <w:bottom w:w="0" w:type="dxa"/>
            </w:tcMar>
            <w:vAlign w:val="center"/>
          </w:tcPr>
          <w:p>
            <w:pPr>
              <w:pStyle w:val="TableContents"/>
              <w:spacing w:before="0" w:after="283"/>
              <w:rPr>
                <w:sz w:val="4"/>
                <w:szCs w:val="4"/>
              </w:rPr>
            </w:pPr>
            <w:r>
              <w:rPr>
                <w:sz w:val="4"/>
                <w:szCs w:val="4"/>
              </w:rPr>
            </w:r>
          </w:p>
        </w:tc>
        <w:tc>
          <w:tcPr>
            <w:tcW w:w="1595" w:type="dxa"/>
            <w:tcBorders/>
            <w:shd w:fill="auto" w:val="clear"/>
            <w:tcMar>
              <w:bottom w:w="0" w:type="dxa"/>
            </w:tcMar>
            <w:vAlign w:val="center"/>
          </w:tcPr>
          <w:p>
            <w:pPr>
              <w:pStyle w:val="TableContents"/>
              <w:spacing w:before="0" w:after="283"/>
              <w:rPr>
                <w:sz w:val="4"/>
                <w:szCs w:val="4"/>
              </w:rPr>
            </w:pPr>
            <w:r>
              <w:rPr>
                <w:sz w:val="4"/>
                <w:szCs w:val="4"/>
              </w:rPr>
            </w:r>
          </w:p>
        </w:tc>
        <w:tc>
          <w:tcPr>
            <w:tcW w:w="214"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149" w:type="dxa"/>
            <w:tcBorders/>
            <w:shd w:fill="auto" w:val="clear"/>
            <w:tcMar>
              <w:bottom w:w="0" w:type="dxa"/>
            </w:tcMar>
            <w:vAlign w:val="center"/>
          </w:tcPr>
          <w:p>
            <w:pPr>
              <w:pStyle w:val="TableContents"/>
              <w:spacing w:before="0" w:after="283"/>
              <w:rPr>
                <w:sz w:val="4"/>
                <w:szCs w:val="4"/>
              </w:rPr>
            </w:pPr>
            <w:r>
              <w:rPr>
                <w:sz w:val="4"/>
                <w:szCs w:val="4"/>
              </w:rPr>
            </w:r>
          </w:p>
        </w:tc>
        <w:tc>
          <w:tcPr>
            <w:tcW w:w="1468" w:type="dxa"/>
            <w:tcBorders/>
            <w:shd w:fill="auto" w:val="clear"/>
            <w:tcMar>
              <w:bottom w:w="0" w:type="dxa"/>
            </w:tcMar>
            <w:vAlign w:val="center"/>
          </w:tcPr>
          <w:p>
            <w:pPr>
              <w:pStyle w:val="TableContents"/>
              <w:spacing w:before="0" w:after="283"/>
              <w:rPr>
                <w:sz w:val="4"/>
                <w:szCs w:val="4"/>
              </w:rPr>
            </w:pPr>
            <w:r>
              <w:rPr>
                <w:sz w:val="4"/>
                <w:szCs w:val="4"/>
              </w:rPr>
            </w:r>
          </w:p>
        </w:tc>
        <w:tc>
          <w:tcPr>
            <w:tcW w:w="70"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0"/>
        </w:rPr>
        <w:t>(1)</w:t>
      </w:r>
      <w:r>
        <w:rPr>
          <w:rFonts w:ascii="Times New Roman" w:hAnsi="Times New Roman"/>
        </w:rPr>
        <w:t xml:space="preserve">              </w:t>
      </w:r>
      <w:r>
        <w:rPr>
          <w:rFonts w:ascii="Times New Roman" w:hAnsi="Times New Roman"/>
          <w:sz w:val="15"/>
        </w:rPr>
        <w:t>Pursuant to Rule 416(a) under the of Securities Act of 1933 (the Securities Act), this Registration Statement shall also cover any additional common units (Common Units) of Plains All American Pipeline, L.P. (the Partnership or the Registrant) that may become issuable under the Plains All American PNG Successor Long-Term Incentive Plan (the Plan), by reason of any unit dividend, unit split, recapitalization or any other similar transaction effected without the receipt of consideration that results in an increase in the number of the Registrants outstanding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0"/>
        </w:rPr>
        <w:t>(2)</w:t>
      </w:r>
      <w:r>
        <w:rPr>
          <w:rFonts w:ascii="Times New Roman" w:hAnsi="Times New Roman"/>
        </w:rPr>
        <w:t xml:space="preserve">              </w:t>
      </w:r>
      <w:r>
        <w:rPr>
          <w:rFonts w:ascii="Times New Roman" w:hAnsi="Times New Roman"/>
          <w:sz w:val="15"/>
        </w:rPr>
        <w:t>Represents the number of Common Units issuable pursuant to the Plan, which is being adopted, assumed and amended by the Registrant in connection with an agreement and plan of merger dated October 21, 2013 by and among the Registrant, PAA Natural Gas Storage, L.P. (PNG), PAA Acquisition Company LLC (MergerCo) and PNGS GP LLC, whereby MergerCo merged with and into PNG with PNG surviving as an indirect wholly-owned subsidiary of the Partnership (the Merger). The Merger closed on December 31, 2013. On June 11, 2010, 3,000,000 common units of PNG were registered by PNG on Form S-8 (File No. 333-167476) (the PNG S-8) with respect to a prior version of the Plan (prior to its assumption, adoption and amendment by the Registrant, the Prior Plan). The Common Units registered hereby represent the unissued units under the Prior Plan after applying the exchange ratio of 0.445 set forth in the merger agreement relating to the Merger. Of the 1,319,980 Common Units registered hereby, 446,524 Common Units are subject to outstanding awards originally made by PNG under the Prior Plan that are being assumed and adopted by the Registrant in connection with, and that will continue to be outstanding following, the Merger.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0"/>
        </w:rPr>
        <w:t>(3)</w:t>
      </w:r>
      <w:r>
        <w:rPr>
          <w:rFonts w:ascii="Times New Roman" w:hAnsi="Times New Roman"/>
        </w:rPr>
        <w:t xml:space="preserve">              </w:t>
      </w:r>
      <w:r>
        <w:rPr>
          <w:rFonts w:ascii="Times New Roman" w:hAnsi="Times New Roman"/>
          <w:sz w:val="15"/>
        </w:rPr>
        <w:t>Estimated solely for the purpose of computing the registration fee in accordance with Rule 457(c) and Rule 457(h) under the Securities Act. The price for 1,319,980 Common Units being registered hereby is based on a price of $51.17, the average of the high and low trading prices per Common Unit as reported by the New York Stock Exchange on December 23, 2013.</w:t>
      </w:r>
    </w:p>
    <w:p>
      <w:pPr>
        <w:pStyle w:val="TextBody"/>
        <w:spacing w:before="0" w:after="0"/>
        <w:ind w:left="0" w:right="0" w:hanging="0"/>
        <w:jc w:val="center"/>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EXPLANATORY NOTE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an agreement and plan of merger dated October 21, 2013 by and among the Registrant, PNG, MergerCo and PNGS GP LLC, whereby MergerCo merged with and into PNG with PNG surviving as an indirect wholly-owned subsidiary of the Partnership, the Registrant is, effective as of December 31, 2013, assuming, adopting and amending the PAA Natural Gas Storage, L.P. 2010 Long Term Incentive Plan, and changing the name of such plan to the Plains All American PNG Successor Long-Term Incentive Plan (as assumed, adopted and amended, the Plan), and is assuming all PNG obligations associated with the Plan existing prior to its assumption and adoption by the Registrant. The only outstanding awards under the Plan at the time of the Merger and immediately prior to the assumption and adoption of the Plan by the Registrant were phantom units of PNG. All such outstanding phantom units are being converted at the effective time of the Merger into phantom units of the Registrant, and are being assumed and adopted by the Registrant and will continue to be outstanding and governed by the Plan after the merger. The Registrant is filing this Registration Statement on Form S-8 to register 1,319,980 Common Units issuable under the Plan.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w:t>
      </w:r>
    </w:p>
    <w:p>
      <w:pPr>
        <w:pStyle w:val="TextBody"/>
        <w:spacing w:before="0" w:after="0"/>
        <w:ind w:left="0" w:right="0" w:hanging="0"/>
        <w:jc w:val="center"/>
        <w:rPr>
          <w:rFonts w:ascii="Times New Roman" w:hAnsi="Times New Roman"/>
          <w:b/>
          <w:sz w:val="17"/>
        </w:rPr>
      </w:pPr>
      <w:r>
        <w:rPr>
          <w:rFonts w:ascii="Times New Roman" w:hAnsi="Times New Roman"/>
          <w:b/>
          <w:sz w:val="17"/>
        </w:rPr>
        <w:t>INFORMATION REQUIRED IN THE SECTION 10(a) PROSPECTUS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Registrant will send or give to all participants in the Plan the document(s) containing information required by Part I of Form S-8, as specified in Rule 428(b)(1) promulgated by the Securities and Exchange Commission (the Commission) under the Securities Act.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w:t>
      </w:r>
    </w:p>
    <w:p>
      <w:pPr>
        <w:pStyle w:val="TextBody"/>
        <w:spacing w:before="0" w:after="0"/>
        <w:ind w:left="0" w:right="0" w:hanging="0"/>
        <w:jc w:val="center"/>
        <w:rPr>
          <w:rFonts w:ascii="Times New Roman" w:hAnsi="Times New Roman"/>
          <w:b/>
          <w:sz w:val="17"/>
        </w:rPr>
      </w:pPr>
      <w:r>
        <w:rPr>
          <w:rFonts w:ascii="Times New Roman" w:hAnsi="Times New Roman"/>
          <w:b/>
          <w:sz w:val="17"/>
        </w:rPr>
        <w:t>INFORMATION REQUIRED IN THE REGISTRATION STATEMENT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Incorporation of Documents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to the extent that information is deemed furnished and not filed pursuant to securities laws and regulations, the following documents have been filed by the Company with the Commission and are incorporated by reference into this Registration Statement and will be deemed to be a part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Registrants Annual Report on Form 10-K (File No. 001-14569) for the fiscal year ended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Registrants Quarterly Reports on Form 10-Q (File No. 001-14569) for the quarterly periods ended March 31, 2013, June 30, 2013 and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Registrants Current Reports on Form 8-K (File No. 001-14569), filed with the Commission on February 22, 2013, May 29, 2013, August 12, 2013, August 15, 2013, August 20, 2013, August 28, 2013, October 15, 2013, October 24, 2013, October 25, 2013, and November 21, 2013 (in each case excluding any information furnished pursuant to Item 2.02 or Item 7.01 of any such Current Report on Form 8-K).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description of the Registrants Common Units, representing limited partner interests, contained in the Registrants Form 8-A/A dated November 3, 1998 and any subsequent amendment thereto for the purpose of updating such description.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to the extent that information is deemed furnished and not filed pursuant to securities laws and regulations, all documents subsequently filed by the Registrant pursuant to Sections 13(a), 13(c), 14 and 15(d) of the Exchange Act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II-2</w:t>
      </w:r>
      <w:bookmarkStart w:id="2" w:name="PB_2_090216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Description of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Interests of Named Experts and Counsel.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Indemnification of Directors and Officers.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general partner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II-3</w:t>
      </w:r>
      <w:bookmarkStart w:id="3" w:name="PB_3_090248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 Exemption from Registration Claimed.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8.</w:t>
      </w:r>
      <w:r>
        <w:rPr>
          <w:rFonts w:ascii="Times New Roman" w:hAnsi="Times New Roman"/>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Unless otherwise indicated below as being incorporated by reference to another filing of the Registrant with the Commission, each of the exhibits listed on the accompanying Exhibit Index is 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w:t>
      </w:r>
      <w:r>
        <w:rPr>
          <w:rFonts w:ascii="Times New Roman" w:hAnsi="Times New Roman"/>
        </w:rPr>
        <w:t xml:space="preserve">         </w:t>
      </w:r>
      <w:r>
        <w:rPr>
          <w:rFonts w:ascii="Times New Roman" w:hAnsi="Times New Roman"/>
          <w:b/>
          <w:sz w:val="17"/>
        </w:rPr>
        <w:t>Undertakings.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undersigned Registrant hereby undertakes: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To file, during any period in which offers or sales are being made, a post-effective amendment to this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To include any prospectus required by Section 10(a)(3) of the Securities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To include any material information with respect to the plan of distribution not previously disclosed in the Registration Statement or any material change to such information in the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provided, however,</w:t>
      </w:r>
      <w:r>
        <w:rPr>
          <w:rFonts w:ascii="Times New Roman" w:hAnsi="Times New Roman"/>
        </w:rPr>
        <w:t xml:space="preserve"> </w:t>
      </w:r>
      <w:r>
        <w:rPr>
          <w:rFonts w:ascii="Times New Roman" w:hAnsi="Times New Roman"/>
          <w:sz w:val="17"/>
        </w:rPr>
        <w:t>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To remove from registration by means of a post-effective amendment any of the securities being registered which remain unsold at the termination of the offering.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II-4</w:t>
      </w:r>
      <w:bookmarkStart w:id="4" w:name="PB_4_090312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II-5</w:t>
      </w:r>
      <w:bookmarkStart w:id="5" w:name="PB_5_090333_2897"/>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December 31,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24"/>
        <w:gridCol w:w="418"/>
        <w:gridCol w:w="165"/>
        <w:gridCol w:w="4498"/>
      </w:tblGrid>
      <w:tr>
        <w:trPr/>
        <w:tc>
          <w:tcPr>
            <w:tcW w:w="5124" w:type="dxa"/>
            <w:tcBorders/>
            <w:shd w:fill="auto" w:val="clear"/>
          </w:tcPr>
          <w:p>
            <w:pPr>
              <w:pStyle w:val="TableContents"/>
              <w:spacing w:before="0" w:after="0"/>
              <w:ind w:left="0" w:right="0" w:hanging="0"/>
              <w:rPr/>
            </w:pPr>
            <w:r>
              <w:rPr/>
              <w:t> </w:t>
            </w:r>
          </w:p>
        </w:tc>
        <w:tc>
          <w:tcPr>
            <w:tcW w:w="5081"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pPr>
            <w:r>
              <w:rPr/>
              <w:t> </w:t>
            </w:r>
          </w:p>
        </w:tc>
        <w:tc>
          <w:tcPr>
            <w:tcW w:w="4663" w:type="dxa"/>
            <w:gridSpan w:val="2"/>
            <w:tcBorders/>
            <w:shd w:fill="auto" w:val="clear"/>
          </w:tcPr>
          <w:p>
            <w:pPr>
              <w:pStyle w:val="TableContents"/>
              <w:spacing w:before="0" w:after="0"/>
              <w:ind w:left="0" w:right="0" w:hanging="0"/>
              <w:rPr/>
            </w:pPr>
            <w:r>
              <w:rPr/>
              <w:t> </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pPr>
            <w:r>
              <w:rPr/>
              <w:t> </w:t>
            </w:r>
          </w:p>
        </w:tc>
        <w:tc>
          <w:tcPr>
            <w:tcW w:w="4663" w:type="dxa"/>
            <w:gridSpan w:val="2"/>
            <w:tcBorders/>
            <w:shd w:fill="auto" w:val="clear"/>
          </w:tcPr>
          <w:p>
            <w:pPr>
              <w:pStyle w:val="TableContents"/>
              <w:spacing w:before="0" w:after="0"/>
              <w:ind w:left="0" w:right="0" w:hanging="0"/>
              <w:rPr/>
            </w:pPr>
            <w:r>
              <w:rPr/>
              <w:t> </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pPr>
            <w:r>
              <w:rPr/>
              <w:t> </w:t>
            </w:r>
          </w:p>
        </w:tc>
        <w:tc>
          <w:tcPr>
            <w:tcW w:w="4663" w:type="dxa"/>
            <w:gridSpan w:val="2"/>
            <w:tcBorders/>
            <w:shd w:fill="auto" w:val="clear"/>
          </w:tcPr>
          <w:p>
            <w:pPr>
              <w:pStyle w:val="TableContents"/>
              <w:spacing w:before="0" w:after="0"/>
              <w:ind w:left="0" w:right="0" w:hanging="0"/>
              <w:rPr/>
            </w:pPr>
            <w:r>
              <w:rPr/>
              <w:t> </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pPr>
            <w:r>
              <w:rPr/>
              <w:t> </w:t>
            </w:r>
          </w:p>
        </w:tc>
        <w:tc>
          <w:tcPr>
            <w:tcW w:w="466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pPr>
            <w:r>
              <w:rPr/>
              <w:t> </w:t>
            </w:r>
          </w:p>
        </w:tc>
        <w:tc>
          <w:tcPr>
            <w:tcW w:w="4663" w:type="dxa"/>
            <w:gridSpan w:val="2"/>
            <w:tcBorders/>
            <w:shd w:fill="auto" w:val="clear"/>
          </w:tcPr>
          <w:p>
            <w:pPr>
              <w:pStyle w:val="TableContents"/>
              <w:spacing w:before="0" w:after="0"/>
              <w:ind w:left="0" w:right="0" w:hanging="0"/>
              <w:rPr/>
            </w:pPr>
            <w:r>
              <w:rPr/>
              <w:t> </w:t>
            </w:r>
          </w:p>
        </w:tc>
      </w:tr>
      <w:tr>
        <w:trPr/>
        <w:tc>
          <w:tcPr>
            <w:tcW w:w="5124" w:type="dxa"/>
            <w:tcBorders/>
            <w:shd w:fill="auto" w:val="clear"/>
          </w:tcPr>
          <w:p>
            <w:pPr>
              <w:pStyle w:val="TableContents"/>
              <w:spacing w:before="0" w:after="0"/>
              <w:ind w:left="0" w:right="0" w:hanging="0"/>
              <w:rPr/>
            </w:pPr>
            <w:r>
              <w:rPr/>
              <w:t> </w:t>
            </w:r>
          </w:p>
        </w:tc>
        <w:tc>
          <w:tcPr>
            <w:tcW w:w="418" w:type="dxa"/>
            <w:tcBorders/>
            <w:shd w:fill="auto" w:val="clear"/>
          </w:tcPr>
          <w:p>
            <w:pPr>
              <w:pStyle w:val="TableContents"/>
              <w:spacing w:before="0" w:after="0"/>
              <w:ind w:left="0" w:right="0" w:hanging="0"/>
              <w:rPr/>
            </w:pPr>
            <w:r>
              <w:rPr/>
              <w:t> </w:t>
            </w:r>
          </w:p>
        </w:tc>
        <w:tc>
          <w:tcPr>
            <w:tcW w:w="4663" w:type="dxa"/>
            <w:gridSpan w:val="2"/>
            <w:tcBorders/>
            <w:shd w:fill="auto" w:val="clear"/>
          </w:tcPr>
          <w:p>
            <w:pPr>
              <w:pStyle w:val="TableContents"/>
              <w:spacing w:before="0" w:after="0"/>
              <w:ind w:left="0" w:right="0" w:hanging="0"/>
              <w:rPr/>
            </w:pPr>
            <w:r>
              <w:rPr/>
              <w:t> </w:t>
            </w:r>
          </w:p>
        </w:tc>
      </w:tr>
      <w:tr>
        <w:trPr/>
        <w:tc>
          <w:tcPr>
            <w:tcW w:w="5124" w:type="dxa"/>
            <w:tcBorders/>
            <w:shd w:fill="auto" w:val="clear"/>
          </w:tcPr>
          <w:p>
            <w:pPr>
              <w:pStyle w:val="TableContents"/>
              <w:spacing w:before="0" w:after="0"/>
              <w:ind w:left="0" w:right="0" w:hanging="0"/>
              <w:rPr/>
            </w:pPr>
            <w:r>
              <w:rPr/>
              <w:t> </w:t>
            </w:r>
          </w:p>
        </w:tc>
        <w:tc>
          <w:tcPr>
            <w:tcW w:w="58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24" w:type="dxa"/>
            <w:tcBorders/>
            <w:shd w:fill="auto" w:val="clear"/>
          </w:tcPr>
          <w:p>
            <w:pPr>
              <w:pStyle w:val="TableContents"/>
              <w:spacing w:before="0" w:after="0"/>
              <w:ind w:left="0" w:right="0" w:hanging="0"/>
              <w:rPr/>
            </w:pPr>
            <w:r>
              <w:rPr/>
              <w:t> </w:t>
            </w:r>
          </w:p>
        </w:tc>
        <w:tc>
          <w:tcPr>
            <w:tcW w:w="58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24" w:type="dxa"/>
            <w:tcBorders/>
            <w:shd w:fill="auto" w:val="clear"/>
          </w:tcPr>
          <w:p>
            <w:pPr>
              <w:pStyle w:val="TableContents"/>
              <w:spacing w:before="0" w:after="0"/>
              <w:ind w:left="0" w:right="0" w:hanging="0"/>
              <w:rPr/>
            </w:pPr>
            <w:r>
              <w:rPr/>
              <w:t> </w:t>
            </w:r>
          </w:p>
        </w:tc>
        <w:tc>
          <w:tcPr>
            <w:tcW w:w="58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Chairman of the Board and Chief Executive Officer</w:t>
            </w:r>
          </w:p>
        </w:tc>
      </w:tr>
      <w:tr>
        <w:trPr/>
        <w:tc>
          <w:tcPr>
            <w:tcW w:w="512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9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person whose signature appears below hereby constitutes and appoints Greg L. Armstrong, Al Swanson and Richard McGee,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or otherwise) and to file the same, with all exhibits thereto, and the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Act, this Registration Statement has been signed by the following persons in the capacities and on the date indicated.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093"/>
        <w:gridCol w:w="204"/>
        <w:gridCol w:w="4331"/>
        <w:gridCol w:w="205"/>
        <w:gridCol w:w="2372"/>
      </w:tblGrid>
      <w:tr>
        <w:trPr/>
        <w:tc>
          <w:tcPr>
            <w:tcW w:w="309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Signature</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433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237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r>
      <w:tr>
        <w:trPr/>
        <w:tc>
          <w:tcPr>
            <w:tcW w:w="3093" w:type="dxa"/>
            <w:tcBorders/>
            <w:shd w:fill="auto" w:val="clear"/>
            <w:tcMar>
              <w:bottom w:w="0" w:type="dxa"/>
            </w:tcMar>
            <w:vAlign w:val="bottom"/>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4331" w:type="dxa"/>
            <w:tcBorders/>
            <w:shd w:fill="auto" w:val="clear"/>
            <w:tcMar>
              <w:bottom w:w="0" w:type="dxa"/>
            </w:tcMar>
            <w:vAlign w:val="bottom"/>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2372" w:type="dxa"/>
            <w:tcBorders/>
            <w:shd w:fill="auto" w:val="clear"/>
            <w:tcMar>
              <w:bottom w:w="0" w:type="dxa"/>
            </w:tcMar>
            <w:vAlign w:val="bottom"/>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Chairman of the Board and Chief Executive Officer</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Principal Executive Officer</w:t>
            </w:r>
            <w:r>
              <w:rPr>
                <w:rFonts w:ascii="Times New Roman" w:hAnsi="Times New Roman"/>
                <w:sz w:val="17"/>
              </w:rPr>
              <w: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 Swanson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Executive Vice President and</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Chief Financial Officer</w:t>
              <w:br/>
              <w:t>(</w:t>
            </w:r>
            <w:r>
              <w:rPr>
                <w:rFonts w:ascii="Times New Roman" w:hAnsi="Times New Roman"/>
                <w:i/>
                <w:sz w:val="17"/>
              </w:rPr>
              <w:t>Principal Financial Officer</w:t>
            </w:r>
            <w:r>
              <w:rPr>
                <w:rFonts w:ascii="Times New Roman" w:hAnsi="Times New Roman"/>
                <w:sz w:val="17"/>
              </w:rPr>
              <w: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Chris Herbold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Chris Herbold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Vice PresidentAccounting and</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Chief Accounting Officer</w:t>
              <w:br/>
              <w:t>(</w:t>
            </w:r>
            <w:r>
              <w:rPr>
                <w:rFonts w:ascii="Times New Roman" w:hAnsi="Times New Roman"/>
                <w:i/>
                <w:sz w:val="17"/>
              </w:rPr>
              <w:t>Principal Accounting Officer</w:t>
            </w:r>
            <w:r>
              <w:rPr>
                <w:rFonts w:ascii="Times New Roman" w:hAnsi="Times New Roman"/>
                <w:sz w:val="17"/>
              </w:rPr>
              <w: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2372"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II-6</w:t>
      </w:r>
      <w:bookmarkStart w:id="6" w:name="PB_6_091809_141"/>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095"/>
        <w:gridCol w:w="204"/>
        <w:gridCol w:w="4331"/>
        <w:gridCol w:w="204"/>
        <w:gridCol w:w="2371"/>
      </w:tblGrid>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Everardo Goyanes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Everardo Goyanes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Gary R. Petersen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Gary R. Petersen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John T. Raymond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John T. Raymond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Robert V. Sinnott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Robert V. Sinnott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Vicky Sutil</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Vicky Sutil</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J. Taft Symonds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J. Taft Symonds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Christopher M. Temple</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309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Christopher M. Temple</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33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December 31,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II-7</w:t>
      </w:r>
      <w:bookmarkStart w:id="7" w:name="PB_7_091937_7608"/>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INDEX TO EXHIBITS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27"/>
        <w:gridCol w:w="206"/>
        <w:gridCol w:w="9072"/>
      </w:tblGrid>
      <w:tr>
        <w:trPr/>
        <w:tc>
          <w:tcPr>
            <w:tcW w:w="92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r>
          </w:p>
        </w:tc>
        <w:tc>
          <w:tcPr>
            <w:tcW w:w="206" w:type="dxa"/>
            <w:tcBorders/>
            <w:shd w:fill="auto" w:val="clear"/>
            <w:vAlign w:val="bottom"/>
          </w:tcPr>
          <w:p>
            <w:pPr>
              <w:pStyle w:val="TableContents"/>
              <w:spacing w:before="0" w:after="0"/>
              <w:ind w:left="0" w:right="0" w:hanging="0"/>
              <w:jc w:val="center"/>
              <w:rPr/>
            </w:pPr>
            <w:r>
              <w:rPr/>
              <w:t> </w:t>
            </w:r>
          </w:p>
        </w:tc>
        <w:tc>
          <w:tcPr>
            <w:tcW w:w="9072" w:type="dxa"/>
            <w:tcBorders/>
            <w:shd w:fill="auto" w:val="clear"/>
            <w:vAlign w:val="bottom"/>
          </w:tcPr>
          <w:p>
            <w:pPr>
              <w:pStyle w:val="TableContents"/>
              <w:spacing w:before="0" w:after="0"/>
              <w:ind w:left="0" w:right="0" w:hanging="0"/>
              <w:jc w:val="center"/>
              <w:rPr/>
            </w:pPr>
            <w:r>
              <w:rPr/>
              <w:t> </w:t>
            </w:r>
          </w:p>
        </w:tc>
      </w:tr>
      <w:tr>
        <w:trPr/>
        <w:tc>
          <w:tcPr>
            <w:tcW w:w="92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Number</w:t>
            </w:r>
          </w:p>
        </w:tc>
        <w:tc>
          <w:tcPr>
            <w:tcW w:w="206" w:type="dxa"/>
            <w:tcBorders/>
            <w:shd w:fill="auto" w:val="clear"/>
            <w:vAlign w:val="bottom"/>
          </w:tcPr>
          <w:p>
            <w:pPr>
              <w:pStyle w:val="TableContents"/>
              <w:spacing w:before="0" w:after="0"/>
              <w:ind w:left="0" w:right="0" w:hanging="0"/>
              <w:jc w:val="center"/>
              <w:rPr/>
            </w:pPr>
            <w:r>
              <w:rPr/>
              <w:t> </w:t>
            </w:r>
          </w:p>
        </w:tc>
        <w:tc>
          <w:tcPr>
            <w:tcW w:w="907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Limited Partnership of Plains All American Pipeline, L.P. (incorporated by reference to Exhibit 3.4 to the Registration Statement on Form S-1/A (File No. 333-64107) filed on November 3, 1998).</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(incorporated by reference to Exhibit 3.1 to the Current Report on Form 8-K filed on May 23, 2012).</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October 1, 2012 to the Fourth Amended and Restated Agreement of Limited Partnership of Plains All American Pipeline, L.P. (incorporated by reference to Exhibit 3.1 to the Current Report on Form 8-K filed on October 2, 2012).</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pPr>
            <w:r>
              <w:rPr>
                <w:rFonts w:ascii="Times New Roman" w:hAnsi="Times New Roman"/>
                <w:sz w:val="17"/>
              </w:rPr>
              <w:t>4.4</w:t>
            </w:r>
            <w:r>
              <w:rPr>
                <w:sz w:val="11"/>
              </w:rPr>
              <w:t>*</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PNG Successor Long-Term Incentive Plan, as adopted by Plains All American Pipeline, L.P., effective as of December 31, 2013.</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pPr>
            <w:r>
              <w:rPr>
                <w:rFonts w:ascii="Times New Roman" w:hAnsi="Times New Roman"/>
                <w:sz w:val="17"/>
              </w:rPr>
              <w:t>5.1</w:t>
            </w:r>
            <w:r>
              <w:rPr>
                <w:sz w:val="11"/>
              </w:rPr>
              <w:t>*</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Opinion of Vinson &amp; Elkins L.L.P.</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pPr>
            <w:r>
              <w:rPr>
                <w:rFonts w:ascii="Times New Roman" w:hAnsi="Times New Roman"/>
                <w:sz w:val="17"/>
              </w:rPr>
              <w:t>23.1</w:t>
            </w:r>
            <w:r>
              <w:rPr>
                <w:sz w:val="11"/>
              </w:rPr>
              <w:t>*</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of PricewaterhouseCoopers LLP.</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pPr>
            <w:r>
              <w:rPr>
                <w:rFonts w:ascii="Times New Roman" w:hAnsi="Times New Roman"/>
                <w:sz w:val="17"/>
              </w:rPr>
              <w:t>23.2</w:t>
            </w:r>
            <w:r>
              <w:rPr>
                <w:sz w:val="11"/>
              </w:rPr>
              <w:t>*</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of Vinson &amp; Elkins L.L.P. (contained in Exhibit 5.1).</w:t>
            </w:r>
          </w:p>
        </w:tc>
      </w:tr>
      <w:tr>
        <w:trPr/>
        <w:tc>
          <w:tcPr>
            <w:tcW w:w="92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pPr>
            <w:r>
              <w:rPr/>
              <w:t> </w:t>
            </w:r>
          </w:p>
        </w:tc>
      </w:tr>
      <w:tr>
        <w:trPr/>
        <w:tc>
          <w:tcPr>
            <w:tcW w:w="927" w:type="dxa"/>
            <w:tcBorders/>
            <w:shd w:fill="auto" w:val="clear"/>
          </w:tcPr>
          <w:p>
            <w:pPr>
              <w:pStyle w:val="TableContents"/>
              <w:spacing w:before="0" w:after="0"/>
              <w:ind w:left="0" w:right="0" w:hanging="0"/>
              <w:rPr/>
            </w:pPr>
            <w:r>
              <w:rPr>
                <w:rFonts w:ascii="Times New Roman" w:hAnsi="Times New Roman"/>
                <w:sz w:val="17"/>
              </w:rPr>
              <w:t>24.1</w:t>
            </w:r>
            <w:r>
              <w:rPr>
                <w:sz w:val="11"/>
              </w:rPr>
              <w:t>*</w:t>
            </w:r>
          </w:p>
        </w:tc>
        <w:tc>
          <w:tcPr>
            <w:tcW w:w="206" w:type="dxa"/>
            <w:tcBorders/>
            <w:shd w:fill="auto" w:val="clear"/>
            <w:vAlign w:val="bottom"/>
          </w:tcPr>
          <w:p>
            <w:pPr>
              <w:pStyle w:val="TableContents"/>
              <w:spacing w:before="0" w:after="0"/>
              <w:ind w:left="0" w:right="0" w:hanging="0"/>
              <w:rPr/>
            </w:pPr>
            <w:r>
              <w:rPr/>
              <w:t> </w:t>
            </w:r>
          </w:p>
        </w:tc>
        <w:tc>
          <w:tcPr>
            <w:tcW w:w="90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Power of Attorney (included on the signature page of this registration statement).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sz w:val="17"/>
        </w:rPr>
        <w:t>Filed herewith.</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 w:name="a13-26950_1ex4d4.htm"/>
      <w:bookmarkStart w:id="9" w:name="ksa1326950_1ex4d4"/>
      <w:bookmarkEnd w:id="8"/>
      <w:bookmarkEnd w:id="9"/>
      <w:r>
        <w:rPr>
          <w:rFonts w:ascii="Times New Roman" w:hAnsi="Times New Roman"/>
          <w:b/>
          <w:sz w:val="17"/>
        </w:rPr>
        <w:t>Exhibit 4.4</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w:t>
      </w:r>
    </w:p>
    <w:p>
      <w:pPr>
        <w:pStyle w:val="TextBody"/>
        <w:spacing w:before="0" w:after="0"/>
        <w:ind w:left="0" w:right="0" w:hanging="0"/>
        <w:jc w:val="center"/>
        <w:rPr>
          <w:rFonts w:ascii="Times New Roman" w:hAnsi="Times New Roman"/>
          <w:b/>
          <w:sz w:val="17"/>
        </w:rPr>
      </w:pPr>
      <w:r>
        <w:rPr>
          <w:rFonts w:ascii="Times New Roman" w:hAnsi="Times New Roman"/>
          <w:b/>
          <w:sz w:val="17"/>
        </w:rPr>
        <w:t>PNG SUCCESSOR</w:t>
      </w:r>
    </w:p>
    <w:p>
      <w:pPr>
        <w:pStyle w:val="TextBody"/>
        <w:spacing w:before="0" w:after="0"/>
        <w:ind w:left="0" w:right="0" w:hanging="0"/>
        <w:jc w:val="center"/>
        <w:rPr>
          <w:rFonts w:ascii="Times New Roman" w:hAnsi="Times New Roman"/>
          <w:b/>
          <w:sz w:val="17"/>
        </w:rPr>
      </w:pPr>
      <w:r>
        <w:rPr>
          <w:rFonts w:ascii="Times New Roman" w:hAnsi="Times New Roman"/>
          <w:b/>
          <w:sz w:val="17"/>
        </w:rPr>
        <w:t>LONG-TERM INCENTIVE PLAN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1.</w:t>
      </w:r>
      <w:r>
        <w:rPr>
          <w:rFonts w:ascii="Times New Roman" w:hAnsi="Times New Roman"/>
        </w:rPr>
        <w:t xml:space="preserve">                                            </w:t>
      </w:r>
      <w:r>
        <w:rPr>
          <w:rFonts w:ascii="Times New Roman" w:hAnsi="Times New Roman"/>
          <w:b/>
          <w:sz w:val="17"/>
          <w:u w:val="single"/>
        </w:rPr>
        <w:t>Background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31, 2013 (the Effective Time), Plains All American Pipeline, L.P. (</w:t>
      </w:r>
      <w:r>
        <w:rPr>
          <w:rFonts w:ascii="Times New Roman" w:hAnsi="Times New Roman"/>
          <w:b/>
          <w:i/>
          <w:sz w:val="17"/>
          <w:u w:val="single"/>
        </w:rPr>
        <w:t>PAA</w:t>
      </w:r>
      <w:r>
        <w:rPr>
          <w:rFonts w:ascii="Times New Roman" w:hAnsi="Times New Roman"/>
          <w:sz w:val="17"/>
        </w:rPr>
        <w:t>) completed the closing of the merger of PAA Acquisition Company LLC (</w:t>
      </w:r>
      <w:r>
        <w:rPr>
          <w:rFonts w:ascii="Times New Roman" w:hAnsi="Times New Roman"/>
          <w:b/>
          <w:i/>
          <w:sz w:val="17"/>
          <w:u w:val="single"/>
        </w:rPr>
        <w:t>MergerCo</w:t>
      </w:r>
      <w:r>
        <w:rPr>
          <w:rFonts w:ascii="Times New Roman" w:hAnsi="Times New Roman"/>
          <w:sz w:val="17"/>
        </w:rPr>
        <w:t>), a wholly owned subsidiary of PAA, with and into PAA Natural Gas Storage, L.P. (</w:t>
      </w:r>
      <w:r>
        <w:rPr>
          <w:rFonts w:ascii="Times New Roman" w:hAnsi="Times New Roman"/>
          <w:b/>
          <w:i/>
          <w:sz w:val="17"/>
          <w:u w:val="single"/>
        </w:rPr>
        <w:t>PNG</w:t>
      </w:r>
      <w:r>
        <w:rPr>
          <w:rFonts w:ascii="Times New Roman" w:hAnsi="Times New Roman"/>
          <w:sz w:val="17"/>
        </w:rPr>
        <w:t>) with PNG continuing as the surviving entity (the </w:t>
      </w:r>
      <w:r>
        <w:rPr>
          <w:rFonts w:ascii="Times New Roman" w:hAnsi="Times New Roman"/>
          <w:b/>
          <w:i/>
          <w:sz w:val="17"/>
          <w:u w:val="single"/>
        </w:rPr>
        <w:t>Merger</w:t>
      </w:r>
      <w:r>
        <w:rPr>
          <w:rFonts w:ascii="Times New Roman" w:hAnsi="Times New Roman"/>
          <w:sz w:val="17"/>
        </w:rPr>
        <w:t>), pursuant to an Agreement and Plan of Merger (the </w:t>
      </w:r>
      <w:r>
        <w:rPr>
          <w:rFonts w:ascii="Times New Roman" w:hAnsi="Times New Roman"/>
          <w:b/>
          <w:i/>
          <w:sz w:val="17"/>
          <w:u w:val="single"/>
        </w:rPr>
        <w:t>Merger Agreement</w:t>
      </w:r>
      <w:r>
        <w:rPr>
          <w:rFonts w:ascii="Times New Roman" w:hAnsi="Times New Roman"/>
          <w:sz w:val="17"/>
        </w:rPr>
        <w:t>) dated as of October 21, 2013, by and among PAA, MergerCo, PNG , and PNGS GP LLC (</w:t>
      </w:r>
      <w:r>
        <w:rPr>
          <w:rFonts w:ascii="Times New Roman" w:hAnsi="Times New Roman"/>
          <w:b/>
          <w:i/>
          <w:sz w:val="17"/>
          <w:u w:val="single"/>
        </w:rPr>
        <w:t>PNG GP</w:t>
      </w:r>
      <w:r>
        <w:rPr>
          <w:rFonts w:ascii="Times New Roman" w:hAnsi="Times New Roman"/>
          <w:sz w:val="17"/>
        </w:rPr>
        <w:t>).  As of the Effective Time, Plains All American GP LLC (the </w:t>
      </w:r>
      <w:r>
        <w:rPr>
          <w:rFonts w:ascii="Times New Roman" w:hAnsi="Times New Roman"/>
          <w:b/>
          <w:i/>
          <w:sz w:val="17"/>
          <w:u w:val="single"/>
        </w:rPr>
        <w:t>Company</w:t>
      </w:r>
      <w:r>
        <w:rPr>
          <w:rFonts w:ascii="Times New Roman" w:hAnsi="Times New Roman"/>
          <w:sz w:val="17"/>
        </w:rPr>
        <w:t>) assumed and adopted the PAA Natural Gas Storage, L.P. 2010 Long Term Incentive Plan (the </w:t>
      </w:r>
      <w:r>
        <w:rPr>
          <w:rFonts w:ascii="Times New Roman" w:hAnsi="Times New Roman"/>
          <w:b/>
          <w:i/>
          <w:sz w:val="17"/>
          <w:u w:val="single"/>
        </w:rPr>
        <w:t>PNG Legacy Plan</w:t>
      </w:r>
      <w:r>
        <w:rPr>
          <w:rFonts w:ascii="Times New Roman" w:hAnsi="Times New Roman"/>
          <w:sz w:val="17"/>
        </w:rPr>
        <w:t>), and approved the Plains All American PNG Successor Long-Term Incentive Plan (this </w:t>
      </w:r>
      <w:r>
        <w:rPr>
          <w:rFonts w:ascii="Times New Roman" w:hAnsi="Times New Roman"/>
          <w:b/>
          <w:i/>
          <w:sz w:val="17"/>
          <w:u w:val="single"/>
        </w:rPr>
        <w:t>Successor Plan</w:t>
      </w:r>
      <w:r>
        <w:rPr>
          <w:rFonts w:ascii="Times New Roman" w:hAnsi="Times New Roman"/>
          <w:sz w:val="17"/>
        </w:rPr>
        <w:t>).  Capitalized terms used but not defined herein are defined in the Plains All American 2013 Long-Term Incentive Plan (the </w:t>
      </w:r>
      <w:r>
        <w:rPr>
          <w:rFonts w:ascii="Times New Roman" w:hAnsi="Times New Roman"/>
          <w:b/>
          <w:i/>
          <w:sz w:val="17"/>
          <w:u w:val="single"/>
        </w:rPr>
        <w:t>2013 LTIP</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Successor Plan as set forth herein constitutes an amendment and restatement of the PNG Legacy Plan.  This Successor Plan supersedes and replaces in its entirety the PNG Legacy Plan, except that awards granted under the PNG Legacy Plan prior to the Effective Time shall be adjusted as provided in the Merger Agreement and as determined by the Board of Directors of PNG GP or the Board of Directors of the Company, as applicable, and shall otherwise be subject to the terms and conditions of the PNG Legacy Plan as in effect prior to this amendment and restatement thereof (other than such provisions relating to administration and the type of securities subject to such awards, which matters will be governed by this Successor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w:t>
      </w:r>
      <w:r>
        <w:rPr>
          <w:rFonts w:ascii="Times New Roman" w:hAnsi="Times New Roman"/>
        </w:rPr>
        <w:t xml:space="preserve">                                            </w:t>
      </w:r>
      <w:r>
        <w:rPr>
          <w:rFonts w:ascii="Times New Roman" w:hAnsi="Times New Roman"/>
          <w:b/>
          <w:sz w:val="17"/>
          <w:u w:val="single"/>
        </w:rPr>
        <w:t>Units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total of 1,319,980 Units (representing the common units of PNG previously available under the PNG Legacy Plan, after conversion at 0.445 PAA Units for each common unit of PNG) may be issued under this Successor Plan.  Such number of Units includes the post-conversion Units that are subject to awards granted prior to the Effective Time under the PNG Legacy Plan that are converted as of the Effective Time pursuant to the terms of the Merger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w:t>
      </w:r>
      <w:r>
        <w:rPr>
          <w:rFonts w:ascii="Times New Roman" w:hAnsi="Times New Roman"/>
        </w:rPr>
        <w:t xml:space="preserve">                                            </w:t>
      </w:r>
      <w:r>
        <w:rPr>
          <w:rFonts w:ascii="Times New Roman" w:hAnsi="Times New Roman"/>
          <w:b/>
          <w:sz w:val="17"/>
          <w:u w:val="single"/>
        </w:rPr>
        <w:t>Awards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purposes of this Successor Plan, Award shall mean an Option, Restricted Unit, Phantom Unit or Unit Appreciation Right (with or without tandem DERs granted with respect to an Option, Phantom Unit or Unit Appreciation Right) granted under this Successor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4.</w:t>
      </w:r>
      <w:r>
        <w:rPr>
          <w:rFonts w:ascii="Times New Roman" w:hAnsi="Times New Roman"/>
        </w:rPr>
        <w:t xml:space="preserve">                                            </w:t>
      </w:r>
      <w:r>
        <w:rPr>
          <w:rFonts w:ascii="Times New Roman" w:hAnsi="Times New Roman"/>
          <w:b/>
          <w:sz w:val="17"/>
          <w:u w:val="single"/>
        </w:rPr>
        <w:t>Eligibility</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Awards under this Successor Plan after the Effective Time may be made to Employees or Directors.  Notwithstanding the foregoing or any provision in this Successor Plan to the contrary, to the extent required pursuant to applicable NYSE Listing Standards, Awards consisting of</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Units or Awards that may be settled in Units may not be granted under this Successor Plan after the Effective Time to individuals who were, immediately before the Effective Time, employed by (or who were non-employee directors of) PAA or entities that were its subsidiaries immediately before the Effective Time (within the meaning of NYSE Listing Standard 303A.08 and interpretive guidance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w:t>
      </w:r>
      <w:r>
        <w:rPr>
          <w:rFonts w:ascii="Times New Roman" w:hAnsi="Times New Roman"/>
        </w:rPr>
        <w:t xml:space="preserve">                                            </w:t>
      </w:r>
      <w:r>
        <w:rPr>
          <w:rFonts w:ascii="Times New Roman" w:hAnsi="Times New Roman"/>
          <w:b/>
          <w:sz w:val="17"/>
          <w:u w:val="single"/>
        </w:rPr>
        <w:t>2013 LTIP Governs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Awards with respect to Units that may be issued under this Successor Plan shall be governed by and administered pursuant to the terms and conditions set forth in the 2013 LTIP, except as such terms and conditions may be modified by the limitations set forth in this Successor Plan.  This Successor Plan shall be administered by the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w:t>
      </w:r>
      <w:r>
        <w:rPr>
          <w:rFonts w:ascii="Times New Roman" w:hAnsi="Times New Roman"/>
        </w:rPr>
        <w:t xml:space="preserve">                                            </w:t>
      </w:r>
      <w:r>
        <w:rPr>
          <w:rFonts w:ascii="Times New Roman" w:hAnsi="Times New Roman"/>
          <w:b/>
          <w:sz w:val="17"/>
          <w:u w:val="single"/>
        </w:rPr>
        <w:t>Term</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Successor Plan shall be effective as of the Effective Time and shall continue until the earliest of (i) the date terminated by the Board or the Committee or (ii) the date that all available Units under this Successor Plan have been paid or issued to Participants.  However, unless otherwise expressly provided in this Successor Plan or in an applicable Award Agreement, any Award granted prior to such termination, and the authority of the Board or the Committee under this Successor Plan or an Award Agreement to amend, alter, adjust, suspend, discontinue, or terminate any such Award or to waive any conditions or rights under such Award, shall extend beyond such termination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0" w:name="PB_2_035708_7056"/>
      <w:bookmarkEnd w:id="10"/>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1" w:name="a13-26950_1ex5d1.htm"/>
      <w:bookmarkStart w:id="12" w:name="ksa1326950_1ex5d1"/>
      <w:bookmarkEnd w:id="11"/>
      <w:bookmarkEnd w:id="12"/>
      <w:r>
        <w:rPr>
          <w:rFonts w:ascii="Times New Roman" w:hAnsi="Times New Roman"/>
          <w:b/>
          <w:sz w:val="17"/>
        </w:rPr>
        <w:t>Exhibit 5.1</w:t>
      </w:r>
    </w:p>
    <w:p>
      <w:pPr>
        <w:pStyle w:val="TextBody"/>
        <w:spacing w:before="0" w:after="0"/>
        <w:ind w:left="0" w:right="0" w:hanging="0"/>
        <w:rPr/>
      </w:pPr>
      <w:r>
        <w:rPr/>
        <w:t> </w:t>
      </w:r>
    </w:p>
    <w:p>
      <w:pPr>
        <w:pStyle w:val="TextBody"/>
        <w:spacing w:before="0" w:after="0"/>
        <w:ind w:left="0" w:right="0" w:hanging="0"/>
        <w:rPr/>
      </w:pPr>
      <w:r>
        <w:rPr/>
        <w:drawing>
          <wp:inline distT="0" distB="0" distL="0" distR="0">
            <wp:extent cx="16192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90500"/>
                    </a:xfrm>
                    <a:prstGeom prst="rect">
                      <a:avLst/>
                    </a:prstGeom>
                  </pic:spPr>
                </pic:pic>
              </a:graphicData>
            </a:graphic>
          </wp:inline>
        </w:drawing>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rPr>
      </w:pPr>
      <w:r>
        <w:rPr>
          <w:rFonts w:ascii="Times New Roman" w:hAnsi="Times New Roman"/>
          <w:sz w:val="17"/>
        </w:rPr>
        <w:t>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acted as counsel for Plains All American Pipeline, L.P., a Delaware limited partnership (the Partnership), in connection with the Partnerships registration under the Securities Act of 1933, as amended (the Act), of the offer and sale of an aggregate of up to 1,319,980 common units representing limited partner interests in the Partnership (the Units), pursuant to the Partnerships registration statement on  Form S-8 (the Registration Statement) filed with the Securities and Exchange Commission (the Commission) on December 31, 2013, which Units may be issued from time to time in accordance with the terms of the Plains All American PNG Successor Long-Term Incentive Plan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reaching the opinions set forth herein, we have examined and are familiar with originals or copies, certified or otherwise identified to our satisfaction, of such documents and records of the Partnership and such statutes, regulations and other instruments as we deemed necessary or advisable for purposes of this opinion, including (i) the Registration Statement, (ii) the Partnerships Fourth Amended and Restated Agreement of Limited Partnership (as amended, the Partnership Agreement), (iii) the Partnerships Certificate of Limited Partnership, (iv) certain resolutions adopted by the board of directors of the Partnership, (v) the Plan, and (vi)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Units will be issued in accordance with the terms of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on the foregoing and subject to the limitations set forth herein, and having due regard for the legal considerations we deem relevant, we are of the opinion that the Units have been duly authorized and, when the Units are issued by the Partnership in accordance with the terms of the Plan and the instruments executed pursuant to the Plan, as applicable, which govern the awards to which any Unit relates, will be validly issued, fully paid and non-assessable.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opinion is limited in all respects to the Delaware Revised Uniform Limited Partnership Act.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64"/>
        <w:gridCol w:w="4741"/>
      </w:tblGrid>
      <w:tr>
        <w:trPr/>
        <w:tc>
          <w:tcPr>
            <w:tcW w:w="5464" w:type="dxa"/>
            <w:tcBorders/>
            <w:shd w:fill="auto" w:val="clear"/>
          </w:tcPr>
          <w:p>
            <w:pPr>
              <w:pStyle w:val="TableContents"/>
              <w:spacing w:before="0" w:after="0"/>
              <w:ind w:left="0" w:right="0" w:hanging="0"/>
              <w:rPr/>
            </w:pPr>
            <w:r>
              <w:rPr>
                <w:rFonts w:ascii="Times New Roman" w:hAnsi="Times New Roman"/>
                <w:b/>
                <w:sz w:val="17"/>
              </w:rPr>
              <w:t>Vinson &amp; Elkins LLP Attorneys at Law</w:t>
            </w:r>
            <w:r>
              <w:rPr/>
              <w:t xml:space="preserve"> </w:t>
            </w:r>
          </w:p>
          <w:p>
            <w:pPr>
              <w:pStyle w:val="TableContents"/>
              <w:spacing w:before="0" w:after="0"/>
              <w:ind w:left="0" w:right="0" w:hanging="0"/>
              <w:rPr>
                <w:rFonts w:ascii="Times New Roman" w:hAnsi="Times New Roman"/>
                <w:sz w:val="17"/>
              </w:rPr>
            </w:pPr>
            <w:r>
              <w:rPr>
                <w:rFonts w:ascii="Times New Roman" w:hAnsi="Times New Roman"/>
                <w:sz w:val="17"/>
              </w:rPr>
              <w:t>Abu Dhabi Austin Beijing Dallas Dubai Hong Kong Houston London</w:t>
            </w:r>
          </w:p>
          <w:p>
            <w:pPr>
              <w:pStyle w:val="TableContents"/>
              <w:spacing w:before="0" w:after="0"/>
              <w:ind w:left="0" w:right="0" w:hanging="0"/>
              <w:rPr>
                <w:rFonts w:ascii="Times New Roman" w:hAnsi="Times New Roman"/>
                <w:sz w:val="17"/>
              </w:rPr>
            </w:pPr>
            <w:r>
              <w:rPr>
                <w:rFonts w:ascii="Times New Roman" w:hAnsi="Times New Roman"/>
                <w:sz w:val="17"/>
              </w:rPr>
              <w:t>Moscow New York Palo Alto Riyadh Shanghai Tokyo Washington</w:t>
            </w:r>
          </w:p>
        </w:tc>
        <w:tc>
          <w:tcPr>
            <w:tcW w:w="47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1001 Fannin Street, Suite 2500 </w:t>
            </w:r>
          </w:p>
          <w:p>
            <w:pPr>
              <w:pStyle w:val="TableContents"/>
              <w:spacing w:before="0" w:after="0"/>
              <w:ind w:left="0" w:right="0" w:hanging="0"/>
              <w:rPr>
                <w:rFonts w:ascii="Times New Roman" w:hAnsi="Times New Roman"/>
                <w:sz w:val="17"/>
              </w:rPr>
            </w:pPr>
            <w:r>
              <w:rPr>
                <w:rFonts w:ascii="Times New Roman" w:hAnsi="Times New Roman"/>
                <w:sz w:val="17"/>
              </w:rPr>
              <w:t xml:space="preserve">Houston, TX 77002-6760 </w:t>
            </w:r>
          </w:p>
          <w:p>
            <w:pPr>
              <w:pStyle w:val="TableContents"/>
              <w:spacing w:before="0" w:after="0"/>
              <w:ind w:left="0" w:right="0" w:hanging="0"/>
              <w:rPr/>
            </w:pPr>
            <w:r>
              <w:rPr>
                <w:rFonts w:ascii="Times New Roman" w:hAnsi="Times New Roman"/>
                <w:b/>
                <w:sz w:val="17"/>
              </w:rPr>
              <w:t>Tel</w:t>
            </w:r>
            <w:r>
              <w:rPr/>
              <w:t xml:space="preserve"> </w:t>
            </w:r>
            <w:r>
              <w:rPr>
                <w:sz w:val="17"/>
              </w:rPr>
              <w:t xml:space="preserve">+1.713.758.2222 </w:t>
            </w:r>
            <w:r>
              <w:rPr>
                <w:b/>
                <w:sz w:val="17"/>
              </w:rPr>
              <w:t>Fax</w:t>
            </w:r>
            <w:r>
              <w:rPr>
                <w:sz w:val="17"/>
              </w:rPr>
              <w:t xml:space="preserve"> +1.713.758.2346 </w:t>
            </w:r>
            <w:r>
              <w:rPr>
                <w:b/>
                <w:sz w:val="17"/>
              </w:rPr>
              <w:t>www.velaw.com</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opinion letter may be filed as an exhibit to the Registration Statement.  In giving this consent, we do not thereby admit that we come within the category of persons whose consent is required under Section 7 of the Act.</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Vinson &amp; Elkins L.L.P.</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Vinson &amp; Elkins L.L.P.</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3-26950_1ex23d1.htm"/>
      <w:bookmarkStart w:id="14" w:name="ksa1326950_1ex23d1"/>
      <w:bookmarkEnd w:id="13"/>
      <w:bookmarkEnd w:id="14"/>
      <w:r>
        <w:rPr>
          <w:rFonts w:ascii="Times New Roman" w:hAnsi="Times New Roman"/>
          <w:b/>
          <w:sz w:val="17"/>
        </w:rPr>
        <w:t>Exhibit 23.1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CONSENT OF INDEPENDENT REGISTERED PUBLIC ACCOUNTING FIRM</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hereby consent to the incorporation by reference in this Registration Statement on Form S-8 of our report dated February 27, 2013 relating to the financial statements and the effectiveness of internal control over financial reporting, which appears in Plains All American Pipeline, L.P.s Annual Report on Form 10-K for the year ended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 PricewaterhouseCoopers LLP </w:t>
        <w:br/>
        <w:t>Houston, Texas</w:t>
        <w:br/>
        <w:t>December 30, 2013</w:t>
      </w:r>
    </w:p>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4975</Words>
  <CharactersWithSpaces>31375</CharactersWithSpaces>
  <Paragraphs>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