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20,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60" w:right="33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60" w:right="339" w:bottom="1440" w:gutter="0" w:footer="0" w:header="0"/>
          <w:type w:val="continuous"/>
        </w:sectPr>
      </w:pPr>
    </w:p>
    <w:p>
      <w:pPr>
        <w:spacing w:after="0" w:line="2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Revolving Credit Facility</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August 20, 2021, Plains All American Pipeline, L.P. (the “Partnership”), a wholly-owned subsidiary of Plains GP Holdings, L.P. (“PAGP” or the “Registrant”), entered into an unsecured Credit Agreement (the “Revolving Credit Agreement”), among the Partnership and Plains Midstream Canada ULC, a British Columbia unlimited liability company, as Borrowers; certain subsidiaries of the Partnership from time to time party thereto, as Designated Borrowers; Bank of America, N.A., as Administrative Agent and Swing Line Lender; Bank of America, N.A., Citibank, N.A., JPMorgan Chase Bank, N.A. and Wells Fargo Bank, National Association, as L/C Issuers; and the other Lenders party thereto (terms used but not defined in this description of the Revolving Credit Agreement have the meanings assigned to them in the Revolving Credit Agreement). The Revolving Credit Agreement replaces the Partnership’s Credit Agreement dated as of August 19, 2011, among the Partnership, as U.S. borrower; certain subsidiaries of the Partnership from time to time party thereto, as designated borrowers; Bank of America, N.A., as administrative agent; and certain other financial institutions party thereto, as lenders, as amended.</w:t>
      </w:r>
    </w:p>
    <w:p>
      <w:pPr>
        <w:spacing w:after="0" w:line="19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committed borrowing capacity under the Revolving Credit Agreement is $1.35 billion, up to $400 million of which is available for the issuance of letters of credit and up to $150 million of which is available for swing line loans. The committed amount may be increased at the option of the Partnership to $2.1 billion, subject to, among other terms and conditions, obtaining additional or increased lender commitments. Further, the Revolving Credit Agreement permits each Canadian subsidiary of the Partnership that is then designated as a Designated Borrower to obtain advances in Canadian or U.S. dollars, including Canadian BA’s, and Letters of Credit, up to an aggregate outstanding principal amount of the U.S. dollar equivalent of $1 billion. Payment Obligations of each Designated Borrower are guaranteed by the Partnership. The Revolving Credit Agreement has a scheduled maturity date of August 20, 2026 and provides for one or more one-year extensions subject to applicable lender approval and other terms and conditions set forth in the Revolving Credit Agreement.</w:t>
      </w:r>
    </w:p>
    <w:p>
      <w:pPr>
        <w:spacing w:after="0" w:line="19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Borrowings under the Revolving Credit Agreement accrue interest based, at the applicable Borrower’s election, on either the Eurocurrency Rate, the Base Rate or the Canadian Prime Rate, in each case, plus an applicable margin. Fees on issued Letters of Credit and accepted Canadian BA’s accrue at the applicable margin for Eurocurrency Rate Loans, and a facility fee accrues at an applicable margin. The applicable margin used in connection with interest rates and fees is based on the Partnership’s credit rating at the applicable time.</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Revolving Credit Agreement contains representations and warranties and events of default that are customary for investment grade, senior unsecured commercial bank credit agreements. In addition, the Revolving Credit Agreement contains various covenants limiting the Partnership’s or certain of its subsidiaries’ ability to, among other things:</w:t>
      </w:r>
    </w:p>
    <w:p>
      <w:pPr>
        <w:spacing w:after="0" w:line="184"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grant liens on their principal property or equity interests in subsidiaries of the Partnership;</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In addition, the Revolving Credit Agreement prohibits the declaration or making of distributions on, or purchases or redemptions of, the Partnership’s equity interests if any Default or Event of Default has occurred and is continuing or, immediately after giving effect thereto,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500" w:firstLine="648"/>
        <w:spacing w:after="0" w:line="308" w:lineRule="auto"/>
        <w:rPr>
          <w:sz w:val="20"/>
          <w:szCs w:val="20"/>
          <w:color w:val="auto"/>
        </w:rPr>
      </w:pPr>
      <w:r>
        <w:rPr>
          <w:rFonts w:ascii="Arial" w:cs="Arial" w:eastAsia="Arial" w:hAnsi="Arial"/>
          <w:sz w:val="17"/>
          <w:szCs w:val="17"/>
          <w:color w:val="auto"/>
        </w:rPr>
        <w:t>The financial covenant in the Revolving Credit Agreement, tested on a quarterly basis, limits Consolidated Funded Indebtedness to adjusted Consolidated EBITDA to no greater than 5.00 to 1.00, which increases to 5.50 to 1.00 during an Acquisition Period.</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default under the Revolving Credit Agreement would permit the Lenders to terminate their commitments and to accelerate the maturity of the outstanding debt.</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above description of the Revolving Credit Agreement is qualified in its entirety by the terms of the Revolving Credit Agreement, which is attached hereto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Hedged Inventory Facility</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20, 2021, Plains Marketing, L.P. (“PMLP”), a wholly-owned subsidiary of the Partnership, entered into a Fourth Amended and Restated Credit Agreement (the “Restated Hedged Inventory Facility”) among PMLP and Plains Midstream Canada ULC, a British Columbia unlimited liability company, as Borrowers; the Partnership, as Guarantor; Bank of America, N.A., as Administrative Agent and Swing Line Lender; Bank of America, N.A., Citibank, N.A., JPMorgan Chase Bank, N.A. and Wells Fargo Bank, National Association, as L/C Issuers; and the other Lenders party thereto (terms used but not defined in this description of the Restated Hedged Inventory Facility have the meanings assigned to them in the Restated Hedged Inventory Facility). The Restated Hedged Inventory Facility replaces PMLP’s Third Amended and Restated Credit Agreement dated as of August 19, 2011 (as amended, the “Previous Facility”), among PMLP, as borrower; the Partnership, as guarantor; Bank of America, N.A., as administrative agent and initial issuer of letters of credit; and certain other financial institutions party thereto, as lenders.</w:t>
      </w:r>
    </w:p>
    <w:p>
      <w:pPr>
        <w:spacing w:after="0" w:line="178"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The committed borrowing capacity under the Restated Hedged Inventory Facility is $1.35 billion, subject to borrowing base restrictions, of which up to $400 million is available for the issuance of Letters of Credit and up to $75 million is available for swing line loans. The committed amount may be increased at the option of PMLP to $1.9 billion, subject to, among other terms and conditions, obtaining additional or increased lender commitments.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Proceeds from the Restated Hedged Inventory Facility will be used to finance purchased or stored hedged inventory. Obligations under the Restated Hedged Inventory Facility are secured by the financed inventory and the associated accounts receivable, and will be repaid from the proceeds of the sale of the financed inventory. In addition, PMLP’s payment Obligations under the Restated Hedged Inventory Facility are guaranteed by the Partnership. The Revolving Credit Agreement has a scheduled maturity date of August 20, 2024 and provides for one or more one-year extensions subject to applicable lender approval and other terms and conditions set forth in the Restated Hedged Inventory Facility.</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Borrowings under the Restated Hedged Inventory Facility accrue interest based, at PMLP’s election, on either the Eurocurrency Rate or the Base Rate, in each case, plus an applicable margin. Fees on issued Letters of Credit accrue at the applicable margin for Eurocurrency Rate Loans, and a commitment fee accrues at an applicable margin. The applicable margin used in connection with interest rates and fees is based on the Partnership’s credit rating at the applicable time.</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covenants and events of default in the Restated Hedged Inventory Facility remain substantially unchanged from the Previous Facility, and the Restated Hedged Inventory Facility contains cross default provisions. In addition, the Restated Hedged Inventory Facility contains various covenants limiting PMLP’s ability to, among other things:</w:t>
      </w:r>
    </w:p>
    <w:p>
      <w:pPr>
        <w:spacing w:after="0" w:line="184"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 liens on Collateral or related inventory and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 merger or consolidation or sell substantially all of its assets;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dispose of Collateral;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negative pledge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right="360"/>
        <w:spacing w:after="0" w:line="308" w:lineRule="auto"/>
        <w:rPr>
          <w:sz w:val="20"/>
          <w:szCs w:val="20"/>
          <w:color w:val="auto"/>
        </w:rPr>
      </w:pPr>
      <w:r>
        <w:rPr>
          <w:rFonts w:ascii="Arial" w:cs="Arial" w:eastAsia="Arial" w:hAnsi="Arial"/>
          <w:sz w:val="17"/>
          <w:szCs w:val="17"/>
          <w:color w:val="auto"/>
        </w:rPr>
        <w:t>The financial covenant in the Restated Hedged Inventory Facility limits Consolidated Funded Indebtedness of the Partnership to adjusted Consolidated EBITDA of the Partnership to a maximum ratio of 5.00 to 1.00, which increases to 5.50 to 1.00 during an Acquisition Period.</w:t>
      </w:r>
    </w:p>
    <w:p>
      <w:pPr>
        <w:spacing w:after="0" w:line="14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 default under the Restated Hedged Inventory Facility permits the lenders to terminate their commitments and to accelerate the maturity of the outstanding debt.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above description of the Restated Hedged Inventory Facility is qualified in its entirety by the terms of the Restated Hedged Inventory Facility, which is attached hereto as Exhibit 10.2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340" w:firstLine="583"/>
        <w:spacing w:after="0" w:line="277" w:lineRule="auto"/>
        <w:rPr>
          <w:sz w:val="20"/>
          <w:szCs w:val="20"/>
          <w:color w:val="auto"/>
        </w:rPr>
      </w:pPr>
      <w:r>
        <w:rPr>
          <w:rFonts w:ascii="Arial" w:cs="Arial" w:eastAsia="Arial" w:hAnsi="Arial"/>
          <w:sz w:val="18"/>
          <w:szCs w:val="18"/>
          <w:color w:val="auto"/>
        </w:rPr>
        <w:t>On August 26, 2021, PAA and PAGP issued a press release announcing execution of the Revolving Credit Agreement and the Restated Hedged Inventory Facility. A copy of the press release is furnished as Exhibit 99.1 hereto.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Borders>
              <w:top w:val="single" w:sz="8" w:color="auto"/>
              <w:right w:val="single" w:sz="8" w:color="auto"/>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0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196"/>
        </w:trPr>
        <w:tc>
          <w:tcPr>
            <w:tcW w:w="400" w:type="dxa"/>
            <w:vAlign w:val="bottom"/>
            <w:tcBorders>
              <w:left w:val="single" w:sz="8" w:color="auto"/>
            </w:tcBorders>
            <w:gridSpan w:val="2"/>
          </w:tcPr>
          <w:p>
            <w:pPr>
              <w:spacing w:after="0"/>
              <w:rPr>
                <w:sz w:val="17"/>
                <w:szCs w:val="17"/>
                <w:color w:val="auto"/>
              </w:rPr>
            </w:pPr>
          </w:p>
        </w:tc>
        <w:tc>
          <w:tcPr>
            <w:tcW w:w="360" w:type="dxa"/>
            <w:vAlign w:val="bottom"/>
            <w:gridSpan w:val="2"/>
          </w:tcPr>
          <w:p>
            <w:pPr>
              <w:jc w:val="center"/>
              <w:ind w:right="40"/>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10.1</w:t>
              </w:r>
            </w:hyperlink>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Credit Agreement dated as of August 20, 2021, among Plains All American Pipeline, L.P. and Plains Midstream Canada ULC, as</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Borrowers; certain subsidiaries of Plains All American Pipeline, L.P. from time to time party thereto, as Designated Borrowers; Bank of</w:t>
              </w:r>
            </w:hyperlink>
          </w:p>
        </w:tc>
        <w:tc>
          <w:tcPr>
            <w:tcW w:w="200" w:type="dxa"/>
            <w:vAlign w:val="bottom"/>
            <w:tcBorders>
              <w:right w:val="single" w:sz="8" w:color="auto"/>
            </w:tcBorders>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America, N.A., as Administrative Agent and Swing Line Lender; Bank of America, N.A., Citibank, N.A., JPMorgan Chase Bank, N.A.</w:t>
              </w:r>
            </w:hyperlink>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Wells Fargo Bank, National Association, as L/C Issuers; and the other Lenders party thereto.</w:t>
              </w:r>
            </w:hyperlink>
          </w:p>
        </w:tc>
        <w:tc>
          <w:tcPr>
            <w:tcW w:w="260" w:type="dxa"/>
            <w:vAlign w:val="bottom"/>
            <w:tcBorders>
              <w:right w:val="single" w:sz="8" w:color="auto"/>
            </w:tcBorders>
            <w:gridSpan w:val="3"/>
          </w:tcPr>
          <w:p>
            <w:pPr>
              <w:spacing w:after="0"/>
              <w:rPr>
                <w:sz w:val="17"/>
                <w:szCs w:val="17"/>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1840" w:type="dxa"/>
            <w:vAlign w:val="bottom"/>
            <w:tcBorders>
              <w:top w:val="single" w:sz="8" w:color="0000EE"/>
              <w:bottom w:val="single" w:sz="8" w:color="auto"/>
            </w:tcBorders>
          </w:tcPr>
          <w:p>
            <w:pPr>
              <w:spacing w:after="0"/>
              <w:rPr>
                <w:sz w:val="4"/>
                <w:szCs w:val="4"/>
                <w:color w:val="auto"/>
              </w:rPr>
            </w:pPr>
          </w:p>
        </w:tc>
        <w:tc>
          <w:tcPr>
            <w:tcW w:w="940" w:type="dxa"/>
            <w:vAlign w:val="bottom"/>
            <w:tcBorders>
              <w:top w:val="single" w:sz="8" w:color="0000EE"/>
              <w:bottom w:val="single" w:sz="8" w:color="auto"/>
            </w:tcBorders>
          </w:tcPr>
          <w:p>
            <w:pPr>
              <w:spacing w:after="0"/>
              <w:rPr>
                <w:sz w:val="4"/>
                <w:szCs w:val="4"/>
                <w:color w:val="auto"/>
              </w:rPr>
            </w:pPr>
          </w:p>
        </w:tc>
        <w:tc>
          <w:tcPr>
            <w:tcW w:w="3300" w:type="dxa"/>
            <w:vAlign w:val="bottom"/>
            <w:tcBorders>
              <w:top w:val="single" w:sz="8" w:color="0000EE"/>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196"/>
        </w:trPr>
        <w:tc>
          <w:tcPr>
            <w:tcW w:w="400" w:type="dxa"/>
            <w:vAlign w:val="bottom"/>
            <w:tcBorders>
              <w:left w:val="single" w:sz="8" w:color="auto"/>
            </w:tcBorders>
            <w:gridSpan w:val="2"/>
          </w:tcPr>
          <w:p>
            <w:pPr>
              <w:spacing w:after="0"/>
              <w:rPr>
                <w:sz w:val="17"/>
                <w:szCs w:val="17"/>
                <w:color w:val="auto"/>
              </w:rPr>
            </w:pPr>
          </w:p>
        </w:tc>
        <w:tc>
          <w:tcPr>
            <w:tcW w:w="360" w:type="dxa"/>
            <w:vAlign w:val="bottom"/>
            <w:gridSpan w:val="2"/>
          </w:tcPr>
          <w:p>
            <w:pPr>
              <w:jc w:val="center"/>
              <w:ind w:right="40"/>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10.2</w:t>
              </w:r>
            </w:hyperlink>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w w:val="95"/>
              </w:rPr>
            </w:pPr>
            <w:hyperlink w:anchor="page190">
              <w:r>
                <w:rPr>
                  <w:rFonts w:ascii="Arial" w:cs="Arial" w:eastAsia="Arial" w:hAnsi="Arial"/>
                  <w:sz w:val="18"/>
                  <w:szCs w:val="18"/>
                  <w:color w:val="0000EE"/>
                  <w:w w:val="95"/>
                </w:rPr>
                <w:t>Fourth Amended and Restated Credit Agreement dated as of August 20, 2021, among Plains Marketing, L.P. and Plains Midstream</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w w:val="96"/>
              </w:rPr>
            </w:pPr>
            <w:hyperlink w:anchor="page190">
              <w:r>
                <w:rPr>
                  <w:rFonts w:ascii="Arial" w:cs="Arial" w:eastAsia="Arial" w:hAnsi="Arial"/>
                  <w:sz w:val="18"/>
                  <w:szCs w:val="18"/>
                  <w:color w:val="0000EE"/>
                  <w:w w:val="96"/>
                </w:rPr>
                <w:t>Canada ULC, as Borrowers; Plains All American Pipeline, L.P., as guarantor; Bank of America, N.A., as Administrative Agent and</w:t>
              </w:r>
            </w:hyperlink>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w w:val="94"/>
              </w:rPr>
            </w:pPr>
            <w:hyperlink w:anchor="page190">
              <w:r>
                <w:rPr>
                  <w:rFonts w:ascii="Arial" w:cs="Arial" w:eastAsia="Arial" w:hAnsi="Arial"/>
                  <w:sz w:val="18"/>
                  <w:szCs w:val="18"/>
                  <w:color w:val="0000EE"/>
                  <w:w w:val="94"/>
                </w:rPr>
                <w:t>Swing Line Lender; Bank of America, N.A., Citibank, N.A., JPMorgan Chase Bank, N.A. and Wells Fargo Bank, National Association,</w:t>
              </w:r>
            </w:hyperlink>
          </w:p>
        </w:tc>
      </w:tr>
      <w:tr>
        <w:trPr>
          <w:trHeight w:val="196"/>
        </w:trPr>
        <w:tc>
          <w:tcPr>
            <w:tcW w:w="12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as L/C Issuers; and the other Lenders party thereto.</w:t>
              </w:r>
            </w:hyperlink>
          </w:p>
        </w:tc>
        <w:tc>
          <w:tcPr>
            <w:tcW w:w="220" w:type="dxa"/>
            <w:vAlign w:val="bottom"/>
            <w:tcBorders>
              <w:right w:val="single" w:sz="8" w:color="auto"/>
            </w:tcBorders>
            <w:gridSpan w:val="2"/>
          </w:tcPr>
          <w:p>
            <w:pPr>
              <w:spacing w:after="0"/>
              <w:rPr>
                <w:sz w:val="17"/>
                <w:szCs w:val="17"/>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1840" w:type="dxa"/>
            <w:vAlign w:val="bottom"/>
            <w:tcBorders>
              <w:top w:val="single" w:sz="8" w:color="0000EE"/>
              <w:bottom w:val="single" w:sz="8" w:color="auto"/>
            </w:tcBorders>
          </w:tcPr>
          <w:p>
            <w:pPr>
              <w:spacing w:after="0"/>
              <w:rPr>
                <w:sz w:val="4"/>
                <w:szCs w:val="4"/>
                <w:color w:val="auto"/>
              </w:rPr>
            </w:pPr>
          </w:p>
        </w:tc>
        <w:tc>
          <w:tcPr>
            <w:tcW w:w="940" w:type="dxa"/>
            <w:vAlign w:val="bottom"/>
            <w:tcBorders>
              <w:top w:val="single" w:sz="8" w:color="0000EE"/>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196"/>
        </w:trPr>
        <w:tc>
          <w:tcPr>
            <w:tcW w:w="760" w:type="dxa"/>
            <w:vAlign w:val="bottom"/>
            <w:tcBorders>
              <w:left w:val="single" w:sz="8" w:color="auto"/>
            </w:tcBorders>
            <w:gridSpan w:val="4"/>
          </w:tcPr>
          <w:p>
            <w:pPr>
              <w:jc w:val="center"/>
              <w:ind w:left="270"/>
              <w:spacing w:after="0" w:line="196" w:lineRule="exact"/>
              <w:rPr>
                <w:rFonts w:ascii="Arial" w:cs="Arial" w:eastAsia="Arial" w:hAnsi="Arial"/>
                <w:sz w:val="18"/>
                <w:szCs w:val="18"/>
                <w:color w:val="0000EE"/>
                <w:w w:val="91"/>
              </w:rPr>
            </w:pPr>
            <w:hyperlink w:anchor="page373">
              <w:r>
                <w:rPr>
                  <w:rFonts w:ascii="Arial" w:cs="Arial" w:eastAsia="Arial" w:hAnsi="Arial"/>
                  <w:sz w:val="18"/>
                  <w:szCs w:val="18"/>
                  <w:color w:val="0000EE"/>
                  <w:w w:val="91"/>
                </w:rPr>
                <w:t>99.1</w:t>
              </w:r>
            </w:hyperlink>
          </w:p>
        </w:tc>
        <w:tc>
          <w:tcPr>
            <w:tcW w:w="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11"/>
          </w:tcPr>
          <w:p>
            <w:pPr>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Press Release Dated August 26, 2021.</w:t>
              </w:r>
            </w:hyperlink>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1840" w:type="dxa"/>
            <w:vAlign w:val="bottom"/>
            <w:tcBorders>
              <w:top w:val="single" w:sz="8" w:color="0000EE"/>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237"/>
        </w:trPr>
        <w:tc>
          <w:tcPr>
            <w:tcW w:w="720" w:type="dxa"/>
            <w:vAlign w:val="bottom"/>
            <w:tcBorders>
              <w:left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3"/>
              </w:rPr>
              <w:t>104</w:t>
            </w:r>
          </w:p>
        </w:tc>
        <w:tc>
          <w:tcPr>
            <w:tcW w:w="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669"/>
        </w:trPr>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26, 2021</w:t>
      </w:r>
      <w:r>
        <w:rPr>
          <w:sz w:val="20"/>
          <w:szCs w:val="20"/>
          <w:color w:val="auto"/>
        </w:rPr>
        <w:tab/>
      </w:r>
      <w:r>
        <w:rPr>
          <w:rFonts w:ascii="Arial" w:cs="Arial" w:eastAsia="Arial" w:hAnsi="Arial"/>
          <w:sz w:val="17"/>
          <w:szCs w:val="17"/>
          <w:color w:val="auto"/>
        </w:rPr>
        <w:t>PLAINS GP HOLDINGS,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726504AL7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726504AM5</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AUGUST 20, 2021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PLAINS ALL AMERICAN PIPELINE, L.P., PLAINS MIDSTREAM CANADA ULC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CERTAIN SUBSIDIARIES OF PLAINS ALL AMERICAN PIPELINE, L.P.</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From Time to Time Party Hereto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ind w:left="400" w:right="1520"/>
        <w:spacing w:after="0" w:line="275" w:lineRule="auto"/>
        <w:rPr>
          <w:sz w:val="20"/>
          <w:szCs w:val="20"/>
          <w:color w:val="auto"/>
        </w:rPr>
      </w:pPr>
      <w:r>
        <w:rPr>
          <w:rFonts w:ascii="Arial" w:cs="Arial" w:eastAsia="Arial" w:hAnsi="Arial"/>
          <w:sz w:val="18"/>
          <w:szCs w:val="18"/>
          <w:b w:val="1"/>
          <w:bCs w:val="1"/>
          <w:color w:val="auto"/>
        </w:rPr>
        <w:t xml:space="preserve">BANK OF AMERICA, N.A., CITIBANK, N.A., JPMORGAN CHASE BANK, N.A. </w:t>
      </w:r>
      <w:r>
        <w:rPr>
          <w:rFonts w:ascii="Arial" w:cs="Arial" w:eastAsia="Arial" w:hAnsi="Arial"/>
          <w:sz w:val="18"/>
          <w:szCs w:val="18"/>
          <w:color w:val="auto"/>
        </w:rPr>
        <w:t>and</w:t>
      </w:r>
      <w:r>
        <w:rPr>
          <w:rFonts w:ascii="Arial" w:cs="Arial" w:eastAsia="Arial" w:hAnsi="Arial"/>
          <w:sz w:val="18"/>
          <w:szCs w:val="18"/>
          <w:b w:val="1"/>
          <w:bCs w:val="1"/>
          <w:color w:val="auto"/>
        </w:rPr>
        <w:t xml:space="preserve"> WELLS FARGO BANK, NATIONAL ASSOCIATION, </w:t>
      </w:r>
      <w:r>
        <w:rPr>
          <w:rFonts w:ascii="Arial" w:cs="Arial" w:eastAsia="Arial" w:hAnsi="Arial"/>
          <w:sz w:val="18"/>
          <w:szCs w:val="18"/>
          <w:color w:val="auto"/>
        </w:rPr>
        <w:t>as L/C Issuers,</w:t>
      </w: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CITIBANK, N.A., 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ind w:left="400" w:right="1520"/>
        <w:spacing w:after="0" w:line="254" w:lineRule="auto"/>
        <w:rPr>
          <w:sz w:val="20"/>
          <w:szCs w:val="20"/>
          <w:color w:val="auto"/>
        </w:rPr>
      </w:pPr>
      <w:r>
        <w:rPr>
          <w:rFonts w:ascii="Arial" w:cs="Arial" w:eastAsia="Arial" w:hAnsi="Arial"/>
          <w:sz w:val="18"/>
          <w:szCs w:val="18"/>
          <w:b w:val="1"/>
          <w:bCs w:val="1"/>
          <w:color w:val="auto"/>
        </w:rPr>
        <w:t>BANCO BILBAO VIZCAYA ARGENTARIA, S.A., NEW YORK BRANCH, BANK OF MONTREAL, BANK OF NOVA SCOTIA, HOUSTON BRANCH, BARCLAYS BANK PLC, CANADIAN IMPERIAL BANK OF COMMERCE, NEW YORK BRANCH, COBANK, ACB, ING CAPITAL LLC, MIZUHO BANK, LTD., MUFG BANK, LTD., PNC BANK, NATIONAL ASSOCIATION, REGIONS BANK,</w:t>
      </w:r>
    </w:p>
    <w:p>
      <w:pPr>
        <w:spacing w:after="0" w:line="3" w:lineRule="exact"/>
        <w:rPr>
          <w:sz w:val="20"/>
          <w:szCs w:val="20"/>
          <w:color w:val="auto"/>
        </w:rPr>
      </w:pPr>
    </w:p>
    <w:p>
      <w:pPr>
        <w:jc w:val="center"/>
        <w:ind w:left="400" w:right="1520"/>
        <w:spacing w:after="0" w:line="250" w:lineRule="auto"/>
        <w:rPr>
          <w:sz w:val="20"/>
          <w:szCs w:val="20"/>
          <w:color w:val="auto"/>
        </w:rPr>
      </w:pPr>
      <w:r>
        <w:rPr>
          <w:rFonts w:ascii="Arial" w:cs="Arial" w:eastAsia="Arial" w:hAnsi="Arial"/>
          <w:sz w:val="18"/>
          <w:szCs w:val="18"/>
          <w:b w:val="1"/>
          <w:bCs w:val="1"/>
          <w:color w:val="auto"/>
        </w:rPr>
        <w:t>ROYAL BANK OF CANADA, SUMITOMO MITSUI BANKING CORPORATION, THE TORONTO-DOMINION BANK, NEW YORK BRANCH, TRUIST BANK and U.S. BANK NATIONAL ASSOCIATION</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Co-Documentation Agents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BOFA SECURITIES, INC., 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 WELLS FARGO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BANCO BILBAO VIZCAYA ARGENTARIA, S.A., NEW YORK BRANCH, BMO CAPITAL MARKETS,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NOVA SCOTIA, HOUSTON BRANCH, 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CANADIAN IMPERIAL BANK OF COMMERCE, NEW YORK BRANCH, COBANK, ACB,</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ING CAPITAL LLC, MIZUHO BANK, LTD., MUFG BANK,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PNC BANK, NATIONAL ASSOCIATION, REGIONS BANK, ROYAL BANK OF CANADA,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TD SECURITIES (USA) LLC, TRUIST BANK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Joint Book Managers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Unsecured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614680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4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c>
          <w:tcPr>
            <w:tcW w:w="7740" w:type="dxa"/>
            <w:vAlign w:val="bottom"/>
          </w:tcPr>
          <w:p>
            <w:pPr>
              <w:spacing w:after="0"/>
              <w:rPr>
                <w:sz w:val="24"/>
                <w:szCs w:val="24"/>
                <w:color w:val="auto"/>
              </w:rPr>
            </w:pPr>
          </w:p>
        </w:tc>
        <w:tc>
          <w:tcPr>
            <w:tcW w:w="2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0"/>
        </w:trPr>
        <w:tc>
          <w:tcPr>
            <w:tcW w:w="560" w:type="dxa"/>
            <w:vAlign w:val="bottom"/>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66"/>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 AND ACCOUNTING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74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7740" w:type="dxa"/>
            <w:vAlign w:val="bottom"/>
          </w:tcPr>
          <w:p>
            <w:pPr>
              <w:ind w:left="100"/>
              <w:spacing w:after="0"/>
              <w:rPr>
                <w:sz w:val="20"/>
                <w:szCs w:val="20"/>
                <w:color w:val="auto"/>
              </w:rPr>
            </w:pPr>
            <w:r>
              <w:rPr>
                <w:rFonts w:ascii="Arial" w:cs="Arial" w:eastAsia="Arial" w:hAnsi="Arial"/>
                <w:sz w:val="18"/>
                <w:szCs w:val="18"/>
                <w:color w:val="auto"/>
              </w:rPr>
              <w:t>Other Interpretive Provisions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7740" w:type="dxa"/>
            <w:vAlign w:val="bottom"/>
          </w:tcPr>
          <w:p>
            <w:pPr>
              <w:ind w:left="100"/>
              <w:spacing w:after="0"/>
              <w:rPr>
                <w:sz w:val="20"/>
                <w:szCs w:val="20"/>
                <w:color w:val="auto"/>
              </w:rPr>
            </w:pPr>
            <w:r>
              <w:rPr>
                <w:rFonts w:ascii="Arial" w:cs="Arial" w:eastAsia="Arial" w:hAnsi="Arial"/>
                <w:sz w:val="18"/>
                <w:szCs w:val="18"/>
                <w:color w:val="auto"/>
              </w:rPr>
              <w:t>Accounting Terms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7740" w:type="dxa"/>
            <w:vAlign w:val="bottom"/>
          </w:tcPr>
          <w:p>
            <w:pPr>
              <w:ind w:left="100"/>
              <w:spacing w:after="0"/>
              <w:rPr>
                <w:sz w:val="20"/>
                <w:szCs w:val="20"/>
                <w:color w:val="auto"/>
              </w:rPr>
            </w:pPr>
            <w:r>
              <w:rPr>
                <w:rFonts w:ascii="Arial" w:cs="Arial" w:eastAsia="Arial" w:hAnsi="Arial"/>
                <w:sz w:val="18"/>
                <w:szCs w:val="18"/>
                <w:color w:val="auto"/>
              </w:rPr>
              <w:t>Rounding</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7740" w:type="dxa"/>
            <w:vAlign w:val="bottom"/>
          </w:tcPr>
          <w:p>
            <w:pPr>
              <w:ind w:left="100"/>
              <w:spacing w:after="0"/>
              <w:rPr>
                <w:sz w:val="20"/>
                <w:szCs w:val="20"/>
                <w:color w:val="auto"/>
              </w:rPr>
            </w:pPr>
            <w:r>
              <w:rPr>
                <w:rFonts w:ascii="Arial" w:cs="Arial" w:eastAsia="Arial" w:hAnsi="Arial"/>
                <w:sz w:val="18"/>
                <w:szCs w:val="18"/>
                <w:color w:val="auto"/>
              </w:rPr>
              <w:t>Times of Day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7740" w:type="dxa"/>
            <w:vAlign w:val="bottom"/>
          </w:tcPr>
          <w:p>
            <w:pPr>
              <w:ind w:left="100"/>
              <w:spacing w:after="0"/>
              <w:rPr>
                <w:sz w:val="20"/>
                <w:szCs w:val="20"/>
                <w:color w:val="auto"/>
              </w:rPr>
            </w:pPr>
            <w:r>
              <w:rPr>
                <w:rFonts w:ascii="Arial" w:cs="Arial" w:eastAsia="Arial" w:hAnsi="Arial"/>
                <w:sz w:val="18"/>
                <w:szCs w:val="18"/>
                <w:color w:val="auto"/>
              </w:rPr>
              <w:t>Exchange Rates; Currency Equivalents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7740" w:type="dxa"/>
            <w:vAlign w:val="bottom"/>
          </w:tcPr>
          <w:p>
            <w:pPr>
              <w:ind w:left="100"/>
              <w:spacing w:after="0"/>
              <w:rPr>
                <w:sz w:val="20"/>
                <w:szCs w:val="20"/>
                <w:color w:val="auto"/>
              </w:rPr>
            </w:pPr>
            <w:r>
              <w:rPr>
                <w:rFonts w:ascii="Arial" w:cs="Arial" w:eastAsia="Arial" w:hAnsi="Arial"/>
                <w:sz w:val="18"/>
                <w:szCs w:val="18"/>
                <w:color w:val="auto"/>
              </w:rPr>
              <w:t>Letter of Credit Amounts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7740" w:type="dxa"/>
            <w:vAlign w:val="bottom"/>
          </w:tcPr>
          <w:p>
            <w:pPr>
              <w:ind w:left="100"/>
              <w:spacing w:after="0"/>
              <w:rPr>
                <w:sz w:val="20"/>
                <w:szCs w:val="20"/>
                <w:color w:val="auto"/>
              </w:rPr>
            </w:pPr>
            <w:r>
              <w:rPr>
                <w:rFonts w:ascii="Arial" w:cs="Arial" w:eastAsia="Arial" w:hAnsi="Arial"/>
                <w:sz w:val="18"/>
                <w:szCs w:val="18"/>
                <w:color w:val="auto"/>
              </w:rPr>
              <w:t>Interest Rates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THE COMMITMENTS AND CREDIT EXTENSIONS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7740" w:type="dxa"/>
            <w:vAlign w:val="bottom"/>
          </w:tcPr>
          <w:p>
            <w:pPr>
              <w:ind w:left="100"/>
              <w:spacing w:after="0"/>
              <w:rPr>
                <w:sz w:val="20"/>
                <w:szCs w:val="20"/>
                <w:color w:val="auto"/>
              </w:rPr>
            </w:pPr>
            <w:r>
              <w:rPr>
                <w:rFonts w:ascii="Arial" w:cs="Arial" w:eastAsia="Arial" w:hAnsi="Arial"/>
                <w:sz w:val="18"/>
                <w:szCs w:val="18"/>
                <w:color w:val="auto"/>
              </w:rPr>
              <w:t>Committed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7740" w:type="dxa"/>
            <w:vAlign w:val="bottom"/>
          </w:tcPr>
          <w:p>
            <w:pPr>
              <w:ind w:left="100"/>
              <w:spacing w:after="0"/>
              <w:rPr>
                <w:sz w:val="20"/>
                <w:szCs w:val="20"/>
                <w:color w:val="auto"/>
              </w:rPr>
            </w:pPr>
            <w:r>
              <w:rPr>
                <w:rFonts w:ascii="Arial" w:cs="Arial" w:eastAsia="Arial" w:hAnsi="Arial"/>
                <w:sz w:val="18"/>
                <w:szCs w:val="18"/>
                <w:color w:val="auto"/>
              </w:rPr>
              <w:t>Borrowings, Conversions and Continuations of Committed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774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7740" w:type="dxa"/>
            <w:vAlign w:val="bottom"/>
          </w:tcPr>
          <w:p>
            <w:pPr>
              <w:ind w:left="100"/>
              <w:spacing w:after="0"/>
              <w:rPr>
                <w:sz w:val="20"/>
                <w:szCs w:val="20"/>
                <w:color w:val="auto"/>
              </w:rPr>
            </w:pPr>
            <w:r>
              <w:rPr>
                <w:rFonts w:ascii="Arial" w:cs="Arial" w:eastAsia="Arial" w:hAnsi="Arial"/>
                <w:sz w:val="18"/>
                <w:szCs w:val="18"/>
                <w:color w:val="auto"/>
              </w:rPr>
              <w:t>Swing Line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774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7740" w:type="dxa"/>
            <w:vAlign w:val="bottom"/>
          </w:tcPr>
          <w:p>
            <w:pPr>
              <w:ind w:left="100"/>
              <w:spacing w:after="0"/>
              <w:rPr>
                <w:sz w:val="20"/>
                <w:szCs w:val="20"/>
                <w:color w:val="auto"/>
              </w:rPr>
            </w:pPr>
            <w:r>
              <w:rPr>
                <w:rFonts w:ascii="Arial" w:cs="Arial" w:eastAsia="Arial" w:hAnsi="Arial"/>
                <w:sz w:val="18"/>
                <w:szCs w:val="18"/>
                <w:color w:val="auto"/>
              </w:rPr>
              <w:t>Termination or Reduction of Commitments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774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77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7740" w:type="dxa"/>
            <w:vAlign w:val="bottom"/>
          </w:tcPr>
          <w:p>
            <w:pPr>
              <w:ind w:left="100"/>
              <w:spacing w:after="0"/>
              <w:rPr>
                <w:sz w:val="20"/>
                <w:szCs w:val="20"/>
                <w:color w:val="auto"/>
              </w:rPr>
            </w:pPr>
            <w:r>
              <w:rPr>
                <w:rFonts w:ascii="Arial" w:cs="Arial" w:eastAsia="Arial" w:hAnsi="Arial"/>
                <w:sz w:val="18"/>
                <w:szCs w:val="18"/>
                <w:color w:val="auto"/>
              </w:rPr>
              <w:t>Fees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7740" w:type="dxa"/>
            <w:vAlign w:val="bottom"/>
          </w:tcPr>
          <w:p>
            <w:pPr>
              <w:ind w:left="100"/>
              <w:spacing w:after="0"/>
              <w:rPr>
                <w:sz w:val="20"/>
                <w:szCs w:val="20"/>
                <w:color w:val="auto"/>
              </w:rPr>
            </w:pPr>
            <w:r>
              <w:rPr>
                <w:rFonts w:ascii="Arial" w:cs="Arial" w:eastAsia="Arial" w:hAnsi="Arial"/>
                <w:sz w:val="18"/>
                <w:szCs w:val="18"/>
                <w:color w:val="auto"/>
              </w:rPr>
              <w:t>Computation of Interest and Fees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7740" w:type="dxa"/>
            <w:vAlign w:val="bottom"/>
          </w:tcPr>
          <w:p>
            <w:pPr>
              <w:ind w:left="100"/>
              <w:spacing w:after="0"/>
              <w:rPr>
                <w:sz w:val="20"/>
                <w:szCs w:val="20"/>
                <w:color w:val="auto"/>
              </w:rPr>
            </w:pPr>
            <w:r>
              <w:rPr>
                <w:rFonts w:ascii="Arial" w:cs="Arial" w:eastAsia="Arial" w:hAnsi="Arial"/>
                <w:sz w:val="18"/>
                <w:szCs w:val="18"/>
                <w:color w:val="auto"/>
              </w:rPr>
              <w:t>Evidence of Debt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Payments Generally; Administrative Agent’s Clawback</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7740" w:type="dxa"/>
            <w:vAlign w:val="bottom"/>
          </w:tcPr>
          <w:p>
            <w:pPr>
              <w:ind w:left="100"/>
              <w:spacing w:after="0"/>
              <w:rPr>
                <w:sz w:val="20"/>
                <w:szCs w:val="20"/>
                <w:color w:val="auto"/>
              </w:rPr>
            </w:pPr>
            <w:r>
              <w:rPr>
                <w:rFonts w:ascii="Arial" w:cs="Arial" w:eastAsia="Arial" w:hAnsi="Arial"/>
                <w:sz w:val="18"/>
                <w:szCs w:val="18"/>
                <w:color w:val="auto"/>
              </w:rPr>
              <w:t>Sharing of Payments by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7740" w:type="dxa"/>
            <w:vAlign w:val="bottom"/>
          </w:tcPr>
          <w:p>
            <w:pPr>
              <w:ind w:left="100"/>
              <w:spacing w:after="0"/>
              <w:rPr>
                <w:sz w:val="20"/>
                <w:szCs w:val="20"/>
                <w:color w:val="auto"/>
              </w:rPr>
            </w:pPr>
            <w:r>
              <w:rPr>
                <w:rFonts w:ascii="Arial" w:cs="Arial" w:eastAsia="Arial" w:hAnsi="Arial"/>
                <w:sz w:val="18"/>
                <w:szCs w:val="18"/>
                <w:color w:val="auto"/>
              </w:rPr>
              <w:t>Extension of Maturity Date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7740" w:type="dxa"/>
            <w:vAlign w:val="bottom"/>
          </w:tcPr>
          <w:p>
            <w:pPr>
              <w:ind w:left="100"/>
              <w:spacing w:after="0"/>
              <w:rPr>
                <w:sz w:val="20"/>
                <w:szCs w:val="20"/>
                <w:color w:val="auto"/>
              </w:rPr>
            </w:pPr>
            <w:r>
              <w:rPr>
                <w:rFonts w:ascii="Arial" w:cs="Arial" w:eastAsia="Arial" w:hAnsi="Arial"/>
                <w:sz w:val="18"/>
                <w:szCs w:val="18"/>
                <w:color w:val="auto"/>
              </w:rPr>
              <w:t>Designated Borrower</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7740" w:type="dxa"/>
            <w:vAlign w:val="bottom"/>
          </w:tcPr>
          <w:p>
            <w:pPr>
              <w:ind w:left="100"/>
              <w:spacing w:after="0"/>
              <w:rPr>
                <w:sz w:val="20"/>
                <w:szCs w:val="20"/>
                <w:color w:val="auto"/>
              </w:rPr>
            </w:pPr>
            <w:r>
              <w:rPr>
                <w:rFonts w:ascii="Arial" w:cs="Arial" w:eastAsia="Arial" w:hAnsi="Arial"/>
                <w:sz w:val="18"/>
                <w:szCs w:val="18"/>
                <w:color w:val="auto"/>
              </w:rPr>
              <w:t>Increase in Commitments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7740" w:type="dxa"/>
            <w:vAlign w:val="bottom"/>
          </w:tcPr>
          <w:p>
            <w:pPr>
              <w:ind w:left="100"/>
              <w:spacing w:after="0"/>
              <w:rPr>
                <w:sz w:val="20"/>
                <w:szCs w:val="20"/>
                <w:color w:val="auto"/>
              </w:rPr>
            </w:pPr>
            <w:r>
              <w:rPr>
                <w:rFonts w:ascii="Arial" w:cs="Arial" w:eastAsia="Arial" w:hAnsi="Arial"/>
                <w:sz w:val="18"/>
                <w:szCs w:val="18"/>
                <w:color w:val="auto"/>
              </w:rPr>
              <w:t>Cash Collateral</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774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TAXES, YIELD PROTECTION AND ILLEGALITY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418"/>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7740" w:type="dxa"/>
            <w:vAlign w:val="bottom"/>
          </w:tcPr>
          <w:p>
            <w:pPr>
              <w:ind w:left="100"/>
              <w:spacing w:after="0"/>
              <w:rPr>
                <w:sz w:val="20"/>
                <w:szCs w:val="20"/>
                <w:color w:val="auto"/>
              </w:rPr>
            </w:pPr>
            <w:r>
              <w:rPr>
                <w:rFonts w:ascii="Arial" w:cs="Arial" w:eastAsia="Arial" w:hAnsi="Arial"/>
                <w:sz w:val="18"/>
                <w:szCs w:val="18"/>
                <w:color w:val="auto"/>
              </w:rPr>
              <w:t>Taxes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774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7740" w:type="dxa"/>
            <w:vAlign w:val="bottom"/>
          </w:tcPr>
          <w:p>
            <w:pPr>
              <w:ind w:left="100"/>
              <w:spacing w:after="0"/>
              <w:rPr>
                <w:sz w:val="20"/>
                <w:szCs w:val="20"/>
                <w:color w:val="auto"/>
              </w:rPr>
            </w:pPr>
            <w:r>
              <w:rPr>
                <w:rFonts w:ascii="Arial" w:cs="Arial" w:eastAsia="Arial" w:hAnsi="Arial"/>
                <w:sz w:val="18"/>
                <w:szCs w:val="18"/>
                <w:color w:val="auto"/>
              </w:rPr>
              <w:t>Inability to Determine Rates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7740" w:type="dxa"/>
            <w:vAlign w:val="bottom"/>
          </w:tcPr>
          <w:p>
            <w:pPr>
              <w:ind w:left="100"/>
              <w:spacing w:after="0"/>
              <w:rPr>
                <w:sz w:val="20"/>
                <w:szCs w:val="20"/>
                <w:color w:val="auto"/>
              </w:rPr>
            </w:pPr>
            <w:r>
              <w:rPr>
                <w:rFonts w:ascii="Arial" w:cs="Arial" w:eastAsia="Arial" w:hAnsi="Arial"/>
                <w:sz w:val="18"/>
                <w:szCs w:val="18"/>
                <w:color w:val="auto"/>
              </w:rPr>
              <w:t>Increased Costs; Reserves on Eurocurrency Rate Loans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7740" w:type="dxa"/>
            <w:vAlign w:val="bottom"/>
          </w:tcPr>
          <w:p>
            <w:pPr>
              <w:ind w:left="100"/>
              <w:spacing w:after="0"/>
              <w:rPr>
                <w:sz w:val="20"/>
                <w:szCs w:val="20"/>
                <w:color w:val="auto"/>
              </w:rPr>
            </w:pPr>
            <w:r>
              <w:rPr>
                <w:rFonts w:ascii="Arial" w:cs="Arial" w:eastAsia="Arial" w:hAnsi="Arial"/>
                <w:sz w:val="18"/>
                <w:szCs w:val="18"/>
                <w:color w:val="auto"/>
              </w:rPr>
              <w:t>Compensation for Losses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774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77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CONDITIONS PRECEDENT TO CREDIT EXTENSIONS</w:t>
            </w:r>
          </w:p>
        </w:tc>
        <w:tc>
          <w:tcPr>
            <w:tcW w:w="3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7140" w:type="dxa"/>
            <w:vAlign w:val="bottom"/>
          </w:tcPr>
          <w:p>
            <w:pPr>
              <w:ind w:left="100"/>
              <w:spacing w:after="0"/>
              <w:rPr>
                <w:sz w:val="20"/>
                <w:szCs w:val="20"/>
                <w:color w:val="auto"/>
              </w:rPr>
            </w:pPr>
            <w:r>
              <w:rPr>
                <w:rFonts w:ascii="Arial" w:cs="Arial" w:eastAsia="Arial" w:hAnsi="Arial"/>
                <w:sz w:val="18"/>
                <w:szCs w:val="18"/>
                <w:color w:val="auto"/>
              </w:rPr>
              <w:t>Conditions Precedent to Initial Credit Extension</w:t>
            </w:r>
          </w:p>
        </w:tc>
        <w:tc>
          <w:tcPr>
            <w:tcW w:w="3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7140" w:type="dxa"/>
            <w:vAlign w:val="bottom"/>
          </w:tcPr>
          <w:p>
            <w:pPr>
              <w:ind w:left="100"/>
              <w:spacing w:after="0"/>
              <w:rPr>
                <w:sz w:val="20"/>
                <w:szCs w:val="20"/>
                <w:color w:val="auto"/>
              </w:rPr>
            </w:pPr>
            <w:r>
              <w:rPr>
                <w:rFonts w:ascii="Arial" w:cs="Arial" w:eastAsia="Arial" w:hAnsi="Arial"/>
                <w:sz w:val="18"/>
                <w:szCs w:val="18"/>
                <w:color w:val="auto"/>
              </w:rPr>
              <w:t>Conditions to all Credit Extensions</w:t>
            </w:r>
          </w:p>
        </w:tc>
        <w:tc>
          <w:tcPr>
            <w:tcW w:w="3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REPRESENTATIONS AND WARRANTIES</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7140" w:type="dxa"/>
            <w:vAlign w:val="bottom"/>
          </w:tcPr>
          <w:p>
            <w:pPr>
              <w:ind w:left="100"/>
              <w:spacing w:after="0"/>
              <w:rPr>
                <w:sz w:val="20"/>
                <w:szCs w:val="20"/>
                <w:color w:val="auto"/>
              </w:rPr>
            </w:pPr>
            <w:r>
              <w:rPr>
                <w:rFonts w:ascii="Arial" w:cs="Arial" w:eastAsia="Arial" w:hAnsi="Arial"/>
                <w:sz w:val="18"/>
                <w:szCs w:val="18"/>
                <w:color w:val="auto"/>
              </w:rPr>
              <w:t>Existence, Qualification and Power</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7140" w:type="dxa"/>
            <w:vAlign w:val="bottom"/>
          </w:tcPr>
          <w:p>
            <w:pPr>
              <w:ind w:left="100"/>
              <w:spacing w:after="0"/>
              <w:rPr>
                <w:sz w:val="20"/>
                <w:szCs w:val="20"/>
                <w:color w:val="auto"/>
              </w:rPr>
            </w:pPr>
            <w:r>
              <w:rPr>
                <w:rFonts w:ascii="Arial" w:cs="Arial" w:eastAsia="Arial" w:hAnsi="Arial"/>
                <w:sz w:val="18"/>
                <w:szCs w:val="18"/>
                <w:color w:val="auto"/>
              </w:rPr>
              <w:t>Authorization; No Contravention</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7140" w:type="dxa"/>
            <w:vAlign w:val="bottom"/>
          </w:tcPr>
          <w:p>
            <w:pPr>
              <w:ind w:left="100"/>
              <w:spacing w:after="0"/>
              <w:rPr>
                <w:sz w:val="20"/>
                <w:szCs w:val="20"/>
                <w:color w:val="auto"/>
              </w:rPr>
            </w:pPr>
            <w:r>
              <w:rPr>
                <w:rFonts w:ascii="Arial" w:cs="Arial" w:eastAsia="Arial" w:hAnsi="Arial"/>
                <w:sz w:val="18"/>
                <w:szCs w:val="18"/>
                <w:color w:val="auto"/>
              </w:rPr>
              <w:t>Governmental Authorization; Other Consents</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714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3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7140" w:type="dxa"/>
            <w:vAlign w:val="bottom"/>
          </w:tcPr>
          <w:p>
            <w:pPr>
              <w:ind w:left="100"/>
              <w:spacing w:after="0"/>
              <w:rPr>
                <w:sz w:val="20"/>
                <w:szCs w:val="20"/>
                <w:color w:val="auto"/>
              </w:rPr>
            </w:pPr>
            <w:r>
              <w:rPr>
                <w:rFonts w:ascii="Arial" w:cs="Arial" w:eastAsia="Arial" w:hAnsi="Arial"/>
                <w:sz w:val="18"/>
                <w:szCs w:val="18"/>
                <w:color w:val="auto"/>
              </w:rPr>
              <w:t>Financial Statements; No Material Adverse Effect</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714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7140" w:type="dxa"/>
            <w:vAlign w:val="bottom"/>
          </w:tcPr>
          <w:p>
            <w:pPr>
              <w:ind w:left="100"/>
              <w:spacing w:after="0"/>
              <w:rPr>
                <w:sz w:val="20"/>
                <w:szCs w:val="20"/>
                <w:color w:val="auto"/>
              </w:rPr>
            </w:pPr>
            <w:r>
              <w:rPr>
                <w:rFonts w:ascii="Arial" w:cs="Arial" w:eastAsia="Arial" w:hAnsi="Arial"/>
                <w:sz w:val="18"/>
                <w:szCs w:val="18"/>
                <w:color w:val="auto"/>
              </w:rPr>
              <w:t>Environmental Compliance</w:t>
            </w:r>
          </w:p>
        </w:tc>
        <w:tc>
          <w:tcPr>
            <w:tcW w:w="3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7140" w:type="dxa"/>
            <w:vAlign w:val="bottom"/>
          </w:tcPr>
          <w:p>
            <w:pPr>
              <w:ind w:left="100"/>
              <w:spacing w:after="0"/>
              <w:rPr>
                <w:sz w:val="20"/>
                <w:szCs w:val="20"/>
                <w:color w:val="auto"/>
              </w:rPr>
            </w:pPr>
            <w:r>
              <w:rPr>
                <w:rFonts w:ascii="Arial" w:cs="Arial" w:eastAsia="Arial" w:hAnsi="Arial"/>
                <w:sz w:val="18"/>
                <w:szCs w:val="18"/>
                <w:color w:val="auto"/>
              </w:rPr>
              <w:t>ERISA Compliance</w:t>
            </w:r>
          </w:p>
        </w:tc>
        <w:tc>
          <w:tcPr>
            <w:tcW w:w="3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7140" w:type="dxa"/>
            <w:vAlign w:val="bottom"/>
          </w:tcPr>
          <w:p>
            <w:pPr>
              <w:ind w:left="100"/>
              <w:spacing w:after="0"/>
              <w:rPr>
                <w:sz w:val="20"/>
                <w:szCs w:val="20"/>
                <w:color w:val="auto"/>
              </w:rPr>
            </w:pPr>
            <w:r>
              <w:rPr>
                <w:rFonts w:ascii="Arial" w:cs="Arial" w:eastAsia="Arial" w:hAnsi="Arial"/>
                <w:sz w:val="18"/>
                <w:szCs w:val="18"/>
                <w:color w:val="auto"/>
              </w:rPr>
              <w:t>Margin Regulations; Investment Company Act</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714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714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7140" w:type="dxa"/>
            <w:vAlign w:val="bottom"/>
          </w:tcPr>
          <w:p>
            <w:pPr>
              <w:ind w:left="100"/>
              <w:spacing w:after="0"/>
              <w:rPr>
                <w:sz w:val="20"/>
                <w:szCs w:val="20"/>
                <w:color w:val="auto"/>
              </w:rPr>
            </w:pPr>
            <w:r>
              <w:rPr>
                <w:rFonts w:ascii="Arial" w:cs="Arial" w:eastAsia="Arial" w:hAnsi="Arial"/>
                <w:sz w:val="18"/>
                <w:szCs w:val="18"/>
                <w:color w:val="auto"/>
              </w:rPr>
              <w:t>OFAC</w:t>
            </w:r>
          </w:p>
        </w:tc>
        <w:tc>
          <w:tcPr>
            <w:tcW w:w="3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7140" w:type="dxa"/>
            <w:vAlign w:val="bottom"/>
          </w:tcPr>
          <w:p>
            <w:pPr>
              <w:ind w:left="100"/>
              <w:spacing w:after="0"/>
              <w:rPr>
                <w:sz w:val="20"/>
                <w:szCs w:val="20"/>
                <w:color w:val="auto"/>
              </w:rPr>
            </w:pPr>
            <w:r>
              <w:rPr>
                <w:rFonts w:ascii="Arial" w:cs="Arial" w:eastAsia="Arial" w:hAnsi="Arial"/>
                <w:sz w:val="18"/>
                <w:szCs w:val="18"/>
                <w:color w:val="auto"/>
              </w:rPr>
              <w:t>Anti-Corruption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7140" w:type="dxa"/>
            <w:vAlign w:val="bottom"/>
          </w:tcPr>
          <w:p>
            <w:pPr>
              <w:ind w:left="100"/>
              <w:spacing w:after="0"/>
              <w:rPr>
                <w:sz w:val="20"/>
                <w:szCs w:val="20"/>
                <w:color w:val="auto"/>
              </w:rPr>
            </w:pPr>
            <w:r>
              <w:rPr>
                <w:rFonts w:ascii="Arial" w:cs="Arial" w:eastAsia="Arial" w:hAnsi="Arial"/>
                <w:sz w:val="18"/>
                <w:szCs w:val="18"/>
                <w:color w:val="auto"/>
              </w:rPr>
              <w:t>Affected Financial Institution</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AFFIRMATIVE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714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3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7140" w:type="dxa"/>
            <w:vAlign w:val="bottom"/>
          </w:tcPr>
          <w:p>
            <w:pPr>
              <w:ind w:left="100"/>
              <w:spacing w:after="0"/>
              <w:rPr>
                <w:sz w:val="20"/>
                <w:szCs w:val="20"/>
                <w:color w:val="auto"/>
              </w:rPr>
            </w:pPr>
            <w:r>
              <w:rPr>
                <w:rFonts w:ascii="Arial" w:cs="Arial" w:eastAsia="Arial" w:hAnsi="Arial"/>
                <w:sz w:val="18"/>
                <w:szCs w:val="18"/>
                <w:color w:val="auto"/>
              </w:rPr>
              <w:t>Certificates; Other Information</w:t>
            </w:r>
          </w:p>
        </w:tc>
        <w:tc>
          <w:tcPr>
            <w:tcW w:w="3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71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7140" w:type="dxa"/>
            <w:vAlign w:val="bottom"/>
          </w:tcPr>
          <w:p>
            <w:pPr>
              <w:ind w:left="100"/>
              <w:spacing w:after="0"/>
              <w:rPr>
                <w:sz w:val="20"/>
                <w:szCs w:val="20"/>
                <w:color w:val="auto"/>
              </w:rPr>
            </w:pPr>
            <w:r>
              <w:rPr>
                <w:rFonts w:ascii="Arial" w:cs="Arial" w:eastAsia="Arial" w:hAnsi="Arial"/>
                <w:sz w:val="18"/>
                <w:szCs w:val="18"/>
                <w:color w:val="auto"/>
              </w:rPr>
              <w:t>Payment of Taxes, Etc.</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7140" w:type="dxa"/>
            <w:vAlign w:val="bottom"/>
          </w:tcPr>
          <w:p>
            <w:pPr>
              <w:ind w:left="100"/>
              <w:spacing w:after="0"/>
              <w:rPr>
                <w:sz w:val="20"/>
                <w:szCs w:val="20"/>
                <w:color w:val="auto"/>
              </w:rPr>
            </w:pPr>
            <w:r>
              <w:rPr>
                <w:rFonts w:ascii="Arial" w:cs="Arial" w:eastAsia="Arial" w:hAnsi="Arial"/>
                <w:sz w:val="18"/>
                <w:szCs w:val="18"/>
                <w:color w:val="auto"/>
              </w:rPr>
              <w:t>Preservation of Existence, Etc.</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7140" w:type="dxa"/>
            <w:vAlign w:val="bottom"/>
          </w:tcPr>
          <w:p>
            <w:pPr>
              <w:ind w:left="100"/>
              <w:spacing w:after="0"/>
              <w:rPr>
                <w:sz w:val="20"/>
                <w:szCs w:val="20"/>
                <w:color w:val="auto"/>
              </w:rPr>
            </w:pPr>
            <w:r>
              <w:rPr>
                <w:rFonts w:ascii="Arial" w:cs="Arial" w:eastAsia="Arial" w:hAnsi="Arial"/>
                <w:sz w:val="18"/>
                <w:szCs w:val="18"/>
                <w:color w:val="auto"/>
              </w:rPr>
              <w:t>Maintenance of Properties</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7140" w:type="dxa"/>
            <w:vAlign w:val="bottom"/>
          </w:tcPr>
          <w:p>
            <w:pPr>
              <w:ind w:left="100"/>
              <w:spacing w:after="0"/>
              <w:rPr>
                <w:sz w:val="20"/>
                <w:szCs w:val="20"/>
                <w:color w:val="auto"/>
              </w:rPr>
            </w:pPr>
            <w:r>
              <w:rPr>
                <w:rFonts w:ascii="Arial" w:cs="Arial" w:eastAsia="Arial" w:hAnsi="Arial"/>
                <w:sz w:val="18"/>
                <w:szCs w:val="18"/>
                <w:color w:val="auto"/>
              </w:rPr>
              <w:t>Maintenance of Insurance</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714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3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714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7140" w:type="dxa"/>
            <w:vAlign w:val="bottom"/>
          </w:tcPr>
          <w:p>
            <w:pPr>
              <w:ind w:left="100"/>
              <w:spacing w:after="0"/>
              <w:rPr>
                <w:sz w:val="20"/>
                <w:szCs w:val="20"/>
                <w:color w:val="auto"/>
              </w:rPr>
            </w:pPr>
            <w:r>
              <w:rPr>
                <w:rFonts w:ascii="Arial" w:cs="Arial" w:eastAsia="Arial" w:hAnsi="Arial"/>
                <w:sz w:val="18"/>
                <w:szCs w:val="18"/>
                <w:color w:val="auto"/>
              </w:rPr>
              <w:t>Inspection Rights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71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NEGATIVE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7140" w:type="dxa"/>
            <w:vAlign w:val="bottom"/>
          </w:tcPr>
          <w:p>
            <w:pPr>
              <w:ind w:left="100"/>
              <w:spacing w:after="0"/>
              <w:rPr>
                <w:sz w:val="20"/>
                <w:szCs w:val="20"/>
                <w:color w:val="auto"/>
              </w:rPr>
            </w:pPr>
            <w:r>
              <w:rPr>
                <w:rFonts w:ascii="Arial" w:cs="Arial" w:eastAsia="Arial" w:hAnsi="Arial"/>
                <w:sz w:val="18"/>
                <w:szCs w:val="18"/>
                <w:color w:val="auto"/>
              </w:rPr>
              <w:t>Liens</w:t>
            </w:r>
          </w:p>
        </w:tc>
        <w:tc>
          <w:tcPr>
            <w:tcW w:w="3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714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3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7140" w:type="dxa"/>
            <w:vAlign w:val="bottom"/>
          </w:tcPr>
          <w:p>
            <w:pPr>
              <w:ind w:left="100"/>
              <w:spacing w:after="0"/>
              <w:rPr>
                <w:sz w:val="20"/>
                <w:szCs w:val="20"/>
                <w:color w:val="auto"/>
              </w:rPr>
            </w:pPr>
            <w:r>
              <w:rPr>
                <w:rFonts w:ascii="Arial" w:cs="Arial" w:eastAsia="Arial" w:hAnsi="Arial"/>
                <w:sz w:val="18"/>
                <w:szCs w:val="18"/>
                <w:color w:val="auto"/>
              </w:rPr>
              <w:t>Fundamental Changes; Dispositions</w:t>
            </w:r>
          </w:p>
        </w:tc>
        <w:tc>
          <w:tcPr>
            <w:tcW w:w="3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714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714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7140" w:type="dxa"/>
            <w:vAlign w:val="bottom"/>
          </w:tcPr>
          <w:p>
            <w:pPr>
              <w:ind w:left="100"/>
              <w:spacing w:after="0"/>
              <w:rPr>
                <w:sz w:val="20"/>
                <w:szCs w:val="20"/>
                <w:color w:val="auto"/>
              </w:rPr>
            </w:pPr>
            <w:r>
              <w:rPr>
                <w:rFonts w:ascii="Arial" w:cs="Arial" w:eastAsia="Arial" w:hAnsi="Arial"/>
                <w:sz w:val="18"/>
                <w:szCs w:val="18"/>
                <w:color w:val="auto"/>
              </w:rPr>
              <w:t>Burdensome Agreements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71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3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7140" w:type="dxa"/>
            <w:vAlign w:val="bottom"/>
          </w:tcPr>
          <w:p>
            <w:pPr>
              <w:ind w:left="100"/>
              <w:spacing w:after="0"/>
              <w:rPr>
                <w:sz w:val="20"/>
                <w:szCs w:val="20"/>
                <w:color w:val="auto"/>
              </w:rPr>
            </w:pPr>
            <w:r>
              <w:rPr>
                <w:rFonts w:ascii="Arial" w:cs="Arial" w:eastAsia="Arial" w:hAnsi="Arial"/>
                <w:sz w:val="18"/>
                <w:szCs w:val="18"/>
                <w:color w:val="auto"/>
              </w:rPr>
              <w:t>Consolidated Leverage Ratio</w:t>
            </w:r>
          </w:p>
        </w:tc>
        <w:tc>
          <w:tcPr>
            <w:tcW w:w="31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7140" w:type="dxa"/>
            <w:vAlign w:val="bottom"/>
          </w:tcPr>
          <w:p>
            <w:pPr>
              <w:ind w:left="100"/>
              <w:spacing w:after="0"/>
              <w:rPr>
                <w:sz w:val="20"/>
                <w:szCs w:val="20"/>
                <w:color w:val="auto"/>
              </w:rPr>
            </w:pPr>
            <w:r>
              <w:rPr>
                <w:rFonts w:ascii="Arial" w:cs="Arial" w:eastAsia="Arial" w:hAnsi="Arial"/>
                <w:sz w:val="18"/>
                <w:szCs w:val="18"/>
                <w:color w:val="auto"/>
              </w:rPr>
              <w:t>Unrestricted Subsidiaries</w:t>
            </w:r>
          </w:p>
        </w:tc>
        <w:tc>
          <w:tcPr>
            <w:tcW w:w="31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EVENTS OF DEFAULT AND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rPr>
              <w:t>8.01</w:t>
            </w:r>
          </w:p>
        </w:tc>
        <w:tc>
          <w:tcPr>
            <w:tcW w:w="76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8.02</w:t>
            </w:r>
          </w:p>
        </w:tc>
        <w:tc>
          <w:tcPr>
            <w:tcW w:w="768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rPr>
              <w:t>8.03</w:t>
            </w:r>
          </w:p>
        </w:tc>
        <w:tc>
          <w:tcPr>
            <w:tcW w:w="768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rPr>
              <w:t>9.01</w:t>
            </w:r>
          </w:p>
        </w:tc>
        <w:tc>
          <w:tcPr>
            <w:tcW w:w="768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9.02</w:t>
            </w:r>
          </w:p>
        </w:tc>
        <w:tc>
          <w:tcPr>
            <w:tcW w:w="768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9.03</w:t>
            </w:r>
          </w:p>
        </w:tc>
        <w:tc>
          <w:tcPr>
            <w:tcW w:w="768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9.04</w:t>
            </w:r>
          </w:p>
        </w:tc>
        <w:tc>
          <w:tcPr>
            <w:tcW w:w="768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9.05</w:t>
            </w:r>
          </w:p>
        </w:tc>
        <w:tc>
          <w:tcPr>
            <w:tcW w:w="768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9.06</w:t>
            </w:r>
          </w:p>
        </w:tc>
        <w:tc>
          <w:tcPr>
            <w:tcW w:w="7680" w:type="dxa"/>
            <w:vAlign w:val="bottom"/>
          </w:tcPr>
          <w:p>
            <w:pPr>
              <w:ind w:left="60"/>
              <w:spacing w:after="0"/>
              <w:rPr>
                <w:sz w:val="20"/>
                <w:szCs w:val="20"/>
                <w:color w:val="auto"/>
              </w:rPr>
            </w:pPr>
            <w:r>
              <w:rPr>
                <w:rFonts w:ascii="Arial" w:cs="Arial" w:eastAsia="Arial" w:hAnsi="Arial"/>
                <w:sz w:val="18"/>
                <w:szCs w:val="18"/>
                <w:color w:val="auto"/>
              </w:rPr>
              <w:t>Resignation or Removal of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9.07</w:t>
            </w:r>
          </w:p>
        </w:tc>
        <w:tc>
          <w:tcPr>
            <w:tcW w:w="7680" w:type="dxa"/>
            <w:vAlign w:val="bottom"/>
          </w:tcPr>
          <w:p>
            <w:pPr>
              <w:ind w:left="60"/>
              <w:spacing w:after="0"/>
              <w:rPr>
                <w:sz w:val="20"/>
                <w:szCs w:val="20"/>
                <w:color w:val="auto"/>
              </w:rPr>
            </w:pPr>
            <w:r>
              <w:rPr>
                <w:rFonts w:ascii="Arial" w:cs="Arial" w:eastAsia="Arial" w:hAnsi="Arial"/>
                <w:sz w:val="18"/>
                <w:szCs w:val="18"/>
                <w:color w:val="auto"/>
              </w:rPr>
              <w:t>Non-Reliance on Administrative Agent, the Arrangers and Other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9.08</w:t>
            </w:r>
          </w:p>
        </w:tc>
        <w:tc>
          <w:tcPr>
            <w:tcW w:w="768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9.09</w:t>
            </w:r>
          </w:p>
        </w:tc>
        <w:tc>
          <w:tcPr>
            <w:tcW w:w="768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9.10</w:t>
            </w:r>
          </w:p>
        </w:tc>
        <w:tc>
          <w:tcPr>
            <w:tcW w:w="768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rPr>
              <w:t>9.11</w:t>
            </w:r>
          </w:p>
        </w:tc>
        <w:tc>
          <w:tcPr>
            <w:tcW w:w="7680" w:type="dxa"/>
            <w:vAlign w:val="bottom"/>
          </w:tcPr>
          <w:p>
            <w:pPr>
              <w:ind w:left="60"/>
              <w:spacing w:after="0"/>
              <w:rPr>
                <w:sz w:val="20"/>
                <w:szCs w:val="20"/>
                <w:color w:val="auto"/>
              </w:rPr>
            </w:pPr>
            <w:r>
              <w:rPr>
                <w:rFonts w:ascii="Arial" w:cs="Arial" w:eastAsia="Arial" w:hAnsi="Arial"/>
                <w:sz w:val="18"/>
                <w:szCs w:val="18"/>
                <w:color w:val="auto"/>
              </w:rPr>
              <w:t>Certain ERISA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rPr>
              <w:t>9.12</w:t>
            </w:r>
          </w:p>
        </w:tc>
        <w:tc>
          <w:tcPr>
            <w:tcW w:w="7680" w:type="dxa"/>
            <w:vAlign w:val="bottom"/>
          </w:tcPr>
          <w:p>
            <w:pPr>
              <w:ind w:left="60"/>
              <w:spacing w:after="0"/>
              <w:rPr>
                <w:sz w:val="20"/>
                <w:szCs w:val="20"/>
                <w:color w:val="auto"/>
              </w:rPr>
            </w:pPr>
            <w:r>
              <w:rPr>
                <w:rFonts w:ascii="Arial" w:cs="Arial" w:eastAsia="Arial" w:hAnsi="Arial"/>
                <w:sz w:val="18"/>
                <w:szCs w:val="18"/>
                <w:color w:val="auto"/>
              </w:rPr>
              <w:t>Recovery of Erroneous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CONTINUING GUARANTY</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10.01</w:t>
            </w:r>
          </w:p>
        </w:tc>
        <w:tc>
          <w:tcPr>
            <w:tcW w:w="7680" w:type="dxa"/>
            <w:vAlign w:val="bottom"/>
          </w:tcPr>
          <w:p>
            <w:pPr>
              <w:ind w:left="60"/>
              <w:spacing w:after="0"/>
              <w:rPr>
                <w:sz w:val="20"/>
                <w:szCs w:val="20"/>
                <w:color w:val="auto"/>
              </w:rPr>
            </w:pPr>
            <w:r>
              <w:rPr>
                <w:rFonts w:ascii="Arial" w:cs="Arial" w:eastAsia="Arial" w:hAnsi="Arial"/>
                <w:sz w:val="18"/>
                <w:szCs w:val="18"/>
                <w:color w:val="auto"/>
              </w:rPr>
              <w:t>Company Guaranty</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10.02</w:t>
            </w:r>
          </w:p>
        </w:tc>
        <w:tc>
          <w:tcPr>
            <w:tcW w:w="7680" w:type="dxa"/>
            <w:vAlign w:val="bottom"/>
          </w:tcPr>
          <w:p>
            <w:pPr>
              <w:ind w:left="60"/>
              <w:spacing w:after="0"/>
              <w:rPr>
                <w:sz w:val="20"/>
                <w:szCs w:val="20"/>
                <w:color w:val="auto"/>
              </w:rPr>
            </w:pPr>
            <w:r>
              <w:rPr>
                <w:rFonts w:ascii="Arial" w:cs="Arial" w:eastAsia="Arial" w:hAnsi="Arial"/>
                <w:sz w:val="18"/>
                <w:szCs w:val="18"/>
                <w:color w:val="auto"/>
              </w:rPr>
              <w:t>Rights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10.03</w:t>
            </w:r>
          </w:p>
        </w:tc>
        <w:tc>
          <w:tcPr>
            <w:tcW w:w="768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10.04</w:t>
            </w:r>
          </w:p>
        </w:tc>
        <w:tc>
          <w:tcPr>
            <w:tcW w:w="7680" w:type="dxa"/>
            <w:vAlign w:val="bottom"/>
          </w:tcPr>
          <w:p>
            <w:pPr>
              <w:ind w:left="60"/>
              <w:spacing w:after="0"/>
              <w:rPr>
                <w:sz w:val="20"/>
                <w:szCs w:val="20"/>
                <w:color w:val="auto"/>
              </w:rPr>
            </w:pPr>
            <w:r>
              <w:rPr>
                <w:rFonts w:ascii="Arial" w:cs="Arial" w:eastAsia="Arial" w:hAnsi="Arial"/>
                <w:sz w:val="18"/>
                <w:szCs w:val="18"/>
                <w:color w:val="auto"/>
              </w:rPr>
              <w:t>Obligations Independent</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10.05</w:t>
            </w:r>
          </w:p>
        </w:tc>
        <w:tc>
          <w:tcPr>
            <w:tcW w:w="768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10.06</w:t>
            </w:r>
          </w:p>
        </w:tc>
        <w:tc>
          <w:tcPr>
            <w:tcW w:w="7680" w:type="dxa"/>
            <w:vAlign w:val="bottom"/>
          </w:tcPr>
          <w:p>
            <w:pPr>
              <w:ind w:left="60"/>
              <w:spacing w:after="0"/>
              <w:rPr>
                <w:sz w:val="20"/>
                <w:szCs w:val="20"/>
                <w:color w:val="auto"/>
              </w:rPr>
            </w:pPr>
            <w:r>
              <w:rPr>
                <w:rFonts w:ascii="Arial" w:cs="Arial" w:eastAsia="Arial" w:hAnsi="Arial"/>
                <w:sz w:val="18"/>
                <w:szCs w:val="18"/>
                <w:color w:val="auto"/>
              </w:rPr>
              <w:t>Termination; Reinstatement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10.07</w:t>
            </w:r>
          </w:p>
        </w:tc>
        <w:tc>
          <w:tcPr>
            <w:tcW w:w="768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10.08</w:t>
            </w:r>
          </w:p>
        </w:tc>
        <w:tc>
          <w:tcPr>
            <w:tcW w:w="768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w w:val="97"/>
              </w:rPr>
              <w:t>10.09</w:t>
            </w:r>
          </w:p>
        </w:tc>
        <w:tc>
          <w:tcPr>
            <w:tcW w:w="7680" w:type="dxa"/>
            <w:vAlign w:val="bottom"/>
          </w:tcPr>
          <w:p>
            <w:pPr>
              <w:ind w:left="60"/>
              <w:spacing w:after="0"/>
              <w:rPr>
                <w:sz w:val="20"/>
                <w:szCs w:val="20"/>
                <w:color w:val="auto"/>
              </w:rPr>
            </w:pPr>
            <w:r>
              <w:rPr>
                <w:rFonts w:ascii="Arial" w:cs="Arial" w:eastAsia="Arial" w:hAnsi="Arial"/>
                <w:sz w:val="18"/>
                <w:szCs w:val="18"/>
                <w:color w:val="auto"/>
              </w:rPr>
              <w:t>Condition of PMCULC and the Designated Borrowers</w:t>
            </w:r>
          </w:p>
        </w:tc>
        <w:tc>
          <w:tcPr>
            <w:tcW w:w="2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18"/>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11.01</w:t>
            </w:r>
          </w:p>
        </w:tc>
        <w:tc>
          <w:tcPr>
            <w:tcW w:w="768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6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11.02</w:t>
            </w:r>
          </w:p>
        </w:tc>
        <w:tc>
          <w:tcPr>
            <w:tcW w:w="7680" w:type="dxa"/>
            <w:vAlign w:val="bottom"/>
          </w:tcPr>
          <w:p>
            <w:pPr>
              <w:ind w:left="60"/>
              <w:spacing w:after="0"/>
              <w:rPr>
                <w:sz w:val="20"/>
                <w:szCs w:val="20"/>
                <w:color w:val="auto"/>
              </w:rPr>
            </w:pPr>
            <w:r>
              <w:rPr>
                <w:rFonts w:ascii="Arial" w:cs="Arial" w:eastAsia="Arial" w:hAnsi="Arial"/>
                <w:sz w:val="18"/>
                <w:szCs w:val="18"/>
                <w:color w:val="auto"/>
              </w:rPr>
              <w:t>Notices; Effectiveness; Electronic Communication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11.03</w:t>
            </w:r>
          </w:p>
        </w:tc>
        <w:tc>
          <w:tcPr>
            <w:tcW w:w="7680" w:type="dxa"/>
            <w:vAlign w:val="bottom"/>
          </w:tcPr>
          <w:p>
            <w:pPr>
              <w:ind w:left="60"/>
              <w:spacing w:after="0"/>
              <w:rPr>
                <w:sz w:val="20"/>
                <w:szCs w:val="20"/>
                <w:color w:val="auto"/>
              </w:rPr>
            </w:pPr>
            <w:r>
              <w:rPr>
                <w:rFonts w:ascii="Arial" w:cs="Arial" w:eastAsia="Arial" w:hAnsi="Arial"/>
                <w:sz w:val="18"/>
                <w:szCs w:val="18"/>
                <w:color w:val="auto"/>
              </w:rPr>
              <w:t>No Waiver; Cumulative Remedies; Enforcement; Nature of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11.04</w:t>
            </w:r>
          </w:p>
        </w:tc>
        <w:tc>
          <w:tcPr>
            <w:tcW w:w="7680" w:type="dxa"/>
            <w:vAlign w:val="bottom"/>
          </w:tcPr>
          <w:p>
            <w:pPr>
              <w:ind w:left="60"/>
              <w:spacing w:after="0"/>
              <w:rPr>
                <w:sz w:val="20"/>
                <w:szCs w:val="20"/>
                <w:color w:val="auto"/>
              </w:rPr>
            </w:pPr>
            <w:r>
              <w:rPr>
                <w:rFonts w:ascii="Arial" w:cs="Arial" w:eastAsia="Arial" w:hAnsi="Arial"/>
                <w:sz w:val="18"/>
                <w:szCs w:val="18"/>
                <w:color w:val="auto"/>
              </w:rPr>
              <w:t>Expenses; Indemnity; Damage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11.05</w:t>
            </w:r>
          </w:p>
        </w:tc>
        <w:tc>
          <w:tcPr>
            <w:tcW w:w="7680" w:type="dxa"/>
            <w:vAlign w:val="bottom"/>
          </w:tcPr>
          <w:p>
            <w:pPr>
              <w:ind w:left="60"/>
              <w:spacing w:after="0"/>
              <w:rPr>
                <w:sz w:val="20"/>
                <w:szCs w:val="20"/>
                <w:color w:val="auto"/>
              </w:rPr>
            </w:pPr>
            <w:r>
              <w:rPr>
                <w:rFonts w:ascii="Arial" w:cs="Arial" w:eastAsia="Arial" w:hAnsi="Arial"/>
                <w:sz w:val="18"/>
                <w:szCs w:val="18"/>
                <w:color w:val="auto"/>
              </w:rPr>
              <w:t>Payments Set Aside</w:t>
            </w:r>
          </w:p>
        </w:tc>
        <w:tc>
          <w:tcPr>
            <w:tcW w:w="26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11.06</w:t>
            </w:r>
          </w:p>
        </w:tc>
        <w:tc>
          <w:tcPr>
            <w:tcW w:w="768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11.07</w:t>
            </w:r>
          </w:p>
        </w:tc>
        <w:tc>
          <w:tcPr>
            <w:tcW w:w="7680" w:type="dxa"/>
            <w:vAlign w:val="bottom"/>
          </w:tcPr>
          <w:p>
            <w:pPr>
              <w:ind w:left="60"/>
              <w:spacing w:after="0"/>
              <w:rPr>
                <w:sz w:val="20"/>
                <w:szCs w:val="20"/>
                <w:color w:val="auto"/>
              </w:rPr>
            </w:pPr>
            <w:r>
              <w:rPr>
                <w:rFonts w:ascii="Arial" w:cs="Arial" w:eastAsia="Arial" w:hAnsi="Arial"/>
                <w:sz w:val="18"/>
                <w:szCs w:val="18"/>
                <w:color w:val="auto"/>
              </w:rPr>
              <w:t>Treatment of Certain Information; 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11.08</w:t>
            </w:r>
          </w:p>
        </w:tc>
        <w:tc>
          <w:tcPr>
            <w:tcW w:w="768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11.09</w:t>
            </w:r>
          </w:p>
        </w:tc>
        <w:tc>
          <w:tcPr>
            <w:tcW w:w="768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11.10</w:t>
            </w:r>
          </w:p>
        </w:tc>
        <w:tc>
          <w:tcPr>
            <w:tcW w:w="7680" w:type="dxa"/>
            <w:vAlign w:val="bottom"/>
          </w:tcPr>
          <w:p>
            <w:pPr>
              <w:ind w:left="60"/>
              <w:spacing w:after="0"/>
              <w:rPr>
                <w:sz w:val="20"/>
                <w:szCs w:val="20"/>
                <w:color w:val="auto"/>
              </w:rPr>
            </w:pPr>
            <w:r>
              <w:rPr>
                <w:rFonts w:ascii="Arial" w:cs="Arial" w:eastAsia="Arial" w:hAnsi="Arial"/>
                <w:sz w:val="18"/>
                <w:szCs w:val="18"/>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11.11</w:t>
            </w:r>
          </w:p>
        </w:tc>
        <w:tc>
          <w:tcPr>
            <w:tcW w:w="768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11.12</w:t>
            </w:r>
          </w:p>
        </w:tc>
        <w:tc>
          <w:tcPr>
            <w:tcW w:w="76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11.13</w:t>
            </w:r>
          </w:p>
        </w:tc>
        <w:tc>
          <w:tcPr>
            <w:tcW w:w="7680" w:type="dxa"/>
            <w:vAlign w:val="bottom"/>
          </w:tcPr>
          <w:p>
            <w:pPr>
              <w:ind w:left="60"/>
              <w:spacing w:after="0"/>
              <w:rPr>
                <w:sz w:val="20"/>
                <w:szCs w:val="20"/>
                <w:color w:val="auto"/>
              </w:rPr>
            </w:pPr>
            <w:r>
              <w:rPr>
                <w:rFonts w:ascii="Arial" w:cs="Arial" w:eastAsia="Arial" w:hAnsi="Arial"/>
                <w:sz w:val="18"/>
                <w:szCs w:val="18"/>
                <w:color w:val="auto"/>
              </w:rPr>
              <w:t>Replacement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960" w:type="dxa"/>
            <w:vAlign w:val="bottom"/>
          </w:tcPr>
          <w:p>
            <w:pPr>
              <w:ind w:left="500"/>
              <w:spacing w:after="0"/>
              <w:rPr>
                <w:sz w:val="20"/>
                <w:szCs w:val="20"/>
                <w:color w:val="auto"/>
              </w:rPr>
            </w:pPr>
            <w:r>
              <w:rPr>
                <w:rFonts w:ascii="Arial" w:cs="Arial" w:eastAsia="Arial" w:hAnsi="Arial"/>
                <w:sz w:val="18"/>
                <w:szCs w:val="18"/>
                <w:color w:val="auto"/>
                <w:w w:val="97"/>
              </w:rPr>
              <w:t>11.14</w:t>
            </w:r>
          </w:p>
        </w:tc>
        <w:tc>
          <w:tcPr>
            <w:tcW w:w="7680" w:type="dxa"/>
            <w:vAlign w:val="bottom"/>
          </w:tcPr>
          <w:p>
            <w:pPr>
              <w:ind w:left="60"/>
              <w:spacing w:after="0"/>
              <w:rPr>
                <w:sz w:val="20"/>
                <w:szCs w:val="20"/>
                <w:color w:val="auto"/>
              </w:rPr>
            </w:pPr>
            <w:r>
              <w:rPr>
                <w:rFonts w:ascii="Arial" w:cs="Arial" w:eastAsia="Arial" w:hAnsi="Arial"/>
                <w:sz w:val="18"/>
                <w:szCs w:val="18"/>
                <w:color w:val="auto"/>
              </w:rPr>
              <w:t>Governing Law; Jurisdiction; Etc.</w:t>
            </w:r>
          </w:p>
        </w:tc>
        <w:tc>
          <w:tcPr>
            <w:tcW w:w="260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50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778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778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7780" w:type="dxa"/>
            <w:vAlign w:val="bottom"/>
          </w:tcPr>
          <w:p>
            <w:pPr>
              <w:ind w:left="60"/>
              <w:spacing w:after="0"/>
              <w:rPr>
                <w:sz w:val="20"/>
                <w:szCs w:val="20"/>
                <w:color w:val="auto"/>
              </w:rPr>
            </w:pPr>
            <w:r>
              <w:rPr>
                <w:rFonts w:ascii="Arial" w:cs="Arial" w:eastAsia="Arial" w:hAnsi="Arial"/>
                <w:sz w:val="18"/>
                <w:szCs w:val="18"/>
                <w:color w:val="auto"/>
              </w:rPr>
              <w:t>No Recourse to Other Persons</w:t>
            </w:r>
          </w:p>
        </w:tc>
        <w:tc>
          <w:tcPr>
            <w:tcW w:w="2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11.18</w:t>
            </w:r>
          </w:p>
        </w:tc>
        <w:tc>
          <w:tcPr>
            <w:tcW w:w="7780" w:type="dxa"/>
            <w:vAlign w:val="bottom"/>
          </w:tcPr>
          <w:p>
            <w:pPr>
              <w:ind w:left="60"/>
              <w:spacing w:after="0"/>
              <w:rPr>
                <w:sz w:val="20"/>
                <w:szCs w:val="20"/>
                <w:color w:val="auto"/>
              </w:rPr>
            </w:pPr>
            <w:r>
              <w:rPr>
                <w:rFonts w:ascii="Arial" w:cs="Arial" w:eastAsia="Arial" w:hAnsi="Arial"/>
                <w:sz w:val="18"/>
                <w:szCs w:val="18"/>
                <w:color w:val="auto"/>
              </w:rPr>
              <w:t>Electronic Execution; Electronic Records</w:t>
            </w:r>
          </w:p>
        </w:tc>
        <w:tc>
          <w:tcPr>
            <w:tcW w:w="2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11.19</w:t>
            </w:r>
          </w:p>
        </w:tc>
        <w:tc>
          <w:tcPr>
            <w:tcW w:w="7780" w:type="dxa"/>
            <w:vAlign w:val="bottom"/>
          </w:tcPr>
          <w:p>
            <w:pPr>
              <w:ind w:left="60"/>
              <w:spacing w:after="0"/>
              <w:rPr>
                <w:sz w:val="20"/>
                <w:szCs w:val="20"/>
                <w:color w:val="auto"/>
              </w:rPr>
            </w:pPr>
            <w:r>
              <w:rPr>
                <w:rFonts w:ascii="Arial" w:cs="Arial" w:eastAsia="Arial" w:hAnsi="Arial"/>
                <w:sz w:val="18"/>
                <w:szCs w:val="18"/>
                <w:color w:val="auto"/>
              </w:rPr>
              <w:t>USA PATRIOT Act</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11.20</w:t>
            </w:r>
          </w:p>
        </w:tc>
        <w:tc>
          <w:tcPr>
            <w:tcW w:w="7780" w:type="dxa"/>
            <w:vAlign w:val="bottom"/>
          </w:tcPr>
          <w:p>
            <w:pPr>
              <w:ind w:left="60"/>
              <w:spacing w:after="0"/>
              <w:rPr>
                <w:sz w:val="20"/>
                <w:szCs w:val="20"/>
                <w:color w:val="auto"/>
              </w:rPr>
            </w:pPr>
            <w:r>
              <w:rPr>
                <w:rFonts w:ascii="Arial" w:cs="Arial" w:eastAsia="Arial" w:hAnsi="Arial"/>
                <w:sz w:val="18"/>
                <w:szCs w:val="18"/>
                <w:color w:val="auto"/>
              </w:rPr>
              <w:t>Time of the Essence</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11.21</w:t>
            </w:r>
          </w:p>
        </w:tc>
        <w:tc>
          <w:tcPr>
            <w:tcW w:w="7780" w:type="dxa"/>
            <w:vAlign w:val="bottom"/>
          </w:tcPr>
          <w:p>
            <w:pPr>
              <w:ind w:left="60"/>
              <w:spacing w:after="0"/>
              <w:rPr>
                <w:sz w:val="20"/>
                <w:szCs w:val="20"/>
                <w:color w:val="auto"/>
              </w:rPr>
            </w:pPr>
            <w:r>
              <w:rPr>
                <w:rFonts w:ascii="Arial" w:cs="Arial" w:eastAsia="Arial" w:hAnsi="Arial"/>
                <w:sz w:val="18"/>
                <w:szCs w:val="18"/>
                <w:color w:val="auto"/>
              </w:rPr>
              <w:t>Judgment Currency</w:t>
            </w:r>
          </w:p>
        </w:tc>
        <w:tc>
          <w:tcPr>
            <w:tcW w:w="25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11.22</w:t>
            </w:r>
          </w:p>
        </w:tc>
        <w:tc>
          <w:tcPr>
            <w:tcW w:w="77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11.23</w:t>
            </w:r>
          </w:p>
        </w:tc>
        <w:tc>
          <w:tcPr>
            <w:tcW w:w="7780" w:type="dxa"/>
            <w:vAlign w:val="bottom"/>
          </w:tcPr>
          <w:p>
            <w:pPr>
              <w:ind w:left="60"/>
              <w:spacing w:after="0"/>
              <w:rPr>
                <w:sz w:val="20"/>
                <w:szCs w:val="20"/>
                <w:color w:val="auto"/>
              </w:rPr>
            </w:pPr>
            <w:r>
              <w:rPr>
                <w:rFonts w:ascii="Arial" w:cs="Arial" w:eastAsia="Arial" w:hAnsi="Arial"/>
                <w:sz w:val="18"/>
                <w:szCs w:val="18"/>
                <w:color w:val="auto"/>
              </w:rPr>
              <w:t>Reallocation of Outstanding Loans under Existing Credit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7780" w:type="dxa"/>
            <w:vAlign w:val="bottom"/>
          </w:tcPr>
          <w:p>
            <w:pPr>
              <w:ind w:left="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SIGNATURES</w:t>
      </w:r>
      <w:r>
        <w:rPr>
          <w:sz w:val="20"/>
          <w:szCs w:val="20"/>
          <w:color w:val="auto"/>
        </w:rPr>
        <w:tab/>
      </w:r>
      <w:r>
        <w:rPr>
          <w:rFonts w:ascii="Arial" w:cs="Arial" w:eastAsia="Arial" w:hAnsi="Arial"/>
          <w:sz w:val="18"/>
          <w:szCs w:val="18"/>
          <w:color w:val="auto"/>
        </w:rPr>
        <w:t>S-1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 L/C Commitments</w:t>
      </w:r>
    </w:p>
    <w:p>
      <w:pPr>
        <w:spacing w:after="0" w:line="23"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2.01A</w:t>
      </w:r>
      <w:r>
        <w:rPr>
          <w:sz w:val="20"/>
          <w:szCs w:val="20"/>
          <w:color w:val="auto"/>
        </w:rPr>
        <w:tab/>
      </w:r>
      <w:r>
        <w:rPr>
          <w:rFonts w:ascii="Arial" w:cs="Arial" w:eastAsia="Arial" w:hAnsi="Arial"/>
          <w:sz w:val="16"/>
          <w:szCs w:val="16"/>
          <w:color w:val="auto"/>
        </w:rPr>
        <w:t>Canadian Bankers’ Acceptances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Governmental Authorization; Other Consents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Compliance with Laws</w:t>
      </w:r>
    </w:p>
    <w:p>
      <w:pPr>
        <w:spacing w:after="0" w:line="9"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100" w:hanging="606"/>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500" w:right="8360"/>
        <w:spacing w:after="0" w:line="250" w:lineRule="auto"/>
        <w:rPr>
          <w:rFonts w:ascii="Arial" w:cs="Arial" w:eastAsia="Arial" w:hAnsi="Arial"/>
          <w:sz w:val="18"/>
          <w:szCs w:val="18"/>
          <w:color w:val="auto"/>
        </w:rPr>
      </w:pPr>
      <w:r>
        <w:rPr>
          <w:rFonts w:ascii="Arial" w:cs="Arial" w:eastAsia="Arial" w:hAnsi="Arial"/>
          <w:sz w:val="18"/>
          <w:szCs w:val="18"/>
          <w:color w:val="auto"/>
        </w:rPr>
        <w:t>B Swing Line Loan Notice C-1 Committed Loan Note C-2 Swing Line Note</w:t>
      </w:r>
    </w:p>
    <w:p>
      <w:pPr>
        <w:spacing w:after="0" w:line="1" w:lineRule="exact"/>
        <w:rPr>
          <w:rFonts w:ascii="Arial" w:cs="Arial" w:eastAsia="Arial" w:hAnsi="Arial"/>
          <w:sz w:val="18"/>
          <w:szCs w:val="18"/>
          <w:color w:val="auto"/>
        </w:rPr>
      </w:pPr>
    </w:p>
    <w:p>
      <w:pPr>
        <w:ind w:left="500" w:right="8000"/>
        <w:spacing w:after="0" w:line="250" w:lineRule="auto"/>
        <w:rPr>
          <w:rFonts w:ascii="Arial" w:cs="Arial" w:eastAsia="Arial" w:hAnsi="Arial"/>
          <w:sz w:val="18"/>
          <w:szCs w:val="18"/>
          <w:color w:val="auto"/>
        </w:rPr>
      </w:pPr>
      <w:r>
        <w:rPr>
          <w:rFonts w:ascii="Arial" w:cs="Arial" w:eastAsia="Arial" w:hAnsi="Arial"/>
          <w:sz w:val="18"/>
          <w:szCs w:val="18"/>
          <w:color w:val="auto"/>
        </w:rPr>
        <w:t>D Compliance Certificate E-1 Assignment and Assumption E-2 Administrative Questionnaire</w:t>
      </w:r>
    </w:p>
    <w:p>
      <w:pPr>
        <w:spacing w:after="0" w:line="1" w:lineRule="exact"/>
        <w:rPr>
          <w:rFonts w:ascii="Arial" w:cs="Arial" w:eastAsia="Arial" w:hAnsi="Arial"/>
          <w:sz w:val="18"/>
          <w:szCs w:val="18"/>
          <w:color w:val="auto"/>
        </w:rPr>
      </w:pPr>
    </w:p>
    <w:p>
      <w:pPr>
        <w:ind w:left="500" w:right="5900"/>
        <w:spacing w:after="0" w:line="250" w:lineRule="auto"/>
        <w:rPr>
          <w:rFonts w:ascii="Arial" w:cs="Arial" w:eastAsia="Arial" w:hAnsi="Arial"/>
          <w:sz w:val="18"/>
          <w:szCs w:val="18"/>
          <w:color w:val="auto"/>
        </w:rPr>
      </w:pPr>
      <w:r>
        <w:rPr>
          <w:rFonts w:ascii="Arial" w:cs="Arial" w:eastAsia="Arial" w:hAnsi="Arial"/>
          <w:sz w:val="18"/>
          <w:szCs w:val="18"/>
          <w:color w:val="auto"/>
        </w:rPr>
        <w:t>F-1 Designated Borrower Request and Assumption Agreement F-2 Designated Borrower Notice</w:t>
      </w:r>
    </w:p>
    <w:p>
      <w:pPr>
        <w:ind w:left="500"/>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Letter of Credit Report</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7"/>
          <w:szCs w:val="17"/>
          <w:color w:val="auto"/>
        </w:rPr>
        <w:t>Notice of Additional L/C Issuer</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I-1</w:t>
      </w:r>
      <w:r>
        <w:rPr>
          <w:rFonts w:ascii="Arial" w:cs="Arial" w:eastAsia="Arial" w:hAnsi="Arial"/>
          <w:sz w:val="16"/>
          <w:szCs w:val="16"/>
          <w:color w:val="auto"/>
        </w:rPr>
        <w:t>Form of U.S. Tax Compliance Certificate – Foreign Lenders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I-2</w:t>
      </w:r>
      <w:r>
        <w:rPr>
          <w:rFonts w:ascii="Arial" w:cs="Arial" w:eastAsia="Arial" w:hAnsi="Arial"/>
          <w:sz w:val="16"/>
          <w:szCs w:val="16"/>
          <w:color w:val="auto"/>
        </w:rPr>
        <w:t>Form of U.S. Tax Compliance Certificate – Non-U.S. Participants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I-3</w:t>
      </w:r>
      <w:r>
        <w:rPr>
          <w:rFonts w:ascii="Arial" w:cs="Arial" w:eastAsia="Arial" w:hAnsi="Arial"/>
          <w:sz w:val="16"/>
          <w:szCs w:val="16"/>
          <w:color w:val="auto"/>
        </w:rPr>
        <w:t>Form of U.S. Tax Compliance Certificate – Non-U.S. Participants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I-4</w:t>
      </w:r>
      <w:r>
        <w:rPr>
          <w:rFonts w:ascii="Arial" w:cs="Arial" w:eastAsia="Arial" w:hAnsi="Arial"/>
          <w:sz w:val="16"/>
          <w:szCs w:val="16"/>
          <w:color w:val="auto"/>
        </w:rPr>
        <w:t>Form of U.S. Tax Compliance Certificate – Foreign Lenders (Partnerships)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20, 2021, among PLAINS ALL AMERICAN PIPELINE, L.P., a Delaware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xml:space="preserve">”), each Subsidiary of the Company from time to time and during the time it is a party hereto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(each such Subsidiary, a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w:t>
      </w:r>
      <w:r>
        <w:rPr>
          <w:rFonts w:ascii="Arial" w:cs="Arial" w:eastAsia="Arial" w:hAnsi="Arial"/>
          <w:sz w:val="17"/>
          <w:szCs w:val="17"/>
          <w:color w:val="auto"/>
        </w:rPr>
        <w:t>” and, together with the Company and PMCULC,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BANK OF AMERICA, N.A., as Administrative Agent and Swing Line Lender, BANK OF AMERICA, N.A., CITIBANK, N.A., JPMORGAN CHASE BANK, N.A. and WELLS FARGO BANK, NATIONAL ASSOCIATION, as L/C Issuers, and CITIBANK, N.A., JPMORGAN CHASE BANK, N.A. and WELLS FARGO BANK, NATIONAL ASSOCIATION, as Co-Syndication Agents, and</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as Co-Documentation Agents.</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requested that the Lenders provide a revolving credit facility to refinance the outstanding Indebtedness of the Company and PMCULC under the Existing Credit Agreement, and the Lenders are willing to do so on the terms and conditions set forth herein.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Period</w:t>
      </w:r>
      <w:r>
        <w:rPr>
          <w:rFonts w:ascii="Arial" w:cs="Arial" w:eastAsia="Arial" w:hAnsi="Arial"/>
          <w:sz w:val="18"/>
          <w:szCs w:val="18"/>
          <w:color w:val="auto"/>
        </w:rPr>
        <w:t>” means the period beginning, at the election of the Company, with the funding date of the purchase price for a Specified Acquisition and ending on the earliest of (a) the third following fiscal quarter end, (b) the Company’s receipt of proceeds of a Specified Equity Offering; and (c) the Company’s election in writing to terminate such Acquisition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has the meaning specified in Section 2.14(d).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 The initial Aggregate Commitments as of the Closing Date are $1,350,000,000.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If the commitment of each Lender to make Loans and accept Canadian BA’s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Eurocurrency Rate</w:t>
            </w:r>
          </w:p>
        </w:tc>
        <w:tc>
          <w:tcPr>
            <w:tcW w:w="2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Loans,</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Base Rate Loans and</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Pricing</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Debt Ratings</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Commitment</w:t>
            </w:r>
          </w:p>
        </w:tc>
        <w:tc>
          <w:tcPr>
            <w:tcW w:w="2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Letters of Credit and</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Canadian Prime</w:t>
            </w:r>
          </w:p>
        </w:tc>
      </w:tr>
      <w:tr>
        <w:trPr>
          <w:trHeight w:val="234"/>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w:t>
            </w:r>
          </w:p>
        </w:tc>
        <w:tc>
          <w:tcPr>
            <w:tcW w:w="22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S&amp;P/Moody’s</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38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 BA’s</w:t>
            </w:r>
          </w:p>
        </w:tc>
        <w:tc>
          <w:tcPr>
            <w:tcW w:w="38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160" w:type="dxa"/>
            <w:vAlign w:val="bottom"/>
            <w:tcBorders>
              <w:bottom w:val="single" w:sz="8" w:color="CCEEFF"/>
            </w:tcBorders>
          </w:tcPr>
          <w:p>
            <w:pPr>
              <w:spacing w:after="0"/>
              <w:rPr>
                <w:sz w:val="20"/>
                <w:szCs w:val="20"/>
                <w:color w:val="auto"/>
              </w:rPr>
            </w:pPr>
          </w:p>
        </w:tc>
      </w:tr>
      <w:tr>
        <w:trPr>
          <w:trHeight w:val="210"/>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 / A3 or higher</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0.100%</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w:t>
            </w:r>
          </w:p>
        </w:tc>
      </w:tr>
      <w:tr>
        <w:trPr>
          <w:trHeight w:val="216"/>
        </w:trPr>
        <w:tc>
          <w:tcPr>
            <w:tcW w:w="110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BBB+ / Baa1</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0.125%</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1.125%</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r>
      <w:tr>
        <w:trPr>
          <w:trHeight w:val="216"/>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BBB / Baa2</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0.250%</w:t>
            </w:r>
          </w:p>
        </w:tc>
      </w:tr>
      <w:tr>
        <w:trPr>
          <w:trHeight w:val="216"/>
        </w:trPr>
        <w:tc>
          <w:tcPr>
            <w:tcW w:w="110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BBB- / Baa3</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0.225%</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0.500%</w:t>
            </w:r>
          </w:p>
        </w:tc>
      </w:tr>
      <w:tr>
        <w:trPr>
          <w:trHeight w:val="216"/>
        </w:trPr>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BB+ / Ba1 or lower</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0.300%</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Debt Ratings</w:t>
      </w:r>
      <w:r>
        <w:rPr>
          <w:rFonts w:ascii="Arial" w:cs="Arial" w:eastAsia="Arial" w:hAnsi="Arial"/>
          <w:sz w:val="16"/>
          <w:szCs w:val="16"/>
          <w:color w:val="auto"/>
        </w:rPr>
        <w:t xml:space="preserve">”) of the Company’s non-credit-enhanced, senior unsecured long-term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Company has only one Debt Rating, the Pricing Level equal to that of such Debt Rating shall apply; and (d) if the Company does not have any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Initially, the Applicable Rate shall be determined based upon the Debt Rating specified in the certificate delivered pursuant to </w:t>
      </w:r>
      <w:r>
        <w:rPr>
          <w:rFonts w:ascii="Arial" w:cs="Arial" w:eastAsia="Arial" w:hAnsi="Arial"/>
          <w:sz w:val="18"/>
          <w:szCs w:val="18"/>
          <w:u w:val="single" w:color="auto"/>
          <w:color w:val="auto"/>
        </w:rPr>
        <w:t>Section 4.01(a)(vii)</w:t>
      </w:r>
      <w:r>
        <w:rPr>
          <w:rFonts w:ascii="Arial" w:cs="Arial" w:eastAsia="Arial" w:hAnsi="Arial"/>
          <w:sz w:val="18"/>
          <w:szCs w:val="18"/>
          <w:color w:val="auto"/>
        </w:rPr>
        <w:t>. Thereafter, each change in the Applicable Rate resulting from a publicly announced change in the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local time shall be no earlier than 12:00 noon, Eastern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BofA Securities, Citibank, N.A., JPMorgan Chase Bank, N.A., Wells Fargo Securities, LLC, Banco Bilbao Vizcaya Argentaria, S.A., New York Branch, BMO Capital Markets, Bank of Nova Scotia, Houston Branch, Barclays Bank PLC, Canadian Imperial Bank of Commerce, New York Branch, CoBank, ACB, ING Capital LLC, Mizuho Bank, Ltd., MUFG Bank, Ltd., PNC Bank, National Association, Regions Bank, Royal Bank of Canada, Sumitomo Mitsui Banking Corporation, TD Securities (USA) LLC, Truist Bank and U.S. Bank National Association, in its capacity as joint lead arranger and joint book manager.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December 31, 2020, and the related consolidated statements of income or operations and cash flows for such fiscal year and partners’ capital of the Company and its Subsidiaries, including the notes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Issuers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PMCULC or a Designated Borrower,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LIBOR; provided that if a replacement of the Benchmark has occurred pursuant to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“Benchmark Replacement” means:</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purposes of Section </w:t>
      </w:r>
      <w:r>
        <w:rPr>
          <w:rFonts w:ascii="Arial" w:cs="Arial" w:eastAsia="Arial" w:hAnsi="Arial"/>
          <w:sz w:val="18"/>
          <w:szCs w:val="18"/>
          <w:u w:val="single" w:color="auto"/>
          <w:color w:val="auto"/>
        </w:rPr>
        <w:t>3.03(c)(i)</w:t>
      </w:r>
      <w:r>
        <w:rPr>
          <w:rFonts w:ascii="Arial" w:cs="Arial" w:eastAsia="Arial" w:hAnsi="Arial"/>
          <w:sz w:val="18"/>
          <w:szCs w:val="18"/>
          <w:color w:val="auto"/>
        </w:rPr>
        <w:t>, the first alternative set forth below that can be determined by the Administrative Agent:</w:t>
      </w:r>
    </w:p>
    <w:p>
      <w:pPr>
        <w:spacing w:after="0" w:line="225"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5"/>
        </w:numPr>
        <w:rPr>
          <w:rFonts w:ascii="Arial" w:cs="Arial" w:eastAsia="Arial" w:hAnsi="Arial"/>
          <w:sz w:val="16"/>
          <w:szCs w:val="16"/>
          <w:color w:val="010000"/>
        </w:rPr>
      </w:pPr>
      <w:r>
        <w:rPr>
          <w:rFonts w:ascii="Arial" w:cs="Arial" w:eastAsia="Arial" w:hAnsi="Arial"/>
          <w:sz w:val="16"/>
          <w:szCs w:val="16"/>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 or</w:t>
      </w:r>
    </w:p>
    <w:p>
      <w:pPr>
        <w:spacing w:after="0" w:line="148" w:lineRule="exact"/>
        <w:rPr>
          <w:rFonts w:ascii="Arial" w:cs="Arial" w:eastAsia="Arial" w:hAnsi="Arial"/>
          <w:sz w:val="16"/>
          <w:szCs w:val="16"/>
          <w:color w:val="010000"/>
        </w:rPr>
      </w:pPr>
    </w:p>
    <w:p>
      <w:pPr>
        <w:ind w:left="1960" w:hanging="656"/>
        <w:spacing w:after="0"/>
        <w:tabs>
          <w:tab w:leader="none" w:pos="196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2" w:lineRule="exact"/>
        <w:rPr>
          <w:sz w:val="20"/>
          <w:szCs w:val="20"/>
          <w:color w:val="auto"/>
        </w:rPr>
      </w:pPr>
    </w:p>
    <w:p>
      <w:pPr>
        <w:jc w:val="both"/>
        <w:ind w:left="130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Section 3.03(c)(ii)</w:t>
      </w:r>
      <w:r>
        <w:rPr>
          <w:rFonts w:ascii="Arial" w:cs="Arial" w:eastAsia="Arial" w:hAnsi="Arial"/>
          <w:sz w:val="17"/>
          <w:szCs w:val="17"/>
          <w:color w:val="auto"/>
        </w:rPr>
        <w:t>,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zero percent (0.0%), the Benchmark Replacement will be deemed to be zero percent (0.0%)% for the purposes of this Agreement and the other Loan Documents.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given that term in the last paragraph of the definition of the term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Securities</w:t>
      </w:r>
      <w:r>
        <w:rPr>
          <w:rFonts w:ascii="Arial" w:cs="Arial" w:eastAsia="Arial" w:hAnsi="Arial"/>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6" w:lineRule="exact"/>
        <w:rPr>
          <w:sz w:val="20"/>
          <w:szCs w:val="20"/>
          <w:color w:val="auto"/>
        </w:rPr>
      </w:pPr>
    </w:p>
    <w:p>
      <w:pPr>
        <w:jc w:val="both"/>
        <w:ind w:firstLine="656"/>
        <w:spacing w:after="0" w:line="259" w:lineRule="auto"/>
        <w:tabs>
          <w:tab w:leader="none" w:pos="1509" w:val="left"/>
        </w:tabs>
        <w:numPr>
          <w:ilvl w:val="0"/>
          <w:numId w:val="7"/>
        </w:numPr>
        <w:rPr>
          <w:rFonts w:ascii="Arial" w:cs="Arial" w:eastAsia="Arial" w:hAnsi="Arial"/>
          <w:sz w:val="18"/>
          <w:szCs w:val="18"/>
          <w:color w:val="010000"/>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63" w:lineRule="auto"/>
        <w:tabs>
          <w:tab w:leader="none" w:pos="139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183" w:lineRule="exact"/>
        <w:rPr>
          <w:rFonts w:ascii="Arial" w:cs="Arial" w:eastAsia="Arial" w:hAnsi="Arial"/>
          <w:sz w:val="18"/>
          <w:szCs w:val="18"/>
          <w:color w:val="010000"/>
        </w:rPr>
      </w:pPr>
    </w:p>
    <w:p>
      <w:pPr>
        <w:jc w:val="both"/>
        <w:ind w:firstLine="656"/>
        <w:spacing w:after="0" w:line="272" w:lineRule="auto"/>
        <w:tabs>
          <w:tab w:leader="none" w:pos="1428" w:val="left"/>
        </w:tabs>
        <w:numPr>
          <w:ilvl w:val="0"/>
          <w:numId w:val="8"/>
        </w:numPr>
        <w:rPr>
          <w:rFonts w:ascii="Arial" w:cs="Arial" w:eastAsia="Arial" w:hAnsi="Arial"/>
          <w:sz w:val="17"/>
          <w:szCs w:val="17"/>
          <w:color w:val="010000"/>
        </w:rPr>
      </w:pPr>
      <w:r>
        <w:rPr>
          <w:rFonts w:ascii="Arial" w:cs="Arial" w:eastAsia="Arial" w:hAnsi="Arial"/>
          <w:sz w:val="17"/>
          <w:szCs w:val="17"/>
          <w:color w:val="auto"/>
        </w:rPr>
        <w:t>if such day relates to any fundings, disbursements, settlements and payments (x)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or (y) with respect to PMCULC or any Designated Borrower, in Dollars in respect of a Eurocurrency Rate Loan denominated in Dollars or any other dealings in Dollars to be carried out pursuant to this Agreement in respect of any such Eurocurrency Rate Loan (other than interest rate settings), or any other dealings in Dollars to be carried out pursuant to this Agreement, in each case, means any such day on which banks are open for foreign exchange business in Toronto, Canada.</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Rate</w:t>
      </w:r>
      <w:r>
        <w:rPr>
          <w:rFonts w:ascii="Arial" w:cs="Arial" w:eastAsia="Arial" w:hAnsi="Arial"/>
          <w:sz w:val="18"/>
          <w:szCs w:val="18"/>
          <w:color w:val="auto"/>
        </w:rPr>
        <w:t xml:space="preserve">” means, on the funding date for any Canadian BA, (a) for any Lender named on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 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“Canadian BA Equivalent Loan” has the meaning specified in Section 4(d) of Schedule 2.01A.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 Fee</w:t>
      </w:r>
      <w:r>
        <w:rPr>
          <w:rFonts w:ascii="Arial" w:cs="Arial" w:eastAsia="Arial" w:hAnsi="Arial"/>
          <w:sz w:val="17"/>
          <w:szCs w:val="17"/>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Bankers’ Acceptance</w:t>
      </w:r>
      <w:r>
        <w:rPr>
          <w:rFonts w:ascii="Arial" w:cs="Arial" w:eastAsia="Arial" w:hAnsi="Arial"/>
          <w:sz w:val="16"/>
          <w:szCs w:val="16"/>
          <w:color w:val="auto"/>
        </w:rPr>
        <w:t xml:space="preserve"> ” or “</w:t>
      </w:r>
      <w:r>
        <w:rPr>
          <w:rFonts w:ascii="Arial" w:cs="Arial" w:eastAsia="Arial" w:hAnsi="Arial"/>
          <w:sz w:val="16"/>
          <w:szCs w:val="16"/>
          <w:u w:val="single" w:color="auto"/>
          <w:color w:val="auto"/>
        </w:rPr>
        <w:t>Canadian BA</w:t>
      </w:r>
      <w:r>
        <w:rPr>
          <w:rFonts w:ascii="Arial" w:cs="Arial" w:eastAsia="Arial" w:hAnsi="Arial"/>
          <w:sz w:val="16"/>
          <w:szCs w:val="16"/>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PMCULC or a Designated Borrower, for a term selected by PMCULC or such Designated Borrower of either one, two or three months (as reduced or extended by the Administrative Agent, acting reasonably, to allow the maturity thereof to fall on a Business Day) payable in Canada, and accepted by a Lender in accordance with this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Equivalent</w:t>
      </w:r>
      <w:r>
        <w:rPr>
          <w:rFonts w:ascii="Arial" w:cs="Arial" w:eastAsia="Arial" w:hAnsi="Arial"/>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Sublimit</w:t>
      </w:r>
      <w:r>
        <w:rPr>
          <w:rFonts w:ascii="Arial" w:cs="Arial" w:eastAsia="Arial" w:hAnsi="Arial"/>
          <w:sz w:val="18"/>
          <w:szCs w:val="18"/>
          <w:color w:val="auto"/>
        </w:rPr>
        <w:t>” means an amount equal to the lesser of the Aggregate Commitments and $1,000,000,000. The Canadian Dollar Sublimit is part of, and not in addition to, the Aggregate Commitments.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Citibank Canada, JPMorgan Chase Bank, N.A. (Toronto Branch) and Wells Fargo Bank, National Association, Canadian Branch (or such other or additional Lenders as may be designated by the Administrative Agent and reasonably acceptable to the Company).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 provided that, if the Canadian Prime Rate as so determined would be less than zero, such rate shall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 Committed Loan</w:t>
      </w:r>
      <w:r>
        <w:rPr>
          <w:rFonts w:ascii="Arial" w:cs="Arial" w:eastAsia="Arial" w:hAnsi="Arial"/>
          <w:sz w:val="16"/>
          <w:szCs w:val="16"/>
          <w:color w:val="auto"/>
        </w:rPr>
        <w:t>” means any Committed Loan which bears interest at a rate determined by reference to the Canadian Prime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xml:space="preserve">” means The Bank of Nova Scotia, Bank of Montreal and Royal Bank of Canada] (or such other or additional Lenders listed in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as may be designated by the Administrative Agent and reasonably acceptable to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Carry Purchases</w:t>
      </w:r>
      <w:r>
        <w:rPr>
          <w:rFonts w:ascii="Arial" w:cs="Arial" w:eastAsia="Arial" w:hAnsi="Arial"/>
          <w:sz w:val="17"/>
          <w:szCs w:val="17"/>
          <w:color w:val="auto"/>
        </w:rPr>
        <w:t>” means purchases of Petroleum Products for physical storage or in storage or in transit in pipelines which has been hedged by either a NYMEX contract, an OTC contract, an Intercontinental Exchange contract, or a contract for physical delivery.</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xml:space="preserve">” (i) with respect to Canadian BA’s, has the meaning specified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 xml:space="preserve"> and (ii) otherwise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are then offering to purchase bankers’ acceptances accepted by them having the specified term and face amount (or a term and face amount as closely as possible comparable to such specified term and face amount) of the Canadian BA; and if CDOR shall be less than zero, such rate shall be deemed zero for purposes of this Agreement.</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100" w:hanging="444"/>
        <w:spacing w:after="0"/>
        <w:tabs>
          <w:tab w:leader="none" w:pos="1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acquisition of more than 50% of the Equity Interest in the general partner of Plains AAP by a Person that is not a Current Owner if</w:t>
      </w:r>
    </w:p>
    <w:p>
      <w:pPr>
        <w:spacing w:after="0" w:line="34" w:lineRule="exact"/>
        <w:rPr>
          <w:rFonts w:ascii="Arial" w:cs="Arial" w:eastAsia="Arial" w:hAnsi="Arial"/>
          <w:sz w:val="17"/>
          <w:szCs w:val="17"/>
          <w:color w:val="auto"/>
        </w:rPr>
      </w:pPr>
    </w:p>
    <w:p>
      <w:pPr>
        <w:jc w:val="both"/>
        <w:ind w:firstLine="8"/>
        <w:spacing w:after="0" w:line="255"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w:t>
      </w:r>
    </w:p>
    <w:p>
      <w:pPr>
        <w:spacing w:after="0" w:line="189" w:lineRule="exact"/>
        <w:rPr>
          <w:rFonts w:ascii="Arial" w:cs="Arial" w:eastAsia="Arial" w:hAnsi="Arial"/>
          <w:sz w:val="18"/>
          <w:szCs w:val="18"/>
          <w:color w:val="auto"/>
        </w:rPr>
      </w:pPr>
    </w:p>
    <w:p>
      <w:pPr>
        <w:ind w:firstLine="656"/>
        <w:spacing w:after="0" w:line="277" w:lineRule="auto"/>
        <w:tabs>
          <w:tab w:leader="none" w:pos="113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general partner of Plains AAP shall cease to be, directly or indirectly, the beneficial owner (within the meaning of Rule 13d-3 under the Securities Exchange Act of 1934, as amended) of a majority of the general partner interests of Plains AAP;</w:t>
      </w:r>
    </w:p>
    <w:p>
      <w:pPr>
        <w:spacing w:after="0" w:line="170" w:lineRule="exact"/>
        <w:rPr>
          <w:rFonts w:ascii="Arial" w:cs="Arial" w:eastAsia="Arial" w:hAnsi="Arial"/>
          <w:sz w:val="18"/>
          <w:szCs w:val="18"/>
          <w:color w:val="auto"/>
        </w:rPr>
      </w:pPr>
    </w:p>
    <w:p>
      <w:pPr>
        <w:ind w:firstLine="656"/>
        <w:spacing w:after="0" w:line="277" w:lineRule="auto"/>
        <w:tabs>
          <w:tab w:leader="none" w:pos="11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Plains AAP shall cease to be, directly or indirectly, the beneficial owner (as defined above) of a majority of the limited liability company interests of General Partner; or</w:t>
      </w:r>
    </w:p>
    <w:p>
      <w:pPr>
        <w:spacing w:after="0" w:line="170" w:lineRule="exact"/>
        <w:rPr>
          <w:rFonts w:ascii="Arial" w:cs="Arial" w:eastAsia="Arial" w:hAnsi="Arial"/>
          <w:sz w:val="18"/>
          <w:szCs w:val="18"/>
          <w:color w:val="auto"/>
        </w:rPr>
      </w:pPr>
    </w:p>
    <w:p>
      <w:pPr>
        <w:ind w:firstLine="656"/>
        <w:spacing w:after="0" w:line="277" w:lineRule="auto"/>
        <w:tabs>
          <w:tab w:leader="none" w:pos="11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General Partner shall cease to be, directly or indirectly, the beneficial owner (as defined above) of a majority of the general partner interest of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or equivalent body of the general partner of Plains AAP; “</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the members of the Board elected, appointed or otherwise designated by a Current Owner or by the Current Owners; “</w:t>
      </w:r>
      <w:r>
        <w:rPr>
          <w:rFonts w:ascii="Arial" w:cs="Arial" w:eastAsia="Arial" w:hAnsi="Arial"/>
          <w:sz w:val="17"/>
          <w:szCs w:val="17"/>
          <w:u w:val="single" w:color="auto"/>
          <w:color w:val="auto"/>
        </w:rPr>
        <w:t>Current Owner</w:t>
      </w:r>
      <w:r>
        <w:rPr>
          <w:rFonts w:ascii="Arial" w:cs="Arial" w:eastAsia="Arial" w:hAnsi="Arial"/>
          <w:sz w:val="17"/>
          <w:szCs w:val="17"/>
          <w:color w:val="auto"/>
        </w:rPr>
        <w:t>” means (i) an owner, as of the effective date of this Agreement, of an Equity Interest in the general partner of Plains AAP and (ii) any Affiliate of such owner.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 as to each Lender other than the Swing Line Lender, such Lender’s obligation to (i) make Committed Loans to the Borrowers and accept Canadian BA’s from PMCULC or Designated Borrowers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(ii) purchase participations in L/C Obligations, and (iii) purchase participations in Swing Line Loans and (b) as to the Swing Line Lender, its obligation to make Swing Line Loans to the Borrowers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in each case, in an aggregate principal amount the Dollar Equivalent of which at any one time outstanding, does not exceed the Dollar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as such amount may from time to time be increased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decreased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or in the Assignment and Assumption pursuant to which such Lender becomes a party hereto, as applicable, as such amount may be adjusted from time to time in accordance with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Borrowing</w:t>
      </w:r>
      <w:r>
        <w:rPr>
          <w:rFonts w:ascii="Arial" w:cs="Arial" w:eastAsia="Arial" w:hAnsi="Arial"/>
          <w:sz w:val="17"/>
          <w:szCs w:val="17"/>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or (ii) the acceptance by Lenders of Canadian Bankers’ Acceptances issued by PMCULC or a Designated Borrower under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the Borrowers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means a notice of (a) a Committed Borrowing, (b) a conversion of Committed Loans from one Type to the other, or</w:t>
      </w:r>
    </w:p>
    <w:p>
      <w:pPr>
        <w:spacing w:after="0" w:line="35" w:lineRule="exact"/>
        <w:rPr>
          <w:sz w:val="20"/>
          <w:szCs w:val="20"/>
          <w:color w:val="auto"/>
        </w:rPr>
      </w:pPr>
    </w:p>
    <w:p>
      <w:pPr>
        <w:jc w:val="both"/>
        <w:ind w:firstLine="8"/>
        <w:spacing w:after="0" w:line="253"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Committed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Guaranty</w:t>
      </w:r>
      <w:r>
        <w:rPr>
          <w:rFonts w:ascii="Arial" w:cs="Arial" w:eastAsia="Arial" w:hAnsi="Arial"/>
          <w:sz w:val="18"/>
          <w:szCs w:val="18"/>
          <w:color w:val="auto"/>
        </w:rPr>
        <w:t xml:space="preserve">” means the Guaranty of the payment Obligations of PMCULC and the Designated Borrowers made by the Company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Lender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Assets</w:t>
      </w:r>
      <w:r>
        <w:rPr>
          <w:rFonts w:ascii="Arial" w:cs="Arial" w:eastAsia="Arial" w:hAnsi="Arial"/>
          <w:sz w:val="18"/>
          <w:szCs w:val="18"/>
          <w:color w:val="auto"/>
        </w:rPr>
        <w:t>” means, as of any date of determination, the total assets of the Company and its Subsidiaries as set forth on a consolidated balance sheet of the Company and its Subsidiaries for their most recently completed fiscal quarter for which financial statements are available, prepared in accordance with GAAP.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Company and its Subsidiaries (excluding, for the avoidance of doubt, Unrestricted Subsidiaries), (iii) depreciation, depletion and amortization expense, (iv) costs or expenses resulting from distributions or redemptions of the Company’s units issued pursuant to the Company’s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w:t>
      </w:r>
    </w:p>
    <w:p>
      <w:pPr>
        <w:spacing w:after="0" w:line="5" w:lineRule="exact"/>
        <w:rPr>
          <w:sz w:val="20"/>
          <w:szCs w:val="20"/>
          <w:color w:val="auto"/>
        </w:rPr>
      </w:pPr>
    </w:p>
    <w:p>
      <w:pPr>
        <w:jc w:val="both"/>
        <w:ind w:firstLine="8"/>
        <w:spacing w:after="0" w:line="267"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other non-recurring expenses of the Company and its Subsidiaries (excluding, for the avoidance of doubt, Unrestricted Subsidiaries) reducing such Consolidated Net Income which do not represent a cash item in such period or any future period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following to the extent included in calculating such Consolidated Net Income: (i) Federal, state, local and foreign income tax credits of the Company and its Subsidiaries (excluding, for the avoidance of doubt, Unrestricted Subsidiaries) and (ii) all non-cash items increasing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for purposes of determining compliance with the financial covenant(s) set forth in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Company (and the Company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Consolidated EBITDA may, as provided in </w:t>
      </w:r>
      <w:r>
        <w:rPr>
          <w:rFonts w:ascii="Arial" w:cs="Arial" w:eastAsia="Arial" w:hAnsi="Arial"/>
          <w:sz w:val="17"/>
          <w:szCs w:val="17"/>
          <w:u w:val="single" w:color="auto"/>
          <w:color w:val="auto"/>
        </w:rPr>
        <w:t>Section 7.08</w:t>
      </w:r>
      <w:r>
        <w:rPr>
          <w:rFonts w:ascii="Arial" w:cs="Arial" w:eastAsia="Arial" w:hAnsi="Arial"/>
          <w:sz w:val="17"/>
          <w:szCs w:val="17"/>
          <w:color w:val="auto"/>
        </w:rPr>
        <w:t>, include Material Project EBITDA Adjustments.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xml:space="preserve">” means, as of any date of determination, the sum of (without duplication): (i) the outstanding principal amount of all Indebtedness which is classified as “long-term indebtedness” on a consolidated balance sheet of the Company and its Subsidiaries on a consolidated basis (excluding, for the avoidance of doubt,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Company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Company and its Subsidiaries on a consolidated basis (excluding, for the avoidance of doubt,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Consolidated Funded Indebtedness shall not, if otherwise applicable, include (x) Indebtedness in respect of letters of credit, (y) Indebtedness incurred to finance Cash and Carry Purchases or (z) margin deposits.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means, as of the end of any fiscal quarter, the ratio of (a) Consolidated Funded Indebtedness as of such date </w:t>
      </w:r>
      <w:r>
        <w:rPr>
          <w:rFonts w:ascii="Arial" w:cs="Arial" w:eastAsia="Arial" w:hAnsi="Arial"/>
          <w:sz w:val="16"/>
          <w:szCs w:val="16"/>
          <w:i w:val="1"/>
          <w:iCs w:val="1"/>
          <w:color w:val="auto"/>
        </w:rPr>
        <w:t>to</w:t>
      </w:r>
      <w:r>
        <w:rPr>
          <w:rFonts w:ascii="Arial" w:cs="Arial" w:eastAsia="Arial" w:hAnsi="Arial"/>
          <w:sz w:val="16"/>
          <w:szCs w:val="16"/>
          <w:color w:val="auto"/>
        </w:rPr>
        <w:t xml:space="preserve"> (b) Consolidated EBITDA for the trailing four quarter period ending on such date, as Consolidated EBITDA may be adjusted pursuant to </w:t>
      </w:r>
      <w:r>
        <w:rPr>
          <w:rFonts w:ascii="Arial" w:cs="Arial" w:eastAsia="Arial" w:hAnsi="Arial"/>
          <w:sz w:val="16"/>
          <w:szCs w:val="16"/>
          <w:u w:val="single" w:color="auto"/>
          <w:color w:val="auto"/>
        </w:rPr>
        <w:t>Section 7.08</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for the Company and its Subsidiaries on a consolidated basis (excluding, for the avoidance of doubt, Unrestricted Subsidiaries), the net income of the Company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Company’s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as of any date of determination, the Consolidated Assets of the Company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all as set forth, or on a pro forma basis would be set forth, on the consolidated balance sheet of the Company and its Subsidiaries for the Company’s most recently completed fiscal quarter for which financial statements are available, prepared in accordance with GAAP.</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Capitalization</w:t>
      </w:r>
      <w:r>
        <w:rPr>
          <w:rFonts w:ascii="Arial" w:cs="Arial" w:eastAsia="Arial" w:hAnsi="Arial"/>
          <w:sz w:val="16"/>
          <w:szCs w:val="16"/>
          <w:color w:val="auto"/>
        </w:rPr>
        <w:t>” means the sum of (a) Consolidated Funded Indebtedness and (b) the Company’s Consolidated Net Worth.</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 (i)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Canadian Prime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and (c) when used with respect to Letter of Credit Fees, a rate equal to the Applicable Rate plus 2% per annum.</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xml:space="preserve">” means (a) any period during which an Event of Default, other than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is continuing unless the Company has been notified otherwise by the Administrative Agent upon the instruction by the Required Lenders.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2" w:lineRule="exact"/>
        <w:rPr>
          <w:sz w:val="20"/>
          <w:szCs w:val="20"/>
          <w:color w:val="auto"/>
        </w:rPr>
      </w:pPr>
    </w:p>
    <w:p>
      <w:pPr>
        <w:jc w:val="both"/>
        <w:ind w:firstLine="8"/>
        <w:spacing w:after="0" w:line="268" w:lineRule="auto"/>
        <w:tabs>
          <w:tab w:leader="none" w:pos="2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region or territory to the extent that such country or territory itself is the subject of any Sanction.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each Person from time to time and at each relevant time acting in the capacity as a documentation agent, co-documentation agent, joint-documentation agent or similar documentation agent capacity in connection with this Agreement,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are acting in the capacity as co-documentation agents.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 State thereof or the District of Columbia.</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determination by the Administrative Agent, or a notification by the Company to the Administrative Agent that the Company has made a determination, that U.S. dollar-denominated syndicated credit facilities currently being executed, or that include language similar to that contained in </w:t>
      </w:r>
      <w:r>
        <w:rPr>
          <w:rFonts w:ascii="Arial" w:cs="Arial" w:eastAsia="Arial" w:hAnsi="Arial"/>
          <w:sz w:val="18"/>
          <w:szCs w:val="18"/>
          <w:u w:val="single" w:color="auto"/>
          <w:color w:val="auto"/>
        </w:rPr>
        <w:t>Section 3.03(c)</w:t>
      </w:r>
      <w:r>
        <w:rPr>
          <w:rFonts w:ascii="Arial" w:cs="Arial" w:eastAsia="Arial" w:hAnsi="Arial"/>
          <w:sz w:val="18"/>
          <w:szCs w:val="18"/>
          <w:color w:val="auto"/>
        </w:rPr>
        <w:t>, are being executed or amended (as applicable) to incorporate or adopt a new benchmark interest rate to replace LIBOR, and</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Company to replace LIBOR with a Benchmark Replacement and the provision by the Administrative Agent of written notice of such election to the Lenders.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15"/>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clauses</w:t>
      </w:r>
    </w:p>
    <w:p>
      <w:pPr>
        <w:spacing w:after="0" w:line="20" w:lineRule="exact"/>
        <w:rPr>
          <w:rFonts w:ascii="Arial" w:cs="Arial" w:eastAsia="Arial" w:hAnsi="Arial"/>
          <w:sz w:val="17"/>
          <w:szCs w:val="17"/>
          <w:u w:val="single" w:color="auto"/>
          <w:color w:val="auto"/>
        </w:rPr>
      </w:pPr>
    </w:p>
    <w:p>
      <w:pPr>
        <w:ind w:left="260" w:hanging="252"/>
        <w:spacing w:after="0"/>
        <w:tabs>
          <w:tab w:leader="none" w:pos="260"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for any Interest Period with respect to a Eurocurrency Rate Loan:</w:t>
      </w:r>
    </w:p>
    <w:p>
      <w:pPr>
        <w:spacing w:after="0" w:line="225" w:lineRule="exact"/>
        <w:rPr>
          <w:rFonts w:ascii="Arial" w:cs="Arial" w:eastAsia="Arial" w:hAnsi="Arial"/>
          <w:sz w:val="18"/>
          <w:szCs w:val="18"/>
          <w:color w:val="010000"/>
        </w:rPr>
      </w:pPr>
    </w:p>
    <w:p>
      <w:pPr>
        <w:jc w:val="both"/>
        <w:ind w:left="660" w:firstLine="644"/>
        <w:spacing w:after="0" w:line="255" w:lineRule="auto"/>
        <w:tabs>
          <w:tab w:leader="none" w:pos="1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Eurocurrency Rate Loan denominated in Dollars, the rate per annum equal to the London Interbank Offered Rate (“LIBOR”), as published on the applicable Reuters Screen page (or such other commercially available source providing quotations of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 if the Eurocurrency Rate shall be less than zero, such rate shall be deemed zero for purposes of this Agreement; and</w:t>
      </w:r>
    </w:p>
    <w:p>
      <w:pPr>
        <w:spacing w:after="0" w:line="192" w:lineRule="exact"/>
        <w:rPr>
          <w:rFonts w:ascii="Arial" w:cs="Arial" w:eastAsia="Arial" w:hAnsi="Arial"/>
          <w:sz w:val="18"/>
          <w:szCs w:val="18"/>
          <w:color w:val="auto"/>
        </w:rPr>
      </w:pPr>
    </w:p>
    <w:p>
      <w:pPr>
        <w:ind w:left="660" w:firstLine="644"/>
        <w:spacing w:after="0" w:line="277" w:lineRule="auto"/>
        <w:tabs>
          <w:tab w:leader="none" w:pos="17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a Eurocurrency Rate Loan denominated in Canadian Dollars, at a rate per annum equal to CDOR for a Canadian BA in such amount with a term equivalent to such Interest Period for such Loan;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27"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for any interest calculation with respect to (i) a Base Rate Loan or a Swing Line Loan based on the Eurocurrency Rate denominated in Dollars, on any date, the rate per annum equal to LIBOR, at approximately 11:00 a.m., London time determined two London Banking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(i) a Eurocurrency Rate Committed Loan or (ii) a Swing Line Loan that bears interest at a rate based on the Eurocurrency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withholding Taxes imposed pursuant to FATCA.</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19, 2011 among the Company and PMCULC, as borrowers, Bank of America, as administrative agent, and the lenders named therein, as heretofore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letters of credit issued and outstanding under the Existing Credit Agreement as of the Closing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specified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the United States, each State thereof and the District of Columbia shall constitute a single jurisdiction.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means PAA GP LLC, a Delaware limited liability company, in its capacity as the sole general partner of the Company.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LLC</w:t>
      </w:r>
      <w:r>
        <w:rPr>
          <w:rFonts w:ascii="Arial" w:cs="Arial" w:eastAsia="Arial" w:hAnsi="Arial"/>
          <w:sz w:val="18"/>
          <w:szCs w:val="18"/>
          <w:color w:val="auto"/>
        </w:rPr>
        <w:t>” means Plains All American GP LLC, a Delaware limited liability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Inventory Credit Agreement</w:t>
      </w:r>
      <w:r>
        <w:rPr>
          <w:rFonts w:ascii="Arial" w:cs="Arial" w:eastAsia="Arial" w:hAnsi="Arial"/>
          <w:sz w:val="18"/>
          <w:szCs w:val="18"/>
          <w:color w:val="auto"/>
        </w:rPr>
        <w:t>” means that certain Fourth Amended and Restated Credit Agreement of even date herewith among Plains Marketing and PMCULC, as borrowers, Bank of America, N.A., as administrative agent, and the lenders named therein, as from time to time amended, supplemented or restated.</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the Company,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Company or any other Restricted Person, (b) that have been formed for the purpose of issuing trust preferred securities or deferrable interest subordinated debt, and</w:t>
      </w:r>
    </w:p>
    <w:p>
      <w:pPr>
        <w:spacing w:after="0" w:line="2" w:lineRule="exact"/>
        <w:rPr>
          <w:sz w:val="20"/>
          <w:szCs w:val="20"/>
          <w:color w:val="auto"/>
        </w:rPr>
      </w:pPr>
    </w:p>
    <w:p>
      <w:pPr>
        <w:ind w:firstLine="8"/>
        <w:spacing w:after="0" w:line="260" w:lineRule="auto"/>
        <w:tabs>
          <w:tab w:leader="none" w:pos="2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all the assets of which consist of (i) subordinated debt of the Company or another Restricted Person and (ii) payments made from time to time on the subordinated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firstLine="656"/>
        <w:spacing w:after="0" w:line="342" w:lineRule="auto"/>
        <w:tabs>
          <w:tab w:leader="none" w:pos="11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right="20" w:firstLine="656"/>
        <w:spacing w:after="0" w:line="277" w:lineRule="auto"/>
        <w:tabs>
          <w:tab w:leader="none" w:pos="11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firstLine="656"/>
        <w:spacing w:after="0" w:line="277" w:lineRule="auto"/>
        <w:tabs>
          <w:tab w:leader="none" w:pos="11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each Eurocurrency Rate Loan, the period commencing on the date of such Borrowing or the date such Eurocurrency Rate Loan is converted to or continued as a Eurocurrency Rate Loan and (x) with respect to a Eurocurrency Rate Loan denominated in Dollars, ending on the date one month, three months or six months thereafter, or (y) with respect to a Eurocurrency Rate Loan denominated in Canadian Dollars, ending on the date one month, two months or three months thereafter, in each case, as selected by the Company in its Committed Loan Notice or such other period that is twelve months or less requested by the Company and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6" w:lineRule="exact"/>
        <w:rPr>
          <w:sz w:val="20"/>
          <w:szCs w:val="20"/>
          <w:color w:val="auto"/>
        </w:rPr>
      </w:pPr>
    </w:p>
    <w:p>
      <w:pPr>
        <w:jc w:val="both"/>
        <w:ind w:left="660" w:firstLine="644"/>
        <w:spacing w:after="0" w:line="263" w:lineRule="auto"/>
        <w:tabs>
          <w:tab w:leader="none" w:pos="17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left="660" w:firstLine="644"/>
        <w:spacing w:after="0" w:line="263" w:lineRule="auto"/>
        <w:tabs>
          <w:tab w:leader="none" w:pos="1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Borrowing</w:t>
      </w:r>
      <w:r>
        <w:rPr>
          <w:rFonts w:ascii="Arial" w:cs="Arial" w:eastAsia="Arial" w:hAnsi="Arial"/>
          <w:sz w:val="16"/>
          <w:szCs w:val="16"/>
          <w:color w:val="auto"/>
        </w:rPr>
        <w:t xml:space="preserve">” means an extension of credit resulting from a drawing under any Letter of Credit which has not been reimbursed on the date as required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Company, and notified to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L/C Issuer pursuant to a Letter of Credit.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each of (i) Bank of America, Citibank, N.A., JPMorgan Chase Bank, N.A.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at any time, the sum of (a) the aggregate undrawn amount of all outstanding Letters of Credit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Sublimit</w:t>
      </w:r>
      <w:r>
        <w:rPr>
          <w:rFonts w:ascii="Arial" w:cs="Arial" w:eastAsia="Arial" w:hAnsi="Arial"/>
          <w:sz w:val="17"/>
          <w:szCs w:val="17"/>
          <w:color w:val="auto"/>
        </w:rPr>
        <w:t>” means an amount equal to $400,000,000. The L/C Sublimit is part of, and not in addition to, the Aggregate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and “</w:t>
      </w:r>
      <w:r>
        <w:rPr>
          <w:rFonts w:ascii="Arial" w:cs="Arial" w:eastAsia="Arial" w:hAnsi="Arial"/>
          <w:sz w:val="17"/>
          <w:szCs w:val="17"/>
          <w:u w:val="single" w:color="auto"/>
          <w:color w:val="auto"/>
        </w:rPr>
        <w:t>Lender Recipient Parties</w:t>
      </w:r>
      <w:r>
        <w:rPr>
          <w:rFonts w:ascii="Arial" w:cs="Arial" w:eastAsia="Arial" w:hAnsi="Arial"/>
          <w:sz w:val="17"/>
          <w:szCs w:val="17"/>
          <w:color w:val="auto"/>
        </w:rPr>
        <w:t>” means, collectively, the Administrative Agent, the L/C Issuers, the Swing Line Lender and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commercial letter of credit issued hereunder shall provide solely for cash payment upon presentation of a sight draft,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to by the L/C Issuer issuing such letter of credit.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“Letter of Credit Fee” has the meaning specified in Section 2.03(h).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Report</w:t>
      </w:r>
      <w:r>
        <w:rPr>
          <w:rFonts w:ascii="Arial" w:cs="Arial" w:eastAsia="Arial" w:hAnsi="Arial"/>
          <w:sz w:val="17"/>
          <w:szCs w:val="17"/>
          <w:color w:val="auto"/>
        </w:rPr>
        <w:t xml:space="preserve">” means a certificate substantially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or any other form approved by the Administrative Agent.</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 Loan.</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Designated Borrower Request and Assumption Agreement, each Note, each Issuer Document, each Canadian BA, any agreement creating or perfecting rights in Cash Collateral 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this Agreement, Fee Letters and any guaranty of the Obligations delivered in connection 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(ii) PMCULC and (iii) each Designated Borrower.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the later of (a) such date that is five years from the Closing Date and (b) if the Maturity Date then in effect is extended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such extended Maturity Date; provided, however, that if such date does not satisfy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“Business Day,” the Maturity Date shall be the next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local time shall be no earlier than 12:00 noon, Eastern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“Non-Extending Lender” has the meaning specified in Section 2.14(b).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Additional L/C Issuer</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or any other form approved by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2015.</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means the Administrative Agent and the Company have elected to replace LIBOR with a Benchmark Replacement other than a SOFR-based rate pursuant to (1) an Early Opt-in Election and (2) </w:t>
      </w:r>
      <w:r>
        <w:rPr>
          <w:rFonts w:ascii="Arial" w:cs="Arial" w:eastAsia="Arial" w:hAnsi="Arial"/>
          <w:sz w:val="18"/>
          <w:szCs w:val="18"/>
          <w:u w:val="single" w:color="auto"/>
          <w:color w:val="auto"/>
        </w:rPr>
        <w:t>Section 3.03(c)(ii)</w:t>
      </w:r>
      <w:r>
        <w:rPr>
          <w:rFonts w:ascii="Arial" w:cs="Arial" w:eastAsia="Arial" w:hAnsi="Arial"/>
          <w:sz w:val="18"/>
          <w:szCs w:val="18"/>
          <w:color w:val="auto"/>
        </w:rPr>
        <w:t xml:space="preserve"> and paragraph (2) of the definition of “Benchmark Replacement”.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Register” has the meaning specified in Section 11.06(d)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w:t>
      </w:r>
      <w:r>
        <w:rPr>
          <w:rFonts w:ascii="Arial" w:cs="Arial" w:eastAsia="Arial" w:hAnsi="Arial"/>
          <w:sz w:val="18"/>
          <w:szCs w:val="18"/>
          <w:color w:val="auto"/>
        </w:rPr>
        <w:t>” means Plains Oryx Permian Basin LLC, a Delaware limited liability company, in which the Company is to indirectly own, as of the date of the closing of the Permian JV Merger Agreement, a 65% Equity Interest therein.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Merger Agreement</w:t>
      </w:r>
      <w:r>
        <w:rPr>
          <w:rFonts w:ascii="Arial" w:cs="Arial" w:eastAsia="Arial" w:hAnsi="Arial"/>
          <w:sz w:val="18"/>
          <w:szCs w:val="18"/>
          <w:color w:val="auto"/>
        </w:rPr>
        <w:t>” means that certain Agreement and Plan of Merger dated as of July 12, 2021 by and among Plains Pipeline, Plains Marketing, Oryx Midstream Holdings LLC and certain affiliates, Permian JV, POPB Marketing and POPB Pipeline, together with all exhibits and schedules attached thereto, attached to the Company’s Form 8-K filed with the SEC on July 13,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Transaction Documents</w:t>
      </w:r>
      <w:r>
        <w:rPr>
          <w:rFonts w:ascii="Arial" w:cs="Arial" w:eastAsia="Arial" w:hAnsi="Arial"/>
          <w:sz w:val="18"/>
          <w:szCs w:val="18"/>
          <w:color w:val="auto"/>
        </w:rPr>
        <w:t>” means:</w:t>
      </w:r>
    </w:p>
    <w:p>
      <w:pPr>
        <w:spacing w:after="0" w:line="225" w:lineRule="exact"/>
        <w:rPr>
          <w:sz w:val="20"/>
          <w:szCs w:val="20"/>
          <w:color w:val="auto"/>
        </w:rPr>
      </w:pPr>
    </w:p>
    <w:p>
      <w:pPr>
        <w:ind w:left="1740" w:hanging="436"/>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Permian JV Merger Agreement;</w:t>
      </w:r>
    </w:p>
    <w:p>
      <w:pPr>
        <w:spacing w:after="0" w:line="225" w:lineRule="exact"/>
        <w:rPr>
          <w:rFonts w:ascii="Arial" w:cs="Arial" w:eastAsia="Arial" w:hAnsi="Arial"/>
          <w:sz w:val="18"/>
          <w:szCs w:val="18"/>
          <w:color w:val="auto"/>
        </w:rPr>
      </w:pPr>
    </w:p>
    <w:p>
      <w:pPr>
        <w:ind w:left="660" w:firstLine="644"/>
        <w:spacing w:after="0" w:line="342" w:lineRule="auto"/>
        <w:tabs>
          <w:tab w:leader="none" w:pos="1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“Divisive Merger Agreements”, the “Oryx Holdings Contribution Agreement”, the “Marketing Certificate of Merger”, the “Marketing Conversion Certificates” and the “Pipeline Conversion Certificates”, as such terms are defined in the Permian JV Merger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1800" w:hanging="496"/>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“Middle Cadence Contribution Agreement” , as such term is defined in the Permian JV Merger Agreement;</w:t>
      </w:r>
    </w:p>
    <w:p>
      <w:pPr>
        <w:spacing w:after="0" w:line="225"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Amended and Restated Limited Liability Company Agreement of Permian JV, substantially in the form of Exhibit C-2 to the Permian JV Merger Agreement;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Matters Agreement”, the “Operating Agreement”, the “Marketing Services Agreement”, the “Buy/Sell Contract”, the “McCamey Capacity Lease”, the “Basin Capacity Lease”, the “Storage and Contango Agreement”, the “First Purchase Contract Assignment” and the “Secondment Agreement”, as such terms are defined in the Permian JV Merger Agreement;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“OMOG Services Agreement Assignment” and the “OMOG Services Agreement”, as such terms are defined in the Permian JV Merger Agreement;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capacity leases by and between POPB Marketing and POPB Pipeline for the BHT System, Iatan Gathering System, Porterville Pipeline and Scurry Pipeline,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documents required to carry out the intention and purpose of the Permian JV Merger Agreement, including any connection agreements and shared facility use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Marketing</w:t>
      </w:r>
      <w:r>
        <w:rPr>
          <w:rFonts w:ascii="Arial" w:cs="Arial" w:eastAsia="Arial" w:hAnsi="Arial"/>
          <w:sz w:val="18"/>
          <w:szCs w:val="18"/>
          <w:color w:val="auto"/>
        </w:rPr>
        <w:t>” means Plains Marketing, L.P., a Texas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has the meaning specified in the introductory paragraph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Marketing</w:t>
      </w:r>
      <w:r>
        <w:rPr>
          <w:rFonts w:ascii="Arial" w:cs="Arial" w:eastAsia="Arial" w:hAnsi="Arial"/>
          <w:sz w:val="16"/>
          <w:szCs w:val="16"/>
          <w:color w:val="auto"/>
        </w:rPr>
        <w:t>” means Plains Oryx Permian Basin Marketing LLC, a Texas limited liability company, a wholly-owned Subsidiary of Permian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Pipeline</w:t>
      </w:r>
      <w:r>
        <w:rPr>
          <w:rFonts w:ascii="Arial" w:cs="Arial" w:eastAsia="Arial" w:hAnsi="Arial"/>
          <w:sz w:val="16"/>
          <w:szCs w:val="16"/>
          <w:color w:val="auto"/>
        </w:rPr>
        <w:t>” means Plains Oryx Permian Basin Pipeline LLC, a Texas limited liability company, a wholly-owned Subsidiary of Permian JV.</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jc w:val="both"/>
        <w:ind w:firstLine="656"/>
        <w:spacing w:after="0" w:line="263" w:lineRule="auto"/>
        <w:tabs>
          <w:tab w:leader="none" w:pos="109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processing or manufacturing plant or terminal owned or leased by any Restricted Person;</w:t>
      </w:r>
    </w:p>
    <w:p>
      <w:pPr>
        <w:spacing w:after="0" w:line="225" w:lineRule="exact"/>
        <w:rPr>
          <w:rFonts w:ascii="Arial" w:cs="Arial" w:eastAsia="Arial" w:hAnsi="Arial"/>
          <w:sz w:val="18"/>
          <w:szCs w:val="18"/>
          <w:color w:val="010000"/>
        </w:rPr>
      </w:pPr>
    </w:p>
    <w:p>
      <w:pPr>
        <w:jc w:val="both"/>
        <w:ind w:firstLine="656"/>
        <w:spacing w:after="0" w:line="257" w:lineRule="auto"/>
        <w:tabs>
          <w:tab w:leader="none" w:pos="109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any storage facility of any Restricted Person, including all storage caverns and reservoirs, injection, compression and production wells, 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w:t>
      </w:r>
    </w:p>
    <w:p>
      <w:pPr>
        <w:spacing w:after="0" w:line="187" w:lineRule="exact"/>
        <w:rPr>
          <w:rFonts w:ascii="Arial" w:cs="Arial" w:eastAsia="Arial" w:hAnsi="Arial"/>
          <w:sz w:val="18"/>
          <w:szCs w:val="18"/>
          <w:color w:val="010000"/>
        </w:rPr>
      </w:pPr>
    </w:p>
    <w:p>
      <w:pPr>
        <w:ind w:right="20" w:firstLine="656"/>
        <w:spacing w:after="0" w:line="277" w:lineRule="auto"/>
        <w:tabs>
          <w:tab w:leader="none" w:pos="110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all rights, titles, interests and estates in and to oil and gas leases, oil, gas and mineral leases, or other liquid or gaseous Hydrocarbon leases, and mineral fee interests associated with the foregoing; and</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117"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Company and its Subsidiaries and stored in such storage facility (“working gas”). For the avoidance of doubt, “Principal Property” shall not include third-party gas or working gas;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Company and its Subsidiaries, taken as a whole.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JV Entity</w:t>
      </w:r>
      <w:r>
        <w:rPr>
          <w:rFonts w:ascii="Arial" w:cs="Arial" w:eastAsia="Arial" w:hAnsi="Arial"/>
          <w:sz w:val="18"/>
          <w:szCs w:val="18"/>
          <w:color w:val="auto"/>
        </w:rPr>
        <w:t>” means any Person, other than a Subsidiary (a) in which the Company or a Restricted Subsidiary owns a direct or indirect Equity Interest and (b) (i) that has no Consolidated Funded Indebtedness; provided that references to “Company”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has the meaning as defined in Section 2.12(b)(ii).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the Company) with respect to any Equity Interest of the Company, or any payment (whether in cash or other property, but excluding dividends or other distributions payable in Equity Interests in the Company), including any sinking fund or similar deposit, on account of the purchase, redemption, retirement, acquisition, cancellation or termination for value of any Equity Interest of the Company, or on account of any return of capital to holders of any Equity Interests of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of the Company and each Subsidiary of the Company, but excluding, for the avoidance of doubt, Unrestricted Subsidiaries. As of the Closing Date, each of Plains Marketing, Plains Pipeline, PMCULC and each of their respective Subsidiaries are Restricted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the other Loan Documents, (ii) the Hedged Inventory Credit Agreement and its related loan documents, or (iii) the Permian JV Transaction Documents as in effect as of the Closing Date, (e) restrictions on the transfer or encumbrance of property or assets which are imposed by the holder of Liens on property or assets of a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S&amp;P Global Inc., and any successor to the ratings agency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economic or trade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of any relevant jurisdiction where any Restricted Person maintains assets or engages in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Restricted Persons</w:t>
      </w:r>
      <w:r>
        <w:rPr>
          <w:rFonts w:ascii="Arial" w:cs="Arial" w:eastAsia="Arial" w:hAnsi="Arial"/>
          <w:sz w:val="18"/>
          <w:szCs w:val="18"/>
          <w:color w:val="auto"/>
        </w:rPr>
        <w:t>” means the Company and, as of each relevant date of determination, each Subsidiary of the Company (other than Unrestricted Subsidiaries) that owns five percent (5%) or more of the Company’s Consolidated Net Tangible Assets.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Company have elected to replace LIBOR pursuant to (1) an Early Opt-in Election and (2)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and paragraph (1) of the definition of “Benchmark Replacement”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Acquisition</w:t>
      </w:r>
      <w:r>
        <w:rPr>
          <w:rFonts w:ascii="Arial" w:cs="Arial" w:eastAsia="Arial" w:hAnsi="Arial"/>
          <w:sz w:val="17"/>
          <w:szCs w:val="17"/>
          <w:color w:val="auto"/>
        </w:rPr>
        <w:t>” means one or more acquisitions of assets or entities or operating lines or divisions or Equity Interests in any rolling 12-month period, excluding any acquisitions included in a prior Specified Acquisition, for an aggregate purchase price of not less than $150,000,000.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Offering</w:t>
      </w:r>
      <w:r>
        <w:rPr>
          <w:rFonts w:ascii="Arial" w:cs="Arial" w:eastAsia="Arial" w:hAnsi="Arial"/>
          <w:sz w:val="18"/>
          <w:szCs w:val="18"/>
          <w:color w:val="auto"/>
        </w:rPr>
        <w:t>” means one or more issuances of equity by the Company for aggregate net cash proceeds of not less than fifty percent (50%) of the aggregate purchase price of the Specified Acquisition.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L/C Issuer may use such spot rate quoted on the date as of which the foreign exchange computation is made in the case of any Letter of Credit denominated in Canadian Dollars.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Unrestricted Subsidiary shall be deemed to be a Subsidiary of any Restricted Person for purposes of any Loan Document except as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hereof. Unless otherwise specified, all references herein to a “Subsidiary” or to “Subsidiaries” shall refer to a Subsidiary or Subsidiaries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a Borrower in favor of the Swing Line Lender evidencing Swing Line Loans made by the Swing Line Lender to such Borrower,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$150,000,000 and (b) the Aggregate Commitments. The Swing Line Sublimit is part of, and not in addition to, the Aggregate Commitments.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77" w:lineRule="auto"/>
        <w:tabs>
          <w:tab w:leader="none" w:pos="27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International Chamber of Commerce Publication No. 600 (or such later version thereof as may be in effect at the applicable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2.03(c)(i).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has the meaning specified in Section 7.09.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Company, PMCULC and the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jc w:val="both"/>
        <w:ind w:firstLine="656"/>
        <w:spacing w:after="0" w:line="284" w:lineRule="auto"/>
        <w:tabs>
          <w:tab w:leader="none" w:pos="1117"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6"/>
          <w:szCs w:val="16"/>
          <w:u w:val="single" w:color="auto"/>
          <w:color w:val="auto"/>
        </w:rPr>
        <w:t>or</w:t>
      </w:r>
      <w:r>
        <w:rPr>
          <w:rFonts w:ascii="Arial" w:cs="Arial" w:eastAsia="Arial" w:hAnsi="Arial"/>
          <w:sz w:val="16"/>
          <w:szCs w:val="16"/>
          <w:color w:val="auto"/>
        </w:rPr>
        <w:t>” is not exclusive and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4" w:lineRule="exact"/>
        <w:rPr>
          <w:rFonts w:ascii="Arial" w:cs="Arial" w:eastAsia="Arial" w:hAnsi="Arial"/>
          <w:sz w:val="16"/>
          <w:szCs w:val="16"/>
          <w:color w:val="010000"/>
        </w:rPr>
      </w:pPr>
    </w:p>
    <w:p>
      <w:pPr>
        <w:jc w:val="both"/>
        <w:ind w:firstLine="8"/>
        <w:spacing w:after="0" w:line="281" w:lineRule="auto"/>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3" w:lineRule="exact"/>
        <w:rPr>
          <w:rFonts w:ascii="Arial" w:cs="Arial" w:eastAsia="Arial" w:hAnsi="Arial"/>
          <w:sz w:val="16"/>
          <w:szCs w:val="16"/>
          <w:color w:val="auto"/>
        </w:rPr>
      </w:pPr>
    </w:p>
    <w:p>
      <w:pPr>
        <w:ind w:firstLine="8"/>
        <w:spacing w:after="0" w:line="260" w:lineRule="auto"/>
        <w:tabs>
          <w:tab w:leader="none" w:pos="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8"/>
          <w:szCs w:val="18"/>
          <w:color w:val="auto"/>
        </w:rPr>
      </w:pPr>
    </w:p>
    <w:p>
      <w:pPr>
        <w:ind w:firstLine="656"/>
        <w:spacing w:after="0" w:line="277" w:lineRule="auto"/>
        <w:tabs>
          <w:tab w:leader="none" w:pos="1127"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56"/>
        <w:spacing w:after="0" w:line="255" w:lineRule="auto"/>
        <w:tabs>
          <w:tab w:leader="none" w:pos="1127"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Accounting Terms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7" w:lineRule="auto"/>
        <w:tabs>
          <w:tab w:leader="none" w:pos="1117" w:val="left"/>
        </w:tabs>
        <w:numPr>
          <w:ilvl w:val="0"/>
          <w:numId w:val="33"/>
        </w:numPr>
        <w:rPr>
          <w:rFonts w:ascii="Arial" w:cs="Arial" w:eastAsia="Arial" w:hAnsi="Arial"/>
          <w:sz w:val="16"/>
          <w:szCs w:val="16"/>
          <w:color w:val="010000"/>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171" w:lineRule="exact"/>
        <w:rPr>
          <w:rFonts w:ascii="Arial" w:cs="Arial" w:eastAsia="Arial" w:hAnsi="Arial"/>
          <w:sz w:val="16"/>
          <w:szCs w:val="16"/>
          <w:color w:val="010000"/>
        </w:rPr>
      </w:pPr>
    </w:p>
    <w:p>
      <w:pPr>
        <w:jc w:val="both"/>
        <w:ind w:firstLine="656"/>
        <w:spacing w:after="0" w:line="270" w:lineRule="auto"/>
        <w:tabs>
          <w:tab w:leader="none" w:pos="1127" w:val="left"/>
        </w:tabs>
        <w:numPr>
          <w:ilvl w:val="0"/>
          <w:numId w:val="33"/>
        </w:numPr>
        <w:rPr>
          <w:rFonts w:ascii="Arial" w:cs="Arial" w:eastAsia="Arial" w:hAnsi="Arial"/>
          <w:sz w:val="17"/>
          <w:szCs w:val="17"/>
          <w:color w:val="010000"/>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The Administrative Agent or the applicable L/C Issuer, as applicable, shall determine the Spot Rates as of each 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66" w:lineRule="exact"/>
        <w:rPr>
          <w:rFonts w:ascii="Arial" w:cs="Arial" w:eastAsia="Arial" w:hAnsi="Arial"/>
          <w:sz w:val="16"/>
          <w:szCs w:val="16"/>
          <w:color w:val="010000"/>
        </w:rPr>
      </w:pPr>
    </w:p>
    <w:p>
      <w:pPr>
        <w:jc w:val="both"/>
        <w:ind w:firstLine="656"/>
        <w:spacing w:after="0" w:line="257" w:lineRule="auto"/>
        <w:tabs>
          <w:tab w:leader="none" w:pos="1127"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1.07 Letter of Credit Amounts</w:t>
      </w:r>
      <w:r>
        <w:rPr>
          <w:rFonts w:ascii="Arial" w:cs="Arial" w:eastAsia="Arial" w:hAnsi="Arial"/>
          <w:sz w:val="16"/>
          <w:szCs w:val="16"/>
          <w:color w:val="auto"/>
        </w:rPr>
        <w:t>. Unless otherwise specified herein, the amount of a Letter of Credit at any time shall be deemed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provided, further,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1" w:lineRule="auto"/>
        <w:rPr>
          <w:sz w:val="20"/>
          <w:szCs w:val="20"/>
          <w:color w:val="auto"/>
        </w:rPr>
      </w:pPr>
      <w:r>
        <w:rPr>
          <w:rFonts w:ascii="Arial" w:cs="Arial" w:eastAsia="Arial" w:hAnsi="Arial"/>
          <w:sz w:val="18"/>
          <w:szCs w:val="18"/>
          <w:b w:val="1"/>
          <w:bCs w:val="1"/>
          <w:color w:val="auto"/>
        </w:rPr>
        <w:t>1.08 Interest Rates</w:t>
      </w:r>
      <w:r>
        <w:rPr>
          <w:rFonts w:ascii="Arial" w:cs="Arial" w:eastAsia="Arial" w:hAnsi="Arial"/>
          <w:sz w:val="18"/>
          <w:szCs w:val="18"/>
          <w:color w:val="auto"/>
        </w:rPr>
        <w:t>. The Administrative Agent does not warrant, nor accept responsibility, nor shall the Administrative Agent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administration, submission or any other matter related to the rates in the definition of “Eurocurrency Rate” or with respect to any rate that is an alternative or replacement for or successor to any of such rate (including, without limitation, any Benchmark Replacement) or the effect of any of the foregoing, or of any Benchmark Replacement Conforming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2.01 Committed Loans</w:t>
      </w:r>
      <w:r>
        <w:rPr>
          <w:rFonts w:ascii="Arial" w:cs="Arial" w:eastAsia="Arial" w:hAnsi="Arial"/>
          <w:sz w:val="17"/>
          <w:szCs w:val="17"/>
          <w:color w:val="auto"/>
        </w:rPr>
        <w:t>. Subject to the terms and conditions set forth herein, each Lender severally agrees to make loans (each such loan, a</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Loan”) to each requesting Borrower in Dollars or in Canadian Dollars from time to time, and accept drafts of Canadian Bankers’ Acceptances issued under this Agreement by PMCULC or a requesting Designated Borrower, in each case, on a several basis, on any Business Day during the Availability Period, in an aggregate principal amount not to exceed at any time outstanding the amount of such Lender’s Commitment; provided, however, that after giving effect to any Committed Borrowing, (i) the Total Outstandings shall not exceed the Aggregate Commitments, (ii)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and Designated Borrowers shall not exceed such Lender’s Commitment, and (iii) the aggregate Outstanding Amount of all Loans and Letters of Credit denominated in Canadian Dollars and Canadian BA’s shall not exceed the Canadian Dollar Sublimit. Within the limits of each Lender’s Commitment, and subject to the other terms and conditions hereof, each requesting Borrower may borrow under this Section 2.01, prepay under Section 2.05, and reborrow under this Section 2.01. Committed Loans may be Base Rate Loans (with respect to Loans denominated in Dollars), Canadian Prime Rate Loans (with respect to Loans denominated in Canadian Dollars), or Eurocurrency Rate Loans, as further provided herein.</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35"/>
        </w:numPr>
        <w:rPr>
          <w:rFonts w:ascii="Arial" w:cs="Arial" w:eastAsia="Arial" w:hAnsi="Arial"/>
          <w:sz w:val="16"/>
          <w:szCs w:val="16"/>
          <w:color w:val="010000"/>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notice to the Administrative Agent, which may be given by</w:t>
      </w:r>
    </w:p>
    <w:p>
      <w:pPr>
        <w:jc w:val="both"/>
        <w:ind w:firstLine="8"/>
        <w:spacing w:after="0" w:line="284" w:lineRule="auto"/>
        <w:tabs>
          <w:tab w:leader="none" w:pos="31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 (C) 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and (iii) on the requested date of any Borrowing of or conversion to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Borrower wishes to request (x) Eurocurrency Rate Committed Loans (with respect to Loans denominated in Dollars) having an Interest Period other than one month, three months or six months in duration or (y) Eurocurrency Rate Committed Loans (with respect to Loans denominated in Canadian Dollars) having an Interest Period other than one month, two months or three months, in each case,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56"/>
        <w:spacing w:after="0" w:line="301" w:lineRule="auto"/>
        <w:tabs>
          <w:tab w:leader="none" w:pos="1127"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Each Borrowing of, conversion to or continuation of Eurocurrency Rate Committed Loans shall be (A) with respect to Loans denominated in Dollars, in a principal amount of $1,000,000 or a whole multiple of $100,000 in excess thereof and (B) with respect to Loans denominated in Canadian Dollars, in a principal amount of C$1,000,000 or a whole multiple of C$100,000 in excess thereof. Except as provided in </w:t>
      </w:r>
      <w:r>
        <w:rPr>
          <w:rFonts w:ascii="Arial" w:cs="Arial" w:eastAsia="Arial" w:hAnsi="Arial"/>
          <w:sz w:val="16"/>
          <w:szCs w:val="16"/>
          <w:u w:val="single" w:color="auto"/>
          <w:color w:val="auto"/>
        </w:rPr>
        <w:t>Sections 2.03(f)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 principal amount of $1,000,000 or a whole multiple of $100,000 in excess thereof.</w:t>
      </w:r>
    </w:p>
    <w:p>
      <w:pPr>
        <w:spacing w:after="0" w:line="157" w:lineRule="exact"/>
        <w:rPr>
          <w:rFonts w:ascii="Arial" w:cs="Arial" w:eastAsia="Arial" w:hAnsi="Arial"/>
          <w:sz w:val="16"/>
          <w:szCs w:val="16"/>
          <w:color w:val="010000"/>
        </w:rPr>
      </w:pPr>
    </w:p>
    <w:p>
      <w:pPr>
        <w:jc w:val="both"/>
        <w:ind w:firstLine="656"/>
        <w:spacing w:after="0" w:line="286" w:lineRule="auto"/>
        <w:tabs>
          <w:tab w:leader="none" w:pos="1117"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Each Committed Loan Notice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56"/>
        <w:spacing w:after="0" w:line="286" w:lineRule="auto"/>
        <w:tabs>
          <w:tab w:leader="none" w:pos="1127"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170" w:lineRule="exact"/>
        <w:rPr>
          <w:rFonts w:ascii="Arial" w:cs="Arial" w:eastAsia="Arial" w:hAnsi="Arial"/>
          <w:sz w:val="16"/>
          <w:szCs w:val="16"/>
          <w:color w:val="010000"/>
        </w:rPr>
      </w:pPr>
    </w:p>
    <w:p>
      <w:pPr>
        <w:jc w:val="both"/>
        <w:ind w:firstLine="656"/>
        <w:spacing w:after="0" w:line="255" w:lineRule="auto"/>
        <w:tabs>
          <w:tab w:leader="none" w:pos="1117"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192" w:lineRule="exact"/>
        <w:rPr>
          <w:rFonts w:ascii="Arial" w:cs="Arial" w:eastAsia="Arial" w:hAnsi="Arial"/>
          <w:sz w:val="18"/>
          <w:szCs w:val="18"/>
          <w:color w:val="010000"/>
        </w:rPr>
      </w:pPr>
    </w:p>
    <w:p>
      <w:pPr>
        <w:jc w:val="both"/>
        <w:ind w:firstLine="656"/>
        <w:spacing w:after="0" w:line="259" w:lineRule="auto"/>
        <w:tabs>
          <w:tab w:leader="none" w:pos="112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186" w:lineRule="exact"/>
        <w:rPr>
          <w:rFonts w:ascii="Arial" w:cs="Arial" w:eastAsia="Arial" w:hAnsi="Arial"/>
          <w:sz w:val="18"/>
          <w:szCs w:val="18"/>
          <w:color w:val="010000"/>
        </w:rPr>
      </w:pPr>
    </w:p>
    <w:p>
      <w:pPr>
        <w:ind w:firstLine="656"/>
        <w:spacing w:after="0" w:line="308" w:lineRule="auto"/>
        <w:tabs>
          <w:tab w:leader="none" w:pos="1127"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spacing w:after="0"/>
        <w:tabs>
          <w:tab w:leader="none" w:pos="11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0"/>
          <w:numId w:val="39"/>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each L/C Issuer agrees, at the request of any Borrower and in reliance 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such Borrower, for its use and the use of any of its Subsidiaries,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66" w:lineRule="exact"/>
        <w:rPr>
          <w:rFonts w:ascii="Arial" w:cs="Arial" w:eastAsia="Arial" w:hAnsi="Arial"/>
          <w:sz w:val="16"/>
          <w:szCs w:val="16"/>
          <w:color w:val="010000"/>
        </w:rPr>
      </w:pPr>
    </w:p>
    <w:p>
      <w:pPr>
        <w:jc w:val="both"/>
        <w:ind w:firstLine="656"/>
        <w:spacing w:after="0" w:line="268" w:lineRule="auto"/>
        <w:tabs>
          <w:tab w:leader="none" w:pos="1127"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Notice of Issuance, Amendment, Extension, Reinstatement or Renewal</w:t>
      </w:r>
      <w:r>
        <w:rPr>
          <w:rFonts w:ascii="Arial" w:cs="Arial" w:eastAsia="Arial" w:hAnsi="Arial"/>
          <w:sz w:val="17"/>
          <w:szCs w:val="17"/>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If a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87" w:lineRule="auto"/>
        <w:tabs>
          <w:tab w:leader="none" w:pos="1117"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Limitations on Amounts, Issuance and Amendment</w:t>
      </w:r>
      <w:r>
        <w:rPr>
          <w:rFonts w:ascii="Arial" w:cs="Arial" w:eastAsia="Arial" w:hAnsi="Arial"/>
          <w:sz w:val="16"/>
          <w:szCs w:val="16"/>
          <w:color w:val="auto"/>
        </w:rPr>
        <w:t>. A Letter of Credit shall be issued, amended, extended, reinstated or renewed only if (and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L/C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and the Designated Borrowers shall not exceed such Lender’s Commitment, and (v) the aggregate Outstanding Amount of all Loans and Letters of Credit denominated in Canadian Dollars and Canadian BA’s shall not exceed the Canadian Dollar Sublimit. Within the foregoing limits, and subject to the terms and conditions hereof, the Borrowers’ ability to obtain Letters of Credit shall be fully revolving, and accordingly any Borrower may, during the foregoing period, obtain Letters of Credit to replace Letters of Credit that have expired or that have been drawn upon and reimbursed.</w:t>
      </w:r>
    </w:p>
    <w:p>
      <w:pPr>
        <w:spacing w:after="0" w:line="167" w:lineRule="exact"/>
        <w:rPr>
          <w:rFonts w:ascii="Arial" w:cs="Arial" w:eastAsia="Arial" w:hAnsi="Arial"/>
          <w:sz w:val="16"/>
          <w:szCs w:val="16"/>
          <w:color w:val="010000"/>
        </w:rPr>
      </w:pPr>
    </w:p>
    <w:p>
      <w:pPr>
        <w:ind w:left="1760" w:hanging="456"/>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225" w:lineRule="exact"/>
        <w:rPr>
          <w:rFonts w:ascii="Arial" w:cs="Arial" w:eastAsia="Arial" w:hAnsi="Arial"/>
          <w:sz w:val="18"/>
          <w:szCs w:val="18"/>
          <w:color w:val="auto"/>
        </w:rPr>
      </w:pPr>
    </w:p>
    <w:p>
      <w:pPr>
        <w:jc w:val="both"/>
        <w:ind w:left="1300" w:firstLine="652"/>
        <w:spacing w:after="0" w:line="271" w:lineRule="auto"/>
        <w:tabs>
          <w:tab w:leader="none" w:pos="2468" w:val="left"/>
        </w:tabs>
        <w:numPr>
          <w:ilvl w:val="2"/>
          <w:numId w:val="40"/>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left="1300" w:firstLine="652"/>
        <w:spacing w:after="0" w:line="263" w:lineRule="auto"/>
        <w:tabs>
          <w:tab w:leader="none" w:pos="245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83" w:lineRule="exact"/>
        <w:rPr>
          <w:rFonts w:ascii="Arial" w:cs="Arial" w:eastAsia="Arial" w:hAnsi="Arial"/>
          <w:sz w:val="18"/>
          <w:szCs w:val="18"/>
          <w:color w:val="auto"/>
        </w:rPr>
      </w:pPr>
    </w:p>
    <w:p>
      <w:pPr>
        <w:ind w:left="1300" w:firstLine="652"/>
        <w:spacing w:after="0" w:line="277" w:lineRule="auto"/>
        <w:tabs>
          <w:tab w:leader="none" w:pos="2458" w:val="left"/>
        </w:tabs>
        <w:numPr>
          <w:ilvl w:val="2"/>
          <w:numId w:val="41"/>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the Letter of Credit is in an initial stated amount less than $100,000;</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such L/C Issuer does not as of the issuance date of such requested Letter of Credit issue Letters of Credit in the requested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jc w:val="both"/>
        <w:ind w:left="1300" w:firstLine="652"/>
        <w:spacing w:after="0" w:line="272" w:lineRule="auto"/>
        <w:tabs>
          <w:tab w:leader="none" w:pos="24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 xml:space="preserve">any Lender is at that time a Defaulting Lender, unless either (1) the requesting Borrower has delivered to the Administrative Agent Cash Collateral in an amount equal to such L/C Issuer’s actual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77" w:lineRule="exact"/>
        <w:rPr>
          <w:rFonts w:ascii="Arial" w:cs="Arial" w:eastAsia="Arial" w:hAnsi="Arial"/>
          <w:sz w:val="17"/>
          <w:szCs w:val="17"/>
          <w:color w:val="auto"/>
        </w:rPr>
      </w:pPr>
    </w:p>
    <w:p>
      <w:pPr>
        <w:ind w:left="2500" w:hanging="548"/>
        <w:spacing w:after="0"/>
        <w:tabs>
          <w:tab w:leader="none" w:pos="25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660" w:firstLine="644"/>
        <w:spacing w:after="0" w:line="277" w:lineRule="auto"/>
        <w:tabs>
          <w:tab w:leader="none" w:pos="17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the Letter of Credit in its amended form under the terms hereof.</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25"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27"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have a stated expiration date no later than the earlier of (i) subject to </w:t>
      </w:r>
      <w:r>
        <w:rPr>
          <w:rFonts w:ascii="Arial" w:cs="Arial" w:eastAsia="Arial" w:hAnsi="Arial"/>
          <w:sz w:val="17"/>
          <w:szCs w:val="17"/>
          <w:u w:val="single" w:color="auto"/>
          <w:color w:val="auto"/>
        </w:rPr>
        <w:t>Section 2.03(b)</w:t>
      </w:r>
      <w:r>
        <w:rPr>
          <w:rFonts w:ascii="Arial" w:cs="Arial" w:eastAsia="Arial" w:hAnsi="Arial"/>
          <w:sz w:val="17"/>
          <w:szCs w:val="17"/>
          <w:color w:val="auto"/>
        </w:rPr>
        <w:t>, the date 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56"/>
        <w:spacing w:after="0" w:line="254" w:lineRule="auto"/>
        <w:tabs>
          <w:tab w:leader="none" w:pos="1117" w:val="left"/>
        </w:tabs>
        <w:numPr>
          <w:ilvl w:val="0"/>
          <w:numId w:val="44"/>
        </w:numPr>
        <w:rPr>
          <w:rFonts w:ascii="Arial" w:cs="Arial" w:eastAsia="Arial" w:hAnsi="Arial"/>
          <w:sz w:val="18"/>
          <w:szCs w:val="18"/>
          <w:color w:val="010000"/>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or extending the 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as a result of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otherwise pursuant to this Agreement.</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56"/>
        <w:spacing w:after="0" w:line="284" w:lineRule="auto"/>
        <w:tabs>
          <w:tab w:leader="none" w:pos="1120" w:val="left"/>
        </w:tabs>
        <w:numPr>
          <w:ilvl w:val="0"/>
          <w:numId w:val="45"/>
        </w:numPr>
        <w:rPr>
          <w:rFonts w:ascii="Arial" w:cs="Arial" w:eastAsia="Arial" w:hAnsi="Arial"/>
          <w:sz w:val="16"/>
          <w:szCs w:val="16"/>
          <w:color w:val="010000"/>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L/C Issuer shall make any L/C Disbursement in respect of a Letter of Credit, the Borrower shall reimburse such L/C 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and without giving effect to such Borrower’s failure to so reimburse such L/C Issuer as provided in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Any notice given by any L/C Issuer or the Administrative Agent pursuant to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may be given by telephone if immediately confirmed in writing; provided that the lack of such an immediate confirmation shall not affect the conclusiveness or binding effect of such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56"/>
        <w:spacing w:after="0" w:line="263" w:lineRule="auto"/>
        <w:tabs>
          <w:tab w:leader="none" w:pos="1127"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each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010000"/>
        </w:rPr>
      </w:pPr>
    </w:p>
    <w:p>
      <w:pPr>
        <w:ind w:left="1760" w:hanging="456"/>
        <w:spacing w:after="0"/>
        <w:tabs>
          <w:tab w:leader="none" w:pos="1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any Borrower or any waiver by such L/C Issuer which does not in fact materially prejudice any Borrower;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required that demand be in the form of 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draft;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7" w:lineRule="exact"/>
        <w:rPr>
          <w:rFonts w:ascii="Arial" w:cs="Arial" w:eastAsia="Arial" w:hAnsi="Arial"/>
          <w:sz w:val="18"/>
          <w:szCs w:val="18"/>
          <w:color w:val="auto"/>
        </w:rPr>
      </w:pPr>
    </w:p>
    <w:p>
      <w:pPr>
        <w:ind w:left="660" w:firstLine="644"/>
        <w:spacing w:after="0" w:line="277" w:lineRule="auto"/>
        <w:tabs>
          <w:tab w:leader="none" w:pos="18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815"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any other event or circumstance whatsoever, whether or not similar to any of the foregoing, that might, but for the provisions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constitute a legal or equitable discharge of, or provide a right of setoff against, any Borrower’s obligations hereunder.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82" w:lineRule="exact"/>
        <w:rPr>
          <w:sz w:val="20"/>
          <w:szCs w:val="20"/>
          <w:color w:val="auto"/>
        </w:rPr>
      </w:pPr>
    </w:p>
    <w:p>
      <w:pPr>
        <w:ind w:left="660" w:firstLine="644"/>
        <w:spacing w:after="0" w:line="277" w:lineRule="auto"/>
        <w:tabs>
          <w:tab w:leader="none" w:pos="17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may replace a purportedly lost, stolen, or destroyed original Letter of Credit or missing amendment thereto with a certified true copy marked as such or waive a requirement for its presentation;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6"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L/C Issuer shall have the right, in its sole discretion, to decline to accept such documents and to make such payment if such documents are not in strict compliance with the terms of such Letter of Credit;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72" w:lineRule="auto"/>
        <w:rPr>
          <w:sz w:val="20"/>
          <w:szCs w:val="20"/>
          <w:color w:val="auto"/>
        </w:rPr>
      </w:pPr>
      <w:r>
        <w:rPr>
          <w:rFonts w:ascii="Arial" w:cs="Arial" w:eastAsia="Arial" w:hAnsi="Arial"/>
          <w:sz w:val="17"/>
          <w:szCs w:val="17"/>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77" w:lineRule="exact"/>
        <w:rPr>
          <w:sz w:val="20"/>
          <w:szCs w:val="20"/>
          <w:color w:val="auto"/>
        </w:rPr>
      </w:pPr>
    </w:p>
    <w:p>
      <w:pPr>
        <w:jc w:val="both"/>
        <w:ind w:firstLine="656"/>
        <w:spacing w:after="0" w:line="270" w:lineRule="auto"/>
        <w:tabs>
          <w:tab w:leader="none" w:pos="1127"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applicable L/C Issuer and the applicable Borrower when a Letter 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0" w:lineRule="exact"/>
        <w:rPr>
          <w:rFonts w:ascii="Arial" w:cs="Arial" w:eastAsia="Arial" w:hAnsi="Arial"/>
          <w:sz w:val="17"/>
          <w:szCs w:val="17"/>
          <w:color w:val="010000"/>
        </w:rPr>
      </w:pPr>
    </w:p>
    <w:p>
      <w:pPr>
        <w:jc w:val="both"/>
        <w:ind w:firstLine="656"/>
        <w:spacing w:after="0" w:line="257" w:lineRule="auto"/>
        <w:tabs>
          <w:tab w:leader="none" w:pos="1110"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56"/>
        <w:spacing w:after="0" w:line="286" w:lineRule="auto"/>
        <w:tabs>
          <w:tab w:leader="none" w:pos="1110"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173" w:lineRule="exact"/>
        <w:rPr>
          <w:rFonts w:ascii="Arial" w:cs="Arial" w:eastAsia="Arial" w:hAnsi="Arial"/>
          <w:sz w:val="16"/>
          <w:szCs w:val="16"/>
          <w:color w:val="010000"/>
        </w:rPr>
      </w:pPr>
    </w:p>
    <w:p>
      <w:pPr>
        <w:jc w:val="both"/>
        <w:ind w:firstLine="656"/>
        <w:spacing w:after="0" w:line="268" w:lineRule="auto"/>
        <w:tabs>
          <w:tab w:leader="none" w:pos="1127"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Company shall pay directly to the applicable L/C Issuer 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6" w:lineRule="exact"/>
        <w:rPr>
          <w:rFonts w:ascii="Arial" w:cs="Arial" w:eastAsia="Arial" w:hAnsi="Arial"/>
          <w:sz w:val="17"/>
          <w:szCs w:val="17"/>
          <w:color w:val="010000"/>
        </w:rPr>
      </w:pPr>
    </w:p>
    <w:p>
      <w:pPr>
        <w:jc w:val="both"/>
        <w:ind w:firstLine="656"/>
        <w:spacing w:after="0" w:line="275" w:lineRule="auto"/>
        <w:tabs>
          <w:tab w:leader="none" w:pos="1110"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such Borrower of its obligation to reimburse such L/C Issuer and the Lenders with respect to any such L/C Disbursement.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56"/>
        <w:spacing w:after="0" w:line="272" w:lineRule="auto"/>
        <w:tabs>
          <w:tab w:leader="none" w:pos="1155"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applicable L/C Issuer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Borrower fails to reimburse such L/C Disbursement when due pursuant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then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shall apply. Interest accrued pursuant to this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shall be for account of such L/C Issuer, except that interest accrued on and after the date of payment by any Lender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to reimburse such L/C Issuer shall be for account of such Lender to the extent of such payment.</w:t>
      </w:r>
    </w:p>
    <w:p>
      <w:pPr>
        <w:spacing w:after="0" w:line="177" w:lineRule="exact"/>
        <w:rPr>
          <w:rFonts w:ascii="Arial" w:cs="Arial" w:eastAsia="Arial" w:hAnsi="Arial"/>
          <w:sz w:val="17"/>
          <w:szCs w:val="17"/>
          <w:color w:val="010000"/>
        </w:rPr>
      </w:pPr>
    </w:p>
    <w:p>
      <w:pPr>
        <w:jc w:val="both"/>
        <w:ind w:firstLine="656"/>
        <w:spacing w:after="0" w:line="270" w:lineRule="auto"/>
        <w:tabs>
          <w:tab w:leader="none" w:pos="1127"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Replacement of any L/C Issuer</w:t>
      </w:r>
      <w:r>
        <w:rPr>
          <w:rFonts w:ascii="Arial" w:cs="Arial" w:eastAsia="Arial" w:hAnsi="Arial"/>
          <w:sz w:val="17"/>
          <w:szCs w:val="17"/>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Arial" w:cs="Arial" w:eastAsia="Arial" w:hAnsi="Arial"/>
          <w:sz w:val="17"/>
          <w:szCs w:val="17"/>
          <w:u w:val="single" w:color="auto"/>
          <w:color w:val="auto"/>
        </w:rPr>
        <w:t>Section 2.03(j)</w:t>
      </w:r>
      <w:r>
        <w:rPr>
          <w:rFonts w:ascii="Arial" w:cs="Arial" w:eastAsia="Arial" w:hAnsi="Arial"/>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0" w:lineRule="exact"/>
        <w:rPr>
          <w:rFonts w:ascii="Arial" w:cs="Arial" w:eastAsia="Arial" w:hAnsi="Arial"/>
          <w:sz w:val="17"/>
          <w:szCs w:val="17"/>
          <w:color w:val="010000"/>
        </w:rPr>
      </w:pPr>
    </w:p>
    <w:p>
      <w:pPr>
        <w:jc w:val="both"/>
        <w:ind w:firstLine="656"/>
        <w:spacing w:after="0" w:line="269" w:lineRule="auto"/>
        <w:tabs>
          <w:tab w:leader="none" w:pos="1127"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Company receives notice from 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an amount in cash equal to 102% of the total L/C Obligations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any L/C Obligations remain outstanding after the expiration date specified in said clause (d), the applicable Borrower shall immediately deposit into the Collateral Account an amount in cash equal to 102% of such L/C Obligations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69" w:lineRule="auto"/>
        <w:rPr>
          <w:sz w:val="20"/>
          <w:szCs w:val="20"/>
          <w:color w:val="auto"/>
        </w:rPr>
      </w:pPr>
      <w:r>
        <w:rPr>
          <w:rFonts w:ascii="Arial" w:cs="Arial" w:eastAsia="Arial" w:hAnsi="Arial"/>
          <w:sz w:val="17"/>
          <w:szCs w:val="17"/>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85" w:lineRule="exact"/>
        <w:rPr>
          <w:sz w:val="20"/>
          <w:szCs w:val="20"/>
          <w:color w:val="auto"/>
        </w:rPr>
      </w:pPr>
    </w:p>
    <w:p>
      <w:pPr>
        <w:ind w:firstLine="656"/>
        <w:spacing w:after="0" w:line="342" w:lineRule="auto"/>
        <w:tabs>
          <w:tab w:leader="none" w:pos="1127" w:val="left"/>
        </w:tabs>
        <w:numPr>
          <w:ilvl w:val="0"/>
          <w:numId w:val="51"/>
        </w:numPr>
        <w:rPr>
          <w:rFonts w:ascii="Arial" w:cs="Arial" w:eastAsia="Arial" w:hAnsi="Arial"/>
          <w:sz w:val="16"/>
          <w:szCs w:val="16"/>
          <w:color w:val="010000"/>
        </w:rPr>
      </w:pPr>
      <w:r>
        <w:rPr>
          <w:rFonts w:ascii="Arial" w:cs="Arial" w:eastAsia="Arial" w:hAnsi="Arial"/>
          <w:sz w:val="16"/>
          <w:szCs w:val="16"/>
          <w:u w:val="single" w:color="auto"/>
          <w:color w:val="auto"/>
        </w:rPr>
        <w:t>L/C Issuer Reports to the Administrative Agent</w:t>
      </w:r>
      <w:r>
        <w:rPr>
          <w:rFonts w:ascii="Arial" w:cs="Arial" w:eastAsia="Arial" w:hAnsi="Arial"/>
          <w:sz w:val="16"/>
          <w:szCs w:val="16"/>
          <w:color w:val="auto"/>
        </w:rPr>
        <w:t xml:space="preserve">. Unless otherwise agreed by the Administrative Agent, each L/C Issuer shall, in addition to its notification obligations set forth elsewhere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provide the Administrative Agent a Letter of Credit Report, as set forth below:</w:t>
      </w:r>
    </w:p>
    <w:p>
      <w:pPr>
        <w:spacing w:after="0" w:line="123" w:lineRule="exact"/>
        <w:rPr>
          <w:rFonts w:ascii="Arial" w:cs="Arial" w:eastAsia="Arial" w:hAnsi="Arial"/>
          <w:sz w:val="16"/>
          <w:szCs w:val="16"/>
          <w:color w:val="010000"/>
        </w:rPr>
      </w:pPr>
    </w:p>
    <w:p>
      <w:pPr>
        <w:jc w:val="both"/>
        <w:ind w:left="660" w:firstLine="644"/>
        <w:spacing w:after="0" w:line="263" w:lineRule="auto"/>
        <w:tabs>
          <w:tab w:leader="none" w:pos="17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on each Business Day on which such L/C Issuer makes a payment pursuant to a Letter of Credit, the date and amount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payment;</w:t>
      </w:r>
    </w:p>
    <w:p>
      <w:pPr>
        <w:spacing w:after="0" w:line="210" w:lineRule="exact"/>
        <w:rPr>
          <w:rFonts w:ascii="Arial" w:cs="Arial" w:eastAsia="Arial" w:hAnsi="Arial"/>
          <w:sz w:val="16"/>
          <w:szCs w:val="16"/>
          <w:color w:val="auto"/>
        </w:rPr>
      </w:pPr>
    </w:p>
    <w:p>
      <w:pPr>
        <w:ind w:left="660" w:firstLine="644"/>
        <w:spacing w:after="0" w:line="277" w:lineRule="auto"/>
        <w:tabs>
          <w:tab w:leader="none" w:pos="18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any Business Day on which a Borrower fails to reimburse a payment made pursuant to a Letter of Credit required to be reimbursed to such L/C Issuer on such day, the date of such failure and the amount of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8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any other Business Day, such other information as the Administrative Agent shall reasonably request as to the Letters of Credit issued by such L/C Issuer;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for so long as any Letter of Credit issued by an L/C Issuer is outstanding, such L/C Issuer shall deliver to the Administrative Agent</w:t>
      </w:r>
    </w:p>
    <w:p>
      <w:pPr>
        <w:spacing w:after="0" w:line="46" w:lineRule="exact"/>
        <w:rPr>
          <w:sz w:val="20"/>
          <w:szCs w:val="20"/>
          <w:color w:val="auto"/>
        </w:rPr>
      </w:pPr>
    </w:p>
    <w:p>
      <w:pPr>
        <w:jc w:val="both"/>
        <w:ind w:left="660" w:hanging="4"/>
        <w:spacing w:after="0" w:line="227" w:lineRule="auto"/>
        <w:tabs>
          <w:tab w:leader="none" w:pos="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03" w:lineRule="exact"/>
        <w:rPr>
          <w:sz w:val="20"/>
          <w:szCs w:val="20"/>
          <w:color w:val="auto"/>
        </w:rPr>
      </w:pPr>
    </w:p>
    <w:p>
      <w:pPr>
        <w:jc w:val="both"/>
        <w:ind w:firstLine="656"/>
        <w:spacing w:after="0" w:line="279" w:lineRule="auto"/>
        <w:tabs>
          <w:tab w:leader="none" w:pos="1127" w:val="left"/>
        </w:tabs>
        <w:numPr>
          <w:ilvl w:val="0"/>
          <w:numId w:val="53"/>
        </w:numPr>
        <w:rPr>
          <w:rFonts w:ascii="Arial" w:cs="Arial" w:eastAsia="Arial" w:hAnsi="Arial"/>
          <w:sz w:val="17"/>
          <w:szCs w:val="17"/>
          <w:color w:val="010000"/>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Any Lender hereunder may become an L/C Issuer upon receipt by the Administrative Agent of a fully executed 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20" w:firstLine="656"/>
        <w:spacing w:after="0" w:line="277" w:lineRule="auto"/>
        <w:tabs>
          <w:tab w:leader="none" w:pos="112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010000"/>
        </w:rPr>
      </w:pPr>
    </w:p>
    <w:p>
      <w:pPr>
        <w:jc w:val="both"/>
        <w:ind w:firstLine="656"/>
        <w:spacing w:after="0" w:line="293" w:lineRule="auto"/>
        <w:tabs>
          <w:tab w:leader="none" w:pos="1108" w:val="left"/>
        </w:tabs>
        <w:numPr>
          <w:ilvl w:val="0"/>
          <w:numId w:val="54"/>
        </w:numPr>
        <w:rPr>
          <w:rFonts w:ascii="Arial" w:cs="Arial" w:eastAsia="Arial" w:hAnsi="Arial"/>
          <w:sz w:val="16"/>
          <w:szCs w:val="16"/>
          <w:color w:val="010000"/>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 issued or outstanding hereunder is in support of any 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1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117" w:val="left"/>
        </w:tabs>
        <w:numPr>
          <w:ilvl w:val="0"/>
          <w:numId w:val="55"/>
        </w:numPr>
        <w:rPr>
          <w:rFonts w:ascii="Arial" w:cs="Arial" w:eastAsia="Arial" w:hAnsi="Arial"/>
          <w:sz w:val="16"/>
          <w:szCs w:val="16"/>
          <w:color w:val="010000"/>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agrees,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to make loans in Dollars or in Canadian Dollars from time to time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Canadian BA’s (or Canadian BA Equivalent Loans) accepted and purchased from PMCULC and the Designated Borrowers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56"/>
        <w:spacing w:after="0" w:line="283" w:lineRule="auto"/>
        <w:tabs>
          <w:tab w:leader="none" w:pos="1127" w:val="left"/>
        </w:tabs>
        <w:numPr>
          <w:ilvl w:val="1"/>
          <w:numId w:val="56"/>
        </w:numPr>
        <w:rPr>
          <w:rFonts w:ascii="Arial" w:cs="Arial" w:eastAsia="Arial" w:hAnsi="Arial"/>
          <w:sz w:val="16"/>
          <w:szCs w:val="16"/>
          <w:color w:val="010000"/>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a Borrower’s irrevocable notice to the Swing Line Lender and the 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 (y) that the daily floating Eurocurrency Rate provided in clause (b) of the definition thereof shall apply),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1" w:lineRule="exact"/>
        <w:rPr>
          <w:rFonts w:ascii="Arial" w:cs="Arial" w:eastAsia="Arial" w:hAnsi="Arial"/>
          <w:sz w:val="16"/>
          <w:szCs w:val="16"/>
          <w:color w:val="010000"/>
        </w:rPr>
      </w:pPr>
    </w:p>
    <w:p>
      <w:pPr>
        <w:jc w:val="both"/>
        <w:ind w:firstLine="8"/>
        <w:spacing w:after="0" w:line="268" w:lineRule="auto"/>
        <w:tabs>
          <w:tab w:leader="none" w:pos="289"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that it believes in good faith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183" w:lineRule="exact"/>
        <w:rPr>
          <w:rFonts w:ascii="Arial" w:cs="Arial" w:eastAsia="Arial" w:hAnsi="Arial"/>
          <w:sz w:val="17"/>
          <w:szCs w:val="17"/>
          <w:color w:val="auto"/>
        </w:rPr>
      </w:pPr>
    </w:p>
    <w:p>
      <w:pPr>
        <w:ind w:left="1120" w:hanging="464"/>
        <w:spacing w:after="0"/>
        <w:tabs>
          <w:tab w:leader="none" w:pos="1120" w:val="left"/>
        </w:tabs>
        <w:numPr>
          <w:ilvl w:val="1"/>
          <w:numId w:val="57"/>
        </w:numPr>
        <w:rPr>
          <w:rFonts w:ascii="Arial" w:cs="Arial" w:eastAsia="Arial" w:hAnsi="Arial"/>
          <w:sz w:val="18"/>
          <w:szCs w:val="18"/>
          <w:color w:val="010000"/>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86" w:lineRule="auto"/>
        <w:tabs>
          <w:tab w:leader="none" w:pos="1748" w:val="left"/>
        </w:tabs>
        <w:numPr>
          <w:ilvl w:val="2"/>
          <w:numId w:val="57"/>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ind w:left="1124" w:hanging="476"/>
        <w:spacing w:after="0"/>
        <w:tabs>
          <w:tab w:leader="none" w:pos="1124"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jc w:val="both"/>
        <w:ind w:left="4" w:hanging="4"/>
        <w:spacing w:after="0" w:line="273" w:lineRule="auto"/>
        <w:tabs>
          <w:tab w:leader="none" w:pos="238" w:val="left"/>
        </w:tabs>
        <w:numPr>
          <w:ilvl w:val="0"/>
          <w:numId w:val="59"/>
        </w:numPr>
        <w:rPr>
          <w:rFonts w:ascii="Arial" w:cs="Arial" w:eastAsia="Arial" w:hAnsi="Arial"/>
          <w:sz w:val="17"/>
          <w:szCs w:val="17"/>
          <w:u w:val="single" w:color="auto"/>
          <w:color w:val="auto"/>
        </w:rPr>
      </w:pPr>
      <w:r>
        <w:rPr>
          <w:rFonts w:ascii="Arial" w:cs="Arial" w:eastAsia="Arial" w:hAnsi="Arial"/>
          <w:sz w:val="17"/>
          <w:szCs w:val="17"/>
          <w:color w:val="auto"/>
        </w:rPr>
        <w:t xml:space="preserve">or pursuant to a Borrowing requested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76" w:lineRule="exact"/>
        <w:rPr>
          <w:rFonts w:ascii="Arial" w:cs="Arial" w:eastAsia="Arial" w:hAnsi="Arial"/>
          <w:sz w:val="17"/>
          <w:szCs w:val="17"/>
          <w:u w:val="single" w:color="auto"/>
          <w:color w:val="auto"/>
        </w:rPr>
      </w:pPr>
    </w:p>
    <w:p>
      <w:pPr>
        <w:jc w:val="both"/>
        <w:ind w:left="4" w:firstLine="644"/>
        <w:spacing w:after="0" w:line="269" w:lineRule="auto"/>
        <w:tabs>
          <w:tab w:leader="none" w:pos="1147"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1" w:lineRule="exact"/>
        <w:rPr>
          <w:rFonts w:ascii="Arial" w:cs="Arial" w:eastAsia="Arial" w:hAnsi="Arial"/>
          <w:sz w:val="17"/>
          <w:szCs w:val="17"/>
          <w:color w:val="auto"/>
        </w:rPr>
      </w:pPr>
    </w:p>
    <w:p>
      <w:pPr>
        <w:jc w:val="both"/>
        <w:ind w:left="4" w:firstLine="644"/>
        <w:spacing w:after="0" w:line="254"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Committed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Company to repay Swing Line Loans, together with interest as provided herein.</w:t>
      </w:r>
    </w:p>
    <w:p>
      <w:pPr>
        <w:spacing w:after="0" w:line="200" w:lineRule="exact"/>
        <w:rPr>
          <w:sz w:val="20"/>
          <w:szCs w:val="20"/>
          <w:color w:val="auto"/>
        </w:rPr>
      </w:pP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7" w:name="page68"/>
    <w:bookmarkEnd w:id="67"/>
    <w:p>
      <w:pPr>
        <w:ind w:left="1140" w:hanging="484"/>
        <w:spacing w:after="0"/>
        <w:tabs>
          <w:tab w:leader="none" w:pos="1140"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59" w:lineRule="auto"/>
        <w:tabs>
          <w:tab w:leader="none" w:pos="1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6" w:lineRule="exact"/>
        <w:rPr>
          <w:rFonts w:ascii="Arial" w:cs="Arial" w:eastAsia="Arial" w:hAnsi="Arial"/>
          <w:sz w:val="18"/>
          <w:szCs w:val="18"/>
          <w:color w:val="auto"/>
        </w:rPr>
      </w:pPr>
    </w:p>
    <w:p>
      <w:pPr>
        <w:jc w:val="both"/>
        <w:ind w:left="660" w:firstLine="644"/>
        <w:spacing w:after="0" w:line="293" w:lineRule="auto"/>
        <w:tabs>
          <w:tab w:leader="none" w:pos="1775"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applicable Borrower for interest on the Swing Line Loans. Until each Lender funds its Base Rate Committed Loan or Canadian Prime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010000"/>
        </w:rPr>
      </w:pPr>
    </w:p>
    <w:p>
      <w:pPr>
        <w:ind w:right="20" w:firstLine="656"/>
        <w:spacing w:after="0" w:line="277" w:lineRule="auto"/>
        <w:tabs>
          <w:tab w:leader="none" w:pos="1098"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7" w:lineRule="auto"/>
        <w:tabs>
          <w:tab w:leader="none" w:pos="1117"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12:00 p.m. (A) 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each such prepayment shall be applied to the Committed Loans of the Lenders in accordance with their respective Applicable Percentages. No Canadian BA may be prepaid except by depositing the full face amount of such Canadian BA with the Administrative Agent in accordance with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56"/>
        <w:spacing w:after="0" w:line="275" w:lineRule="auto"/>
        <w:tabs>
          <w:tab w:leader="none" w:pos="1127"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76" w:lineRule="exact"/>
        <w:rPr>
          <w:rFonts w:ascii="Arial" w:cs="Arial" w:eastAsia="Arial" w:hAnsi="Arial"/>
          <w:sz w:val="17"/>
          <w:szCs w:val="17"/>
          <w:color w:val="010000"/>
        </w:rPr>
      </w:pPr>
    </w:p>
    <w:p>
      <w:pPr>
        <w:jc w:val="both"/>
        <w:ind w:firstLine="656"/>
        <w:spacing w:after="0" w:line="301" w:lineRule="auto"/>
        <w:tabs>
          <w:tab w:leader="none" w:pos="1117"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 xml:space="preserve">If for any reason the Total Outstandings at any time exceed the Aggregate Commitments then in effect, the Borrowers shall immediately upon demand prepay Loans and/or Cash Collateralize the L/C Obligations or Canadian BA’s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Borrowers shall not be required to Cash Collateralize the L/C Obligations or Canadian BA’s pursuant to this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unless after the prepayment in full of the Committed Loans and Swing Line Loans the Total Outstandings exceed the Aggregate Commitments then in effect.</w:t>
      </w:r>
    </w:p>
    <w:p>
      <w:pPr>
        <w:spacing w:after="0" w:line="157" w:lineRule="exact"/>
        <w:rPr>
          <w:rFonts w:ascii="Arial" w:cs="Arial" w:eastAsia="Arial" w:hAnsi="Arial"/>
          <w:sz w:val="16"/>
          <w:szCs w:val="16"/>
          <w:color w:val="010000"/>
        </w:rPr>
      </w:pPr>
    </w:p>
    <w:p>
      <w:pPr>
        <w:jc w:val="both"/>
        <w:ind w:firstLine="656"/>
        <w:spacing w:after="0" w:line="255" w:lineRule="auto"/>
        <w:tabs>
          <w:tab w:leader="none" w:pos="1127"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If for any reason the Outstanding Amount of all Loans and Letters of Credit denominated in Canadian Dollars at such time exceeds an amount equal to 105% of the Canadian Dollar Sublimit then in effect, then the Borrowers shall immediately upon demand prepay Loans and/or Cash Collateralize the L/C Obligations and/or Canadian BA’s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shall not be required to Cash Collateralize the L/C Obligations or Canadian BA’s pursuant to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unless after the prepayment in full of the Committed Loans and Swing Line Loans in Canadian Dollars the Outstanding Amount of all Letters of Credit denominated in Canadian Dollars and Canadian BA’s exceeds the Canadian Dollar Sublimit.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88" w:lineRule="auto"/>
        <w:rPr>
          <w:sz w:val="20"/>
          <w:szCs w:val="20"/>
          <w:color w:val="auto"/>
        </w:rPr>
      </w:pPr>
      <w:r>
        <w:rPr>
          <w:rFonts w:ascii="Arial" w:cs="Arial" w:eastAsia="Arial" w:hAnsi="Arial"/>
          <w:sz w:val="16"/>
          <w:szCs w:val="16"/>
          <w:b w:val="1"/>
          <w:bCs w:val="1"/>
          <w:color w:val="auto"/>
        </w:rPr>
        <w:t>2.06 Termination or Reduction of Commitments</w:t>
      </w:r>
      <w:r>
        <w:rPr>
          <w:rFonts w:ascii="Arial" w:cs="Arial" w:eastAsia="Arial" w:hAnsi="Arial"/>
          <w:sz w:val="16"/>
          <w:szCs w:val="16"/>
          <w:color w:val="auto"/>
        </w:rPr>
        <w:t>. The Company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Canadian Dollar Sublimit, the L/C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Canadian Dollar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117"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Each Borrower shall repay to the Lenders on the Maturity Date the aggregate principal amount of Committed Loans made to such Borrower outstanding on such date.</w:t>
      </w:r>
    </w:p>
    <w:p>
      <w:pPr>
        <w:spacing w:after="0" w:line="170" w:lineRule="exact"/>
        <w:rPr>
          <w:rFonts w:ascii="Arial" w:cs="Arial" w:eastAsia="Arial" w:hAnsi="Arial"/>
          <w:sz w:val="18"/>
          <w:szCs w:val="18"/>
          <w:color w:val="010000"/>
        </w:rPr>
      </w:pPr>
    </w:p>
    <w:p>
      <w:pPr>
        <w:jc w:val="both"/>
        <w:ind w:firstLine="656"/>
        <w:spacing w:after="0" w:line="301" w:lineRule="auto"/>
        <w:tabs>
          <w:tab w:leader="none" w:pos="1127"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 xml:space="preserve">Each Borrower shall repay each Swing Line Loan made to such Borrower on the earlier to occur of (i) the date ten Business Days after such Loan is made and (ii) the Maturity Date. At any time that there shall exist a Defaulting Lender, immediately upon the request of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15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Subject to the provisions of subsection (b) below, (i) each Eurocurrency Rate Committed Loan shall bear interest on the outstanding principal amount thereof for each Interest Period at a rate per annum equal to the Eurocurrency Rate for such Interest Period plus the Applicable Rate;</w:t>
      </w:r>
    </w:p>
    <w:p>
      <w:pPr>
        <w:jc w:val="both"/>
        <w:ind w:firstLine="8"/>
        <w:spacing w:after="0" w:line="268" w:lineRule="auto"/>
        <w:tabs>
          <w:tab w:leader="none" w:pos="268"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Base Rate Committed Loan shall bear interest on the outstanding principal amount thereof from the applicable borrowing date at a rate per annum equal to the Base Rate plus the Applicable Rate; (iii) each Canadian Prime Rate Committed Loan shall bear interest on the outstanding principal amount thereof from the applicable borrowing date at a rate per annum equal to the Canadian Prime Rate plus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plus the Applicable Rate; (v) each Base Rate Swing Line Loan shall bear interest on the outstanding principal amount thereof from the applicable borrowing date at a rate per annum equal to the Base Rate plus the Applicable Rate; and (vi) each Canadian Prime Rate Swing Line Loan shall bear interest on the outstanding principal amount thereof from the applicable borrowing date at a rate per annum equal to the Canadian Prime Rate plus the Applicable Rate.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56"/>
        <w:spacing w:after="0" w:line="263" w:lineRule="auto"/>
        <w:tabs>
          <w:tab w:leader="none" w:pos="1105"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010000"/>
        </w:rPr>
      </w:pPr>
    </w:p>
    <w:p>
      <w:pPr>
        <w:jc w:val="both"/>
        <w:ind w:left="660" w:firstLine="644"/>
        <w:spacing w:after="0" w:line="286" w:lineRule="auto"/>
        <w:tabs>
          <w:tab w:leader="none" w:pos="1775" w:val="left"/>
        </w:tabs>
        <w:numPr>
          <w:ilvl w:val="2"/>
          <w:numId w:val="66"/>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5" w:lineRule="exact"/>
        <w:rPr>
          <w:rFonts w:ascii="Arial" w:cs="Arial" w:eastAsia="Arial" w:hAnsi="Arial"/>
          <w:sz w:val="17"/>
          <w:szCs w:val="17"/>
          <w:color w:val="auto"/>
        </w:rPr>
      </w:pPr>
    </w:p>
    <w:p>
      <w:pPr>
        <w:ind w:left="660" w:firstLine="644"/>
        <w:spacing w:after="0" w:line="308" w:lineRule="auto"/>
        <w:tabs>
          <w:tab w:leader="none" w:pos="1803" w:val="left"/>
        </w:tabs>
        <w:numPr>
          <w:ilvl w:val="2"/>
          <w:numId w:val="66"/>
        </w:numPr>
        <w:rPr>
          <w:rFonts w:ascii="Arial" w:cs="Arial" w:eastAsia="Arial" w:hAnsi="Arial"/>
          <w:sz w:val="17"/>
          <w:szCs w:val="17"/>
          <w:color w:val="auto"/>
        </w:rPr>
      </w:pPr>
      <w:r>
        <w:rPr>
          <w:rFonts w:ascii="Arial" w:cs="Arial" w:eastAsia="Arial" w:hAnsi="Arial"/>
          <w:sz w:val="17"/>
          <w:szCs w:val="17"/>
          <w:color w:val="auto"/>
        </w:rPr>
        <w:t>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17"/>
          <w:szCs w:val="17"/>
          <w:color w:val="auto"/>
        </w:rPr>
      </w:pPr>
    </w:p>
    <w:p>
      <w:pPr>
        <w:ind w:left="1760" w:hanging="456"/>
        <w:spacing w:after="0"/>
        <w:tabs>
          <w:tab w:leader="none" w:pos="1760" w:val="left"/>
        </w:tabs>
        <w:numPr>
          <w:ilvl w:val="2"/>
          <w:numId w:val="66"/>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117"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3" w:lineRule="exact"/>
        <w:rPr>
          <w:rFonts w:ascii="Arial" w:cs="Arial" w:eastAsia="Arial" w:hAnsi="Arial"/>
          <w:sz w:val="18"/>
          <w:szCs w:val="18"/>
          <w:color w:val="010000"/>
        </w:rPr>
      </w:pPr>
    </w:p>
    <w:p>
      <w:pPr>
        <w:jc w:val="both"/>
        <w:ind w:firstLine="656"/>
        <w:spacing w:after="0" w:line="286" w:lineRule="auto"/>
        <w:tabs>
          <w:tab w:leader="none" w:pos="1127" w:val="left"/>
        </w:tabs>
        <w:numPr>
          <w:ilvl w:val="1"/>
          <w:numId w:val="66"/>
        </w:numPr>
        <w:rPr>
          <w:rFonts w:ascii="Arial" w:cs="Arial" w:eastAsia="Arial" w:hAnsi="Arial"/>
          <w:sz w:val="16"/>
          <w:szCs w:val="16"/>
          <w:color w:val="010000"/>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1" w:lineRule="exact"/>
        <w:rPr>
          <w:rFonts w:ascii="Arial" w:cs="Arial" w:eastAsia="Arial" w:hAnsi="Arial"/>
          <w:sz w:val="16"/>
          <w:szCs w:val="16"/>
          <w:color w:val="010000"/>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rates of interest stipulated herein are intended to be nominal rates and not effective rates or yields.</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(j) and (k)</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68"/>
        </w:numPr>
        <w:rPr>
          <w:rFonts w:ascii="Arial" w:cs="Arial" w:eastAsia="Arial" w:hAnsi="Arial"/>
          <w:sz w:val="17"/>
          <w:szCs w:val="17"/>
          <w:color w:val="010000"/>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Company shall pay to the Administrative Agent for the account of each Lender in accordance with its Applicable Percentage, a commitment fee in Dollars equal to the Applicable Rate times the actual daily amount by which the Aggregate Commitments exceed the sum of (i) the Outstanding Amount of Committed Loans, and (ii) the Outstanding Amount of L/C Obligations, subject to adjustment as provided in </w:t>
      </w:r>
      <w:r>
        <w:rPr>
          <w:rFonts w:ascii="Arial" w:cs="Arial" w:eastAsia="Arial" w:hAnsi="Arial"/>
          <w:sz w:val="17"/>
          <w:szCs w:val="17"/>
          <w:u w:val="single" w:color="auto"/>
          <w:color w:val="auto"/>
        </w:rPr>
        <w:t>Section 2.18</w:t>
      </w:r>
      <w:r>
        <w:rPr>
          <w:rFonts w:ascii="Arial" w:cs="Arial" w:eastAsia="Arial" w:hAnsi="Arial"/>
          <w:sz w:val="17"/>
          <w:szCs w:val="17"/>
          <w:color w:val="auto"/>
        </w:rPr>
        <w:t>.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Section 4.02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1140" w:hanging="484"/>
        <w:spacing w:after="0"/>
        <w:tabs>
          <w:tab w:leader="none" w:pos="1140" w:val="left"/>
        </w:tabs>
        <w:numPr>
          <w:ilvl w:val="0"/>
          <w:numId w:val="69"/>
        </w:numPr>
        <w:rPr>
          <w:rFonts w:ascii="Arial" w:cs="Arial" w:eastAsia="Arial" w:hAnsi="Arial"/>
          <w:sz w:val="18"/>
          <w:szCs w:val="18"/>
          <w:color w:val="010000"/>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2.10 Computation of Interest and Fees</w:t>
      </w:r>
      <w:r>
        <w:rPr>
          <w:rFonts w:ascii="Arial" w:cs="Arial" w:eastAsia="Arial" w:hAnsi="Arial"/>
          <w:sz w:val="16"/>
          <w:szCs w:val="16"/>
          <w:color w:val="auto"/>
        </w:rPr>
        <w:t>. All computations of interest for Base Rate Loans (including Base Rate Loans determined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Eurocurrency Rate), Canadian Prime Rate Loans and Eurocurrency Rate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117"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56"/>
        <w:spacing w:after="0" w:line="279" w:lineRule="auto"/>
        <w:tabs>
          <w:tab w:leader="none" w:pos="1127"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117" w:val="left"/>
        </w:tabs>
        <w:numPr>
          <w:ilvl w:val="0"/>
          <w:numId w:val="72"/>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left="660" w:hanging="4"/>
        <w:spacing w:after="0" w:line="285" w:lineRule="auto"/>
        <w:tabs>
          <w:tab w:leader="none" w:pos="1139"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68" w:lineRule="exact"/>
        <w:rPr>
          <w:rFonts w:ascii="Arial" w:cs="Arial" w:eastAsia="Arial" w:hAnsi="Arial"/>
          <w:sz w:val="16"/>
          <w:szCs w:val="16"/>
          <w:color w:val="010000"/>
        </w:rPr>
      </w:pPr>
    </w:p>
    <w:p>
      <w:pPr>
        <w:jc w:val="both"/>
        <w:ind w:left="660" w:firstLine="644"/>
        <w:spacing w:after="0" w:line="257" w:lineRule="auto"/>
        <w:tabs>
          <w:tab w:leader="none" w:pos="177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56"/>
        <w:spacing w:after="0" w:line="279" w:lineRule="auto"/>
        <w:tabs>
          <w:tab w:leader="none" w:pos="1117"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010000"/>
        </w:rPr>
      </w:pPr>
    </w:p>
    <w:p>
      <w:pPr>
        <w:jc w:val="both"/>
        <w:ind w:firstLine="656"/>
        <w:spacing w:after="0" w:line="254" w:lineRule="auto"/>
        <w:tabs>
          <w:tab w:leader="none" w:pos="1127" w:val="left"/>
        </w:tabs>
        <w:numPr>
          <w:ilvl w:val="0"/>
          <w:numId w:val="74"/>
        </w:numPr>
        <w:rPr>
          <w:rFonts w:ascii="Arial" w:cs="Arial" w:eastAsia="Arial" w:hAnsi="Arial"/>
          <w:sz w:val="18"/>
          <w:szCs w:val="18"/>
          <w:color w:val="010000"/>
        </w:rPr>
      </w:pPr>
      <w:r>
        <w:rPr>
          <w:rFonts w:ascii="Arial" w:cs="Arial" w:eastAsia="Arial" w:hAnsi="Arial"/>
          <w:sz w:val="18"/>
          <w:szCs w:val="18"/>
          <w:u w:val="single" w:color="auto"/>
          <w:color w:val="auto"/>
        </w:rPr>
        <w:t>Obligations of Lenders and L/C Issuers Several</w:t>
      </w:r>
      <w:r>
        <w:rPr>
          <w:rFonts w:ascii="Arial" w:cs="Arial" w:eastAsia="Arial" w:hAnsi="Arial"/>
          <w:sz w:val="18"/>
          <w:szCs w:val="18"/>
          <w:color w:val="auto"/>
        </w:rPr>
        <w:t xml:space="preserve">. The obligations of (i)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 and (ii) the L/C Issuers hereunder to issue (and to renew, amend or extend) Letters of Credit, are in each case several and not joint. The failure of (i)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and (y) no L/C Issuer shall be responsible for the failure of any other L/C Issuer to so issue (or renew, amend or extend) any such Letter of Credit.</w:t>
      </w:r>
    </w:p>
    <w:p>
      <w:pPr>
        <w:spacing w:after="0" w:line="191" w:lineRule="exact"/>
        <w:rPr>
          <w:rFonts w:ascii="Arial" w:cs="Arial" w:eastAsia="Arial" w:hAnsi="Arial"/>
          <w:sz w:val="18"/>
          <w:szCs w:val="18"/>
          <w:color w:val="010000"/>
        </w:rPr>
      </w:pPr>
    </w:p>
    <w:p>
      <w:pPr>
        <w:ind w:right="20" w:firstLine="656"/>
        <w:spacing w:after="0" w:line="308" w:lineRule="auto"/>
        <w:tabs>
          <w:tab w:leader="none" w:pos="1117"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2.13 Sharing of Payments by Lenders</w:t>
      </w:r>
      <w:r>
        <w:rPr>
          <w:rFonts w:ascii="Arial" w:cs="Arial" w:eastAsia="Arial" w:hAnsi="Arial"/>
          <w:sz w:val="16"/>
          <w:szCs w:val="16"/>
          <w:color w:val="auto"/>
        </w:rPr>
        <w:t>. Subject to Section 11.08 with respect to a Defaulting Lender, if any Lender shall, by exercising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 of setoff 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163" w:lineRule="exact"/>
        <w:rPr>
          <w:sz w:val="20"/>
          <w:szCs w:val="20"/>
          <w:color w:val="auto"/>
        </w:rPr>
      </w:pPr>
    </w:p>
    <w:p>
      <w:pPr>
        <w:ind w:left="660" w:firstLine="644"/>
        <w:spacing w:after="0" w:line="342" w:lineRule="auto"/>
        <w:tabs>
          <w:tab w:leader="none" w:pos="174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left="660" w:firstLine="644"/>
        <w:spacing w:after="0" w:line="291" w:lineRule="auto"/>
        <w:tabs>
          <w:tab w:leader="none" w:pos="1775"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3" w:lineRule="auto"/>
        <w:tabs>
          <w:tab w:leader="none" w:pos="916" w:val="left"/>
        </w:tabs>
        <w:numPr>
          <w:ilvl w:val="0"/>
          <w:numId w:val="77"/>
        </w:numPr>
        <w:rPr>
          <w:rFonts w:ascii="Arial" w:cs="Arial" w:eastAsia="Arial" w:hAnsi="Arial"/>
          <w:sz w:val="18"/>
          <w:szCs w:val="18"/>
          <w:color w:val="191919"/>
        </w:rPr>
      </w:pPr>
      <w:r>
        <w:rPr>
          <w:rFonts w:ascii="Arial" w:cs="Arial" w:eastAsia="Arial" w:hAnsi="Arial"/>
          <w:sz w:val="18"/>
          <w:szCs w:val="18"/>
          <w:color w:val="191919"/>
        </w:rPr>
        <w:t xml:space="preserve">the application of Cash Collateral provided for in </w:t>
      </w:r>
      <w:r>
        <w:rPr>
          <w:rFonts w:ascii="Arial" w:cs="Arial" w:eastAsia="Arial" w:hAnsi="Arial"/>
          <w:sz w:val="18"/>
          <w:szCs w:val="18"/>
          <w:u w:val="single" w:color="auto"/>
          <w:color w:val="191919"/>
        </w:rPr>
        <w:t>Section 2.17</w:t>
      </w:r>
      <w:r>
        <w:rPr>
          <w:rFonts w:ascii="Arial" w:cs="Arial" w:eastAsia="Arial" w:hAnsi="Arial"/>
          <w:sz w:val="18"/>
          <w:szCs w:val="18"/>
          <w:color w:val="191919"/>
        </w:rPr>
        <w:t xml:space="preserve">, or (z) </w:t>
      </w:r>
      <w:r>
        <w:rPr>
          <w:rFonts w:ascii="Arial" w:cs="Arial" w:eastAsia="Arial" w:hAnsi="Arial"/>
          <w:sz w:val="18"/>
          <w:szCs w:val="18"/>
          <w:color w:val="000000"/>
        </w:rPr>
        <w:t>any payment obtained by a Lender as consideration for the assignment of</w:t>
      </w:r>
      <w:r>
        <w:rPr>
          <w:rFonts w:ascii="Arial" w:cs="Arial" w:eastAsia="Arial" w:hAnsi="Arial"/>
          <w:sz w:val="18"/>
          <w:szCs w:val="18"/>
          <w:color w:val="191919"/>
        </w:rPr>
        <w:t xml:space="preserve"> </w:t>
      </w:r>
      <w:r>
        <w:rPr>
          <w:rFonts w:ascii="Arial" w:cs="Arial" w:eastAsia="Arial" w:hAnsi="Arial"/>
          <w:sz w:val="18"/>
          <w:szCs w:val="18"/>
          <w:color w:val="000000"/>
        </w:rPr>
        <w:t>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Extension of Maturity Date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117" w:val="left"/>
        </w:tabs>
        <w:numPr>
          <w:ilvl w:val="0"/>
          <w:numId w:val="78"/>
        </w:numPr>
        <w:rPr>
          <w:rFonts w:ascii="Arial" w:cs="Arial" w:eastAsia="Arial" w:hAnsi="Arial"/>
          <w:sz w:val="18"/>
          <w:szCs w:val="18"/>
          <w:color w:val="010000"/>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6" w:lineRule="exact"/>
        <w:rPr>
          <w:rFonts w:ascii="Arial" w:cs="Arial" w:eastAsia="Arial" w:hAnsi="Arial"/>
          <w:sz w:val="18"/>
          <w:szCs w:val="18"/>
          <w:color w:val="010000"/>
        </w:rPr>
      </w:pPr>
    </w:p>
    <w:p>
      <w:pPr>
        <w:jc w:val="both"/>
        <w:ind w:firstLine="656"/>
        <w:spacing w:after="0" w:line="272" w:lineRule="auto"/>
        <w:tabs>
          <w:tab w:leader="none" w:pos="1127" w:val="left"/>
        </w:tabs>
        <w:numPr>
          <w:ilvl w:val="0"/>
          <w:numId w:val="78"/>
        </w:numPr>
        <w:rPr>
          <w:rFonts w:ascii="Arial" w:cs="Arial" w:eastAsia="Arial" w:hAnsi="Arial"/>
          <w:sz w:val="17"/>
          <w:szCs w:val="17"/>
          <w:color w:val="010000"/>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the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7"/>
          <w:szCs w:val="17"/>
          <w:u w:val="single" w:color="auto"/>
          <w:color w:val="auto"/>
        </w:rPr>
        <w:t>Non-Extending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shall notify the Administrative Agent of such fact promptly after such determination (but in any event no later than the Notice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177" w:lineRule="exact"/>
        <w:rPr>
          <w:rFonts w:ascii="Arial" w:cs="Arial" w:eastAsia="Arial" w:hAnsi="Arial"/>
          <w:sz w:val="17"/>
          <w:szCs w:val="17"/>
          <w:color w:val="010000"/>
        </w:rPr>
      </w:pPr>
    </w:p>
    <w:p>
      <w:pPr>
        <w:ind w:firstLine="656"/>
        <w:spacing w:after="0" w:line="277" w:lineRule="auto"/>
        <w:tabs>
          <w:tab w:leader="none" w:pos="1117" w:val="left"/>
        </w:tabs>
        <w:numPr>
          <w:ilvl w:val="0"/>
          <w:numId w:val="78"/>
        </w:numPr>
        <w:rPr>
          <w:rFonts w:ascii="Arial" w:cs="Arial" w:eastAsia="Arial" w:hAnsi="Arial"/>
          <w:sz w:val="18"/>
          <w:szCs w:val="18"/>
          <w:color w:val="010000"/>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170" w:lineRule="exact"/>
        <w:rPr>
          <w:rFonts w:ascii="Arial" w:cs="Arial" w:eastAsia="Arial" w:hAnsi="Arial"/>
          <w:sz w:val="18"/>
          <w:szCs w:val="18"/>
          <w:color w:val="010000"/>
        </w:rPr>
      </w:pPr>
    </w:p>
    <w:p>
      <w:pPr>
        <w:jc w:val="both"/>
        <w:ind w:firstLine="656"/>
        <w:spacing w:after="0" w:line="289" w:lineRule="auto"/>
        <w:tabs>
          <w:tab w:leader="none" w:pos="1127" w:val="left"/>
        </w:tabs>
        <w:numPr>
          <w:ilvl w:val="0"/>
          <w:numId w:val="78"/>
        </w:numPr>
        <w:rPr>
          <w:rFonts w:ascii="Arial" w:cs="Arial" w:eastAsia="Arial" w:hAnsi="Arial"/>
          <w:sz w:val="16"/>
          <w:szCs w:val="16"/>
          <w:color w:val="010000"/>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xml:space="preserve">. The Company shall have the right, both before and after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left="-20" w:firstLine="656"/>
        <w:spacing w:after="0" w:line="270" w:lineRule="auto"/>
        <w:tabs>
          <w:tab w:leader="none" w:pos="1097" w:val="left"/>
        </w:tabs>
        <w:numPr>
          <w:ilvl w:val="0"/>
          <w:numId w:val="79"/>
        </w:numPr>
        <w:rPr>
          <w:rFonts w:ascii="Arial" w:cs="Arial" w:eastAsia="Arial" w:hAnsi="Arial"/>
          <w:sz w:val="17"/>
          <w:szCs w:val="17"/>
          <w:color w:val="010000"/>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If (and only if) the total of the Commitments of the Lenders that have agreed so to extend their Maturity Date (each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continue to have the right to replace any such Non-Extending Lender (with respect to all or any portion of its Commitment) following the effectiveness of any such extension as provided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180" w:lineRule="exact"/>
        <w:rPr>
          <w:rFonts w:ascii="Arial" w:cs="Arial" w:eastAsia="Arial" w:hAnsi="Arial"/>
          <w:sz w:val="17"/>
          <w:szCs w:val="17"/>
          <w:color w:val="010000"/>
        </w:rPr>
      </w:pPr>
    </w:p>
    <w:p>
      <w:pPr>
        <w:jc w:val="both"/>
        <w:ind w:left="-20" w:firstLine="656"/>
        <w:spacing w:after="0" w:line="288" w:lineRule="auto"/>
        <w:tabs>
          <w:tab w:leader="none" w:pos="1078" w:val="left"/>
        </w:tabs>
        <w:numPr>
          <w:ilvl w:val="0"/>
          <w:numId w:val="79"/>
        </w:numPr>
        <w:rPr>
          <w:rFonts w:ascii="Arial" w:cs="Arial" w:eastAsia="Arial" w:hAnsi="Arial"/>
          <w:sz w:val="16"/>
          <w:szCs w:val="16"/>
          <w:color w:val="010000"/>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Company shall deliver to the Administrative 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Loans ratable with any revised Applicable Percentages of the Lenders effective as of such date.</w:t>
      </w:r>
    </w:p>
    <w:p>
      <w:pPr>
        <w:spacing w:after="0" w:line="168" w:lineRule="exact"/>
        <w:rPr>
          <w:rFonts w:ascii="Arial" w:cs="Arial" w:eastAsia="Arial" w:hAnsi="Arial"/>
          <w:sz w:val="16"/>
          <w:szCs w:val="16"/>
          <w:color w:val="010000"/>
        </w:rPr>
      </w:pPr>
    </w:p>
    <w:p>
      <w:pPr>
        <w:ind w:left="1120" w:hanging="484"/>
        <w:spacing w:after="0"/>
        <w:tabs>
          <w:tab w:leader="none" w:pos="1120" w:val="left"/>
        </w:tabs>
        <w:numPr>
          <w:ilvl w:val="0"/>
          <w:numId w:val="79"/>
        </w:numPr>
        <w:rPr>
          <w:rFonts w:ascii="Arial" w:cs="Arial" w:eastAsia="Arial" w:hAnsi="Arial"/>
          <w:sz w:val="18"/>
          <w:szCs w:val="18"/>
          <w:color w:val="010000"/>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7" w:name="page78"/>
    <w:bookmarkEnd w:id="77"/>
    <w:p>
      <w:pPr>
        <w:ind w:left="660"/>
        <w:spacing w:after="0"/>
        <w:tabs>
          <w:tab w:leader="none" w:pos="11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Designated Borrower</w:t>
      </w:r>
      <w:r>
        <w:rPr>
          <w:rFonts w:ascii="Arial" w:cs="Arial" w:eastAsia="Arial" w:hAnsi="Arial"/>
          <w:sz w:val="15"/>
          <w:szCs w:val="15"/>
          <w:color w:val="auto"/>
        </w:rPr>
        <w:t>s.</w:t>
      </w:r>
    </w:p>
    <w:p>
      <w:pPr>
        <w:spacing w:after="0" w:line="229" w:lineRule="exact"/>
        <w:rPr>
          <w:sz w:val="20"/>
          <w:szCs w:val="20"/>
          <w:color w:val="auto"/>
        </w:rPr>
      </w:pPr>
    </w:p>
    <w:p>
      <w:pPr>
        <w:jc w:val="both"/>
        <w:ind w:firstLine="656"/>
        <w:spacing w:after="0" w:line="284" w:lineRule="auto"/>
        <w:tabs>
          <w:tab w:leader="none" w:pos="111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may at any time, upon not less than 10 Business Days’ notice from the Company to the Administrative Agent (or such shorter period as may be agreed by the Administrative Agent in its sole discretion), designate any wholly-owned Canadian Subsidiary of the Company (an “</w:t>
      </w:r>
      <w:r>
        <w:rPr>
          <w:rFonts w:ascii="Arial" w:cs="Arial" w:eastAsia="Arial" w:hAnsi="Arial"/>
          <w:sz w:val="16"/>
          <w:szCs w:val="16"/>
          <w:u w:val="single" w:color="auto"/>
          <w:color w:val="auto"/>
        </w:rPr>
        <w:t>Applicant Borrower</w:t>
      </w:r>
      <w:r>
        <w:rPr>
          <w:rFonts w:ascii="Arial" w:cs="Arial" w:eastAsia="Arial" w:hAnsi="Arial"/>
          <w:sz w:val="16"/>
          <w:szCs w:val="16"/>
          <w:color w:val="auto"/>
        </w:rPr>
        <w:t xml:space="preserve">”) as a Designated Borrower hereunder by delivering to the Administrative Agent (which shall promptly deliver counterparts thereof to each Lender) a duly executed notice and agreement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Request and Assumption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The parties hereto acknowledge and agree that prior to any Applicant Borrower becoming entitled to utilize the credit facilities provided for herein the Administrative Agent shall have received (i) such supporting resolutions, incumbency certificates, certification as to Canadian corporate access number, opinions of counsel and other documents or information, in form, content and scope reasonably satisfactory to the Administrative Agent, as may be reasonably requested by the Administrative Agent or the Required Lenders, and Notes signed by such new Borrowers to the extent any Lenders so request, and (ii) upon the reasonable request of any Lender made within five days of the date of the applicable Designated Borrower Request and Assumption Agreement, the Applicant Borrowers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within eight days of the date of such Designated Borrower Request and Assumption Agreement, and any Applicant Borrower that qualifies as a “legal entity customer” under the Beneficial Ownership Regulation shall have delivered, to each Lender that so requests, a Beneficial Ownership Certification in relation to such Applicant Borrower. Promptly following receipt of all such requested resolutions, incumbency certificates, certification, opinions of counsel and other documents or information, the Administrative Agent shall send a notice in substantially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Designated Borrower Notice</w:t>
      </w:r>
      <w:r>
        <w:rPr>
          <w:rFonts w:ascii="Arial" w:cs="Arial" w:eastAsia="Arial" w:hAnsi="Arial"/>
          <w:sz w:val="16"/>
          <w:szCs w:val="16"/>
          <w:color w:val="auto"/>
        </w:rPr>
        <w:t>”) to the Company and the Lenders specifying the date of such notice (or such later date as the Company and the Administrative Agent may agree) as the effective date upon which the Applicant Borrower shall constitute a Designated Borrower for purposes hereof. From such effective date to the date on which such Person’s status as a Designated Borrower is terminated pursuant to the immediately succeeding clause (c), (y) each of the parties agrees that such Designated Borrower shall be a Borrower for all purposes of this Agreement and the other Loan Documents and shall be entitled to request extensions of credit hereunder and (z) each Lender and the L/C Issuer agree to extend credit to such Designated Borrower, in each case, on the terms and subject to the conditions set forth herein. Notwithstanding the foregoing procedure for designating a Person as a Designated Borrower, effective as of the Closing Date, PMCULC shall be a “Designated Borrower” hereunder.</w:t>
      </w:r>
    </w:p>
    <w:p>
      <w:pPr>
        <w:spacing w:after="0" w:line="178" w:lineRule="exact"/>
        <w:rPr>
          <w:rFonts w:ascii="Arial" w:cs="Arial" w:eastAsia="Arial" w:hAnsi="Arial"/>
          <w:sz w:val="16"/>
          <w:szCs w:val="16"/>
          <w:color w:val="auto"/>
        </w:rPr>
      </w:pPr>
    </w:p>
    <w:p>
      <w:pPr>
        <w:jc w:val="both"/>
        <w:ind w:firstLine="656"/>
        <w:spacing w:after="0" w:line="286" w:lineRule="auto"/>
        <w:tabs>
          <w:tab w:leader="none" w:pos="112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Each Subsidiary of the Company that is or becomes a “Designated Borrower”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hereby irrevocably appoints the Company as its agent for purposes of (i) requesting Committed Borrowings, conversions of Committed Loans from one Type to the other, and continuations of Eurocurrency Rate Committed Loans on its behalf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requesting Letters of Credit on its behalf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requesting Swing Line Loans on its behalf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which requests may also be made by such Designated Borrower and</w:t>
      </w:r>
    </w:p>
    <w:p>
      <w:pPr>
        <w:spacing w:after="0" w:line="1" w:lineRule="exact"/>
        <w:rPr>
          <w:rFonts w:ascii="Arial" w:cs="Arial" w:eastAsia="Arial" w:hAnsi="Arial"/>
          <w:sz w:val="16"/>
          <w:szCs w:val="16"/>
          <w:color w:val="auto"/>
        </w:rPr>
      </w:pPr>
    </w:p>
    <w:p>
      <w:pPr>
        <w:ind w:firstLine="8"/>
        <w:spacing w:after="0" w:line="290" w:lineRule="auto"/>
        <w:tabs>
          <w:tab w:leader="none" w:pos="269"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receiving any notice, demand, consent, acknowledgement, direction, certification or other communication to be delivered by the Administrative Agent, any L/C Issuer or the Swingline Lender to any Designated Borrower under this Agreement or any other Loan Document.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56"/>
        <w:spacing w:after="0" w:line="254" w:lineRule="auto"/>
        <w:tabs>
          <w:tab w:leader="none" w:pos="11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5 Business Days’ notice from the Company to the Administrative Agent and Lenders (or such shorter period as may be agreed by the Administrative Agent in its sole discretion), terminate a Subsidiary’s status as a Designated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any outstanding Canadian BA’s issued by such Designated Borrower that are not Cash Collateralized pursuant to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or any outstanding Letters of Credit for the account of such Designated Borrower as of the effective date of such termination, which in any such event have not been assumed by the Company or one or more other Designated Borrowers. From and after the date of such termination and until the date such Person is re-designated a Designated Borrower, references to the term “Designated Borrower” shall exclude such Person.</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83"/>
        </w:numPr>
        <w:rPr>
          <w:rFonts w:ascii="Arial" w:cs="Arial" w:eastAsia="Arial" w:hAnsi="Arial"/>
          <w:sz w:val="17"/>
          <w:szCs w:val="17"/>
          <w:color w:val="010000"/>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 (ii) 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$2,100,000,000,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178" w:lineRule="exact"/>
        <w:rPr>
          <w:rFonts w:ascii="Arial" w:cs="Arial" w:eastAsia="Arial" w:hAnsi="Arial"/>
          <w:sz w:val="17"/>
          <w:szCs w:val="17"/>
          <w:color w:val="010000"/>
        </w:rPr>
      </w:pPr>
    </w:p>
    <w:p>
      <w:pPr>
        <w:jc w:val="both"/>
        <w:ind w:firstLine="656"/>
        <w:spacing w:after="0" w:line="254" w:lineRule="auto"/>
        <w:tabs>
          <w:tab w:leader="none" w:pos="1127" w:val="left"/>
        </w:tabs>
        <w:numPr>
          <w:ilvl w:val="0"/>
          <w:numId w:val="83"/>
        </w:numPr>
        <w:rPr>
          <w:rFonts w:ascii="Arial" w:cs="Arial" w:eastAsia="Arial" w:hAnsi="Arial"/>
          <w:sz w:val="18"/>
          <w:szCs w:val="18"/>
          <w:color w:val="010000"/>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94" w:lineRule="exact"/>
        <w:rPr>
          <w:rFonts w:ascii="Arial" w:cs="Arial" w:eastAsia="Arial" w:hAnsi="Arial"/>
          <w:sz w:val="18"/>
          <w:szCs w:val="18"/>
          <w:color w:val="010000"/>
        </w:rPr>
      </w:pPr>
    </w:p>
    <w:p>
      <w:pPr>
        <w:jc w:val="both"/>
        <w:ind w:firstLine="656"/>
        <w:spacing w:after="0" w:line="279" w:lineRule="auto"/>
        <w:tabs>
          <w:tab w:leader="none" w:pos="1117" w:val="left"/>
        </w:tabs>
        <w:numPr>
          <w:ilvl w:val="0"/>
          <w:numId w:val="83"/>
        </w:numPr>
        <w:rPr>
          <w:rFonts w:ascii="Arial" w:cs="Arial" w:eastAsia="Arial" w:hAnsi="Arial"/>
          <w:sz w:val="17"/>
          <w:szCs w:val="17"/>
          <w:color w:val="010000"/>
        </w:rPr>
      </w:pP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xml:space="preserve">. If the aggregate amount of Aggregate Commitments are increased in accordance with this </w:t>
      </w:r>
      <w:r>
        <w:rPr>
          <w:rFonts w:ascii="Arial" w:cs="Arial" w:eastAsia="Arial" w:hAnsi="Arial"/>
          <w:sz w:val="17"/>
          <w:szCs w:val="17"/>
          <w:u w:val="single" w:color="auto"/>
          <w:color w:val="auto"/>
        </w:rPr>
        <w:t>Section 2.16</w:t>
      </w:r>
      <w:r>
        <w:rPr>
          <w:rFonts w:ascii="Arial" w:cs="Arial" w:eastAsia="Arial" w:hAnsi="Arial"/>
          <w:sz w:val="17"/>
          <w:szCs w:val="17"/>
          <w:color w:val="auto"/>
        </w:rPr>
        <w:t>, the Administrative Agent and the Company shall promptly thereafter determine the effective date thereof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56"/>
        <w:spacing w:after="0" w:line="286" w:lineRule="auto"/>
        <w:tabs>
          <w:tab w:leader="none" w:pos="1127" w:val="left"/>
        </w:tabs>
        <w:numPr>
          <w:ilvl w:val="1"/>
          <w:numId w:val="84"/>
        </w:numPr>
        <w:rPr>
          <w:rFonts w:ascii="Arial" w:cs="Arial" w:eastAsia="Arial" w:hAnsi="Arial"/>
          <w:sz w:val="16"/>
          <w:szCs w:val="16"/>
          <w:color w:val="010000"/>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conditions precedent to each increase, (i) the Company shall deliver to the Administrative Agent a certificate of the Company dated as of the applicable Increase Effective Date, signed by a Responsible Officer of the Company, (y) certifying and attaching the resolutions adopted by the Company authorizing or consenting to such increase, as the case may be, and (z) certifying that, immediately before and after giving effect to such increase,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w:t>
      </w:r>
    </w:p>
    <w:p>
      <w:pPr>
        <w:spacing w:after="0" w:line="1" w:lineRule="exact"/>
        <w:rPr>
          <w:rFonts w:ascii="Arial" w:cs="Arial" w:eastAsia="Arial" w:hAnsi="Arial"/>
          <w:sz w:val="16"/>
          <w:szCs w:val="16"/>
          <w:color w:val="010000"/>
        </w:rPr>
      </w:pPr>
    </w:p>
    <w:p>
      <w:pPr>
        <w:jc w:val="both"/>
        <w:ind w:firstLine="8"/>
        <w:spacing w:after="0" w:line="281"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 (B)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 (y) be subject to the reasonable approval of the Administrative Agent, the L/C Issuers and the Swing Line Lender, which approvals shall not be unreasonably withheld, delayed or conditioned, and</w:t>
      </w:r>
    </w:p>
    <w:p>
      <w:pPr>
        <w:spacing w:after="0" w:line="6" w:lineRule="exact"/>
        <w:rPr>
          <w:rFonts w:ascii="Arial" w:cs="Arial" w:eastAsia="Arial" w:hAnsi="Arial"/>
          <w:sz w:val="16"/>
          <w:szCs w:val="16"/>
          <w:color w:val="auto"/>
        </w:rPr>
      </w:pPr>
    </w:p>
    <w:p>
      <w:pPr>
        <w:jc w:val="both"/>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(z) execute and deliver a joinder agreement in form and substance reasonably satisfactory to the Administrative Agent, the L/C Issuers, the Swing Line Lender and the Company. The Company shall prepay any Committed Loans outstanding on such applicable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in effect after giving effect thereto.</w:t>
      </w:r>
    </w:p>
    <w:p>
      <w:pPr>
        <w:spacing w:after="0" w:line="161" w:lineRule="exact"/>
        <w:rPr>
          <w:rFonts w:ascii="Arial" w:cs="Arial" w:eastAsia="Arial" w:hAnsi="Arial"/>
          <w:sz w:val="16"/>
          <w:szCs w:val="16"/>
          <w:color w:val="auto"/>
        </w:rPr>
      </w:pPr>
    </w:p>
    <w:p>
      <w:pPr>
        <w:ind w:left="1120" w:hanging="464"/>
        <w:spacing w:after="0"/>
        <w:tabs>
          <w:tab w:leader="none" w:pos="1120" w:val="left"/>
        </w:tabs>
        <w:numPr>
          <w:ilvl w:val="1"/>
          <w:numId w:val="85"/>
        </w:numPr>
        <w:rPr>
          <w:rFonts w:ascii="Arial" w:cs="Arial" w:eastAsia="Arial" w:hAnsi="Arial"/>
          <w:sz w:val="18"/>
          <w:szCs w:val="18"/>
          <w:color w:val="010000"/>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17" w:val="left"/>
        </w:tabs>
        <w:numPr>
          <w:ilvl w:val="0"/>
          <w:numId w:val="86"/>
        </w:numPr>
        <w:rPr>
          <w:rFonts w:ascii="Arial" w:cs="Arial" w:eastAsia="Arial" w:hAnsi="Arial"/>
          <w:sz w:val="17"/>
          <w:szCs w:val="17"/>
          <w:color w:val="010000"/>
        </w:rPr>
      </w:pPr>
      <w:r>
        <w:rPr>
          <w:rFonts w:ascii="Arial" w:cs="Arial" w:eastAsia="Arial" w:hAnsi="Arial"/>
          <w:sz w:val="17"/>
          <w:szCs w:val="17"/>
          <w:u w:val="single" w:color="auto"/>
          <w:color w:val="auto"/>
        </w:rPr>
        <w:t>Obligation to Cash Collateralize</w:t>
      </w:r>
      <w:r>
        <w:rPr>
          <w:rFonts w:ascii="Arial" w:cs="Arial" w:eastAsia="Arial" w:hAnsi="Arial"/>
          <w:sz w:val="17"/>
          <w:szCs w:val="17"/>
          <w:color w:val="auto"/>
        </w:rPr>
        <w:t xml:space="preserve">. At any time that there shall exist a Defaulting Lender, within one Business Day following the written request of the Administrative Agent or any L/C Issuer (with a copy to the Administrative Agent), the Company shall Cash Collateralize each L/C Issuers’ Fronting Exposure with respect to such Defaulting Lender (determined after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and any Cash Collateral provided by such Defaulting Lender) in an amount not less than the Minimum Collateral Amount. Additionally, if the Administrative Agent notifies the Company at any time that the Outstanding Amount of all L/C Obligations at such time exceeds 105% of the L/C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L/C Sublimit.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56"/>
        <w:spacing w:after="0" w:line="287" w:lineRule="auto"/>
        <w:tabs>
          <w:tab w:leader="none" w:pos="1127" w:val="left"/>
        </w:tabs>
        <w:numPr>
          <w:ilvl w:val="0"/>
          <w:numId w:val="87"/>
        </w:numPr>
        <w:rPr>
          <w:rFonts w:ascii="Arial" w:cs="Arial" w:eastAsia="Arial" w:hAnsi="Arial"/>
          <w:sz w:val="16"/>
          <w:szCs w:val="16"/>
          <w:color w:val="010000"/>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Company,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71" w:lineRule="exact"/>
        <w:rPr>
          <w:rFonts w:ascii="Arial" w:cs="Arial" w:eastAsia="Arial" w:hAnsi="Arial"/>
          <w:sz w:val="16"/>
          <w:szCs w:val="16"/>
          <w:color w:val="010000"/>
        </w:rPr>
      </w:pPr>
    </w:p>
    <w:p>
      <w:pPr>
        <w:jc w:val="both"/>
        <w:ind w:firstLine="656"/>
        <w:spacing w:after="0" w:line="257" w:lineRule="auto"/>
        <w:tabs>
          <w:tab w:leader="none" w:pos="1117"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187" w:lineRule="exact"/>
        <w:rPr>
          <w:rFonts w:ascii="Arial" w:cs="Arial" w:eastAsia="Arial" w:hAnsi="Arial"/>
          <w:sz w:val="18"/>
          <w:szCs w:val="18"/>
          <w:color w:val="010000"/>
        </w:rPr>
      </w:pPr>
    </w:p>
    <w:p>
      <w:pPr>
        <w:jc w:val="both"/>
        <w:ind w:firstLine="656"/>
        <w:spacing w:after="0" w:line="291" w:lineRule="auto"/>
        <w:tabs>
          <w:tab w:leader="none" w:pos="1127" w:val="left"/>
        </w:tabs>
        <w:numPr>
          <w:ilvl w:val="0"/>
          <w:numId w:val="87"/>
        </w:numPr>
        <w:rPr>
          <w:rFonts w:ascii="Arial" w:cs="Arial" w:eastAsia="Arial" w:hAnsi="Arial"/>
          <w:sz w:val="16"/>
          <w:szCs w:val="16"/>
          <w:color w:val="010000"/>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reasonable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17" w:val="left"/>
        </w:tabs>
        <w:numPr>
          <w:ilvl w:val="0"/>
          <w:numId w:val="88"/>
        </w:numPr>
        <w:rPr>
          <w:rFonts w:ascii="Arial" w:cs="Arial" w:eastAsia="Arial" w:hAnsi="Arial"/>
          <w:sz w:val="18"/>
          <w:szCs w:val="18"/>
          <w:color w:val="010000"/>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not prohibited by Applicable Law:</w:t>
      </w:r>
    </w:p>
    <w:p>
      <w:pPr>
        <w:spacing w:after="0" w:line="170" w:lineRule="exact"/>
        <w:rPr>
          <w:rFonts w:ascii="Arial" w:cs="Arial" w:eastAsia="Arial" w:hAnsi="Arial"/>
          <w:sz w:val="18"/>
          <w:szCs w:val="18"/>
          <w:color w:val="010000"/>
        </w:rPr>
      </w:pPr>
    </w:p>
    <w:p>
      <w:pPr>
        <w:ind w:left="660" w:firstLine="644"/>
        <w:spacing w:after="0" w:line="277" w:lineRule="auto"/>
        <w:tabs>
          <w:tab w:leader="none" w:pos="1748"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left="4" w:firstLine="644"/>
        <w:spacing w:after="0" w:line="282" w:lineRule="auto"/>
        <w:tabs>
          <w:tab w:leader="none" w:pos="1119"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any L/C Issuer or the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Company or requested by an L/C Issuer or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such L/C Issuer or the Swing Line Lender), to Cash Collateralize the Fronting Exposure with respect to such Defaulting Lender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8.01(g)</w:t>
      </w:r>
      <w:r>
        <w:rPr>
          <w:rFonts w:ascii="Arial" w:cs="Arial" w:eastAsia="Arial" w:hAnsi="Arial"/>
          <w:sz w:val="16"/>
          <w:szCs w:val="16"/>
          <w:color w:val="auto"/>
        </w:rPr>
        <w:t xml:space="preserve"> has occurred and is continuing, to the payment of any amounts owing to any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w:t>
      </w:r>
    </w:p>
    <w:p>
      <w:pPr>
        <w:spacing w:after="0" w:line="9" w:lineRule="exact"/>
        <w:rPr>
          <w:rFonts w:ascii="Arial" w:cs="Arial" w:eastAsia="Arial" w:hAnsi="Arial"/>
          <w:sz w:val="16"/>
          <w:szCs w:val="16"/>
          <w:color w:val="auto"/>
        </w:rPr>
      </w:pPr>
    </w:p>
    <w:p>
      <w:pPr>
        <w:jc w:val="both"/>
        <w:ind w:left="4" w:hanging="4"/>
        <w:spacing w:after="0" w:line="269" w:lineRule="auto"/>
        <w:tabs>
          <w:tab w:leader="none" w:pos="274"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such Loans were made or the related Letters of Credit were issued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7"/>
          <w:szCs w:val="17"/>
          <w:u w:val="single" w:color="auto"/>
          <w:color w:val="auto"/>
        </w:rPr>
        <w:t>Section 2.18(a)(iv)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2.18(a)(ii)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2" w:name="page83"/>
    <w:bookmarkEnd w:id="82"/>
    <w:p>
      <w:pPr>
        <w:ind w:left="1144" w:hanging="496"/>
        <w:spacing w:after="0"/>
        <w:tabs>
          <w:tab w:leader="none" w:pos="114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652"/>
        <w:spacing w:after="0" w:line="263" w:lineRule="auto"/>
        <w:tabs>
          <w:tab w:leader="none" w:pos="1789"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left="644" w:firstLine="652"/>
        <w:spacing w:after="0" w:line="263" w:lineRule="auto"/>
        <w:tabs>
          <w:tab w:leader="none" w:pos="1802"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44" w:firstLine="652"/>
        <w:spacing w:after="0" w:line="272" w:lineRule="auto"/>
        <w:tabs>
          <w:tab w:leader="none" w:pos="1802" w:val="left"/>
        </w:tabs>
        <w:numPr>
          <w:ilvl w:val="2"/>
          <w:numId w:val="91"/>
        </w:numPr>
        <w:rPr>
          <w:rFonts w:ascii="Arial" w:cs="Arial" w:eastAsia="Arial" w:hAnsi="Arial"/>
          <w:sz w:val="17"/>
          <w:szCs w:val="17"/>
          <w:color w:val="auto"/>
        </w:rPr>
      </w:pPr>
      <w:r>
        <w:rPr>
          <w:rFonts w:ascii="Arial" w:cs="Arial" w:eastAsia="Arial" w:hAnsi="Arial"/>
          <w:sz w:val="17"/>
          <w:szCs w:val="17"/>
          <w:color w:val="auto"/>
        </w:rPr>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177" w:lineRule="exact"/>
        <w:rPr>
          <w:rFonts w:ascii="Arial" w:cs="Arial" w:eastAsia="Arial" w:hAnsi="Arial"/>
          <w:sz w:val="17"/>
          <w:szCs w:val="17"/>
          <w:color w:val="auto"/>
        </w:rPr>
      </w:pPr>
    </w:p>
    <w:p>
      <w:pPr>
        <w:jc w:val="both"/>
        <w:ind w:left="4" w:firstLine="644"/>
        <w:spacing w:after="0" w:line="287" w:lineRule="auto"/>
        <w:tabs>
          <w:tab w:leader="none" w:pos="1137"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w:t>
      </w:r>
    </w:p>
    <w:p>
      <w:pPr>
        <w:spacing w:after="0" w:line="2" w:lineRule="exact"/>
        <w:rPr>
          <w:rFonts w:ascii="Arial" w:cs="Arial" w:eastAsia="Arial" w:hAnsi="Arial"/>
          <w:sz w:val="16"/>
          <w:szCs w:val="16"/>
          <w:color w:val="auto"/>
        </w:rPr>
      </w:pPr>
    </w:p>
    <w:p>
      <w:pPr>
        <w:jc w:val="both"/>
        <w:ind w:left="4" w:hanging="4"/>
        <w:spacing w:after="0" w:line="252" w:lineRule="auto"/>
        <w:tabs>
          <w:tab w:leader="none" w:pos="2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aggregate Outstanding Amount of the Committed Loans of any Non-Defaulting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Applicable Percentage of the Outstanding Amount of all Swing 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Non-Defaulting Lender’s Canadian BA’s (or Canadian BA Equivalent Loans) accepted and purchased from PMCULC and the Designated Borrowers to exceed (y) such Non-Defaulting Lender’s Commitment. Subject to </w:t>
      </w:r>
      <w:r>
        <w:rPr>
          <w:rFonts w:ascii="Arial" w:cs="Arial" w:eastAsia="Arial" w:hAnsi="Arial"/>
          <w:sz w:val="18"/>
          <w:szCs w:val="18"/>
          <w:u w:val="single" w:color="auto"/>
          <w:color w:val="auto"/>
        </w:rPr>
        <w:t>Section 11.24</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left="660" w:firstLine="644"/>
        <w:spacing w:after="0" w:line="259" w:lineRule="auto"/>
        <w:tabs>
          <w:tab w:leader="none" w:pos="174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127" w:val="left"/>
        </w:tabs>
        <w:numPr>
          <w:ilvl w:val="0"/>
          <w:numId w:val="94"/>
        </w:numPr>
        <w:rPr>
          <w:rFonts w:ascii="Arial" w:cs="Arial" w:eastAsia="Arial" w:hAnsi="Arial"/>
          <w:sz w:val="16"/>
          <w:szCs w:val="16"/>
          <w:color w:val="010000"/>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rFonts w:ascii="Arial" w:cs="Arial" w:eastAsia="Arial" w:hAnsi="Arial"/>
          <w:sz w:val="16"/>
          <w:szCs w:val="16"/>
          <w:color w:val="010000"/>
        </w:rPr>
      </w:pPr>
    </w:p>
    <w:p>
      <w:pPr>
        <w:jc w:val="both"/>
        <w:ind w:firstLine="656"/>
        <w:spacing w:after="0" w:line="259" w:lineRule="auto"/>
        <w:tabs>
          <w:tab w:leader="none" w:pos="1117"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186" w:lineRule="exact"/>
        <w:rPr>
          <w:rFonts w:ascii="Arial" w:cs="Arial" w:eastAsia="Arial" w:hAnsi="Arial"/>
          <w:sz w:val="18"/>
          <w:szCs w:val="18"/>
          <w:color w:val="010000"/>
        </w:rPr>
      </w:pPr>
    </w:p>
    <w:p>
      <w:pPr>
        <w:jc w:val="both"/>
        <w:ind w:firstLine="656"/>
        <w:spacing w:after="0" w:line="259" w:lineRule="auto"/>
        <w:tabs>
          <w:tab w:leader="none" w:pos="1127" w:val="left"/>
        </w:tabs>
        <w:numPr>
          <w:ilvl w:val="0"/>
          <w:numId w:val="94"/>
        </w:numPr>
        <w:rPr>
          <w:rFonts w:ascii="Arial" w:cs="Arial" w:eastAsia="Arial" w:hAnsi="Arial"/>
          <w:sz w:val="18"/>
          <w:szCs w:val="18"/>
          <w:color w:val="010000"/>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xml:space="preserve">.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in each such case it is satisfied that it will have no Fronting Exposure after giving effect thereto and after giving effect to </w:t>
      </w:r>
      <w:r>
        <w:rPr>
          <w:rFonts w:ascii="Arial" w:cs="Arial" w:eastAsia="Arial" w:hAnsi="Arial"/>
          <w:sz w:val="18"/>
          <w:szCs w:val="18"/>
          <w:u w:val="single" w:color="auto"/>
          <w:color w:val="auto"/>
        </w:rPr>
        <w:t>Section 2.18(b)(iv)</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left="5540" w:right="3240" w:hanging="4884"/>
        <w:spacing w:after="0" w:line="778" w:lineRule="auto"/>
        <w:tabs>
          <w:tab w:leader="none" w:pos="1131" w:val="left"/>
        </w:tabs>
        <w:numPr>
          <w:ilvl w:val="0"/>
          <w:numId w:val="95"/>
        </w:numPr>
        <w:rPr>
          <w:rFonts w:ascii="Arial" w:cs="Arial" w:eastAsia="Arial" w:hAnsi="Arial"/>
          <w:sz w:val="18"/>
          <w:szCs w:val="18"/>
          <w:color w:val="010000"/>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3.01, the term “Applicable Law” includes FATCA.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56"/>
        <w:spacing w:after="0" w:line="254" w:lineRule="auto"/>
        <w:tabs>
          <w:tab w:leader="none" w:pos="1127"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010000"/>
        </w:rPr>
      </w:pPr>
    </w:p>
    <w:p>
      <w:pPr>
        <w:ind w:firstLine="656"/>
        <w:spacing w:after="0" w:line="277" w:lineRule="auto"/>
        <w:tabs>
          <w:tab w:leader="none" w:pos="1117"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010000"/>
        </w:rPr>
      </w:pPr>
    </w:p>
    <w:p>
      <w:pPr>
        <w:jc w:val="both"/>
        <w:ind w:firstLine="656"/>
        <w:spacing w:after="0" w:line="273" w:lineRule="auto"/>
        <w:tabs>
          <w:tab w:leader="none" w:pos="1127" w:val="left"/>
        </w:tabs>
        <w:numPr>
          <w:ilvl w:val="1"/>
          <w:numId w:val="96"/>
        </w:numPr>
        <w:rPr>
          <w:rFonts w:ascii="Arial" w:cs="Arial" w:eastAsia="Arial" w:hAnsi="Arial"/>
          <w:sz w:val="17"/>
          <w:szCs w:val="17"/>
          <w:color w:val="010000"/>
        </w:rPr>
      </w:pPr>
      <w:r>
        <w:rPr>
          <w:rFonts w:ascii="Arial" w:cs="Arial" w:eastAsia="Arial" w:hAnsi="Arial"/>
          <w:sz w:val="17"/>
          <w:szCs w:val="17"/>
          <w:u w:val="single" w:color="auto"/>
          <w:color w:val="auto"/>
        </w:rPr>
        <w:t>Indemnification by Borrowers</w:t>
      </w:r>
      <w:r>
        <w:rPr>
          <w:rFonts w:ascii="Arial" w:cs="Arial" w:eastAsia="Arial" w:hAnsi="Arial"/>
          <w:sz w:val="17"/>
          <w:szCs w:val="17"/>
          <w:color w:val="auto"/>
        </w:rPr>
        <w:t xml:space="preserve">. Each of the Loan Parties shall indemnify each Recipient, within 10 Business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010000"/>
        </w:rPr>
      </w:pPr>
    </w:p>
    <w:p>
      <w:pPr>
        <w:ind w:left="1120" w:hanging="464"/>
        <w:spacing w:after="0"/>
        <w:tabs>
          <w:tab w:leader="none" w:pos="1120" w:val="left"/>
        </w:tabs>
        <w:numPr>
          <w:ilvl w:val="1"/>
          <w:numId w:val="96"/>
        </w:numPr>
        <w:rPr>
          <w:rFonts w:ascii="Arial" w:cs="Arial" w:eastAsia="Arial" w:hAnsi="Arial"/>
          <w:sz w:val="16"/>
          <w:szCs w:val="16"/>
          <w:color w:val="010000"/>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010000"/>
        </w:rPr>
      </w:pPr>
    </w:p>
    <w:p>
      <w:pPr>
        <w:jc w:val="both"/>
        <w:ind w:firstLine="8"/>
        <w:spacing w:after="0" w:line="287" w:lineRule="auto"/>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120" w:val="left"/>
        </w:tabs>
        <w:numPr>
          <w:ilvl w:val="1"/>
          <w:numId w:val="97"/>
        </w:numPr>
        <w:rPr>
          <w:rFonts w:ascii="Arial" w:cs="Arial" w:eastAsia="Arial" w:hAnsi="Arial"/>
          <w:sz w:val="18"/>
          <w:szCs w:val="18"/>
          <w:color w:val="010000"/>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Company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464" w:hanging="464"/>
        <w:spacing w:after="0"/>
        <w:tabs>
          <w:tab w:leader="none" w:pos="464"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4" w:firstLine="644"/>
        <w:spacing w:after="0" w:line="284" w:lineRule="auto"/>
        <w:tabs>
          <w:tab w:leader="none" w:pos="10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Arial" w:cs="Arial" w:eastAsia="Arial" w:hAnsi="Arial"/>
          <w:sz w:val="16"/>
          <w:szCs w:val="16"/>
          <w:u w:val="single" w:color="auto"/>
          <w:color w:val="auto"/>
        </w:rPr>
        <w:t>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p>
    <w:p>
      <w:pPr>
        <w:ind w:left="4" w:right="2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6"/>
          <w:szCs w:val="16"/>
          <w:color w:val="auto"/>
        </w:rPr>
      </w:pPr>
    </w:p>
    <w:p>
      <w:pPr>
        <w:ind w:left="1124" w:hanging="476"/>
        <w:spacing w:after="0"/>
        <w:tabs>
          <w:tab w:leader="none" w:pos="11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5" w:lineRule="exact"/>
        <w:rPr>
          <w:rFonts w:ascii="Arial" w:cs="Arial" w:eastAsia="Arial" w:hAnsi="Arial"/>
          <w:sz w:val="18"/>
          <w:szCs w:val="18"/>
          <w:color w:val="auto"/>
        </w:rPr>
      </w:pPr>
    </w:p>
    <w:p>
      <w:pPr>
        <w:jc w:val="both"/>
        <w:ind w:left="644" w:firstLine="652"/>
        <w:spacing w:after="0" w:line="259" w:lineRule="auto"/>
        <w:tabs>
          <w:tab w:leader="none" w:pos="176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644" w:firstLine="652"/>
        <w:spacing w:after="0" w:line="259" w:lineRule="auto"/>
        <w:tabs>
          <w:tab w:leader="none" w:pos="175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ind w:left="2304" w:hanging="360"/>
        <w:spacing w:after="0"/>
        <w:tabs>
          <w:tab w:leader="none" w:pos="2304" w:val="left"/>
        </w:tabs>
        <w:numPr>
          <w:ilvl w:val="3"/>
          <w:numId w:val="98"/>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010000"/>
        </w:rPr>
      </w:pPr>
    </w:p>
    <w:p>
      <w:pPr>
        <w:jc w:val="both"/>
        <w:ind w:left="1304"/>
        <w:spacing w:after="0" w:line="253" w:lineRule="auto"/>
        <w:rPr>
          <w:rFonts w:ascii="Arial" w:cs="Arial" w:eastAsia="Arial" w:hAnsi="Arial"/>
          <w:sz w:val="16"/>
          <w:szCs w:val="16"/>
          <w:color w:val="010000"/>
        </w:rPr>
      </w:pPr>
      <w:r>
        <w:rPr>
          <w:rFonts w:ascii="Arial" w:cs="Arial" w:eastAsia="Arial" w:hAnsi="Arial"/>
          <w:sz w:val="18"/>
          <w:szCs w:val="18"/>
          <w:color w:val="auto"/>
        </w:rPr>
        <w:t>(x)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6" w:name="page87"/>
    <w:bookmarkEnd w:id="86"/>
    <w:p>
      <w:pPr>
        <w:ind w:left="1940" w:hanging="460"/>
        <w:spacing w:after="0"/>
        <w:tabs>
          <w:tab w:leader="none" w:pos="1940"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executed copies of IRS Form W-8ECI,</w:t>
      </w:r>
    </w:p>
    <w:p>
      <w:pPr>
        <w:spacing w:after="0" w:line="225" w:lineRule="exact"/>
        <w:rPr>
          <w:sz w:val="20"/>
          <w:szCs w:val="20"/>
          <w:color w:val="auto"/>
        </w:rPr>
      </w:pPr>
    </w:p>
    <w:p>
      <w:pPr>
        <w:jc w:val="both"/>
        <w:ind w:left="840" w:firstLine="640"/>
        <w:spacing w:after="0" w:line="296" w:lineRule="auto"/>
        <w:tabs>
          <w:tab w:leader="none" w:pos="1990" w:val="left"/>
        </w:tabs>
        <w:numPr>
          <w:ilvl w:val="0"/>
          <w:numId w:val="100"/>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61" w:lineRule="exact"/>
        <w:rPr>
          <w:sz w:val="20"/>
          <w:szCs w:val="20"/>
          <w:color w:val="auto"/>
        </w:rPr>
      </w:pPr>
    </w:p>
    <w:p>
      <w:pPr>
        <w:jc w:val="both"/>
        <w:ind w:left="840" w:firstLine="648"/>
        <w:spacing w:after="0" w:line="273" w:lineRule="auto"/>
        <w:rPr>
          <w:sz w:val="20"/>
          <w:szCs w:val="20"/>
          <w:color w:val="auto"/>
        </w:rPr>
      </w:pPr>
      <w:r>
        <w:rPr>
          <w:rFonts w:ascii="Arial" w:cs="Arial" w:eastAsia="Arial" w:hAnsi="Arial"/>
          <w:sz w:val="17"/>
          <w:szCs w:val="17"/>
          <w:color w:val="010000"/>
        </w:rPr>
        <w:t xml:space="preserve">(IV) </w:t>
      </w:r>
      <w:r>
        <w:rPr>
          <w:rFonts w:ascii="Arial" w:cs="Arial" w:eastAsia="Arial" w:hAnsi="Arial"/>
          <w:sz w:val="17"/>
          <w:szCs w:val="17"/>
          <w:color w:val="000000"/>
        </w:rPr>
        <w:t>to the extent a Foreign Lender is not the beneficial owner, executed copies of IRS Form W-8IMY, accompanied</w:t>
      </w:r>
      <w:r>
        <w:rPr>
          <w:rFonts w:ascii="Arial" w:cs="Arial" w:eastAsia="Arial" w:hAnsi="Arial"/>
          <w:sz w:val="17"/>
          <w:szCs w:val="17"/>
          <w:color w:val="010000"/>
        </w:rPr>
        <w:t xml:space="preserve"> </w:t>
      </w:r>
      <w:r>
        <w:rPr>
          <w:rFonts w:ascii="Arial" w:cs="Arial" w:eastAsia="Arial" w:hAnsi="Arial"/>
          <w:sz w:val="17"/>
          <w:szCs w:val="17"/>
          <w:color w:val="000000"/>
        </w:rPr>
        <w:t>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8" w:lineRule="exact"/>
        <w:rPr>
          <w:sz w:val="20"/>
          <w:szCs w:val="20"/>
          <w:color w:val="auto"/>
        </w:rPr>
      </w:pPr>
    </w:p>
    <w:p>
      <w:pPr>
        <w:jc w:val="both"/>
        <w:ind w:left="180" w:firstLine="652"/>
        <w:spacing w:after="0" w:line="293" w:lineRule="auto"/>
        <w:tabs>
          <w:tab w:leader="none" w:pos="16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64" w:lineRule="exact"/>
        <w:rPr>
          <w:rFonts w:ascii="Arial" w:cs="Arial" w:eastAsia="Arial" w:hAnsi="Arial"/>
          <w:sz w:val="16"/>
          <w:szCs w:val="16"/>
          <w:color w:val="auto"/>
        </w:rPr>
      </w:pPr>
    </w:p>
    <w:p>
      <w:pPr>
        <w:jc w:val="both"/>
        <w:ind w:left="180" w:firstLine="652"/>
        <w:spacing w:after="0" w:line="270" w:lineRule="auto"/>
        <w:tabs>
          <w:tab w:leader="none" w:pos="15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7" w:name="page88"/>
    <w:bookmarkEnd w:id="87"/>
    <w:p>
      <w:pPr>
        <w:jc w:val="both"/>
        <w:ind w:left="660" w:firstLine="644"/>
        <w:spacing w:after="0" w:line="263" w:lineRule="auto"/>
        <w:tabs>
          <w:tab w:leader="none" w:pos="213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083" w:val="left"/>
        </w:tabs>
        <w:numPr>
          <w:ilvl w:val="0"/>
          <w:numId w:val="103"/>
        </w:numPr>
        <w:rPr>
          <w:rFonts w:ascii="Arial" w:cs="Arial" w:eastAsia="Arial" w:hAnsi="Arial"/>
          <w:sz w:val="17"/>
          <w:szCs w:val="17"/>
          <w:color w:val="010000"/>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indemnified party be required to pay any amount to any indemnifying party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178" w:lineRule="exact"/>
        <w:rPr>
          <w:rFonts w:ascii="Arial" w:cs="Arial" w:eastAsia="Arial" w:hAnsi="Arial"/>
          <w:sz w:val="17"/>
          <w:szCs w:val="17"/>
          <w:color w:val="010000"/>
        </w:rPr>
      </w:pPr>
    </w:p>
    <w:p>
      <w:pPr>
        <w:jc w:val="both"/>
        <w:ind w:right="20" w:firstLine="656"/>
        <w:spacing w:after="0" w:line="263" w:lineRule="auto"/>
        <w:tabs>
          <w:tab w:leader="none" w:pos="1088" w:val="left"/>
        </w:tabs>
        <w:numPr>
          <w:ilvl w:val="0"/>
          <w:numId w:val="103"/>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determines that any Change in Law has made it unlawful, or that any Governmental Authority has asserted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is unlawful, 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 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tabs>
          <w:tab w:leader="none" w:pos="114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5" w:lineRule="auto"/>
        <w:tabs>
          <w:tab w:leader="none" w:pos="1095" w:val="left"/>
        </w:tabs>
        <w:numPr>
          <w:ilvl w:val="0"/>
          <w:numId w:val="104"/>
        </w:numPr>
        <w:rPr>
          <w:rFonts w:ascii="Arial" w:cs="Arial" w:eastAsia="Arial" w:hAnsi="Arial"/>
          <w:sz w:val="16"/>
          <w:szCs w:val="16"/>
          <w:color w:val="010000"/>
        </w:rPr>
      </w:pPr>
      <w:r>
        <w:rPr>
          <w:rFonts w:ascii="Arial" w:cs="Arial" w:eastAsia="Arial" w:hAnsi="Arial"/>
          <w:sz w:val="16"/>
          <w:szCs w:val="16"/>
          <w:color w:val="auto"/>
        </w:rPr>
        <w:t>If in connection with any request for a Eurocurrency Rate Loan or a conversion to or continuation thereof, (i) the Administrative Agent determines that (A) deposits (whether in Dollars or Canadian Dollars) are not being offered to banks in the applicable offshore interbank Eurocurrency market for such currency for the applicable amount and Interest Period of such Eurocurrency Rate Loan, or (B) (x)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and (y) the circumstances described in Section 3.03(c)(i) do not apply (in each case with respect to this clause (i), “Impacted Loans”), or (ii) the Administrative Agent or the Required Lenders determine that for any reason (x) the Eurocurrency Rate for any requested Interest Period with respect to a proposed Eurocurrency Rate Committed Loan does not adequately and fairly reflect the cost to such Lenders of funding such Loan, or (y) with respect to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Rate Loans denominated in Canadian Dollars or Canadian BA’s, a request for a Committed Borrowing of Canadian Prime Rate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56"/>
        <w:spacing w:after="0" w:line="289" w:lineRule="auto"/>
        <w:tabs>
          <w:tab w:leader="none" w:pos="1105"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 xml:space="preserve">Notwithstanding the foregoing, if the Administrative Agent has made the determination described in clause (i) of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the Administrative Agent, in consultation with the Company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first sentence of </w:t>
      </w:r>
      <w:r>
        <w:rPr>
          <w:rFonts w:ascii="Arial" w:cs="Arial" w:eastAsia="Arial" w:hAnsi="Arial"/>
          <w:sz w:val="16"/>
          <w:szCs w:val="16"/>
          <w:u w:val="single" w:color="auto"/>
          <w:color w:val="auto"/>
        </w:rPr>
        <w:t>Section 3.03(a)</w:t>
      </w:r>
      <w:r>
        <w:rPr>
          <w:rFonts w:ascii="Arial" w:cs="Arial" w:eastAsia="Arial" w:hAnsi="Arial"/>
          <w:sz w:val="16"/>
          <w:szCs w:val="16"/>
          <w:color w:val="auto"/>
        </w:rPr>
        <w:t>, (ii) the Administrative Agent or the Required Lenders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66" w:lineRule="exact"/>
        <w:rPr>
          <w:rFonts w:ascii="Arial" w:cs="Arial" w:eastAsia="Arial" w:hAnsi="Arial"/>
          <w:sz w:val="16"/>
          <w:szCs w:val="16"/>
          <w:color w:val="010000"/>
        </w:rPr>
      </w:pPr>
    </w:p>
    <w:p>
      <w:pPr>
        <w:ind w:left="1100" w:hanging="444"/>
        <w:spacing w:after="0"/>
        <w:tabs>
          <w:tab w:leader="none" w:pos="110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or in any other Loan Document:</w:t>
      </w:r>
    </w:p>
    <w:p>
      <w:pPr>
        <w:spacing w:after="0" w:line="225" w:lineRule="exact"/>
        <w:rPr>
          <w:rFonts w:ascii="Arial" w:cs="Arial" w:eastAsia="Arial" w:hAnsi="Arial"/>
          <w:sz w:val="18"/>
          <w:szCs w:val="18"/>
          <w:color w:val="010000"/>
        </w:rPr>
      </w:pPr>
    </w:p>
    <w:p>
      <w:pPr>
        <w:jc w:val="both"/>
        <w:ind w:left="660" w:firstLine="644"/>
        <w:spacing w:after="0" w:line="253" w:lineRule="auto"/>
        <w:tabs>
          <w:tab w:leader="none" w:pos="174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96" w:lineRule="exact"/>
        <w:rPr>
          <w:rFonts w:ascii="Arial" w:cs="Arial" w:eastAsia="Arial" w:hAnsi="Arial"/>
          <w:sz w:val="18"/>
          <w:szCs w:val="18"/>
          <w:color w:val="auto"/>
        </w:rPr>
      </w:pPr>
    </w:p>
    <w:p>
      <w:pPr>
        <w:jc w:val="both"/>
        <w:ind w:left="1300" w:firstLine="4"/>
        <w:spacing w:after="0" w:line="269" w:lineRule="auto"/>
        <w:tabs>
          <w:tab w:leader="none" w:pos="176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left="180" w:firstLine="652"/>
        <w:spacing w:after="0" w:line="259" w:lineRule="auto"/>
        <w:tabs>
          <w:tab w:leader="none" w:pos="121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6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Company may revoke any request for a borrowing of, conversion to or continuation of Loans to be made, converted or continued that would bear interest by reference to such Benchmark 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65"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jc w:val="both"/>
        <w:ind w:left="-460" w:firstLine="644"/>
        <w:spacing w:after="0" w:line="255" w:lineRule="auto"/>
        <w:tabs>
          <w:tab w:leader="none" w:pos="6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1" w:name="page92"/>
    <w:bookmarkEnd w:id="91"/>
    <w:p>
      <w:pPr>
        <w:jc w:val="both"/>
        <w:ind w:left="660" w:firstLine="644"/>
        <w:spacing w:after="0" w:line="259" w:lineRule="auto"/>
        <w:tabs>
          <w:tab w:leader="none" w:pos="23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 Reserves on Eurocurrency Rate Loans</w:t>
      </w:r>
      <w:r>
        <w:rPr>
          <w:rFonts w:ascii="Arial" w:cs="Arial" w:eastAsia="Arial" w:hAnsi="Arial"/>
          <w:sz w:val="15"/>
          <w:szCs w:val="15"/>
          <w:color w:val="auto"/>
        </w:rPr>
        <w:t>.</w:t>
      </w:r>
    </w:p>
    <w:p>
      <w:pPr>
        <w:spacing w:after="0" w:line="229" w:lineRule="exact"/>
        <w:rPr>
          <w:sz w:val="20"/>
          <w:szCs w:val="20"/>
          <w:color w:val="auto"/>
        </w:rPr>
      </w:pPr>
    </w:p>
    <w:p>
      <w:pPr>
        <w:ind w:left="1100" w:hanging="444"/>
        <w:spacing w:after="0"/>
        <w:tabs>
          <w:tab w:leader="none" w:pos="1100" w:val="left"/>
        </w:tabs>
        <w:numPr>
          <w:ilvl w:val="0"/>
          <w:numId w:val="109"/>
        </w:numPr>
        <w:rPr>
          <w:rFonts w:ascii="Arial" w:cs="Arial" w:eastAsia="Arial" w:hAnsi="Arial"/>
          <w:sz w:val="18"/>
          <w:szCs w:val="18"/>
          <w:color w:val="010000"/>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174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308" w:lineRule="auto"/>
        <w:tabs>
          <w:tab w:leader="none" w:pos="180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PMCULC or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78" w:lineRule="exact"/>
        <w:rPr>
          <w:sz w:val="20"/>
          <w:szCs w:val="20"/>
          <w:color w:val="auto"/>
        </w:rPr>
      </w:pPr>
    </w:p>
    <w:p>
      <w:pPr>
        <w:jc w:val="both"/>
        <w:ind w:firstLine="656"/>
        <w:spacing w:after="0" w:line="269" w:lineRule="auto"/>
        <w:tabs>
          <w:tab w:leader="none" w:pos="1105" w:val="left"/>
        </w:tabs>
        <w:numPr>
          <w:ilvl w:val="0"/>
          <w:numId w:val="110"/>
        </w:numPr>
        <w:rPr>
          <w:rFonts w:ascii="Arial" w:cs="Arial" w:eastAsia="Arial" w:hAnsi="Arial"/>
          <w:sz w:val="17"/>
          <w:szCs w:val="17"/>
          <w:color w:val="010000"/>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such L/C Issuer, or the acceptance by such Lender of any Canadian BA, by an amount deemed in good faith by such Lender or L/C Issuer to be material based on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10 days after written demand therefor, the Company will pay (or cause PMCULC or the applicable Designated Borrower to pay) to such Lender or L/C Issuer, as the case may be, such additional amount or amounts as will compensate such Lender or L/C Issuer or such Lender’s or L/C Issuer’s holding company, if any, for any such reduction suffered.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55" w:lineRule="auto"/>
        <w:tabs>
          <w:tab w:leader="none" w:pos="1117" w:val="left"/>
        </w:tabs>
        <w:numPr>
          <w:ilvl w:val="0"/>
          <w:numId w:val="111"/>
        </w:numPr>
        <w:rPr>
          <w:rFonts w:ascii="Arial" w:cs="Arial" w:eastAsia="Arial" w:hAnsi="Arial"/>
          <w:sz w:val="18"/>
          <w:szCs w:val="18"/>
          <w:color w:val="010000"/>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L/C Issuer setting forth the amount or amounts necessary to compensate such Lender or L/C Issuer or its holding company, as the case may be, as specified in subsection (a) or (b) of this Section and delivered to the Company shall be conclusive absent manifest error. The Company shall pay (or cause PMCULC or the applicable Designated Borrower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92" w:lineRule="exact"/>
        <w:rPr>
          <w:rFonts w:ascii="Arial" w:cs="Arial" w:eastAsia="Arial" w:hAnsi="Arial"/>
          <w:sz w:val="18"/>
          <w:szCs w:val="18"/>
          <w:color w:val="010000"/>
        </w:rPr>
      </w:pPr>
    </w:p>
    <w:p>
      <w:pPr>
        <w:jc w:val="both"/>
        <w:ind w:firstLine="656"/>
        <w:spacing w:after="0" w:line="293" w:lineRule="auto"/>
        <w:tabs>
          <w:tab w:leader="none" w:pos="1105" w:val="left"/>
        </w:tabs>
        <w:numPr>
          <w:ilvl w:val="0"/>
          <w:numId w:val="111"/>
        </w:numPr>
        <w:rPr>
          <w:rFonts w:ascii="Arial" w:cs="Arial" w:eastAsia="Arial" w:hAnsi="Arial"/>
          <w:sz w:val="16"/>
          <w:szCs w:val="16"/>
          <w:color w:val="010000"/>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64" w:lineRule="exact"/>
        <w:rPr>
          <w:rFonts w:ascii="Arial" w:cs="Arial" w:eastAsia="Arial" w:hAnsi="Arial"/>
          <w:sz w:val="16"/>
          <w:szCs w:val="16"/>
          <w:color w:val="010000"/>
        </w:rPr>
      </w:pPr>
    </w:p>
    <w:p>
      <w:pPr>
        <w:jc w:val="both"/>
        <w:ind w:firstLine="656"/>
        <w:spacing w:after="0" w:line="269" w:lineRule="auto"/>
        <w:tabs>
          <w:tab w:leader="none" w:pos="1095" w:val="left"/>
        </w:tabs>
        <w:numPr>
          <w:ilvl w:val="0"/>
          <w:numId w:val="111"/>
        </w:numPr>
        <w:rPr>
          <w:rFonts w:ascii="Arial" w:cs="Arial" w:eastAsia="Arial" w:hAnsi="Arial"/>
          <w:sz w:val="17"/>
          <w:szCs w:val="17"/>
          <w:color w:val="010000"/>
        </w:rPr>
      </w:pPr>
      <w:r>
        <w:rPr>
          <w:rFonts w:ascii="Arial" w:cs="Arial" w:eastAsia="Arial" w:hAnsi="Arial"/>
          <w:sz w:val="17"/>
          <w:szCs w:val="17"/>
          <w:u w:val="single" w:color="auto"/>
          <w:color w:val="auto"/>
        </w:rPr>
        <w:t>Reserves on Eurocurrency Rate Loans</w:t>
      </w:r>
      <w:r>
        <w:rPr>
          <w:rFonts w:ascii="Arial" w:cs="Arial" w:eastAsia="Arial" w:hAnsi="Arial"/>
          <w:sz w:val="17"/>
          <w:szCs w:val="17"/>
          <w:color w:val="auto"/>
        </w:rPr>
        <w:t>. The Company shall pay (or cause PMCULC or the applicable Designated Borrower to pay) to each Lender, (i)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compensate (or cause PMCULC or the applicable Designated Borrower to compensate) such Lender for and hold such Lender harmless from any loss, cost or expense incurred by it as a result of:</w:t>
      </w:r>
    </w:p>
    <w:p>
      <w:pPr>
        <w:spacing w:after="0" w:line="180" w:lineRule="exact"/>
        <w:rPr>
          <w:sz w:val="20"/>
          <w:szCs w:val="20"/>
          <w:color w:val="auto"/>
        </w:rPr>
      </w:pPr>
    </w:p>
    <w:p>
      <w:pPr>
        <w:ind w:firstLine="656"/>
        <w:spacing w:after="0" w:line="308" w:lineRule="auto"/>
        <w:tabs>
          <w:tab w:leader="none" w:pos="1095"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46" w:lineRule="exact"/>
        <w:rPr>
          <w:rFonts w:ascii="Arial" w:cs="Arial" w:eastAsia="Arial" w:hAnsi="Arial"/>
          <w:sz w:val="17"/>
          <w:szCs w:val="17"/>
          <w:color w:val="010000"/>
        </w:rPr>
      </w:pPr>
    </w:p>
    <w:p>
      <w:pPr>
        <w:ind w:firstLine="656"/>
        <w:spacing w:after="0" w:line="277" w:lineRule="auto"/>
        <w:tabs>
          <w:tab w:leader="none" w:pos="110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or a Canadian Prime Rate Loan on the date or in the amount notified by such Borrower; or</w:t>
      </w:r>
    </w:p>
    <w:p>
      <w:pPr>
        <w:spacing w:after="0" w:line="170" w:lineRule="exact"/>
        <w:rPr>
          <w:rFonts w:ascii="Arial" w:cs="Arial" w:eastAsia="Arial" w:hAnsi="Arial"/>
          <w:sz w:val="18"/>
          <w:szCs w:val="18"/>
          <w:color w:val="010000"/>
        </w:rPr>
      </w:pPr>
    </w:p>
    <w:p>
      <w:pPr>
        <w:ind w:firstLine="656"/>
        <w:spacing w:after="0" w:line="277" w:lineRule="auto"/>
        <w:tabs>
          <w:tab w:leader="none" w:pos="109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170" w:lineRule="exact"/>
        <w:rPr>
          <w:rFonts w:ascii="Arial" w:cs="Arial" w:eastAsia="Arial" w:hAnsi="Arial"/>
          <w:sz w:val="18"/>
          <w:szCs w:val="18"/>
          <w:color w:val="010000"/>
        </w:rPr>
      </w:pPr>
    </w:p>
    <w:p>
      <w:pPr>
        <w:ind w:firstLine="656"/>
        <w:spacing w:after="0" w:line="277" w:lineRule="auto"/>
        <w:tabs>
          <w:tab w:leader="none" w:pos="1105"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PMCULC or the applicable Designated Borrower to pay) any customary administrative fees charged by such Lender in connection with the foregoing.</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15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3" w:lineRule="auto"/>
        <w:tabs>
          <w:tab w:leader="none" w:pos="1095" w:val="left"/>
        </w:tabs>
        <w:numPr>
          <w:ilvl w:val="0"/>
          <w:numId w:val="113"/>
        </w:numPr>
        <w:rPr>
          <w:rFonts w:ascii="Arial" w:cs="Arial" w:eastAsia="Arial" w:hAnsi="Arial"/>
          <w:sz w:val="18"/>
          <w:szCs w:val="18"/>
          <w:color w:val="010000"/>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additional amount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such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PMCULC or the applicable Designated Borrower to pay) all reasonable costs and expenses incurred by any Lender or such L/C Issuer in connection with any such designation or assignment.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56"/>
        <w:spacing w:after="0" w:line="255" w:lineRule="auto"/>
        <w:tabs>
          <w:tab w:leader="none" w:pos="1105" w:val="left"/>
        </w:tabs>
        <w:numPr>
          <w:ilvl w:val="0"/>
          <w:numId w:val="114"/>
        </w:numPr>
        <w:rPr>
          <w:rFonts w:ascii="Arial" w:cs="Arial" w:eastAsia="Arial" w:hAnsi="Arial"/>
          <w:sz w:val="18"/>
          <w:szCs w:val="18"/>
          <w:color w:val="010000"/>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does 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any Lender becomes a Defaulting Lender, (iv) other than as set forth in the immediately succeeding clause (v), any Lender becomes a Non-Consenting Lender, or (v) any Lender becomes a Non-Extending Lender, then in each case, the Company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 Article III shall survive termination of the Aggregate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each L/C Issuer and each Lender to make its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hereunder is subject to satisfaction of the following conditions precedent:</w:t>
      </w:r>
    </w:p>
    <w:p>
      <w:pPr>
        <w:spacing w:after="0" w:line="166" w:lineRule="exact"/>
        <w:rPr>
          <w:sz w:val="20"/>
          <w:szCs w:val="20"/>
          <w:color w:val="auto"/>
        </w:rPr>
      </w:pPr>
    </w:p>
    <w:p>
      <w:pPr>
        <w:jc w:val="both"/>
        <w:ind w:firstLine="656"/>
        <w:spacing w:after="0" w:line="279" w:lineRule="auto"/>
        <w:tabs>
          <w:tab w:leader="none" w:pos="1027" w:val="left"/>
        </w:tabs>
        <w:numPr>
          <w:ilvl w:val="0"/>
          <w:numId w:val="115"/>
        </w:numPr>
        <w:rPr>
          <w:rFonts w:ascii="Arial" w:cs="Arial" w:eastAsia="Arial" w:hAnsi="Arial"/>
          <w:sz w:val="17"/>
          <w:szCs w:val="17"/>
          <w:color w:val="010000"/>
        </w:rPr>
      </w:pPr>
      <w:r>
        <w:rPr>
          <w:rFonts w:ascii="Arial" w:cs="Arial" w:eastAsia="Arial" w:hAnsi="Arial"/>
          <w:sz w:val="17"/>
          <w:szCs w:val="17"/>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w:t>
      </w:r>
    </w:p>
    <w:p>
      <w:pPr>
        <w:spacing w:after="0" w:line="171" w:lineRule="exact"/>
        <w:rPr>
          <w:rFonts w:ascii="Arial" w:cs="Arial" w:eastAsia="Arial" w:hAnsi="Arial"/>
          <w:sz w:val="17"/>
          <w:szCs w:val="17"/>
          <w:color w:val="010000"/>
        </w:rPr>
      </w:pPr>
    </w:p>
    <w:p>
      <w:pPr>
        <w:ind w:left="1740" w:hanging="436"/>
        <w:spacing w:after="0"/>
        <w:tabs>
          <w:tab w:leader="none" w:pos="174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660" w:firstLine="644"/>
        <w:spacing w:after="0" w:line="277" w:lineRule="auto"/>
        <w:tabs>
          <w:tab w:leader="none" w:pos="17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so requested at least three Business Days prior to the Closing Date, Swing Line Notes executed by each Borrower in favor of the Swing Line Lender and a Committed Loan Note executed by each Borrower in favor of each requesting Lender;</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180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left="660" w:firstLine="644"/>
        <w:spacing w:after="0" w:line="263" w:lineRule="auto"/>
        <w:tabs>
          <w:tab w:leader="none" w:pos="179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each of the Company, PMCULC and each Designated Borrower is validly existing and in good standing in its jurisdiction of organization, issued by the appropriate authorities of such jurisdiction;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favorable opinions of Richard McGee, Esq., General Counsel for the Company and PMCULC, Shearman &amp; Sterling, LLP, special New York counsel to the Company and PMCULC, and Cox Taylor, special Canadian counsel to PMCULC, in each case addressed to the Administrative Agent and each Lender;</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Company certifying (A) that the conditions specified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jc w:val="both"/>
        <w:ind w:left="660" w:hanging="4"/>
        <w:spacing w:after="0" w:line="281" w:lineRule="auto"/>
        <w:tabs>
          <w:tab w:leader="none" w:pos="925" w:val="left"/>
        </w:tabs>
        <w:numPr>
          <w:ilvl w:val="0"/>
          <w:numId w:val="117"/>
        </w:numPr>
        <w:rPr>
          <w:rFonts w:ascii="Arial" w:cs="Arial" w:eastAsia="Arial" w:hAnsi="Arial"/>
          <w:sz w:val="16"/>
          <w:szCs w:val="16"/>
          <w:u w:val="single" w:color="auto"/>
          <w:color w:val="auto"/>
        </w:rPr>
      </w:pPr>
      <w:r>
        <w:rPr>
          <w:rFonts w:ascii="Arial" w:cs="Arial" w:eastAsia="Arial" w:hAnsi="Arial"/>
          <w:sz w:val="16"/>
          <w:szCs w:val="16"/>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Debt Ratings, and</w:t>
      </w:r>
    </w:p>
    <w:p>
      <w:pPr>
        <w:spacing w:after="0" w:line="1" w:lineRule="exact"/>
        <w:rPr>
          <w:rFonts w:ascii="Arial" w:cs="Arial" w:eastAsia="Arial" w:hAnsi="Arial"/>
          <w:sz w:val="16"/>
          <w:szCs w:val="16"/>
          <w:u w:val="single" w:color="auto"/>
          <w:color w:val="auto"/>
        </w:rPr>
      </w:pPr>
    </w:p>
    <w:p>
      <w:pPr>
        <w:ind w:left="660"/>
        <w:spacing w:after="0"/>
        <w:rPr>
          <w:rFonts w:ascii="Arial" w:cs="Arial" w:eastAsia="Arial" w:hAnsi="Arial"/>
          <w:sz w:val="16"/>
          <w:szCs w:val="16"/>
          <w:u w:val="single" w:color="auto"/>
          <w:color w:val="auto"/>
        </w:rPr>
      </w:pPr>
      <w:r>
        <w:rPr>
          <w:rFonts w:ascii="Arial" w:cs="Arial" w:eastAsia="Arial" w:hAnsi="Arial"/>
          <w:sz w:val="16"/>
          <w:szCs w:val="16"/>
          <w:color w:val="auto"/>
        </w:rPr>
        <w:t>(D) the Company’s true and correct U.S. taxpayer identification number and PMCULC’s true and correct Canadian corporate access number;</w:t>
      </w:r>
    </w:p>
    <w:p>
      <w:pPr>
        <w:spacing w:after="0" w:line="233" w:lineRule="exact"/>
        <w:rPr>
          <w:rFonts w:ascii="Arial" w:cs="Arial" w:eastAsia="Arial" w:hAnsi="Arial"/>
          <w:sz w:val="16"/>
          <w:szCs w:val="16"/>
          <w:u w:val="single" w:color="auto"/>
          <w:color w:val="auto"/>
        </w:rPr>
      </w:pPr>
    </w:p>
    <w:p>
      <w:pPr>
        <w:ind w:left="660" w:right="20" w:firstLine="644"/>
        <w:spacing w:after="0" w:line="277" w:lineRule="auto"/>
        <w:tabs>
          <w:tab w:leader="none" w:pos="184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confirmation from the administrative agent under the Existing Credit Agreement that the Existing Credit Agreement has been replaced hereby;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7" w:lineRule="exact"/>
        <w:rPr>
          <w:sz w:val="20"/>
          <w:szCs w:val="20"/>
          <w:color w:val="auto"/>
        </w:rPr>
      </w:pPr>
    </w:p>
    <w:p>
      <w:pPr>
        <w:ind w:right="20" w:firstLine="656"/>
        <w:spacing w:after="0" w:line="308" w:lineRule="auto"/>
        <w:tabs>
          <w:tab w:leader="none" w:pos="1105"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146" w:lineRule="exact"/>
        <w:rPr>
          <w:rFonts w:ascii="Arial" w:cs="Arial" w:eastAsia="Arial" w:hAnsi="Arial"/>
          <w:sz w:val="17"/>
          <w:szCs w:val="17"/>
          <w:color w:val="010000"/>
        </w:rPr>
      </w:pPr>
    </w:p>
    <w:p>
      <w:pPr>
        <w:jc w:val="both"/>
        <w:ind w:firstLine="656"/>
        <w:spacing w:after="0" w:line="254" w:lineRule="auto"/>
        <w:tabs>
          <w:tab w:leader="none" w:pos="1095"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(i) No Default shall have occurred and be continuing as of the Closing Date, or would immediately result from the closing of the 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94" w:lineRule="exact"/>
        <w:rPr>
          <w:rFonts w:ascii="Arial" w:cs="Arial" w:eastAsia="Arial" w:hAnsi="Arial"/>
          <w:sz w:val="18"/>
          <w:szCs w:val="18"/>
          <w:color w:val="010000"/>
        </w:rPr>
      </w:pPr>
    </w:p>
    <w:p>
      <w:pPr>
        <w:ind w:firstLine="656"/>
        <w:spacing w:after="0" w:line="308" w:lineRule="auto"/>
        <w:tabs>
          <w:tab w:leader="none" w:pos="108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146" w:lineRule="exact"/>
        <w:rPr>
          <w:rFonts w:ascii="Arial" w:cs="Arial" w:eastAsia="Arial" w:hAnsi="Arial"/>
          <w:sz w:val="17"/>
          <w:szCs w:val="17"/>
          <w:color w:val="010000"/>
        </w:rPr>
      </w:pPr>
    </w:p>
    <w:p>
      <w:pPr>
        <w:ind w:right="20" w:firstLine="656"/>
        <w:spacing w:after="0" w:line="277" w:lineRule="auto"/>
        <w:tabs>
          <w:tab w:leader="none" w:pos="1072"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75" w:lineRule="auto"/>
        <w:tabs>
          <w:tab w:leader="none" w:pos="1098" w:val="left"/>
        </w:tabs>
        <w:numPr>
          <w:ilvl w:val="0"/>
          <w:numId w:val="119"/>
        </w:numPr>
        <w:rPr>
          <w:rFonts w:ascii="Arial" w:cs="Arial" w:eastAsia="Arial" w:hAnsi="Arial"/>
          <w:sz w:val="17"/>
          <w:szCs w:val="17"/>
          <w:color w:val="010000"/>
        </w:rPr>
      </w:pPr>
      <w:r>
        <w:rPr>
          <w:rFonts w:ascii="Arial" w:cs="Arial" w:eastAsia="Arial" w:hAnsi="Arial"/>
          <w:sz w:val="17"/>
          <w:szCs w:val="17"/>
          <w:color w:val="auto"/>
        </w:rPr>
        <w:t>(i) Upon the reasonable request of any Lender made at least seven days prior to the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Eurocurrency Rate Committed Loans) is subject to the following conditions precedent:</w:t>
      </w:r>
    </w:p>
    <w:p>
      <w:pPr>
        <w:spacing w:after="0" w:line="180" w:lineRule="exact"/>
        <w:rPr>
          <w:sz w:val="20"/>
          <w:szCs w:val="20"/>
          <w:color w:val="auto"/>
        </w:rPr>
      </w:pPr>
    </w:p>
    <w:p>
      <w:pPr>
        <w:jc w:val="both"/>
        <w:ind w:firstLine="656"/>
        <w:spacing w:after="0" w:line="275" w:lineRule="auto"/>
        <w:tabs>
          <w:tab w:leader="none" w:pos="1117" w:val="left"/>
        </w:tabs>
        <w:numPr>
          <w:ilvl w:val="0"/>
          <w:numId w:val="120"/>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(i)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ind w:firstLine="656"/>
        <w:spacing w:after="0" w:line="277" w:lineRule="auto"/>
        <w:tabs>
          <w:tab w:leader="none" w:pos="112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70" w:lineRule="exact"/>
        <w:rPr>
          <w:rFonts w:ascii="Arial" w:cs="Arial" w:eastAsia="Arial" w:hAnsi="Arial"/>
          <w:sz w:val="18"/>
          <w:szCs w:val="18"/>
          <w:color w:val="010000"/>
        </w:rPr>
      </w:pPr>
    </w:p>
    <w:p>
      <w:pPr>
        <w:ind w:firstLine="656"/>
        <w:spacing w:after="0" w:line="277" w:lineRule="auto"/>
        <w:tabs>
          <w:tab w:leader="none" w:pos="112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 xml:space="preserve">If the applicable Borrower is a Designated Borrower, then the conditions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to the designation of such Borrower as a Designated Borrower shall have been met to the reasonable satisfaction of the Administrative Agent.</w:t>
      </w:r>
    </w:p>
    <w:p>
      <w:pPr>
        <w:spacing w:after="0" w:line="170" w:lineRule="exact"/>
        <w:rPr>
          <w:rFonts w:ascii="Arial" w:cs="Arial" w:eastAsia="Arial" w:hAnsi="Arial"/>
          <w:sz w:val="18"/>
          <w:szCs w:val="18"/>
          <w:color w:val="010000"/>
        </w:rPr>
      </w:pPr>
    </w:p>
    <w:p>
      <w:pPr>
        <w:jc w:val="both"/>
        <w:ind w:firstLine="656"/>
        <w:spacing w:after="0" w:line="254" w:lineRule="auto"/>
        <w:tabs>
          <w:tab w:leader="none" w:pos="1117"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In the case of a Credit Extension to be denominated in Canadian Dollars, there shall not have occurred, and the effect thereof be then 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3380"/>
        <w:spacing w:after="0"/>
        <w:rPr>
          <w:sz w:val="20"/>
          <w:szCs w:val="20"/>
          <w:color w:val="auto"/>
        </w:rPr>
      </w:pPr>
      <w:r>
        <w:rPr>
          <w:rFonts w:ascii="Arial" w:cs="Arial" w:eastAsia="Arial" w:hAnsi="Arial"/>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5.01 Existence, Qualification and Power</w:t>
      </w:r>
      <w:r>
        <w:rPr>
          <w:rFonts w:ascii="Arial" w:cs="Arial" w:eastAsia="Arial" w:hAnsi="Arial"/>
          <w:sz w:val="17"/>
          <w:szCs w:val="17"/>
          <w:color w:val="auto"/>
        </w:rPr>
        <w:t>. Each Loan Party and each Significant Restricted Person (a) is duly organized or formed,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and, as applicable, in good 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17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5.02 Authorization; No Contravention</w:t>
      </w:r>
      <w:r>
        <w:rPr>
          <w:rFonts w:ascii="Arial" w:cs="Arial" w:eastAsia="Arial" w:hAnsi="Arial"/>
          <w:sz w:val="16"/>
          <w:szCs w:val="16"/>
          <w:color w:val="auto"/>
        </w:rPr>
        <w:t>. The execution, delivery and performance by each Loan Party of each Loan Document to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5.03 Governmental Authorization; Other Consents</w:t>
      </w:r>
      <w:r>
        <w:rPr>
          <w:rFonts w:ascii="Arial" w:cs="Arial" w:eastAsia="Arial" w:hAnsi="Arial"/>
          <w:sz w:val="18"/>
          <w:szCs w:val="18"/>
          <w:color w:val="auto"/>
        </w:rPr>
        <w:t>. Except as expressly contemplated in or permitted by the Loan Documents, disclosed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5.03 or disclosed pursuant to Section 6.03, no approval, consent, exemption or authorization of, or other action by, or notice to, or filing with, any Governmental Authority or any other Person is required in connection with the execution, delivery or performance by, or enforcement against, any Loan Party of this Agreement or any other Loan Document.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to which a Loan Party is a party, when delivered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tabs>
          <w:tab w:leader="none" w:pos="132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095"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the Company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010000"/>
        </w:rPr>
      </w:pPr>
    </w:p>
    <w:p>
      <w:pPr>
        <w:jc w:val="both"/>
        <w:ind w:firstLine="656"/>
        <w:spacing w:after="0" w:line="275" w:lineRule="auto"/>
        <w:tabs>
          <w:tab w:leader="none" w:pos="1105"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The unaudited consolidated balance sheets of the Company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on a consolidated basis as of the date thereof and their results of operations for the period covered thereby, subject, in the case of clauses (i) and (ii), to the absence of footnotes and to normal year-end audit adjustments.</w:t>
      </w:r>
    </w:p>
    <w:p>
      <w:pPr>
        <w:spacing w:after="0" w:line="176" w:lineRule="exact"/>
        <w:rPr>
          <w:rFonts w:ascii="Arial" w:cs="Arial" w:eastAsia="Arial" w:hAnsi="Arial"/>
          <w:sz w:val="17"/>
          <w:szCs w:val="17"/>
          <w:color w:val="010000"/>
        </w:rPr>
      </w:pPr>
    </w:p>
    <w:p>
      <w:pPr>
        <w:ind w:firstLine="656"/>
        <w:spacing w:after="0" w:line="342" w:lineRule="auto"/>
        <w:tabs>
          <w:tab w:leader="none" w:pos="1095" w:val="left"/>
        </w:tabs>
        <w:numPr>
          <w:ilvl w:val="0"/>
          <w:numId w:val="121"/>
        </w:numPr>
        <w:rPr>
          <w:rFonts w:ascii="Arial" w:cs="Arial" w:eastAsia="Arial" w:hAnsi="Arial"/>
          <w:sz w:val="16"/>
          <w:szCs w:val="16"/>
          <w:color w:val="010000"/>
        </w:rPr>
      </w:pPr>
      <w:r>
        <w:rPr>
          <w:rFonts w:ascii="Arial" w:cs="Arial" w:eastAsia="Arial" w:hAnsi="Arial"/>
          <w:sz w:val="16"/>
          <w:szCs w:val="16"/>
          <w:color w:val="auto"/>
        </w:rPr>
        <w:t>As of the Closing Date, for the period from December 31, 2020 through the Closing Date, there exists no event or circumstance with respect to the Company and its Subsidiaries taken as a whole, either individually or in the aggregate, that has then resulted in a Material Adverse Effect.</w:t>
      </w:r>
    </w:p>
    <w:p>
      <w:pPr>
        <w:spacing w:after="0" w:line="1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5.06 Litigation</w:t>
      </w:r>
      <w:r>
        <w:rPr>
          <w:rFonts w:ascii="Arial" w:cs="Arial" w:eastAsia="Arial" w:hAnsi="Arial"/>
          <w:sz w:val="18"/>
          <w:szCs w:val="18"/>
          <w:color w:val="auto"/>
        </w:rPr>
        <w:t>. Except as disclosed in the Audited Financial Statements, in Schedule 5.06 or pursuant to Section 6.03, there are no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suits, proceedings, claims or disputes pending or, to the knowledge of the Company, overtly threatened in writing, at law, in equity, in arbitration or before any Governmental Authority, by or against the Company or any of its Subsidiaries or against any of their properties or revenues that (a) purport to affect or pertain to the validity or enforceability of, or otherwise seek to invalidate, this Agreement or any other Loan Document, or (b) either individually or in the aggregate could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5.07 Environmental Compliance</w:t>
      </w:r>
      <w:r>
        <w:rPr>
          <w:rFonts w:ascii="Arial" w:cs="Arial" w:eastAsia="Arial" w:hAnsi="Arial"/>
          <w:sz w:val="18"/>
          <w:szCs w:val="18"/>
          <w:color w:val="auto"/>
        </w:rPr>
        <w:t>. Except as disclosed in Schedule 5.07 or pursuant to Section 6.03, the Company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tabs>
          <w:tab w:leader="none" w:pos="132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95"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Company, nothing has occurred with respect to the Company or any ERISA Affiliate that would prevent or cause the loss of such tax-qualified status.</w:t>
      </w:r>
    </w:p>
    <w:p>
      <w:pPr>
        <w:spacing w:after="0" w:line="177" w:lineRule="exact"/>
        <w:rPr>
          <w:rFonts w:ascii="Arial" w:cs="Arial" w:eastAsia="Arial" w:hAnsi="Arial"/>
          <w:sz w:val="17"/>
          <w:szCs w:val="17"/>
          <w:color w:val="010000"/>
        </w:rPr>
      </w:pPr>
    </w:p>
    <w:p>
      <w:pPr>
        <w:jc w:val="both"/>
        <w:ind w:firstLine="656"/>
        <w:spacing w:after="0" w:line="275" w:lineRule="auto"/>
        <w:tabs>
          <w:tab w:leader="none" w:pos="1105" w:val="left"/>
        </w:tabs>
        <w:numPr>
          <w:ilvl w:val="1"/>
          <w:numId w:val="122"/>
        </w:numPr>
        <w:rPr>
          <w:rFonts w:ascii="Arial" w:cs="Arial" w:eastAsia="Arial" w:hAnsi="Arial"/>
          <w:sz w:val="17"/>
          <w:szCs w:val="17"/>
          <w:color w:val="010000"/>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176" w:lineRule="exact"/>
        <w:rPr>
          <w:rFonts w:ascii="Arial" w:cs="Arial" w:eastAsia="Arial" w:hAnsi="Arial"/>
          <w:sz w:val="17"/>
          <w:szCs w:val="17"/>
          <w:color w:val="010000"/>
        </w:rPr>
      </w:pPr>
    </w:p>
    <w:p>
      <w:pPr>
        <w:jc w:val="both"/>
        <w:ind w:firstLine="656"/>
        <w:spacing w:after="0" w:line="283" w:lineRule="auto"/>
        <w:tabs>
          <w:tab w:leader="none" w:pos="1095" w:val="left"/>
        </w:tabs>
        <w:numPr>
          <w:ilvl w:val="1"/>
          <w:numId w:val="122"/>
        </w:numPr>
        <w:rPr>
          <w:rFonts w:ascii="Arial" w:cs="Arial" w:eastAsia="Arial" w:hAnsi="Arial"/>
          <w:sz w:val="16"/>
          <w:szCs w:val="16"/>
          <w:color w:val="010000"/>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w:t>
      </w:r>
    </w:p>
    <w:p>
      <w:pPr>
        <w:spacing w:after="0" w:line="5" w:lineRule="exact"/>
        <w:rPr>
          <w:rFonts w:ascii="Arial" w:cs="Arial" w:eastAsia="Arial" w:hAnsi="Arial"/>
          <w:sz w:val="16"/>
          <w:szCs w:val="16"/>
          <w:color w:val="010000"/>
        </w:rPr>
      </w:pPr>
    </w:p>
    <w:p>
      <w:pPr>
        <w:jc w:val="both"/>
        <w:ind w:firstLine="8"/>
        <w:spacing w:after="0" w:line="253" w:lineRule="auto"/>
        <w:tabs>
          <w:tab w:leader="none" w:pos="2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8"/>
          <w:szCs w:val="18"/>
          <w:u w:val="single" w:color="auto"/>
          <w:color w:val="auto"/>
        </w:rPr>
        <w:t>Section 5.08(c)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5.08</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represents and warrants as of the Closing Date that the Company is not and will not be using “plan assets” (within the meaning of 29 CFR § 2510.3-101, as modified by Section 3(42) of ERISA or otherwise) of one or more Benefit Plans in connection with the Loans, the Letters of Credit or the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tabs>
          <w:tab w:leader="none" w:pos="132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308" w:lineRule="auto"/>
        <w:tabs>
          <w:tab w:leader="none" w:pos="1095" w:val="left"/>
        </w:tabs>
        <w:numPr>
          <w:ilvl w:val="0"/>
          <w:numId w:val="124"/>
        </w:numPr>
        <w:rPr>
          <w:rFonts w:ascii="Arial" w:cs="Arial" w:eastAsia="Arial" w:hAnsi="Arial"/>
          <w:sz w:val="17"/>
          <w:szCs w:val="17"/>
          <w:color w:val="010000"/>
        </w:rPr>
      </w:pPr>
      <w:r>
        <w:rPr>
          <w:rFonts w:ascii="Arial" w:cs="Arial" w:eastAsia="Arial" w:hAnsi="Arial"/>
          <w:sz w:val="17"/>
          <w:szCs w:val="17"/>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46" w:lineRule="exact"/>
        <w:rPr>
          <w:rFonts w:ascii="Arial" w:cs="Arial" w:eastAsia="Arial" w:hAnsi="Arial"/>
          <w:sz w:val="17"/>
          <w:szCs w:val="17"/>
          <w:color w:val="010000"/>
        </w:rPr>
      </w:pPr>
    </w:p>
    <w:p>
      <w:pPr>
        <w:ind w:left="1120" w:hanging="464"/>
        <w:spacing w:after="0"/>
        <w:tabs>
          <w:tab w:leader="none" w:pos="112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No Loan Party is required to be registered as an “investment company” under the Investment Company Act of 1940.</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Disclosure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90" w:lineRule="auto"/>
        <w:tabs>
          <w:tab w:leader="none" w:pos="1117"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No report, financial statement, certificate or other information (excluding any projected and forecast financial information and information 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provided that, with respect to projected and forecast financial information, the Company represents only that such projections and forecasts were prepared in good faith based upon assumptions deemed reasonable by it at the time.</w:t>
      </w:r>
    </w:p>
    <w:p>
      <w:pPr>
        <w:spacing w:after="0" w:line="165" w:lineRule="exact"/>
        <w:rPr>
          <w:rFonts w:ascii="Arial" w:cs="Arial" w:eastAsia="Arial" w:hAnsi="Arial"/>
          <w:sz w:val="16"/>
          <w:szCs w:val="16"/>
          <w:color w:val="010000"/>
        </w:rPr>
      </w:pPr>
    </w:p>
    <w:p>
      <w:pPr>
        <w:ind w:left="1120" w:hanging="464"/>
        <w:spacing w:after="0"/>
        <w:tabs>
          <w:tab w:leader="none" w:pos="1120" w:val="left"/>
        </w:tabs>
        <w:numPr>
          <w:ilvl w:val="0"/>
          <w:numId w:val="125"/>
        </w:numPr>
        <w:rPr>
          <w:rFonts w:ascii="Arial" w:cs="Arial" w:eastAsia="Arial" w:hAnsi="Arial"/>
          <w:sz w:val="16"/>
          <w:szCs w:val="16"/>
          <w:color w:val="010000"/>
        </w:rPr>
      </w:pPr>
      <w:r>
        <w:rPr>
          <w:rFonts w:ascii="Arial" w:cs="Arial" w:eastAsia="Arial" w:hAnsi="Arial"/>
          <w:sz w:val="16"/>
          <w:szCs w:val="16"/>
          <w:color w:val="auto"/>
        </w:rPr>
        <w:t>The information included in the Beneficial Ownership Certification, if applicable, is true and correct in all respects as of the Closing Date.</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5.11 Compliance with Laws</w:t>
      </w:r>
      <w:r>
        <w:rPr>
          <w:rFonts w:ascii="Arial" w:cs="Arial" w:eastAsia="Arial" w:hAnsi="Arial"/>
          <w:sz w:val="18"/>
          <w:szCs w:val="18"/>
          <w:color w:val="auto"/>
        </w:rPr>
        <w:t>. Except as set forth in Schedule 5.11 or in accordance with Section 6.03, each Loan Party and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5.12 OFAC</w:t>
      </w:r>
      <w:r>
        <w:rPr>
          <w:rFonts w:ascii="Arial" w:cs="Arial" w:eastAsia="Arial" w:hAnsi="Arial"/>
          <w:sz w:val="16"/>
          <w:szCs w:val="16"/>
          <w:color w:val="auto"/>
        </w:rPr>
        <w:t>. Neither the Company, nor any of its Subsidiaries, nor, to the knowledge of the Company and its Subsidiaries, any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 (b) included on OFAC’s List of Specially Designated Nationals or HMT’s Consolidated List of Financial Sanctions Targets, or any similar list enforced by any other relevant sanctions authority of any relevant jurisdiction where any Restricted Person maintains assets or engages in business or</w:t>
      </w:r>
    </w:p>
    <w:p>
      <w:pPr>
        <w:spacing w:after="0" w:line="2" w:lineRule="exact"/>
        <w:rPr>
          <w:sz w:val="20"/>
          <w:szCs w:val="20"/>
          <w:color w:val="auto"/>
        </w:rPr>
      </w:pPr>
    </w:p>
    <w:p>
      <w:pPr>
        <w:jc w:val="both"/>
        <w:ind w:firstLine="8"/>
        <w:spacing w:after="0" w:line="252" w:lineRule="auto"/>
        <w:tabs>
          <w:tab w:leader="none" w:pos="2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operating, organized or resident in a Designated Jurisdiction (each Person referred to in any of the preceding clauses (a) – (c), a “</w:t>
      </w:r>
      <w:r>
        <w:rPr>
          <w:rFonts w:ascii="Arial" w:cs="Arial" w:eastAsia="Arial" w:hAnsi="Arial"/>
          <w:sz w:val="18"/>
          <w:szCs w:val="18"/>
          <w:u w:val="single" w:color="auto"/>
          <w:color w:val="auto"/>
        </w:rPr>
        <w:t>Designated Person</w:t>
      </w:r>
      <w:r>
        <w:rPr>
          <w:rFonts w:ascii="Arial" w:cs="Arial" w:eastAsia="Arial" w:hAnsi="Arial"/>
          <w:sz w:val="18"/>
          <w:szCs w:val="18"/>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5" w:lineRule="auto"/>
        <w:rPr>
          <w:sz w:val="20"/>
          <w:szCs w:val="20"/>
          <w:color w:val="auto"/>
        </w:rPr>
      </w:pPr>
      <w:r>
        <w:rPr>
          <w:rFonts w:ascii="Arial" w:cs="Arial" w:eastAsia="Arial" w:hAnsi="Arial"/>
          <w:sz w:val="18"/>
          <w:szCs w:val="18"/>
          <w:b w:val="1"/>
          <w:bCs w:val="1"/>
          <w:color w:val="auto"/>
        </w:rPr>
        <w:t>5.13 Anti-Corruption Laws</w:t>
      </w:r>
      <w:r>
        <w:rPr>
          <w:rFonts w:ascii="Arial" w:cs="Arial" w:eastAsia="Arial" w:hAnsi="Arial"/>
          <w:sz w:val="18"/>
          <w:szCs w:val="18"/>
          <w:color w:val="auto"/>
        </w:rPr>
        <w:t>. The Company and its Subsidiaries have (a) conducted their businesses in compliance in all material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United States Foreign Corrupt Practices Act of 1977, the UK Bribery Act 2010, and other applicable anti-corruption legislation in other jurisdictions and applicable anti-money laundering rules and regulations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Affected Financial Institution</w:t>
      </w:r>
      <w:r>
        <w:rPr>
          <w:rFonts w:ascii="Arial" w:cs="Arial" w:eastAsia="Arial" w:hAnsi="Arial"/>
          <w:sz w:val="16"/>
          <w:szCs w:val="16"/>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AFFIRMATIVE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and except in the case of the covenants set forth in </w:t>
      </w:r>
      <w:r>
        <w:rPr>
          <w:rFonts w:ascii="Arial" w:cs="Arial" w:eastAsia="Arial" w:hAnsi="Arial"/>
          <w:sz w:val="17"/>
          <w:szCs w:val="17"/>
          <w:u w:val="single" w:color="auto"/>
          <w:color w:val="auto"/>
        </w:rPr>
        <w:t>Sections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6</w:t>
      </w:r>
      <w:r>
        <w:rPr>
          <w:rFonts w:ascii="Arial" w:cs="Arial" w:eastAsia="Arial" w:hAnsi="Arial"/>
          <w:sz w:val="17"/>
          <w:szCs w:val="17"/>
          <w:u w:val="single" w:color="auto"/>
          <w:color w:val="auto"/>
        </w:rPr>
        <w:t>.07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6.08</w:t>
      </w:r>
      <w:r>
        <w:rPr>
          <w:rFonts w:ascii="Arial" w:cs="Arial" w:eastAsia="Arial" w:hAnsi="Arial"/>
          <w:sz w:val="17"/>
          <w:szCs w:val="17"/>
          <w:color w:val="auto"/>
        </w:rPr>
        <w:t>, which shall be limited to Significant Restricted Persons) cause each Subsidiary to:</w:t>
      </w:r>
    </w:p>
    <w:p>
      <w:pPr>
        <w:spacing w:after="0" w:line="16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Financial Statements</w:t>
      </w:r>
      <w:r>
        <w:rPr>
          <w:rFonts w:ascii="Arial" w:cs="Arial" w:eastAsia="Arial" w:hAnsi="Arial"/>
          <w:sz w:val="16"/>
          <w:szCs w:val="16"/>
          <w:color w:val="auto"/>
        </w:rPr>
        <w:t>. Deliver to the Administrative Agent, the following statements and reports, at the Company’s expense:</w:t>
      </w:r>
    </w:p>
    <w:p>
      <w:pPr>
        <w:spacing w:after="0" w:line="229" w:lineRule="exact"/>
        <w:rPr>
          <w:sz w:val="20"/>
          <w:szCs w:val="20"/>
          <w:color w:val="auto"/>
        </w:rPr>
      </w:pPr>
    </w:p>
    <w:p>
      <w:pPr>
        <w:jc w:val="both"/>
        <w:ind w:firstLine="656"/>
        <w:spacing w:after="0" w:line="254" w:lineRule="auto"/>
        <w:tabs>
          <w:tab w:leader="none" w:pos="109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promptly upon the filing thereof, and in any event within ninety (90) days after the end of each fiscal year, a copy of the Company’s Form 10-K, which report shall include the Company’s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w:t>
      </w:r>
    </w:p>
    <w:p>
      <w:pPr>
        <w:spacing w:after="0" w:line="194" w:lineRule="exact"/>
        <w:rPr>
          <w:rFonts w:ascii="Arial" w:cs="Arial" w:eastAsia="Arial" w:hAnsi="Arial"/>
          <w:sz w:val="18"/>
          <w:szCs w:val="18"/>
          <w:color w:val="010000"/>
        </w:rPr>
      </w:pPr>
    </w:p>
    <w:p>
      <w:pPr>
        <w:jc w:val="both"/>
        <w:ind w:firstLine="656"/>
        <w:spacing w:after="0" w:line="259" w:lineRule="auto"/>
        <w:tabs>
          <w:tab w:leader="none" w:pos="1083"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promptly upon the filing thereof, and in any event within sixty (60) days after the end of each of the first three fiscal quarters of each fiscal year, a copy of the Company’s Form 10-Q, which report shall include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color w:val="auto"/>
        </w:rPr>
        <w:t>Certificates; Other Information</w:t>
      </w:r>
      <w:r>
        <w:rPr>
          <w:rFonts w:ascii="Arial" w:cs="Arial" w:eastAsia="Arial" w:hAnsi="Arial"/>
          <w:sz w:val="17"/>
          <w:szCs w:val="17"/>
          <w:color w:val="auto"/>
        </w:rPr>
        <w:t>. Deliver to the Administrative Agent and each Lender (except as otherwise provided in subsection</w:t>
      </w:r>
    </w:p>
    <w:p>
      <w:pPr>
        <w:spacing w:after="0" w:line="27" w:lineRule="exact"/>
        <w:rPr>
          <w:sz w:val="20"/>
          <w:szCs w:val="20"/>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below), in form and detail reasonably satisfactory to the Administrative Agent:</w:t>
      </w:r>
    </w:p>
    <w:p>
      <w:pPr>
        <w:spacing w:after="0" w:line="210" w:lineRule="exact"/>
        <w:rPr>
          <w:rFonts w:ascii="Arial" w:cs="Arial" w:eastAsia="Arial" w:hAnsi="Arial"/>
          <w:sz w:val="18"/>
          <w:szCs w:val="18"/>
          <w:color w:val="auto"/>
        </w:rPr>
      </w:pPr>
    </w:p>
    <w:p>
      <w:pPr>
        <w:jc w:val="both"/>
        <w:ind w:firstLine="656"/>
        <w:spacing w:after="0" w:line="287" w:lineRule="auto"/>
        <w:tabs>
          <w:tab w:leader="none" w:pos="1095" w:val="left"/>
        </w:tabs>
        <w:numPr>
          <w:ilvl w:val="1"/>
          <w:numId w:val="128"/>
        </w:numPr>
        <w:rPr>
          <w:rFonts w:ascii="Arial" w:cs="Arial" w:eastAsia="Arial" w:hAnsi="Arial"/>
          <w:sz w:val="16"/>
          <w:szCs w:val="16"/>
          <w:color w:val="010000"/>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w:t>
      </w:r>
    </w:p>
    <w:p>
      <w:pPr>
        <w:spacing w:after="0" w:line="2" w:lineRule="exact"/>
        <w:rPr>
          <w:rFonts w:ascii="Arial" w:cs="Arial" w:eastAsia="Arial" w:hAnsi="Arial"/>
          <w:sz w:val="16"/>
          <w:szCs w:val="16"/>
          <w:color w:val="010000"/>
        </w:rPr>
      </w:pPr>
    </w:p>
    <w:p>
      <w:pPr>
        <w:jc w:val="both"/>
        <w:ind w:firstLine="8"/>
        <w:spacing w:after="0" w:line="271" w:lineRule="auto"/>
        <w:tabs>
          <w:tab w:leader="none" w:pos="32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containing calculations showing compliance (or non compliance) at the end of such fiscal quarter with the requirements of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(which delivery may, unless the Administrative Agent requests executed originals, be by electronic communication including fax or email and shall be deemed to be an original authentic counterpart thereof for all purposes);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10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after the same are publicly available, copies of each annual report, proxy or financial statement or other report or communication sent to the unit holders of the Company, and copies of all annual, regular, periodic and special reports and registration statements which the Company filed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010000"/>
        </w:rPr>
      </w:pPr>
    </w:p>
    <w:p>
      <w:pPr>
        <w:jc w:val="both"/>
        <w:ind w:firstLine="656"/>
        <w:spacing w:after="0" w:line="263" w:lineRule="auto"/>
        <w:tabs>
          <w:tab w:leader="none" w:pos="109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to the Administrative Agent, upon written request, such additional information regarding the business, financial, legal or corporate affairs of the Company or any Subsidiary, or compliance with the terms of the Loan Documents, in each case which are reasonably requested by the Administrative Agent or any Lender and not subject to confidentiality restrictions or attorney-client privilege;</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notice of any public announcement by Moody’s or S&amp;P of any downgrade in a Debt Rating; and</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095" w:val="left"/>
        </w:tabs>
        <w:numPr>
          <w:ilvl w:val="1"/>
          <w:numId w:val="129"/>
        </w:numPr>
        <w:rPr>
          <w:rFonts w:ascii="Arial" w:cs="Arial" w:eastAsia="Arial" w:hAnsi="Arial"/>
          <w:sz w:val="18"/>
          <w:szCs w:val="18"/>
          <w:color w:val="010000"/>
        </w:rPr>
      </w:pPr>
      <w:r>
        <w:rPr>
          <w:rFonts w:ascii="Arial" w:cs="Arial" w:eastAsia="Arial" w:hAnsi="Arial"/>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48"/>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70" w:lineRule="auto"/>
        <w:tabs>
          <w:tab w:leader="none" w:pos="28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which such documents are delivered to the Administrative Agent for posting to the Platform or (iii) on which such documents are posted on the Company’s behalf on any other Internet or intranet website, if any, to which each Lender and the Administrative Agent have access (whether a commercial, third-party website or whether sponsored by the Administrative Agent), and in either case, the Company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Each Borrower hereby acknowledges that (a) the Administrative Agent or its authorized Affiliates will make available to the Lenders and the L/C Issuers materials and/or information provided by or on behalf of such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ClearPar or another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it instructs to be made available to Public Lenders shall be clearly and conspicuously marked “PUBLIC” which, at a minimum, shall mean that the word “PUBLIC” shall appear prominently on the first page thereof,</w:t>
      </w:r>
    </w:p>
    <w:p>
      <w:pPr>
        <w:spacing w:after="0" w:line="2" w:lineRule="exact"/>
        <w:rPr>
          <w:sz w:val="20"/>
          <w:szCs w:val="20"/>
          <w:color w:val="auto"/>
        </w:rPr>
      </w:pPr>
    </w:p>
    <w:p>
      <w:pPr>
        <w:jc w:val="both"/>
        <w:ind w:firstLine="8"/>
        <w:spacing w:after="0" w:line="288" w:lineRule="auto"/>
        <w:tabs>
          <w:tab w:leader="none" w:pos="25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by marking Borrower Materials “PUBLIC,” the Borrowers shall be deemed to have authorized the Administrative Agent or its authorized Affiliates, the L/C Issuers and the Lenders to treat such Borrower Materials as not containing any material non-public information with respect to the Borrowers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16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Promptly notify the Administrative Agent and each Lender not later than five Business Days after any executive officer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has knowledge:</w:t>
      </w:r>
    </w:p>
    <w:p>
      <w:pPr>
        <w:spacing w:after="0" w:line="211" w:lineRule="exact"/>
        <w:rPr>
          <w:sz w:val="20"/>
          <w:szCs w:val="20"/>
          <w:color w:val="auto"/>
        </w:rPr>
      </w:pPr>
    </w:p>
    <w:p>
      <w:pPr>
        <w:ind w:left="1100" w:hanging="444"/>
        <w:spacing w:after="0"/>
        <w:tabs>
          <w:tab w:leader="none" w:pos="11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010000"/>
        </w:rPr>
      </w:pPr>
    </w:p>
    <w:p>
      <w:pPr>
        <w:ind w:left="1100" w:hanging="444"/>
        <w:spacing w:after="0"/>
        <w:tabs>
          <w:tab w:leader="none" w:pos="11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of any matter that has resulted or could reasonably be expected to result in a Material Adverse Effect;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firstLine="656"/>
        <w:spacing w:after="0" w:line="277" w:lineRule="auto"/>
        <w:tabs>
          <w:tab w:leader="none" w:pos="1095"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6.04 Payment of Taxes, Etc. </w:t>
      </w:r>
      <w:r>
        <w:rPr>
          <w:rFonts w:ascii="Arial" w:cs="Arial" w:eastAsia="Arial" w:hAnsi="Arial"/>
          <w:sz w:val="18"/>
          <w:szCs w:val="18"/>
          <w:color w:val="auto"/>
        </w:rPr>
        <w:t>Pay and discharge as the same shall become due and payable, all Tax liabilities, assessments and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6.05 Preservation of Existence, Etc</w:t>
      </w:r>
      <w:r>
        <w:rPr>
          <w:rFonts w:ascii="Arial" w:cs="Arial" w:eastAsia="Arial" w:hAnsi="Arial"/>
          <w:sz w:val="17"/>
          <w:szCs w:val="17"/>
          <w:color w:val="auto"/>
        </w:rPr>
        <w:t>. (a) Preserve, renew and maintain in full force and effect its legal existence and good standing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Section 7.03 or as a result of statutory conversions.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(a) Maintain, preserve and protect all of its material properties and equipment that are necessary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its business in good working order and condition, ordinary wear and tear and casualty or condemnation excepted, except where the failure to do so could not reasonably be expected to have a Material Adverse Effect.</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6.07 Maintenance of Insurance</w:t>
      </w:r>
      <w:r>
        <w:rPr>
          <w:rFonts w:ascii="Arial" w:cs="Arial" w:eastAsia="Arial" w:hAnsi="Arial"/>
          <w:sz w:val="16"/>
          <w:szCs w:val="16"/>
          <w:color w:val="auto"/>
        </w:rPr>
        <w:t>. Maintain, with financially sound and reputable insurance companies, insurance or, at its option, self-insure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amounts (after giving effect to any self-insurance compatible with the following standards) and against such risks as are customarily insured by other Persons engaged in the same or similar businesses and owning similar properties; provided, however, that notwithstanding the foregoing provisions of this Section 6.07,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with respect to each other Significant Restricted Person, may be maintained by the Company.</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6.08 Compliance with Laws</w:t>
      </w:r>
      <w:r>
        <w:rPr>
          <w:rFonts w:ascii="Arial" w:cs="Arial" w:eastAsia="Arial" w:hAnsi="Arial"/>
          <w:sz w:val="18"/>
          <w:szCs w:val="18"/>
          <w:color w:val="auto"/>
        </w:rPr>
        <w:t>. Comply in all material respects with the requirements of all Laws (including Anti-Corruption Laws and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66" w:lineRule="auto"/>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proper books of record and account, in which full, true and correct entries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 shall be made of all financial transactions and matters involving the assets and business of the Company or such Subsidiary, as the case may be.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representatives and independent contractors of the Administrative Agent (and, during the continuance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Company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11.07 of this Agreement. The Administrative Agent and the Lenders shall give the Company the opportunity to participate in any discussions with the Company’s independent public accountants.</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Credit Extensions for refinancing outstanding indebtedness under the Existing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capital, capital expenditures, repayment of intercompany debt, acquisitions and other general corporate purposes not in violation of any Law applicable to it and not resulting in a Default or Event of Default.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NEGATIVE 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(unless collateral arrangements satisfactory to the applicable L/C Issuers have been entered into) any Letter of Credit shall remain outstanding, the Company shall not (except in the case of the covenant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which shall be limited to Subsidiaries), nor shall it permit any Subsidiary (except in the case of the covenants set forth in </w:t>
      </w:r>
      <w:r>
        <w:rPr>
          <w:rFonts w:ascii="Arial" w:cs="Arial" w:eastAsia="Arial" w:hAnsi="Arial"/>
          <w:sz w:val="18"/>
          <w:szCs w:val="18"/>
          <w:u w:val="single" w:color="auto"/>
          <w:color w:val="auto"/>
        </w:rPr>
        <w:t>Sections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which shall be limited to Significant Restricted Persons, and in the case of the covenant in </w:t>
      </w:r>
      <w:r>
        <w:rPr>
          <w:rFonts w:ascii="Arial" w:cs="Arial" w:eastAsia="Arial" w:hAnsi="Arial"/>
          <w:sz w:val="18"/>
          <w:szCs w:val="18"/>
          <w:u w:val="single" w:color="auto"/>
          <w:color w:val="auto"/>
        </w:rPr>
        <w:t>Section 7.04</w:t>
      </w:r>
      <w:r>
        <w:rPr>
          <w:rFonts w:ascii="Arial" w:cs="Arial" w:eastAsia="Arial" w:hAnsi="Arial"/>
          <w:sz w:val="18"/>
          <w:szCs w:val="18"/>
          <w:color w:val="auto"/>
        </w:rPr>
        <w:t>, which shall be limited to the Company) to:</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7.01 Liens</w:t>
      </w:r>
      <w:r>
        <w:rPr>
          <w:rFonts w:ascii="Arial" w:cs="Arial" w:eastAsia="Arial" w:hAnsi="Arial"/>
          <w:sz w:val="16"/>
          <w:szCs w:val="16"/>
          <w:color w:val="auto"/>
        </w:rPr>
        <w:t>. Create, incur, assume or permit to exist any Lien upon any of its Principal Property or upon the Equity Interests of any Subsidiary to</w:t>
      </w:r>
      <w:r>
        <w:rPr>
          <w:rFonts w:ascii="Arial" w:cs="Arial" w:eastAsia="Arial" w:hAnsi="Arial"/>
          <w:sz w:val="16"/>
          <w:szCs w:val="16"/>
          <w:b w:val="1"/>
          <w:bCs w:val="1"/>
          <w:color w:val="auto"/>
        </w:rPr>
        <w:t xml:space="preserve"> </w:t>
      </w:r>
      <w:r>
        <w:rPr>
          <w:rFonts w:ascii="Arial" w:cs="Arial" w:eastAsia="Arial" w:hAnsi="Arial"/>
          <w:sz w:val="16"/>
          <w:szCs w:val="16"/>
          <w:color w:val="auto"/>
        </w:rPr>
        <w:t>secure Indebtedness (other than, for the avoidance of doubt, Unrestricted Subsidiaries), whether now owned or hereafter acquired, other than the following:</w:t>
      </w:r>
    </w:p>
    <w:p>
      <w:pPr>
        <w:spacing w:after="0" w:line="120" w:lineRule="exact"/>
        <w:rPr>
          <w:sz w:val="20"/>
          <w:szCs w:val="20"/>
          <w:color w:val="auto"/>
        </w:rPr>
      </w:pPr>
    </w:p>
    <w:p>
      <w:pPr>
        <w:ind w:firstLine="656"/>
        <w:spacing w:after="0" w:line="277" w:lineRule="auto"/>
        <w:tabs>
          <w:tab w:leader="none" w:pos="1117"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 xml:space="preserve">Liens pursuant to any Loan Document or securing any of the Obligations (which Liens may, if required as a condition to the granting or acceptance thereof, also secure, on a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basis, any Swap Contracts with Lenders or their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6" w:name="page107"/>
    <w:bookmarkEnd w:id="106"/>
    <w:p>
      <w:pPr>
        <w:jc w:val="both"/>
        <w:ind w:firstLine="656"/>
        <w:spacing w:after="0" w:line="342" w:lineRule="auto"/>
        <w:tabs>
          <w:tab w:leader="none" w:pos="1127"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Liens for taxes, assessments, charges and levies not yet delinquent or which are being contested in good faith and by appropriate proceedings diligently conducted, if adequate reserves with respect thereto are maintained on the books of the applicable Person in accordance with GAAP;</w:t>
      </w:r>
    </w:p>
    <w:p>
      <w:pPr>
        <w:spacing w:after="0" w:line="123" w:lineRule="exact"/>
        <w:rPr>
          <w:rFonts w:ascii="Arial" w:cs="Arial" w:eastAsia="Arial" w:hAnsi="Arial"/>
          <w:sz w:val="16"/>
          <w:szCs w:val="16"/>
          <w:color w:val="010000"/>
        </w:rPr>
      </w:pPr>
    </w:p>
    <w:p>
      <w:pPr>
        <w:jc w:val="both"/>
        <w:ind w:firstLine="656"/>
        <w:spacing w:after="0" w:line="279" w:lineRule="auto"/>
        <w:tabs>
          <w:tab w:leader="none" w:pos="1117"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w:t>
      </w:r>
    </w:p>
    <w:p>
      <w:pPr>
        <w:spacing w:after="0" w:line="171" w:lineRule="exact"/>
        <w:rPr>
          <w:rFonts w:ascii="Arial" w:cs="Arial" w:eastAsia="Arial" w:hAnsi="Arial"/>
          <w:sz w:val="17"/>
          <w:szCs w:val="17"/>
          <w:color w:val="010000"/>
        </w:rPr>
      </w:pPr>
    </w:p>
    <w:p>
      <w:pPr>
        <w:ind w:firstLine="656"/>
        <w:spacing w:after="0" w:line="308" w:lineRule="auto"/>
        <w:tabs>
          <w:tab w:leader="none" w:pos="1127"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146" w:lineRule="exact"/>
        <w:rPr>
          <w:rFonts w:ascii="Arial" w:cs="Arial" w:eastAsia="Arial" w:hAnsi="Arial"/>
          <w:sz w:val="17"/>
          <w:szCs w:val="17"/>
          <w:color w:val="010000"/>
        </w:rPr>
      </w:pPr>
    </w:p>
    <w:p>
      <w:pPr>
        <w:ind w:right="20" w:firstLine="656"/>
        <w:spacing w:after="0" w:line="277" w:lineRule="auto"/>
        <w:tabs>
          <w:tab w:leader="none" w:pos="111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 or to secure letters of credit issued with respect thereto;</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12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010000"/>
        </w:rPr>
      </w:pPr>
    </w:p>
    <w:p>
      <w:pPr>
        <w:ind w:right="20" w:firstLine="656"/>
        <w:spacing w:after="0" w:line="277"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 xml:space="preserve">inchoate Liens in respect of pending litigation, or Liens securing judgments for the payment of money (or securing letters of credit, appeal or other surety bonds related to such judgments)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57" w:lineRule="auto"/>
        <w:tabs>
          <w:tab w:leader="none" w:pos="111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or any Subsidiary in excess of those set forth by regulations promulgated by the Board of Governors of the Federal Reserve System or pursuant to the Security Documents, and (ii) such deposit account is not intended by the Company or any Subsidiary to provide collateral to the depository institution;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656"/>
        <w:spacing w:after="0" w:line="272" w:lineRule="auto"/>
        <w:tabs>
          <w:tab w:leader="none" w:pos="1110" w:val="left"/>
        </w:tabs>
        <w:numPr>
          <w:ilvl w:val="0"/>
          <w:numId w:val="136"/>
        </w:numPr>
        <w:rPr>
          <w:rFonts w:ascii="Arial" w:cs="Arial" w:eastAsia="Arial" w:hAnsi="Arial"/>
          <w:sz w:val="17"/>
          <w:szCs w:val="17"/>
          <w:color w:val="010000"/>
        </w:rPr>
      </w:pPr>
      <w:r>
        <w:rPr>
          <w:rFonts w:ascii="Arial" w:cs="Arial" w:eastAsia="Arial" w:hAnsi="Arial"/>
          <w:sz w:val="17"/>
          <w:szCs w:val="17"/>
          <w:color w:val="auto"/>
        </w:rPr>
        <w:t>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any Loan Party;</w:t>
      </w:r>
    </w:p>
    <w:p>
      <w:pPr>
        <w:spacing w:after="0" w:line="177" w:lineRule="exact"/>
        <w:rPr>
          <w:rFonts w:ascii="Arial" w:cs="Arial" w:eastAsia="Arial" w:hAnsi="Arial"/>
          <w:sz w:val="17"/>
          <w:szCs w:val="17"/>
          <w:color w:val="010000"/>
        </w:rPr>
      </w:pPr>
    </w:p>
    <w:p>
      <w:pPr>
        <w:ind w:left="1140" w:hanging="484"/>
        <w:spacing w:after="0"/>
        <w:tabs>
          <w:tab w:leader="none" w:pos="114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Liens in respect of Operating Leases;</w:t>
      </w:r>
    </w:p>
    <w:p>
      <w:pPr>
        <w:spacing w:after="0" w:line="225" w:lineRule="exact"/>
        <w:rPr>
          <w:rFonts w:ascii="Arial" w:cs="Arial" w:eastAsia="Arial" w:hAnsi="Arial"/>
          <w:sz w:val="18"/>
          <w:szCs w:val="18"/>
          <w:color w:val="010000"/>
        </w:rPr>
      </w:pPr>
    </w:p>
    <w:p>
      <w:pPr>
        <w:jc w:val="both"/>
        <w:ind w:firstLine="656"/>
        <w:spacing w:after="0" w:line="255" w:lineRule="auto"/>
        <w:tabs>
          <w:tab w:leader="none" w:pos="1110"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 xml:space="preserve">Liens securing Acquired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w:t>
      </w:r>
    </w:p>
    <w:p>
      <w:pPr>
        <w:spacing w:after="0" w:line="192" w:lineRule="exact"/>
        <w:rPr>
          <w:rFonts w:ascii="Arial" w:cs="Arial" w:eastAsia="Arial" w:hAnsi="Arial"/>
          <w:sz w:val="18"/>
          <w:szCs w:val="18"/>
          <w:color w:val="010000"/>
        </w:rPr>
      </w:pPr>
    </w:p>
    <w:p>
      <w:pPr>
        <w:jc w:val="both"/>
        <w:ind w:firstLine="656"/>
        <w:spacing w:after="0" w:line="263" w:lineRule="auto"/>
        <w:tabs>
          <w:tab w:leader="none" w:pos="1155"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83" w:lineRule="exact"/>
        <w:rPr>
          <w:rFonts w:ascii="Arial" w:cs="Arial" w:eastAsia="Arial" w:hAnsi="Arial"/>
          <w:sz w:val="18"/>
          <w:szCs w:val="18"/>
          <w:color w:val="010000"/>
        </w:rPr>
      </w:pPr>
    </w:p>
    <w:p>
      <w:pPr>
        <w:ind w:firstLine="656"/>
        <w:spacing w:after="0" w:line="342" w:lineRule="auto"/>
        <w:tabs>
          <w:tab w:leader="none" w:pos="1127" w:val="left"/>
        </w:tabs>
        <w:numPr>
          <w:ilvl w:val="0"/>
          <w:numId w:val="136"/>
        </w:numPr>
        <w:rPr>
          <w:rFonts w:ascii="Arial" w:cs="Arial" w:eastAsia="Arial" w:hAnsi="Arial"/>
          <w:sz w:val="16"/>
          <w:szCs w:val="16"/>
          <w:color w:val="010000"/>
        </w:rPr>
      </w:pPr>
      <w:r>
        <w:rPr>
          <w:rFonts w:ascii="Arial" w:cs="Arial" w:eastAsia="Arial" w:hAnsi="Arial"/>
          <w:sz w:val="16"/>
          <w:szCs w:val="16"/>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123" w:lineRule="exact"/>
        <w:rPr>
          <w:rFonts w:ascii="Arial" w:cs="Arial" w:eastAsia="Arial" w:hAnsi="Arial"/>
          <w:sz w:val="16"/>
          <w:szCs w:val="16"/>
          <w:color w:val="010000"/>
        </w:rPr>
      </w:pPr>
    </w:p>
    <w:p>
      <w:pPr>
        <w:jc w:val="both"/>
        <w:ind w:firstLine="656"/>
        <w:spacing w:after="0" w:line="263" w:lineRule="auto"/>
        <w:tabs>
          <w:tab w:leader="none" w:pos="1127"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 and</w:t>
      </w:r>
    </w:p>
    <w:p>
      <w:pPr>
        <w:spacing w:after="0" w:line="183" w:lineRule="exact"/>
        <w:rPr>
          <w:rFonts w:ascii="Arial" w:cs="Arial" w:eastAsia="Arial" w:hAnsi="Arial"/>
          <w:sz w:val="18"/>
          <w:szCs w:val="18"/>
          <w:color w:val="010000"/>
        </w:rPr>
      </w:pPr>
    </w:p>
    <w:p>
      <w:pPr>
        <w:ind w:firstLine="656"/>
        <w:spacing w:after="0" w:line="277" w:lineRule="auto"/>
        <w:tabs>
          <w:tab w:leader="none" w:pos="1127"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Liens otherwise not permitted herein which secure obligations in an aggregate principal amount not to exceed at any time outstanding 10% of the Company’s Consolidated Net Tangible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tabs>
          <w:tab w:leader="none" w:pos="114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color w:val="auto"/>
        </w:rPr>
        <w:t>Indebtedness</w:t>
      </w:r>
      <w:r>
        <w:rPr>
          <w:rFonts w:ascii="Arial" w:cs="Arial" w:eastAsia="Arial" w:hAnsi="Arial"/>
          <w:sz w:val="15"/>
          <w:szCs w:val="15"/>
          <w:color w:val="auto"/>
        </w:rPr>
        <w:t>. Create, incur, assume or permit to exist any Indebtedness, except:</w:t>
      </w:r>
    </w:p>
    <w:p>
      <w:pPr>
        <w:spacing w:after="0" w:line="229"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010000"/>
        </w:rPr>
      </w:pPr>
    </w:p>
    <w:p>
      <w:pPr>
        <w:ind w:left="1140" w:hanging="484"/>
        <w:spacing w:after="0"/>
        <w:tabs>
          <w:tab w:leader="none" w:pos="114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of any Restricted Person owing to another Restricted Person;</w:t>
      </w:r>
    </w:p>
    <w:p>
      <w:pPr>
        <w:spacing w:after="0" w:line="225" w:lineRule="exact"/>
        <w:rPr>
          <w:rFonts w:ascii="Arial" w:cs="Arial" w:eastAsia="Arial" w:hAnsi="Arial"/>
          <w:sz w:val="18"/>
          <w:szCs w:val="18"/>
          <w:color w:val="010000"/>
        </w:rPr>
      </w:pPr>
    </w:p>
    <w:p>
      <w:pPr>
        <w:ind w:left="1120" w:hanging="464"/>
        <w:spacing w:after="0"/>
        <w:tabs>
          <w:tab w:leader="none" w:pos="112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Acquired Indebtedness;</w:t>
      </w:r>
    </w:p>
    <w:p>
      <w:pPr>
        <w:spacing w:after="0" w:line="225" w:lineRule="exact"/>
        <w:rPr>
          <w:rFonts w:ascii="Arial" w:cs="Arial" w:eastAsia="Arial" w:hAnsi="Arial"/>
          <w:sz w:val="18"/>
          <w:szCs w:val="18"/>
          <w:color w:val="010000"/>
        </w:rPr>
      </w:pPr>
    </w:p>
    <w:p>
      <w:pPr>
        <w:ind w:firstLine="656"/>
        <w:spacing w:after="0" w:line="277" w:lineRule="auto"/>
        <w:tabs>
          <w:tab w:leader="none" w:pos="1127"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Indebtedness of (i) Plains Marketing (and guarantees thereof by its Subsidiaries) and PMCULC (and guarantees thereof by its Subsidiaries) under the Hedged Inventory Credit Agreement; and</w:t>
      </w:r>
    </w:p>
    <w:p>
      <w:pPr>
        <w:spacing w:after="0" w:line="170" w:lineRule="exact"/>
        <w:rPr>
          <w:rFonts w:ascii="Arial" w:cs="Arial" w:eastAsia="Arial" w:hAnsi="Arial"/>
          <w:sz w:val="18"/>
          <w:szCs w:val="18"/>
          <w:color w:val="010000"/>
        </w:rPr>
      </w:pPr>
    </w:p>
    <w:p>
      <w:pPr>
        <w:ind w:firstLine="656"/>
        <w:spacing w:after="0" w:line="277" w:lineRule="auto"/>
        <w:tabs>
          <w:tab w:leader="none" w:pos="1117"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other Indebtedness not otherwise permitted pursuant to the foregoing clauses (a), (b), (c) and (d) in an aggregate principal amount at any time outstanding not to exceed 15% of the Company’s Consolidated Net Tangible Assets.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7.03 Fundamental Changes; Dispositions</w:t>
      </w:r>
      <w:r>
        <w:rPr>
          <w:rFonts w:ascii="Arial" w:cs="Arial" w:eastAsia="Arial" w:hAnsi="Arial"/>
          <w:sz w:val="18"/>
          <w:szCs w:val="18"/>
          <w:color w:val="auto"/>
        </w:rPr>
        <w:t>. Merge, dissolve, liquidate, consolidate with or into another Person, or Dispose of (whether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in a series of related transactions) all or substantially all of its assets (whether now owned or hereafter acquired) to or in favor of any Person (including, in each case, pursuant to a Division), except that, so long as no Default exists or, upon giving pro forma effect thereto, would immediately result therefrom:</w:t>
      </w:r>
    </w:p>
    <w:p>
      <w:pPr>
        <w:spacing w:after="0" w:line="184" w:lineRule="exact"/>
        <w:rPr>
          <w:sz w:val="20"/>
          <w:szCs w:val="20"/>
          <w:color w:val="auto"/>
        </w:rPr>
      </w:pPr>
    </w:p>
    <w:p>
      <w:pPr>
        <w:jc w:val="both"/>
        <w:ind w:firstLine="656"/>
        <w:spacing w:after="0" w:line="254" w:lineRule="auto"/>
        <w:tabs>
          <w:tab w:leader="none" w:pos="1117"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 xml:space="preserve">any Significant Restricted Person may merge, consolidate or amalgamate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Significant Restricted Person is the Company, the Company shall be the acquiring, surviving or continuing entity, (ii) if such Significant Restricted Person is PMCULC or a Designated Borrower, (A) a Borrower shall be the acquiring, surviving or continuing entity, or (B) the Obligations of such Designated Borrower are assumed by a Borrower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11.06(a)</w:t>
      </w:r>
      <w:r>
        <w:rPr>
          <w:rFonts w:ascii="Arial" w:cs="Arial" w:eastAsia="Arial" w:hAnsi="Arial"/>
          <w:sz w:val="18"/>
          <w:szCs w:val="18"/>
          <w:color w:val="auto"/>
        </w:rPr>
        <w:t>, and (iii) as to any other Significant Restricted Person, (x) the Company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w:t>
      </w:r>
    </w:p>
    <w:p>
      <w:pPr>
        <w:spacing w:after="0" w:line="191" w:lineRule="exact"/>
        <w:rPr>
          <w:rFonts w:ascii="Arial" w:cs="Arial" w:eastAsia="Arial" w:hAnsi="Arial"/>
          <w:sz w:val="18"/>
          <w:szCs w:val="18"/>
          <w:color w:val="010000"/>
        </w:rPr>
      </w:pPr>
    </w:p>
    <w:p>
      <w:pPr>
        <w:ind w:left="1140" w:hanging="484"/>
        <w:spacing w:after="0"/>
        <w:tabs>
          <w:tab w:leader="none" w:pos="1140" w:val="left"/>
        </w:tabs>
        <w:numPr>
          <w:ilvl w:val="0"/>
          <w:numId w:val="138"/>
        </w:numPr>
        <w:rPr>
          <w:rFonts w:ascii="Arial" w:cs="Arial" w:eastAsia="Arial" w:hAnsi="Arial"/>
          <w:sz w:val="16"/>
          <w:szCs w:val="16"/>
          <w:color w:val="010000"/>
        </w:rPr>
      </w:pPr>
      <w:r>
        <w:rPr>
          <w:rFonts w:ascii="Arial" w:cs="Arial" w:eastAsia="Arial" w:hAnsi="Arial"/>
          <w:sz w:val="16"/>
          <w:szCs w:val="16"/>
          <w:color w:val="auto"/>
        </w:rPr>
        <w:t>any Significant Restricted Person other than a Borrower may Dispose of all or substantially all of its assets (upon voluntary liquidation or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otherwise);</w:t>
      </w:r>
    </w:p>
    <w:p>
      <w:pPr>
        <w:spacing w:after="0" w:line="210" w:lineRule="exact"/>
        <w:rPr>
          <w:rFonts w:ascii="Arial" w:cs="Arial" w:eastAsia="Arial" w:hAnsi="Arial"/>
          <w:sz w:val="16"/>
          <w:szCs w:val="16"/>
          <w:color w:val="010000"/>
        </w:rPr>
      </w:pPr>
    </w:p>
    <w:p>
      <w:pPr>
        <w:ind w:right="20" w:firstLine="656"/>
        <w:spacing w:after="0" w:line="277" w:lineRule="auto"/>
        <w:tabs>
          <w:tab w:leader="none" w:pos="1117"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any Significant Restricted Person other than a Borrower may dissolve or liquidate if such dissolution or liquidation results from dispositions not prohibited by this Agreement; and</w:t>
      </w:r>
    </w:p>
    <w:p>
      <w:pPr>
        <w:spacing w:after="0" w:line="170" w:lineRule="exact"/>
        <w:rPr>
          <w:rFonts w:ascii="Arial" w:cs="Arial" w:eastAsia="Arial" w:hAnsi="Arial"/>
          <w:sz w:val="18"/>
          <w:szCs w:val="18"/>
          <w:color w:val="010000"/>
        </w:rPr>
      </w:pPr>
    </w:p>
    <w:p>
      <w:pPr>
        <w:ind w:left="660" w:right="20" w:hanging="4"/>
        <w:spacing w:after="0" w:line="277" w:lineRule="auto"/>
        <w:tabs>
          <w:tab w:leader="none" w:pos="1139"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(i) Plains Marketing and POPB Marketing, and Plains Pipeline and POPB Pipeline, may undertake the divisive mergers pursuant to the “Divisive Merger Agreements” (as such term is defined in the Permian JV Merger Agreement);</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18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POPB Marketing and POPB Pipeline may convert to Delaware limited liability companies pursuant to the “Marketing Conversion Certificates” and the “Pipeline Conversion Certificates” (as such terms are defined in the Permian JV Merger Agreement) for the purpose of domesticating POPB Marketing and POPB Pipeline in Delaware;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60" w:firstLine="644"/>
        <w:spacing w:after="0" w:line="277" w:lineRule="auto"/>
        <w:tabs>
          <w:tab w:leader="none" w:pos="18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POPB Marketing and POPB Pipeline may enter into the “Marketing Sub Merger” and the “Pipeline Sub Merger” respectively (as such terms are defined in the Permian JV Merger Agreement).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7.04 Restricted Payments</w:t>
      </w:r>
      <w:r>
        <w:rPr>
          <w:rFonts w:ascii="Arial" w:cs="Arial" w:eastAsia="Arial" w:hAnsi="Arial"/>
          <w:sz w:val="18"/>
          <w:szCs w:val="18"/>
          <w:color w:val="auto"/>
        </w:rPr>
        <w:t>. Declare or make any Restricted Payment unless no Default or Event of Default has occurred and is continuing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giving effect thereto, would result therefrom.</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7.05 Transactions with Affiliates</w:t>
      </w:r>
      <w:r>
        <w:rPr>
          <w:rFonts w:ascii="Arial" w:cs="Arial" w:eastAsia="Arial" w:hAnsi="Arial"/>
          <w:sz w:val="16"/>
          <w:szCs w:val="16"/>
          <w:color w:val="auto"/>
        </w:rPr>
        <w:t>. Enter into any material transaction of any kind with any Affiliate of the Company, whether or not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course of business, other than on terms that are no less favorable to the Company or such Restricted Person as would be obtainable by the Company or such Restricted Person at the time in an arm’s length transaction with a Person other than an Affiliate, provided that the foregoing restriction shall not apply to any of the following transactions: (a) transactions between or among the Company and any of its Subsidiaries or between and among any Subsidiaries; (b) if and to the extent any of them constitute transactions with Affiliates, transactions governed by (x) the Omnibus Agreement by and among PAA GP Holdings, LLC, Plains GP Holdings, L.P., Plains All American GP LLC, Plains AAP, L.P., General Partner and the Company, dated November 15, 2016, as amended and in effect, or (y) the Amended and Restated Administrative Agreement by and among PAA GP Holdings, LLC, Plains GP Holdings, L.P., Plains All American GP LLC, Plains AAP, L.P., General Partner and the Company, dated November 15, 2016, as amended and in effect,</w:t>
      </w:r>
    </w:p>
    <w:p>
      <w:pPr>
        <w:spacing w:after="0" w:line="5" w:lineRule="exact"/>
        <w:rPr>
          <w:sz w:val="20"/>
          <w:szCs w:val="20"/>
          <w:color w:val="auto"/>
        </w:rPr>
      </w:pPr>
    </w:p>
    <w:p>
      <w:pPr>
        <w:jc w:val="both"/>
        <w:ind w:firstLine="8"/>
        <w:spacing w:after="0" w:line="270" w:lineRule="auto"/>
        <w:tabs>
          <w:tab w:leader="none" w:pos="2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employment, equity award, equity option or equity appreciation agreement or plan entered into by the Company or any of its Subsidiaries in the ordinary course of business of the Company or such Subsidiary; (d) transactions effected in accordance with the terms of agreements as in effect on the Closing Date; (e) customary compensation, indemnification and other benefits made available to officers, directors or employees of the Company, any of its Subsidiaries or the General Partner, including reimbursement or advancement of out-of-pocket expenses and provisions of officers’ and directors’ liability insurance; (f) transactions as contemplated by the Company’s agreement of limited partnership; (g) if and to the extent constituting transactions with Affiliates, transactions governed by the Permian JV Transaction Documents as in effect on the Closing Date.</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7.06 Burdensome Agreements</w:t>
      </w:r>
      <w:r>
        <w:rPr>
          <w:rFonts w:ascii="Arial" w:cs="Arial" w:eastAsia="Arial" w:hAnsi="Arial"/>
          <w:sz w:val="18"/>
          <w:szCs w:val="18"/>
          <w:color w:val="auto"/>
        </w:rPr>
        <w:t>. Except as expressly provided for in the Loan Documents, as described in any Schedule hereto or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Company or otherwise to transfer property to the Company, (b) of any Significant Restricted Person to redeem Equity Interests held in it by the Company, (c) of any Significant Restricted Person to repay loans and other Indebtedness owing by it to the Company, or (d) of any Significant Restricted Person to guarantee the payment of Indebtedness of the Company.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7.07 Use of Proceeds</w:t>
      </w:r>
      <w:r>
        <w:rPr>
          <w:rFonts w:ascii="Arial" w:cs="Arial" w:eastAsia="Arial" w:hAnsi="Arial"/>
          <w:sz w:val="17"/>
          <w:szCs w:val="17"/>
          <w:color w:val="auto"/>
        </w:rPr>
        <w:t>. Use the proceeds of any Loans, whether directly or indirectly, and whether immediately, incidentally or ultimately, (a)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312" w:lineRule="auto"/>
        <w:rPr>
          <w:sz w:val="20"/>
          <w:szCs w:val="20"/>
          <w:color w:val="auto"/>
        </w:rPr>
      </w:pPr>
      <w:r>
        <w:rPr>
          <w:rFonts w:ascii="Arial" w:cs="Arial" w:eastAsia="Arial" w:hAnsi="Arial"/>
          <w:sz w:val="17"/>
          <w:szCs w:val="17"/>
          <w:b w:val="1"/>
          <w:bCs w:val="1"/>
          <w:color w:val="auto"/>
        </w:rPr>
        <w:t>7.08 Consolidated Leverage Ratio</w:t>
      </w:r>
      <w:r>
        <w:rPr>
          <w:rFonts w:ascii="Arial" w:cs="Arial" w:eastAsia="Arial" w:hAnsi="Arial"/>
          <w:sz w:val="17"/>
          <w:szCs w:val="17"/>
          <w:color w:val="auto"/>
        </w:rPr>
        <w:t>. Permit the Consolidated Leverage Ratio as of the end of any fiscal quarter of the Company to be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ratio set forth below opposite such period, calculated, with respect to Consolidated EBITDA, on a trailing four-quarter basis: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ind w:left="620"/>
              <w:spacing w:after="0"/>
              <w:rPr>
                <w:sz w:val="20"/>
                <w:szCs w:val="20"/>
                <w:color w:val="auto"/>
              </w:rPr>
            </w:pPr>
            <w:r>
              <w:rPr>
                <w:rFonts w:ascii="Arial" w:cs="Arial" w:eastAsia="Arial" w:hAnsi="Arial"/>
                <w:sz w:val="18"/>
                <w:szCs w:val="18"/>
                <w:b w:val="1"/>
                <w:bCs w:val="1"/>
                <w:color w:val="auto"/>
              </w:rPr>
              <w:t>Consolidated</w:t>
            </w:r>
          </w:p>
        </w:tc>
      </w:tr>
      <w:tr>
        <w:trPr>
          <w:trHeight w:val="234"/>
        </w:trPr>
        <w:tc>
          <w:tcPr>
            <w:tcW w:w="6660" w:type="dxa"/>
            <w:vAlign w:val="bottom"/>
            <w:gridSpan w:val="2"/>
          </w:tcPr>
          <w:p>
            <w:pPr>
              <w:ind w:left="2540"/>
              <w:spacing w:after="0"/>
              <w:rPr>
                <w:sz w:val="20"/>
                <w:szCs w:val="20"/>
                <w:color w:val="auto"/>
              </w:rPr>
            </w:pPr>
            <w:r>
              <w:rPr>
                <w:rFonts w:ascii="Arial" w:cs="Arial" w:eastAsia="Arial" w:hAnsi="Arial"/>
                <w:sz w:val="18"/>
                <w:szCs w:val="18"/>
                <w:b w:val="1"/>
                <w:bCs w:val="1"/>
                <w:color w:val="auto"/>
              </w:rPr>
              <w:t>Applicable Period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 Ratio</w:t>
            </w:r>
          </w:p>
        </w:tc>
      </w:tr>
      <w:tr>
        <w:trPr>
          <w:trHeight w:val="195"/>
        </w:trPr>
        <w:tc>
          <w:tcPr>
            <w:tcW w:w="6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 During an Acquisition Period</w:t>
            </w:r>
          </w:p>
        </w:tc>
        <w:tc>
          <w:tcPr>
            <w:tcW w:w="20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5.50:1.0</w:t>
            </w:r>
          </w:p>
        </w:tc>
      </w:tr>
      <w:tr>
        <w:trPr>
          <w:trHeight w:val="230"/>
        </w:trPr>
        <w:tc>
          <w:tcPr>
            <w:tcW w:w="6660" w:type="dxa"/>
            <w:vAlign w:val="bottom"/>
            <w:gridSpan w:val="2"/>
          </w:tcPr>
          <w:p>
            <w:pPr>
              <w:ind w:left="100"/>
              <w:spacing w:after="0"/>
              <w:rPr>
                <w:sz w:val="20"/>
                <w:szCs w:val="20"/>
                <w:color w:val="auto"/>
              </w:rPr>
            </w:pPr>
            <w:r>
              <w:rPr>
                <w:rFonts w:ascii="Arial" w:cs="Arial" w:eastAsia="Arial" w:hAnsi="Arial"/>
                <w:sz w:val="18"/>
                <w:szCs w:val="18"/>
                <w:color w:val="auto"/>
              </w:rPr>
              <w:t>(ii) Other than during an Acquisition Period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5.00:1.0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Consolidated EBITDA may include, at the Company’s option any Material Project EBITDA Adjustments as provided below, limited in each case with respect to any non-wholly-owned Subsidiary or Qualifying JV Entity to a proportional amount of such adjustments equal to the Company’s direct or indirect ownership interest therein.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Material Project EBITDA Adjustments</w:t>
      </w:r>
      <w:r>
        <w:rPr>
          <w:rFonts w:ascii="Arial" w:cs="Arial" w:eastAsia="Arial" w:hAnsi="Arial"/>
          <w:sz w:val="18"/>
          <w:szCs w:val="18"/>
          <w:color w:val="auto"/>
        </w:rPr>
        <w:t>” means, with respect to the construction or expansion of any capital project of the Company, any of its Subsidiaries or any Qualifying JV Entity (excluding, for the avoidance of doubt, Unrestricted Subsidiaries), the aggregate capital cost of which (inclusive of capital costs expended prior to the acquisition thereof) is reasonably expected by Company to exceed, or exceeds, $50,000,000 (a “</w:t>
      </w:r>
      <w:r>
        <w:rPr>
          <w:rFonts w:ascii="Arial" w:cs="Arial" w:eastAsia="Arial" w:hAnsi="Arial"/>
          <w:sz w:val="18"/>
          <w:szCs w:val="18"/>
          <w:u w:val="single" w:color="auto"/>
          <w:color w:val="auto"/>
        </w:rPr>
        <w:t>Material Project</w:t>
      </w:r>
      <w:r>
        <w:rPr>
          <w:rFonts w:ascii="Arial" w:cs="Arial" w:eastAsia="Arial" w:hAnsi="Arial"/>
          <w:sz w:val="18"/>
          <w:szCs w:val="18"/>
          <w:color w:val="auto"/>
        </w:rPr>
        <w:t>”):</w:t>
      </w:r>
    </w:p>
    <w:p>
      <w:pPr>
        <w:spacing w:after="0" w:line="187" w:lineRule="exact"/>
        <w:rPr>
          <w:sz w:val="20"/>
          <w:szCs w:val="20"/>
          <w:color w:val="auto"/>
        </w:rPr>
      </w:pPr>
    </w:p>
    <w:p>
      <w:pPr>
        <w:jc w:val="both"/>
        <w:ind w:left="660" w:firstLine="644"/>
        <w:spacing w:after="0" w:line="268" w:lineRule="auto"/>
        <w:tabs>
          <w:tab w:leader="none" w:pos="182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prior to the date on which a Material Project has achieved commercial operation (the “</w:t>
      </w:r>
      <w:r>
        <w:rPr>
          <w:rFonts w:ascii="Arial" w:cs="Arial" w:eastAsia="Arial" w:hAnsi="Arial"/>
          <w:sz w:val="17"/>
          <w:szCs w:val="17"/>
          <w:u w:val="single" w:color="auto"/>
          <w:color w:val="auto"/>
        </w:rPr>
        <w:t>Commercial Operation Date</w:t>
      </w:r>
      <w:r>
        <w:rPr>
          <w:rFonts w:ascii="Arial" w:cs="Arial" w:eastAsia="Arial" w:hAnsi="Arial"/>
          <w:sz w:val="17"/>
          <w:szCs w:val="17"/>
          <w:color w:val="auto"/>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Company’s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Arial" w:cs="Arial" w:eastAsia="Arial" w:hAnsi="Arial"/>
          <w:sz w:val="17"/>
          <w:szCs w:val="17"/>
          <w:b w:val="1"/>
          <w:bCs w:val="1"/>
          <w:color w:val="auto"/>
        </w:rPr>
        <w:t>,</w:t>
      </w:r>
      <w:r>
        <w:rPr>
          <w:rFonts w:ascii="Arial" w:cs="Arial" w:eastAsia="Arial" w:hAnsi="Arial"/>
          <w:sz w:val="17"/>
          <w:szCs w:val="17"/>
          <w:color w:val="auto"/>
        </w:rPr>
        <w:t xml:space="preserve"> (iii) longer than 180 days but not more than 270 days, 50%, (iv) longer than 270 days but not more than 365 days, 75%, and (v) longer than 365 days, 100%;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660" w:firstLine="644"/>
        <w:spacing w:after="0" w:line="259" w:lineRule="auto"/>
        <w:tabs>
          <w:tab w:leader="none" w:pos="181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Company’s option, be added to actual Consolidated EBITDA for such fiscal quarters; and</w:t>
      </w:r>
    </w:p>
    <w:p>
      <w:pPr>
        <w:spacing w:after="0" w:line="186" w:lineRule="exact"/>
        <w:rPr>
          <w:rFonts w:ascii="Arial" w:cs="Arial" w:eastAsia="Arial" w:hAnsi="Arial"/>
          <w:sz w:val="18"/>
          <w:szCs w:val="18"/>
          <w:color w:val="auto"/>
        </w:rPr>
      </w:pPr>
    </w:p>
    <w:p>
      <w:pPr>
        <w:jc w:val="both"/>
        <w:ind w:left="660" w:firstLine="644"/>
        <w:spacing w:after="0" w:line="268" w:lineRule="auto"/>
        <w:tabs>
          <w:tab w:leader="none" w:pos="181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the aggregate amount of (i) all Material Project EBITDA Adjustments (including any Material Project EBITDA Adjustments attributable to Material Projects of Qualifying JV Entities)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Arial" w:cs="Arial" w:eastAsia="Arial" w:hAnsi="Arial"/>
          <w:sz w:val="17"/>
          <w:szCs w:val="17"/>
          <w:u w:val="single" w:color="auto"/>
          <w:color w:val="auto"/>
        </w:rPr>
        <w:t>subclauses</w:t>
      </w:r>
    </w:p>
    <w:p>
      <w:pPr>
        <w:spacing w:after="0" w:line="2" w:lineRule="exact"/>
        <w:rPr>
          <w:rFonts w:ascii="Arial" w:cs="Arial" w:eastAsia="Arial" w:hAnsi="Arial"/>
          <w:sz w:val="17"/>
          <w:szCs w:val="17"/>
          <w:color w:val="auto"/>
        </w:rPr>
      </w:pPr>
    </w:p>
    <w:p>
      <w:pPr>
        <w:ind w:left="880" w:hanging="224"/>
        <w:spacing w:after="0"/>
        <w:tabs>
          <w:tab w:leader="none" w:pos="880"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be determined without including any Material Project EBITDA Adjustments.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addition, for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Hybrid Securities up to an aggregate principal amount of 15% of Consolidated Total Capitalization shall be excluded from Consolidated Funded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Deliverables for Material Project EBITDA Adjustments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shall, no later than three Business Days (or such shorter period as permitted by the Administrative Agent) prior to its delivery of a Compliance Certificate for any fiscal quarter for which the Company desires to include Material Project EBITDA Adjustments, deliver to Administrative Agent, in form and substance reasonably satisfactory to Administrative Agent and certified by a financial officer of the Company, written pro forma projections of Consolidated EBITDA attributable to such Material Project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7.09 Unrestricted Subsidiaries</w:t>
      </w:r>
      <w:r>
        <w:rPr>
          <w:rFonts w:ascii="Arial" w:cs="Arial" w:eastAsia="Arial" w:hAnsi="Arial"/>
          <w:sz w:val="18"/>
          <w:szCs w:val="18"/>
          <w:color w:val="auto"/>
        </w:rPr>
        <w:t>. So long as no Default or Event of Default has occurred and is continuing, and immediately after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designation on a pro forma basis, no Default or Event of Default would result therefrom, the Company or any wholly-owned Subsidiary of the Company may designate one or more Subsidiaries as Unrestricted Subsidiaries (each such Subsidiary, and each of its Subsidiaries, an “Unrestricted Subsidiary”), which Unrestricted Subsidiaries shall be subject to the following:</w:t>
      </w:r>
    </w:p>
    <w:p>
      <w:pPr>
        <w:spacing w:after="0" w:line="184" w:lineRule="exact"/>
        <w:rPr>
          <w:sz w:val="20"/>
          <w:szCs w:val="20"/>
          <w:color w:val="auto"/>
        </w:rPr>
      </w:pPr>
    </w:p>
    <w:p>
      <w:pPr>
        <w:jc w:val="both"/>
        <w:ind w:firstLine="656"/>
        <w:spacing w:after="0" w:line="259" w:lineRule="auto"/>
        <w:tabs>
          <w:tab w:leader="none" w:pos="1117"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 xml:space="preserve">No Unrestricted Subsidiary shall be deemed to be a “Restricted Person” or a “Subsidiary” of the Company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56"/>
        <w:spacing w:after="0" w:line="293" w:lineRule="auto"/>
        <w:tabs>
          <w:tab w:leader="none" w:pos="1127" w:val="left"/>
        </w:tabs>
        <w:numPr>
          <w:ilvl w:val="0"/>
          <w:numId w:val="145"/>
        </w:numPr>
        <w:rPr>
          <w:rFonts w:ascii="Arial" w:cs="Arial" w:eastAsia="Arial" w:hAnsi="Arial"/>
          <w:sz w:val="16"/>
          <w:szCs w:val="16"/>
          <w:color w:val="010000"/>
        </w:rPr>
      </w:pPr>
      <w:r>
        <w:rPr>
          <w:rFonts w:ascii="Arial" w:cs="Arial" w:eastAsia="Arial" w:hAnsi="Arial"/>
          <w:sz w:val="16"/>
          <w:szCs w:val="16"/>
          <w:color w:val="auto"/>
        </w:rPr>
        <w:t xml:space="preserve">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6"/>
          <w:szCs w:val="16"/>
          <w:u w:val="single" w:color="auto"/>
          <w:color w:val="auto"/>
        </w:rPr>
        <w:t>provided</w:t>
      </w:r>
      <w:r>
        <w:rPr>
          <w:rFonts w:ascii="Arial" w:cs="Arial" w:eastAsia="Arial" w:hAnsi="Arial"/>
          <w:sz w:val="16"/>
          <w:szCs w:val="16"/>
          <w:color w:val="auto"/>
        </w:rPr>
        <w:t>, Restricted Persons may guarantee trade accounts payable of Unrestricted Subsidiaries that arise in the ordinary course of business in an amount not to exceed five percent (5%) of the Company’s Consolidated Net Tangible Assets.</w:t>
      </w:r>
    </w:p>
    <w:p>
      <w:pPr>
        <w:spacing w:after="0" w:line="164" w:lineRule="exact"/>
        <w:rPr>
          <w:rFonts w:ascii="Arial" w:cs="Arial" w:eastAsia="Arial" w:hAnsi="Arial"/>
          <w:sz w:val="16"/>
          <w:szCs w:val="16"/>
          <w:color w:val="010000"/>
        </w:rPr>
      </w:pPr>
    </w:p>
    <w:p>
      <w:pPr>
        <w:ind w:firstLine="656"/>
        <w:spacing w:after="0" w:line="277" w:lineRule="auto"/>
        <w:tabs>
          <w:tab w:leader="none" w:pos="1117"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The Company shall at all times maintain, as between Restricted Persons and Unrestricted Subsidiaries, the separate existence of each Unrestricted Subsidiary.</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127"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other than Indebtedness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Immediately thereafter, Company shall promptly notify Administrative Agent of such designation and provide to it an officer’s certificate that such designation was made in compliance with this </w:t>
      </w:r>
      <w:r>
        <w:rPr>
          <w:rFonts w:ascii="Arial" w:cs="Arial" w:eastAsia="Arial" w:hAnsi="Arial"/>
          <w:sz w:val="16"/>
          <w:szCs w:val="16"/>
          <w:u w:val="single" w:color="auto"/>
          <w:color w:val="auto"/>
        </w:rPr>
        <w:t>Section 7.09</w:t>
      </w:r>
      <w:r>
        <w:rPr>
          <w:rFonts w:ascii="Arial" w:cs="Arial" w:eastAsia="Arial" w:hAnsi="Arial"/>
          <w:sz w:val="16"/>
          <w:szCs w:val="16"/>
          <w:color w:val="auto"/>
        </w:rPr>
        <w:t>.</w:t>
      </w:r>
    </w:p>
    <w:p>
      <w:pPr>
        <w:spacing w:after="0" w:line="15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jc w:val="both"/>
        <w:ind w:firstLine="656"/>
        <w:spacing w:after="0" w:line="259" w:lineRule="auto"/>
        <w:tabs>
          <w:tab w:leader="none" w:pos="1117" w:val="left"/>
        </w:tabs>
        <w:numPr>
          <w:ilvl w:val="0"/>
          <w:numId w:val="146"/>
        </w:numPr>
        <w:rPr>
          <w:rFonts w:ascii="Arial" w:cs="Arial" w:eastAsia="Arial" w:hAnsi="Arial"/>
          <w:sz w:val="18"/>
          <w:szCs w:val="18"/>
          <w:color w:val="010000"/>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Any Borrower or any other Loan Party fails to pay (i) when due and payable, any amount of principal of any Loan or any L/C Obligation, or (ii) within three Business Days after the same becomes due and payable, any interest on any Loan or on any L/C Obligation, or any fee due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or (iii) within five Business Days after the same becomes due, any other amount payable hereunder or under any other Loan Document; or</w:t>
      </w:r>
    </w:p>
    <w:p>
      <w:pPr>
        <w:spacing w:after="0" w:line="186" w:lineRule="exact"/>
        <w:rPr>
          <w:rFonts w:ascii="Arial" w:cs="Arial" w:eastAsia="Arial" w:hAnsi="Arial"/>
          <w:sz w:val="18"/>
          <w:szCs w:val="18"/>
          <w:color w:val="010000"/>
        </w:rPr>
      </w:pPr>
    </w:p>
    <w:p>
      <w:pPr>
        <w:ind w:left="1140" w:hanging="484"/>
        <w:spacing w:after="0"/>
        <w:tabs>
          <w:tab w:leader="none" w:pos="1140" w:val="left"/>
        </w:tabs>
        <w:numPr>
          <w:ilvl w:val="0"/>
          <w:numId w:val="146"/>
        </w:numPr>
        <w:rPr>
          <w:rFonts w:ascii="Arial" w:cs="Arial" w:eastAsia="Arial" w:hAnsi="Arial"/>
          <w:sz w:val="17"/>
          <w:szCs w:val="17"/>
          <w:color w:val="010000"/>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Company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656"/>
        <w:spacing w:after="0" w:line="263" w:lineRule="auto"/>
        <w:tabs>
          <w:tab w:leader="none" w:pos="1117"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83" w:lineRule="exact"/>
        <w:rPr>
          <w:rFonts w:ascii="Arial" w:cs="Arial" w:eastAsia="Arial" w:hAnsi="Arial"/>
          <w:sz w:val="18"/>
          <w:szCs w:val="18"/>
          <w:color w:val="010000"/>
        </w:rPr>
      </w:pPr>
    </w:p>
    <w:p>
      <w:pPr>
        <w:ind w:right="20" w:firstLine="656"/>
        <w:spacing w:after="0" w:line="277" w:lineRule="auto"/>
        <w:tabs>
          <w:tab w:leader="none" w:pos="1127" w:val="left"/>
        </w:tabs>
        <w:numPr>
          <w:ilvl w:val="0"/>
          <w:numId w:val="147"/>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or deemed made by or on behalf of the Company or any other Loan Party herein or in any other Loan Document shall be incorrect when made or deemed made in any material respect; or</w:t>
      </w:r>
    </w:p>
    <w:p>
      <w:pPr>
        <w:spacing w:after="0" w:line="170" w:lineRule="exact"/>
        <w:rPr>
          <w:rFonts w:ascii="Arial" w:cs="Arial" w:eastAsia="Arial" w:hAnsi="Arial"/>
          <w:sz w:val="18"/>
          <w:szCs w:val="18"/>
          <w:color w:val="010000"/>
        </w:rPr>
      </w:pPr>
    </w:p>
    <w:p>
      <w:pPr>
        <w:jc w:val="both"/>
        <w:ind w:firstLine="656"/>
        <w:spacing w:after="0" w:line="285" w:lineRule="auto"/>
        <w:tabs>
          <w:tab w:leader="none" w:pos="1117" w:val="left"/>
        </w:tabs>
        <w:numPr>
          <w:ilvl w:val="0"/>
          <w:numId w:val="147"/>
        </w:numPr>
        <w:rPr>
          <w:rFonts w:ascii="Arial" w:cs="Arial" w:eastAsia="Arial" w:hAnsi="Arial"/>
          <w:sz w:val="16"/>
          <w:szCs w:val="16"/>
          <w:color w:val="010000"/>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w:t>
      </w:r>
    </w:p>
    <w:p>
      <w:pPr>
        <w:spacing w:after="0" w:line="171" w:lineRule="exact"/>
        <w:rPr>
          <w:rFonts w:ascii="Arial" w:cs="Arial" w:eastAsia="Arial" w:hAnsi="Arial"/>
          <w:sz w:val="16"/>
          <w:szCs w:val="16"/>
          <w:color w:val="010000"/>
        </w:rPr>
      </w:pPr>
    </w:p>
    <w:p>
      <w:pPr>
        <w:jc w:val="both"/>
        <w:ind w:firstLine="656"/>
        <w:spacing w:after="0" w:line="272" w:lineRule="auto"/>
        <w:tabs>
          <w:tab w:leader="none" w:pos="1120" w:val="left"/>
        </w:tabs>
        <w:numPr>
          <w:ilvl w:val="0"/>
          <w:numId w:val="147"/>
        </w:numPr>
        <w:rPr>
          <w:rFonts w:ascii="Arial" w:cs="Arial" w:eastAsia="Arial" w:hAnsi="Arial"/>
          <w:sz w:val="17"/>
          <w:szCs w:val="17"/>
          <w:color w:val="010000"/>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Any Loan Party,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656"/>
        <w:spacing w:after="0" w:line="259" w:lineRule="auto"/>
        <w:tabs>
          <w:tab w:leader="none" w:pos="1127"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The Company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6" w:lineRule="exact"/>
        <w:rPr>
          <w:rFonts w:ascii="Arial" w:cs="Arial" w:eastAsia="Arial" w:hAnsi="Arial"/>
          <w:sz w:val="18"/>
          <w:szCs w:val="18"/>
          <w:color w:val="010000"/>
        </w:rPr>
      </w:pPr>
    </w:p>
    <w:p>
      <w:pPr>
        <w:jc w:val="both"/>
        <w:ind w:firstLine="656"/>
        <w:spacing w:after="0" w:line="255" w:lineRule="auto"/>
        <w:tabs>
          <w:tab w:leader="none" w:pos="1127"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Significant Restricted Person a final judgment for the payment of money in an aggregate amount (as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192" w:lineRule="exact"/>
        <w:rPr>
          <w:rFonts w:ascii="Arial" w:cs="Arial" w:eastAsia="Arial" w:hAnsi="Arial"/>
          <w:sz w:val="18"/>
          <w:szCs w:val="18"/>
          <w:color w:val="010000"/>
        </w:rPr>
      </w:pPr>
    </w:p>
    <w:p>
      <w:pPr>
        <w:jc w:val="both"/>
        <w:ind w:firstLine="656"/>
        <w:spacing w:after="0" w:line="257" w:lineRule="auto"/>
        <w:tabs>
          <w:tab w:leader="none" w:pos="111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7" w:lineRule="exact"/>
        <w:rPr>
          <w:rFonts w:ascii="Arial" w:cs="Arial" w:eastAsia="Arial" w:hAnsi="Arial"/>
          <w:sz w:val="18"/>
          <w:szCs w:val="18"/>
          <w:color w:val="010000"/>
        </w:rPr>
      </w:pPr>
    </w:p>
    <w:p>
      <w:pPr>
        <w:jc w:val="both"/>
        <w:ind w:firstLine="656"/>
        <w:spacing w:after="0" w:line="259" w:lineRule="auto"/>
        <w:tabs>
          <w:tab w:leader="none" w:pos="111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010000"/>
        </w:rPr>
      </w:pPr>
    </w:p>
    <w:p>
      <w:pPr>
        <w:ind w:left="1140" w:hanging="484"/>
        <w:spacing w:after="0"/>
        <w:tabs>
          <w:tab w:leader="none" w:pos="1140" w:val="left"/>
        </w:tabs>
        <w:numPr>
          <w:ilvl w:val="0"/>
          <w:numId w:val="148"/>
        </w:numPr>
        <w:rPr>
          <w:rFonts w:ascii="Arial" w:cs="Arial" w:eastAsia="Arial" w:hAnsi="Arial"/>
          <w:sz w:val="18"/>
          <w:szCs w:val="18"/>
          <w:color w:val="010000"/>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firstLine="656"/>
        <w:spacing w:after="0" w:line="342" w:lineRule="auto"/>
        <w:tabs>
          <w:tab w:leader="none" w:pos="1117" w:val="left"/>
        </w:tabs>
        <w:numPr>
          <w:ilvl w:val="0"/>
          <w:numId w:val="149"/>
        </w:numPr>
        <w:rPr>
          <w:rFonts w:ascii="Arial" w:cs="Arial" w:eastAsia="Arial" w:hAnsi="Arial"/>
          <w:sz w:val="16"/>
          <w:szCs w:val="16"/>
          <w:color w:val="010000"/>
        </w:rPr>
      </w:pPr>
      <w:r>
        <w:rPr>
          <w:rFonts w:ascii="Arial" w:cs="Arial" w:eastAsia="Arial" w:hAnsi="Arial"/>
          <w:sz w:val="16"/>
          <w:szCs w:val="16"/>
          <w:color w:val="auto"/>
        </w:rPr>
        <w:t>declare the commitment of each Lender to make Loans and any obligation of the L/C Issuers to make L/C Credit Extensions to be terminated or suspended (as the case may be), whereupon such commitments and obligation shall be terminated or suspended (as the case may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56"/>
        <w:spacing w:after="0" w:line="263" w:lineRule="auto"/>
        <w:tabs>
          <w:tab w:leader="none" w:pos="1127"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3" w:lineRule="exact"/>
        <w:rPr>
          <w:rFonts w:ascii="Arial" w:cs="Arial" w:eastAsia="Arial" w:hAnsi="Arial"/>
          <w:sz w:val="18"/>
          <w:szCs w:val="18"/>
          <w:color w:val="010000"/>
        </w:rPr>
      </w:pPr>
    </w:p>
    <w:p>
      <w:pPr>
        <w:ind w:left="1120" w:hanging="464"/>
        <w:spacing w:after="0"/>
        <w:tabs>
          <w:tab w:leader="none" w:pos="1120"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require that the Company Cash Collateralize the L/C Obligations and Canadian BA’s (in an amount equal to the then Outstanding Amount</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010000"/>
        </w:rPr>
      </w:pPr>
    </w:p>
    <w:p>
      <w:pPr>
        <w:ind w:right="20" w:firstLine="656"/>
        <w:spacing w:after="0" w:line="277" w:lineRule="auto"/>
        <w:tabs>
          <w:tab w:leader="none" w:pos="1127"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exercise on behalf of itself, the Lenders and the L/C Issuers all rights and remedies available to it, the Lenders and the L/C Issuers under the Loan Documents;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 Section 8.02 (or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due and payable and the L/C Obligations have automatically been required to be Cash Collateralized as set forth in the proviso to Section 8.02), any amounts received on account of the Obligations shall, subject to the provisions of Sections 2.17 and 2.18, be applied by the Administrative Agent in the following order: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6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Company pursuant to </w:t>
      </w:r>
      <w:r>
        <w:rPr>
          <w:rFonts w:ascii="Arial" w:cs="Arial" w:eastAsia="Arial" w:hAnsi="Arial"/>
          <w:sz w:val="18"/>
          <w:szCs w:val="18"/>
          <w:u w:val="single" w:color="auto"/>
          <w:color w:val="auto"/>
        </w:rPr>
        <w:t>Sections 2.04 and 2.18</w:t>
      </w:r>
      <w:r>
        <w:rPr>
          <w:rFonts w:ascii="Arial" w:cs="Arial" w:eastAsia="Arial" w:hAnsi="Arial"/>
          <w:sz w:val="18"/>
          <w:szCs w:val="18"/>
          <w:color w:val="auto"/>
        </w:rPr>
        <w:t xml:space="preserve">, ratably among the L/C Issuers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payment Obligations have been indefeasibly paid in full, to the Company or as otherwise required by Law.</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2.04(c) and 2.18</w:t>
      </w:r>
      <w:r>
        <w:rPr>
          <w:rFonts w:ascii="Arial" w:cs="Arial" w:eastAsia="Arial" w:hAnsi="Arial"/>
          <w:sz w:val="18"/>
          <w:szCs w:val="18"/>
          <w:color w:val="auto"/>
        </w:rPr>
        <w:t xml:space="preserve">, (x)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9.01 Appointment and Authority</w:t>
      </w:r>
      <w:r>
        <w:rPr>
          <w:rFonts w:ascii="Arial" w:cs="Arial" w:eastAsia="Arial" w:hAnsi="Arial"/>
          <w:sz w:val="18"/>
          <w:szCs w:val="18"/>
          <w:color w:val="auto"/>
        </w:rPr>
        <w:t>. Each of the Lenders and the L/C Issuers hereby irrevocably appoints Bank of America to act on its behalf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Section 9.06).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or any Arranger, as applicable, shall not have any duties or obligations except those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80" w:lineRule="exact"/>
        <w:rPr>
          <w:sz w:val="20"/>
          <w:szCs w:val="20"/>
          <w:color w:val="auto"/>
        </w:rPr>
      </w:pPr>
    </w:p>
    <w:p>
      <w:pPr>
        <w:ind w:left="1120" w:hanging="464"/>
        <w:spacing w:after="0"/>
        <w:tabs>
          <w:tab w:leader="none" w:pos="1120" w:val="left"/>
        </w:tabs>
        <w:numPr>
          <w:ilvl w:val="0"/>
          <w:numId w:val="151"/>
        </w:numPr>
        <w:rPr>
          <w:rFonts w:ascii="Arial" w:cs="Arial" w:eastAsia="Arial" w:hAnsi="Arial"/>
          <w:sz w:val="18"/>
          <w:szCs w:val="18"/>
          <w:color w:val="010000"/>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00" w:lineRule="exact"/>
        <w:rPr>
          <w:rFonts w:ascii="Arial" w:cs="Arial" w:eastAsia="Arial" w:hAnsi="Arial"/>
          <w:sz w:val="18"/>
          <w:szCs w:val="18"/>
          <w:color w:val="010000"/>
        </w:rPr>
      </w:pPr>
    </w:p>
    <w:p>
      <w:pPr>
        <w:spacing w:after="0" w:line="241" w:lineRule="exact"/>
        <w:rPr>
          <w:rFonts w:ascii="Arial" w:cs="Arial" w:eastAsia="Arial" w:hAnsi="Arial"/>
          <w:sz w:val="18"/>
          <w:szCs w:val="18"/>
          <w:color w:val="010000"/>
        </w:rPr>
      </w:pPr>
    </w:p>
    <w:p>
      <w:pPr>
        <w:ind w:left="5480"/>
        <w:spacing w:after="0"/>
        <w:rPr>
          <w:rFonts w:ascii="Arial" w:cs="Arial" w:eastAsia="Arial" w:hAnsi="Arial"/>
          <w:sz w:val="18"/>
          <w:szCs w:val="18"/>
          <w:color w:val="010000"/>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56"/>
        <w:spacing w:after="0" w:line="254" w:lineRule="auto"/>
        <w:tabs>
          <w:tab w:leader="none" w:pos="1127" w:val="left"/>
        </w:tabs>
        <w:numPr>
          <w:ilvl w:val="1"/>
          <w:numId w:val="152"/>
        </w:numPr>
        <w:rPr>
          <w:rFonts w:ascii="Arial" w:cs="Arial" w:eastAsia="Arial" w:hAnsi="Arial"/>
          <w:sz w:val="18"/>
          <w:szCs w:val="18"/>
          <w:color w:val="010000"/>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Arial" w:cs="Arial" w:eastAsia="Arial" w:hAnsi="Arial"/>
          <w:sz w:val="18"/>
          <w:szCs w:val="18"/>
          <w:color w:val="010000"/>
        </w:rPr>
      </w:pPr>
    </w:p>
    <w:p>
      <w:pPr>
        <w:jc w:val="both"/>
        <w:ind w:firstLine="656"/>
        <w:spacing w:after="0" w:line="275" w:lineRule="auto"/>
        <w:tabs>
          <w:tab w:leader="none" w:pos="1117"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shall not,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76" w:lineRule="exact"/>
        <w:rPr>
          <w:rFonts w:ascii="Arial" w:cs="Arial" w:eastAsia="Arial" w:hAnsi="Arial"/>
          <w:sz w:val="17"/>
          <w:szCs w:val="17"/>
          <w:color w:val="010000"/>
        </w:rPr>
      </w:pPr>
    </w:p>
    <w:p>
      <w:pPr>
        <w:jc w:val="both"/>
        <w:ind w:firstLine="656"/>
        <w:spacing w:after="0" w:line="273" w:lineRule="auto"/>
        <w:tabs>
          <w:tab w:leader="none" w:pos="1127"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177" w:lineRule="exact"/>
        <w:rPr>
          <w:rFonts w:ascii="Arial" w:cs="Arial" w:eastAsia="Arial" w:hAnsi="Arial"/>
          <w:sz w:val="17"/>
          <w:szCs w:val="17"/>
          <w:color w:val="010000"/>
        </w:rPr>
      </w:pPr>
    </w:p>
    <w:p>
      <w:pPr>
        <w:ind w:left="1120" w:hanging="464"/>
        <w:spacing w:after="0"/>
        <w:tabs>
          <w:tab w:leader="none" w:pos="1120" w:val="left"/>
        </w:tabs>
        <w:numPr>
          <w:ilvl w:val="1"/>
          <w:numId w:val="152"/>
        </w:numPr>
        <w:rPr>
          <w:rFonts w:ascii="Arial" w:cs="Arial" w:eastAsia="Arial" w:hAnsi="Arial"/>
          <w:sz w:val="17"/>
          <w:szCs w:val="17"/>
          <w:color w:val="010000"/>
        </w:rPr>
      </w:pPr>
      <w:r>
        <w:rPr>
          <w:rFonts w:ascii="Arial" w:cs="Arial" w:eastAsia="Arial" w:hAnsi="Arial"/>
          <w:sz w:val="17"/>
          <w:szCs w:val="17"/>
          <w:color w:val="auto"/>
        </w:rPr>
        <w:t>shall not be responsible for or have any duty or obligation to any Lender or participant or any other Person to ascertain or inquire into</w:t>
      </w:r>
    </w:p>
    <w:p>
      <w:pPr>
        <w:spacing w:after="0" w:line="34" w:lineRule="exact"/>
        <w:rPr>
          <w:rFonts w:ascii="Arial" w:cs="Arial" w:eastAsia="Arial" w:hAnsi="Arial"/>
          <w:sz w:val="17"/>
          <w:szCs w:val="17"/>
          <w:color w:val="010000"/>
        </w:rPr>
      </w:pPr>
    </w:p>
    <w:p>
      <w:pPr>
        <w:jc w:val="both"/>
        <w:ind w:firstLine="8"/>
        <w:spacing w:after="0" w:line="292" w:lineRule="auto"/>
        <w:tabs>
          <w:tab w:leader="none" w:pos="21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89"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9.05 Delegation of Duties</w:t>
      </w:r>
      <w:r>
        <w:rPr>
          <w:rFonts w:ascii="Arial" w:cs="Arial" w:eastAsia="Arial" w:hAnsi="Arial"/>
          <w:sz w:val="18"/>
          <w:szCs w:val="18"/>
          <w:color w:val="auto"/>
        </w:rPr>
        <w:t>. The Administrative Agent may perform any and all of its duties and exercise its rights and powers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tabs>
          <w:tab w:leader="none" w:pos="114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color w:val="auto"/>
        </w:rPr>
        <w:t>Resignation or Removal of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4" w:lineRule="auto"/>
        <w:tabs>
          <w:tab w:leader="none" w:pos="1117"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The Administrative Agent may at any time give notice of its resignation to the Lenders, the L/C Issuers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Section 3.01(g)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69" w:lineRule="exact"/>
        <w:rPr>
          <w:rFonts w:ascii="Arial" w:cs="Arial" w:eastAsia="Arial" w:hAnsi="Arial"/>
          <w:sz w:val="16"/>
          <w:szCs w:val="16"/>
          <w:color w:val="010000"/>
        </w:rPr>
      </w:pPr>
    </w:p>
    <w:p>
      <w:pPr>
        <w:jc w:val="both"/>
        <w:ind w:firstLine="656"/>
        <w:spacing w:after="0" w:line="283" w:lineRule="auto"/>
        <w:tabs>
          <w:tab w:leader="none" w:pos="1127"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 xml:space="preserve">Any resignation by, or removal of, Bank of America as Administrative Agent pursuant to this Section shall also constitute its resignation or 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rFonts w:ascii="Arial" w:cs="Arial" w:eastAsia="Arial" w:hAnsi="Arial"/>
          <w:sz w:val="16"/>
          <w:szCs w:val="16"/>
          <w:color w:val="010000"/>
        </w:rPr>
      </w:pPr>
    </w:p>
    <w:p>
      <w:pPr>
        <w:jc w:val="both"/>
        <w:ind w:firstLine="8"/>
        <w:spacing w:after="0" w:line="255" w:lineRule="auto"/>
        <w:tabs>
          <w:tab w:leader="none" w:pos="2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4" w:lineRule="auto"/>
        <w:rPr>
          <w:sz w:val="20"/>
          <w:szCs w:val="20"/>
          <w:color w:val="auto"/>
        </w:rPr>
      </w:pPr>
      <w:r>
        <w:rPr>
          <w:rFonts w:ascii="Arial" w:cs="Arial" w:eastAsia="Arial" w:hAnsi="Arial"/>
          <w:sz w:val="16"/>
          <w:szCs w:val="16"/>
          <w:b w:val="1"/>
          <w:bCs w:val="1"/>
          <w:color w:val="auto"/>
        </w:rPr>
        <w:t>9.07 Non-Reliance on Administrative Agent, the Arrangers and Other Lenders</w:t>
      </w:r>
      <w:r>
        <w:rPr>
          <w:rFonts w:ascii="Arial" w:cs="Arial" w:eastAsia="Arial" w:hAnsi="Arial"/>
          <w:sz w:val="16"/>
          <w:szCs w:val="16"/>
          <w:color w:val="auto"/>
        </w:rPr>
        <w:t>. Each Lender and each L/C Issuer expressly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39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Arrangers or Syndication Agents listed on the cover</w:t>
      </w:r>
      <w:r>
        <w:rPr>
          <w:rFonts w:ascii="Arial" w:cs="Arial" w:eastAsia="Arial" w:hAnsi="Arial"/>
          <w:sz w:val="18"/>
          <w:szCs w:val="18"/>
          <w:b w:val="1"/>
          <w:bCs w:val="1"/>
          <w:color w:val="auto"/>
        </w:rPr>
        <w:t xml:space="preserve"> </w:t>
      </w:r>
      <w:r>
        <w:rPr>
          <w:rFonts w:ascii="Arial" w:cs="Arial" w:eastAsia="Arial" w:hAnsi="Arial"/>
          <w:sz w:val="18"/>
          <w:szCs w:val="18"/>
          <w:color w:val="auto"/>
        </w:rPr>
        <w:t>page hereof shall have any powers, duties or responsibilities under this Agreement or any of the other Loan Documents, except in its capacity, as applicable, as the Administrative Agent, a Lender or an L/C Issuer 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firstLine="656"/>
        <w:spacing w:after="0" w:line="275" w:lineRule="auto"/>
        <w:tabs>
          <w:tab w:leader="none" w:pos="1117" w:val="left"/>
        </w:tabs>
        <w:numPr>
          <w:ilvl w:val="0"/>
          <w:numId w:val="156"/>
        </w:numPr>
        <w:rPr>
          <w:rFonts w:ascii="Arial" w:cs="Arial" w:eastAsia="Arial" w:hAnsi="Arial"/>
          <w:sz w:val="17"/>
          <w:szCs w:val="17"/>
          <w:color w:val="010000"/>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2.04(h)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010000"/>
        </w:rPr>
      </w:pPr>
    </w:p>
    <w:p>
      <w:pPr>
        <w:ind w:left="1140" w:hanging="484"/>
        <w:spacing w:after="0"/>
        <w:tabs>
          <w:tab w:leader="none" w:pos="1140" w:val="left"/>
        </w:tabs>
        <w:numPr>
          <w:ilvl w:val="0"/>
          <w:numId w:val="156"/>
        </w:numPr>
        <w:rPr>
          <w:rFonts w:ascii="Arial" w:cs="Arial" w:eastAsia="Arial" w:hAnsi="Arial"/>
          <w:sz w:val="16"/>
          <w:szCs w:val="16"/>
          <w:color w:val="010000"/>
        </w:rPr>
      </w:pPr>
      <w:r>
        <w:rPr>
          <w:rFonts w:ascii="Arial" w:cs="Arial" w:eastAsia="Arial" w:hAnsi="Arial"/>
          <w:sz w:val="16"/>
          <w:szCs w:val="16"/>
          <w:color w:val="auto"/>
        </w:rPr>
        <w:t>to collect and receive any monies or other property payable or deliverable on any such claims and to distribute the same in accordance with</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Lender or any L/C Issuer any plan of reorganization, arrangement, adjustment or composition affecting the Obligations or the rights of any Lender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 Issuer to authorize the Administrative Agent to vote in respect of the claim of any Lender or any L/C Issuer in any such proceeding.</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9.10 Collateral Matters</w:t>
      </w:r>
      <w:r>
        <w:rPr>
          <w:rFonts w:ascii="Arial" w:cs="Arial" w:eastAsia="Arial" w:hAnsi="Arial"/>
          <w:sz w:val="16"/>
          <w:szCs w:val="16"/>
          <w:color w:val="auto"/>
        </w:rPr>
        <w:t>. The Lenders and the L/C Issuers irrevocably authorize the Administrative Agent, at its option and in its discretion,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is sold or to be sold as part of or in connection with any sale not prohibited hereunder or under any other Loan Document, or</w:t>
      </w:r>
    </w:p>
    <w:p>
      <w:pPr>
        <w:spacing w:after="0" w:line="2" w:lineRule="exact"/>
        <w:rPr>
          <w:sz w:val="20"/>
          <w:szCs w:val="20"/>
          <w:color w:val="auto"/>
        </w:rPr>
      </w:pPr>
    </w:p>
    <w:p>
      <w:pPr>
        <w:jc w:val="both"/>
        <w:ind w:firstLine="8"/>
        <w:spacing w:after="0" w:line="255" w:lineRule="auto"/>
        <w:tabs>
          <w:tab w:leader="none" w:pos="3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Section 11.01,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Section 9.10.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tabs>
          <w:tab w:leader="none" w:pos="11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color w:val="auto"/>
        </w:rPr>
        <w:t>Certain ERISA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311" w:lineRule="auto"/>
        <w:tabs>
          <w:tab w:leader="none" w:pos="1117"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48" w:lineRule="exact"/>
        <w:rPr>
          <w:rFonts w:ascii="Arial" w:cs="Arial" w:eastAsia="Arial" w:hAnsi="Arial"/>
          <w:sz w:val="16"/>
          <w:szCs w:val="16"/>
          <w:color w:val="010000"/>
        </w:rPr>
      </w:pPr>
    </w:p>
    <w:p>
      <w:pPr>
        <w:jc w:val="both"/>
        <w:ind w:left="660" w:firstLine="644"/>
        <w:spacing w:after="0" w:line="263" w:lineRule="auto"/>
        <w:tabs>
          <w:tab w:leader="none" w:pos="1793"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82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848"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660" w:firstLine="644"/>
        <w:spacing w:after="0" w:line="277" w:lineRule="auto"/>
        <w:tabs>
          <w:tab w:leader="none" w:pos="1837" w:val="left"/>
        </w:tabs>
        <w:numPr>
          <w:ilvl w:val="2"/>
          <w:numId w:val="15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27" w:val="left"/>
        </w:tabs>
        <w:numPr>
          <w:ilvl w:val="1"/>
          <w:numId w:val="158"/>
        </w:numPr>
        <w:rPr>
          <w:rFonts w:ascii="Arial" w:cs="Arial" w:eastAsia="Arial" w:hAnsi="Arial"/>
          <w:sz w:val="16"/>
          <w:szCs w:val="16"/>
          <w:color w:val="010000"/>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firstLine="8"/>
        <w:spacing w:after="0" w:line="252" w:lineRule="auto"/>
        <w:tabs>
          <w:tab w:leader="none" w:pos="26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89" w:lineRule="auto"/>
        <w:rPr>
          <w:sz w:val="20"/>
          <w:szCs w:val="20"/>
          <w:color w:val="auto"/>
        </w:rPr>
      </w:pPr>
      <w:r>
        <w:rPr>
          <w:rFonts w:ascii="Arial" w:cs="Arial" w:eastAsia="Arial" w:hAnsi="Arial"/>
          <w:sz w:val="16"/>
          <w:szCs w:val="16"/>
          <w:b w:val="1"/>
          <w:bCs w:val="1"/>
          <w:color w:val="auto"/>
        </w:rPr>
        <w:t>9.12 Recovery of Erroneous Payments</w:t>
      </w:r>
      <w:r>
        <w:rPr>
          <w:rFonts w:ascii="Arial" w:cs="Arial" w:eastAsia="Arial" w:hAnsi="Arial"/>
          <w:sz w:val="16"/>
          <w:szCs w:val="16"/>
          <w:color w:val="auto"/>
        </w:rPr>
        <w:t>. 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CONTINUING GUARANTY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10.01 Company Guaranty</w:t>
      </w:r>
      <w:r>
        <w:rPr>
          <w:rFonts w:ascii="Arial" w:cs="Arial" w:eastAsia="Arial" w:hAnsi="Arial"/>
          <w:sz w:val="16"/>
          <w:szCs w:val="16"/>
          <w:color w:val="auto"/>
        </w:rPr>
        <w:t>. The Company hereby absolutely and unconditionally guarantees, as a guaranty of payment and not merely as a</w:t>
      </w:r>
      <w:r>
        <w:rPr>
          <w:rFonts w:ascii="Arial" w:cs="Arial" w:eastAsia="Arial" w:hAnsi="Arial"/>
          <w:sz w:val="16"/>
          <w:szCs w:val="16"/>
          <w:b w:val="1"/>
          <w:bCs w:val="1"/>
          <w:color w:val="auto"/>
        </w:rPr>
        <w:t xml:space="preserve"> </w:t>
      </w:r>
      <w:r>
        <w:rPr>
          <w:rFonts w:ascii="Arial" w:cs="Arial" w:eastAsia="Arial" w:hAnsi="Arial"/>
          <w:sz w:val="16"/>
          <w:szCs w:val="16"/>
          <w:color w:val="auto"/>
        </w:rPr>
        <w:t>guaranty of 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PMCULC and the Designated Borrowers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PMCULC and the Designated Borrowers shall be admissible in evidence in any action or proceeding, and shall be binding upon the Company, and conclusive absent manifest error for the purpose of establishing the amount of the payment Obligations of PMCULC and the Designated Borrowers. This Company Guaranty shall not be affected by the genuineness, validity, regularity or enforceability of the Obligations of PMCULC or the Designated Borrowers or any instrument or agreement evidencing any Obligations of PMCULC or the Designated Borrowers, or by the existence, validity, enforceability, perfection, non-perfection or extent of any collateral therefor, or by any fact or circumstance relating to the Obligations of PMCULC or the Designated Borrowers which might otherwise constitute a defense to the obligations of the Company under this Company Guaranty, and the Company hereby irrevocably waives any defenses it may now have or hereafter acquire in any way relating to any or all of the foregoing.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89" w:lineRule="auto"/>
        <w:rPr>
          <w:sz w:val="20"/>
          <w:szCs w:val="20"/>
          <w:color w:val="auto"/>
        </w:rPr>
      </w:pPr>
      <w:r>
        <w:rPr>
          <w:rFonts w:ascii="Arial" w:cs="Arial" w:eastAsia="Arial" w:hAnsi="Arial"/>
          <w:sz w:val="16"/>
          <w:szCs w:val="16"/>
          <w:b w:val="1"/>
          <w:bCs w:val="1"/>
          <w:color w:val="auto"/>
        </w:rPr>
        <w:t>10.02 Rights of Lenders</w:t>
      </w:r>
      <w:r>
        <w:rPr>
          <w:rFonts w:ascii="Arial" w:cs="Arial" w:eastAsia="Arial" w:hAnsi="Arial"/>
          <w:sz w:val="16"/>
          <w:szCs w:val="16"/>
          <w:color w:val="auto"/>
        </w:rPr>
        <w:t>. The Company consents and agrees that the Lender Parties may, at any time and from time to time, without notice or</w:t>
      </w:r>
      <w:r>
        <w:rPr>
          <w:rFonts w:ascii="Arial" w:cs="Arial" w:eastAsia="Arial" w:hAnsi="Arial"/>
          <w:sz w:val="16"/>
          <w:szCs w:val="16"/>
          <w:b w:val="1"/>
          <w:bCs w:val="1"/>
          <w:color w:val="auto"/>
        </w:rPr>
        <w:t xml:space="preserve"> </w:t>
      </w:r>
      <w:r>
        <w:rPr>
          <w:rFonts w:ascii="Arial" w:cs="Arial" w:eastAsia="Arial" w:hAnsi="Arial"/>
          <w:sz w:val="16"/>
          <w:szCs w:val="16"/>
          <w:color w:val="auto"/>
        </w:rPr>
        <w:t>demand, and without affecting the enforceability or continuing effectiveness hereof, in each case, unless otherwise set forth herein, including in respect of Section 11.01: (a) amend, extend, renew, compromise, discharge, accelerate or otherwise change the time for payment or the terms of the Obligations of PMCULC or the Designated Borrowers or any part thereof; (b) take, hold, exchange, enforce, waive, release, fail to perfect, sell, or otherwise dispose of any security for the payment of this Company Guaranty or any Obligations of PMCULC or the Designated Borrowers; (c) apply such security and direct the order or manner of sale thereof as the Administrative Agent, the L/C Issuers and the Lenders in their sole discretion may determine; and (d) release or substitute one or more of any endorsers or other guarantors of any of the Obligations of PMCULC or the Designated Borrowers. Without limiting the generality of the foregoing, the Company consents to the taking of, or failure to take, any action by the Lender Parties which might in any manner or to any extent vary the risks of the Company under this Company Guaranty or which, but for this provision, might operate as a discharge of the Company.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10.03 Collateral Matters</w:t>
      </w:r>
      <w:r>
        <w:rPr>
          <w:rFonts w:ascii="Arial" w:cs="Arial" w:eastAsia="Arial" w:hAnsi="Arial"/>
          <w:sz w:val="17"/>
          <w:szCs w:val="17"/>
          <w:color w:val="auto"/>
        </w:rPr>
        <w:t>. The Company waives (a) any defense arising by reason of any disability or other defense of PMCULC, any</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Borrower or any other guarantor, or the cessation from any cause whatsoever (including any act or omission of any Lender Party) of the liability of PMCULC or such Designated Borrower (other than a defense of payment or performance); (b) any defense based on any claim that the Company’s obligations exceed or are more burdensome than those of PMCULC or any Designated Borrower; (c) the benefit of any statute of limitations affecting the Company’s liability hereunder; (d) any right to proceed against PMCULC or any Designated Borrower, proceed against or exhaust any security for the Obligations of PMCULC or the Designated Borrowers,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The Company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PMCULC or any Designated Borrower, and all notices of acceptance of this Company Guaranty or of the existence, creation or incurrence of new or additional Obligations of PMCULC or any Designated Borrower.</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10.04 Obligations Independent</w:t>
      </w:r>
      <w:r>
        <w:rPr>
          <w:rFonts w:ascii="Arial" w:cs="Arial" w:eastAsia="Arial" w:hAnsi="Arial"/>
          <w:sz w:val="18"/>
          <w:szCs w:val="18"/>
          <w:color w:val="auto"/>
        </w:rPr>
        <w:t>. The obligations of the Company hereunder are those of primary obligor, and not merely as surety,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of the Obligations of PMCULC and the Designated Borrowers and the obligations of any other guarantor, and a separate action may be brought against the Company to enforce this Company Guaranty whether or not PMCULC, any Designated Borrower or any other person or entity is joined as a party.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10.05 Subrogation</w:t>
      </w:r>
      <w:r>
        <w:rPr>
          <w:rFonts w:ascii="Arial" w:cs="Arial" w:eastAsia="Arial" w:hAnsi="Arial"/>
          <w:sz w:val="17"/>
          <w:szCs w:val="17"/>
          <w:color w:val="auto"/>
        </w:rPr>
        <w:t>. The Company shall not exercise any right of subrogation, contribution, indemnity, reimbursement or similar rights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payments it makes under this Company Guaranty until all of the Obligations of PMCULC and the Designated Borrowers and any amounts payable under this Company Guaranty have been indefeasibly paid in full and the Commitments are terminated. If any amounts are paid to the Company in violation of the foregoing limitation, then such amounts shall be held in trust for the benefit of the Lender Parties and shall forthwith be paid to the Lender Parties to reduce the amount of the Obligations of PMCULC and the Designated Borrowers, whether matured or unmatured.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69" w:lineRule="auto"/>
        <w:rPr>
          <w:sz w:val="20"/>
          <w:szCs w:val="20"/>
          <w:color w:val="auto"/>
        </w:rPr>
      </w:pPr>
      <w:r>
        <w:rPr>
          <w:rFonts w:ascii="Arial" w:cs="Arial" w:eastAsia="Arial" w:hAnsi="Arial"/>
          <w:sz w:val="17"/>
          <w:szCs w:val="17"/>
          <w:b w:val="1"/>
          <w:bCs w:val="1"/>
          <w:color w:val="auto"/>
        </w:rPr>
        <w:t>10.06 Termination; Reinstatement</w:t>
      </w:r>
      <w:r>
        <w:rPr>
          <w:rFonts w:ascii="Arial" w:cs="Arial" w:eastAsia="Arial" w:hAnsi="Arial"/>
          <w:sz w:val="17"/>
          <w:szCs w:val="17"/>
          <w:color w:val="auto"/>
        </w:rPr>
        <w:t>. This Company Guaranty is a continuing and irrevocable guaranty of all payment Obligations of PMCULC</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Designated Borrowers now or hereafter existing and shall remain in full force and effect until all payment Obligations of PMCULC and the Designated Borrowers are indefeasibly paid in full in cash and the Commitments with respect to PMCULC and the Designated Borrowers are terminated. Notwithstanding the foregoing, this Company Guaranty shall continue in full force and effect or be revived, as the case may be, if any payment by or on behalf of PMCULC, any Designated Borrower or the Company is made, or any of the Lender Parties exercises its right of setoff, in respect of the payment Obligations of PMCULC and the Designated Borrowers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Company Guaranty and regardless of any prior revocation, rescission, termination or reduction. The obligations of the Company under this paragraph shall survive termination of this Company Guaranty.</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10.07 Subordination</w:t>
      </w:r>
      <w:r>
        <w:rPr>
          <w:rFonts w:ascii="Arial" w:cs="Arial" w:eastAsia="Arial" w:hAnsi="Arial"/>
          <w:sz w:val="17"/>
          <w:szCs w:val="17"/>
          <w:color w:val="auto"/>
        </w:rPr>
        <w:t>. The Company agrees that, upon the occurrence and during the continuation of an Event of Default, the payment of all</w:t>
      </w:r>
      <w:r>
        <w:rPr>
          <w:rFonts w:ascii="Arial" w:cs="Arial" w:eastAsia="Arial" w:hAnsi="Arial"/>
          <w:sz w:val="17"/>
          <w:szCs w:val="17"/>
          <w:b w:val="1"/>
          <w:bCs w:val="1"/>
          <w:color w:val="auto"/>
        </w:rPr>
        <w:t xml:space="preserve"> </w:t>
      </w:r>
      <w:r>
        <w:rPr>
          <w:rFonts w:ascii="Arial" w:cs="Arial" w:eastAsia="Arial" w:hAnsi="Arial"/>
          <w:sz w:val="17"/>
          <w:szCs w:val="17"/>
          <w:color w:val="auto"/>
        </w:rPr>
        <w:t>Indebtedness of PMCULC and the Designated Borrowers owing to the Company, whether now existing or hereafter arising, including but not limited to any obligation of PMCULC or any Designated Borrower to the Company as subrogee of the Lender Parties or resulting from the Company’s performance under this Company Guaranty, shall be subordinated to the indefeasible payment in full in cash of all payment Obligations of PMCULC and the Designated Borrowers. Upon the occurrence and during the continuation of an Event of Default, any such obligation or indebtedness of PMCULC or any Designated Borrower to the Company shall be enforced and performance received by the Company as trustee for the Lenders and, upon the written request of the Required Lenders, the proceeds thereof shall be paid over to the Administrative Agent, for the benefit of the Lenders, on account of the payment Obligations of PMCULC and the Designated Borrowers, to be applied in accordance with Section 8.03, but without reducing or affecting in any manner the liability of the Company under this Company Guaranty.</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of PMCULC or the Designated Borrowers is</w:t>
      </w:r>
      <w:r>
        <w:rPr>
          <w:rFonts w:ascii="Arial" w:cs="Arial" w:eastAsia="Arial" w:hAnsi="Arial"/>
          <w:sz w:val="18"/>
          <w:szCs w:val="18"/>
          <w:b w:val="1"/>
          <w:bCs w:val="1"/>
          <w:color w:val="auto"/>
        </w:rPr>
        <w:t xml:space="preserve"> </w:t>
      </w:r>
      <w:r>
        <w:rPr>
          <w:rFonts w:ascii="Arial" w:cs="Arial" w:eastAsia="Arial" w:hAnsi="Arial"/>
          <w:sz w:val="18"/>
          <w:szCs w:val="18"/>
          <w:color w:val="auto"/>
        </w:rPr>
        <w:t>stayed, in connection with any case commenced by or against any Borrower under any Debtor Relief Laws, or otherwise, all such amounts shall nonetheless be payable by the Company upon demand by the Lender Parties.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10.09 Condition of PMCULC and the Designated Borrowers</w:t>
      </w:r>
      <w:r>
        <w:rPr>
          <w:rFonts w:ascii="Arial" w:cs="Arial" w:eastAsia="Arial" w:hAnsi="Arial"/>
          <w:sz w:val="17"/>
          <w:szCs w:val="17"/>
          <w:color w:val="auto"/>
        </w:rPr>
        <w:t>. The Company acknowledges and agrees that it has the sole responsibility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adequate means of, obtaining from PMCULC and each Designated Borrower such information concerning the financial condition, business and operations of PMCULC and the Designated Borrowers and any such other guarantor as the Company requires, and that none of the Lender Parties has any duty, and the Company is not relying on the Lender Parties at any time, to disclose to the Company any information relating to the business, operations or financial condition of PMCULC or any Designated Borrower (the Company waiving any duty on the part of the Lender Parties to disclose such information and any defense relating to the failure to provide the same).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ARTICLE XI. MISCELLANEOUS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11.01 Amendments, Etc</w:t>
      </w:r>
      <w:r>
        <w:rPr>
          <w:rFonts w:ascii="Arial" w:cs="Arial" w:eastAsia="Arial" w:hAnsi="Arial"/>
          <w:sz w:val="16"/>
          <w:szCs w:val="16"/>
          <w:color w:val="auto"/>
        </w:rPr>
        <w:t>. Subject to Section 3.03, no amendment or waiver of any provision of this Agreement or any other Loan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55"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010000"/>
        </w:rPr>
      </w:pPr>
    </w:p>
    <w:p>
      <w:pPr>
        <w:ind w:firstLine="656"/>
        <w:spacing w:after="0" w:line="277" w:lineRule="auto"/>
        <w:tabs>
          <w:tab w:leader="none" w:pos="108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072"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3" w:lineRule="exact"/>
        <w:rPr>
          <w:rFonts w:ascii="Arial" w:cs="Arial" w:eastAsia="Arial" w:hAnsi="Arial"/>
          <w:sz w:val="18"/>
          <w:szCs w:val="18"/>
          <w:color w:val="010000"/>
        </w:rPr>
      </w:pPr>
    </w:p>
    <w:p>
      <w:pPr>
        <w:jc w:val="both"/>
        <w:ind w:firstLine="656"/>
        <w:spacing w:after="0" w:line="293" w:lineRule="auto"/>
        <w:tabs>
          <w:tab w:leader="none" w:pos="1083"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reduce the principal of, or the rate of interest specified herein on, any Loan or L/C Borrowing, or (subject to clause (iv)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64" w:lineRule="exact"/>
        <w:rPr>
          <w:rFonts w:ascii="Arial" w:cs="Arial" w:eastAsia="Arial" w:hAnsi="Arial"/>
          <w:sz w:val="16"/>
          <w:szCs w:val="16"/>
          <w:color w:val="010000"/>
        </w:rPr>
      </w:pPr>
    </w:p>
    <w:p>
      <w:pPr>
        <w:ind w:firstLine="656"/>
        <w:spacing w:after="0" w:line="342" w:lineRule="auto"/>
        <w:tabs>
          <w:tab w:leader="none" w:pos="1072"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modify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any other provision hereof in a manner that would have the effect of altering the ratable reduction of Commitments or the pro rata sharing of payments otherwise required hereunder without the written consent of each Lender directly affected thereby;</w:t>
      </w:r>
    </w:p>
    <w:p>
      <w:pPr>
        <w:spacing w:after="0" w:line="123" w:lineRule="exact"/>
        <w:rPr>
          <w:rFonts w:ascii="Arial" w:cs="Arial" w:eastAsia="Arial" w:hAnsi="Arial"/>
          <w:sz w:val="16"/>
          <w:szCs w:val="16"/>
          <w:color w:val="010000"/>
        </w:rPr>
      </w:pPr>
    </w:p>
    <w:p>
      <w:pPr>
        <w:jc w:val="both"/>
        <w:ind w:firstLine="656"/>
        <w:spacing w:after="0" w:line="263" w:lineRule="auto"/>
        <w:tabs>
          <w:tab w:leader="none" w:pos="105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3" w:lineRule="exact"/>
        <w:rPr>
          <w:rFonts w:ascii="Arial" w:cs="Arial" w:eastAsia="Arial" w:hAnsi="Arial"/>
          <w:sz w:val="18"/>
          <w:szCs w:val="18"/>
          <w:color w:val="010000"/>
        </w:rPr>
      </w:pPr>
    </w:p>
    <w:p>
      <w:pPr>
        <w:ind w:left="1100" w:hanging="444"/>
        <w:spacing w:after="0"/>
        <w:tabs>
          <w:tab w:leader="none" w:pos="110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release the Company from the Company Guaranty without the written consent of each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5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9" w:lineRule="auto"/>
        <w:tabs>
          <w:tab w:leader="none" w:pos="1072" w:val="left"/>
        </w:tabs>
        <w:numPr>
          <w:ilvl w:val="0"/>
          <w:numId w:val="161"/>
        </w:numPr>
        <w:rPr>
          <w:rFonts w:ascii="Arial" w:cs="Arial" w:eastAsia="Arial" w:hAnsi="Arial"/>
          <w:sz w:val="17"/>
          <w:szCs w:val="17"/>
          <w:color w:val="010000"/>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010000"/>
        </w:rPr>
      </w:pPr>
    </w:p>
    <w:p>
      <w:pPr>
        <w:ind w:left="660" w:firstLine="644"/>
        <w:spacing w:after="0" w:line="277" w:lineRule="auto"/>
        <w:tabs>
          <w:tab w:leader="none" w:pos="170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any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left="660" w:firstLine="644"/>
        <w:spacing w:after="0" w:line="275" w:lineRule="auto"/>
        <w:tabs>
          <w:tab w:leader="none" w:pos="175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PMCULC and each Designated Borrower hereby agree that any notice, demand, consent, acknowledgement, direction, certification or other communication delivered to the Company in accordance with the terms of this Agreement shall constitute delivery to, and shall be deemed to have been delivered to, PMCULC and each Designated Borrower.</w:t>
      </w:r>
    </w:p>
    <w:p>
      <w:pPr>
        <w:spacing w:after="0" w:line="177" w:lineRule="exact"/>
        <w:rPr>
          <w:sz w:val="20"/>
          <w:szCs w:val="20"/>
          <w:color w:val="auto"/>
        </w:rPr>
      </w:pPr>
    </w:p>
    <w:p>
      <w:pPr>
        <w:jc w:val="both"/>
        <w:ind w:firstLine="656"/>
        <w:spacing w:after="0" w:line="254" w:lineRule="auto"/>
        <w:tabs>
          <w:tab w:leader="none" w:pos="1083" w:val="left"/>
        </w:tabs>
        <w:numPr>
          <w:ilvl w:val="0"/>
          <w:numId w:val="163"/>
        </w:numPr>
        <w:rPr>
          <w:rFonts w:ascii="Arial" w:cs="Arial" w:eastAsia="Arial" w:hAnsi="Arial"/>
          <w:sz w:val="18"/>
          <w:szCs w:val="18"/>
          <w:color w:val="010000"/>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56"/>
        <w:spacing w:after="0" w:line="268" w:lineRule="auto"/>
        <w:tabs>
          <w:tab w:leader="none" w:pos="1072" w:val="left"/>
        </w:tabs>
        <w:numPr>
          <w:ilvl w:val="0"/>
          <w:numId w:val="164"/>
        </w:numPr>
        <w:rPr>
          <w:rFonts w:ascii="Arial" w:cs="Arial" w:eastAsia="Arial" w:hAnsi="Arial"/>
          <w:sz w:val="17"/>
          <w:szCs w:val="17"/>
          <w:color w:val="010000"/>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86" w:lineRule="exact"/>
        <w:rPr>
          <w:rFonts w:ascii="Arial" w:cs="Arial" w:eastAsia="Arial" w:hAnsi="Arial"/>
          <w:sz w:val="17"/>
          <w:szCs w:val="17"/>
          <w:color w:val="010000"/>
        </w:rPr>
      </w:pPr>
    </w:p>
    <w:p>
      <w:pPr>
        <w:jc w:val="both"/>
        <w:ind w:firstLine="656"/>
        <w:spacing w:after="0" w:line="287" w:lineRule="auto"/>
        <w:tabs>
          <w:tab w:leader="none" w:pos="1083" w:val="left"/>
        </w:tabs>
        <w:numPr>
          <w:ilvl w:val="0"/>
          <w:numId w:val="164"/>
        </w:numPr>
        <w:rPr>
          <w:rFonts w:ascii="Arial" w:cs="Arial" w:eastAsia="Arial" w:hAnsi="Arial"/>
          <w:sz w:val="16"/>
          <w:szCs w:val="16"/>
          <w:color w:val="010000"/>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any L/C Issuer and the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171" w:lineRule="exact"/>
        <w:rPr>
          <w:rFonts w:ascii="Arial" w:cs="Arial" w:eastAsia="Arial" w:hAnsi="Arial"/>
          <w:sz w:val="16"/>
          <w:szCs w:val="16"/>
          <w:color w:val="010000"/>
        </w:rPr>
      </w:pPr>
    </w:p>
    <w:p>
      <w:pPr>
        <w:jc w:val="both"/>
        <w:ind w:firstLine="656"/>
        <w:spacing w:after="0" w:line="271" w:lineRule="auto"/>
        <w:tabs>
          <w:tab w:leader="none" w:pos="1072" w:val="left"/>
        </w:tabs>
        <w:numPr>
          <w:ilvl w:val="0"/>
          <w:numId w:val="164"/>
        </w:numPr>
        <w:rPr>
          <w:rFonts w:ascii="Arial" w:cs="Arial" w:eastAsia="Arial" w:hAnsi="Arial"/>
          <w:sz w:val="17"/>
          <w:szCs w:val="17"/>
          <w:color w:val="010000"/>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xml:space="preserve">. The Administrative Agent, the L/C Issuers and the Lenders shall be entitled to 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telephonic notices to and other telephonic communications with the Administrative Agent may be recorded by any person a party hereto, and each of the parties hereto hereby consents to such recording.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6" w:lineRule="auto"/>
        <w:rPr>
          <w:sz w:val="20"/>
          <w:szCs w:val="20"/>
          <w:color w:val="auto"/>
        </w:rPr>
      </w:pPr>
      <w:r>
        <w:rPr>
          <w:rFonts w:ascii="Arial" w:cs="Arial" w:eastAsia="Arial" w:hAnsi="Arial"/>
          <w:sz w:val="18"/>
          <w:szCs w:val="18"/>
          <w:b w:val="1"/>
          <w:bCs w:val="1"/>
          <w:color w:val="auto"/>
        </w:rPr>
        <w:t>11.03 No Waiver; Cumulative Remedies; Enforcement; Nature of Obligations</w:t>
      </w:r>
      <w:r>
        <w:rPr>
          <w:rFonts w:ascii="Arial" w:cs="Arial" w:eastAsia="Arial" w:hAnsi="Arial"/>
          <w:sz w:val="18"/>
          <w:szCs w:val="18"/>
          <w:color w:val="auto"/>
        </w:rPr>
        <w:t>. No failure by any Lender, any L/C Issuer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2" w:lineRule="exact"/>
        <w:rPr>
          <w:sz w:val="20"/>
          <w:szCs w:val="20"/>
          <w:color w:val="auto"/>
        </w:rPr>
      </w:pPr>
    </w:p>
    <w:p>
      <w:pPr>
        <w:jc w:val="both"/>
        <w:ind w:firstLine="8"/>
        <w:spacing w:after="0" w:line="251" w:lineRule="auto"/>
        <w:tabs>
          <w:tab w:leader="none" w:pos="26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All Obligations which are incurred by two or more Loan Parties shall be their joint and several obligations and liabilities of such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Lender Parties acknowledge and agree that as of the Closing Date (i) Borrowings and requests for Credit Extensions made or to be made hereunder by any requesting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to be made by such requesting Borrower severally and not jointly and severally by the Borrowers, and (ii) Loans and L/C Obligations of any Borrower, including any Designated Borrower joining this Agreement after the Closing Date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and the Obligations of PMCULC or any Designated Borrower to repurchase Canadian BA’s, are to be such Borrower’s several Obligations, and not joint and several Obligations among all Borrowers.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60"/>
        <w:spacing w:after="0"/>
        <w:tabs>
          <w:tab w:leader="none" w:pos="126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7" w:lineRule="auto"/>
        <w:tabs>
          <w:tab w:leader="none" w:pos="1072"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Company shall pay (i) all reasonable out-of-pocket expenses incurred by the Administrative Agent and its 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71" w:lineRule="exact"/>
        <w:rPr>
          <w:rFonts w:ascii="Arial" w:cs="Arial" w:eastAsia="Arial" w:hAnsi="Arial"/>
          <w:sz w:val="16"/>
          <w:szCs w:val="16"/>
          <w:color w:val="010000"/>
        </w:rPr>
      </w:pPr>
    </w:p>
    <w:p>
      <w:pPr>
        <w:jc w:val="both"/>
        <w:ind w:firstLine="656"/>
        <w:spacing w:after="0" w:line="283" w:lineRule="auto"/>
        <w:tabs>
          <w:tab w:leader="none" w:pos="1083" w:val="left"/>
        </w:tabs>
        <w:numPr>
          <w:ilvl w:val="0"/>
          <w:numId w:val="166"/>
        </w:numPr>
        <w:rPr>
          <w:rFonts w:ascii="Arial" w:cs="Arial" w:eastAsia="Arial" w:hAnsi="Arial"/>
          <w:sz w:val="16"/>
          <w:szCs w:val="16"/>
          <w:color w:val="010000"/>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indemnify the Administrative Agent (and any sub-agent thereof), each Lender and each L/C Issuer, and each Related Party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56"/>
        <w:spacing w:after="0" w:line="287" w:lineRule="auto"/>
        <w:tabs>
          <w:tab w:leader="none" w:pos="1072" w:val="left"/>
        </w:tabs>
        <w:numPr>
          <w:ilvl w:val="0"/>
          <w:numId w:val="167"/>
        </w:numPr>
        <w:rPr>
          <w:rFonts w:ascii="Arial" w:cs="Arial" w:eastAsia="Arial" w:hAnsi="Arial"/>
          <w:sz w:val="16"/>
          <w:szCs w:val="16"/>
          <w:color w:val="010000"/>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subsection (a) 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56"/>
        <w:spacing w:after="0" w:line="287" w:lineRule="auto"/>
        <w:tabs>
          <w:tab w:leader="none" w:pos="1083" w:val="left"/>
        </w:tabs>
        <w:numPr>
          <w:ilvl w:val="0"/>
          <w:numId w:val="168"/>
        </w:numPr>
        <w:rPr>
          <w:rFonts w:ascii="Arial" w:cs="Arial" w:eastAsia="Arial" w:hAnsi="Arial"/>
          <w:sz w:val="16"/>
          <w:szCs w:val="16"/>
          <w:color w:val="010000"/>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thereof shall 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171" w:lineRule="exact"/>
        <w:rPr>
          <w:rFonts w:ascii="Arial" w:cs="Arial" w:eastAsia="Arial" w:hAnsi="Arial"/>
          <w:sz w:val="16"/>
          <w:szCs w:val="16"/>
          <w:color w:val="010000"/>
        </w:rPr>
      </w:pPr>
    </w:p>
    <w:p>
      <w:pPr>
        <w:ind w:left="1080" w:hanging="424"/>
        <w:spacing w:after="0"/>
        <w:tabs>
          <w:tab w:leader="none" w:pos="1080" w:val="left"/>
        </w:tabs>
        <w:numPr>
          <w:ilvl w:val="0"/>
          <w:numId w:val="168"/>
        </w:numPr>
        <w:rPr>
          <w:rFonts w:ascii="Arial" w:cs="Arial" w:eastAsia="Arial" w:hAnsi="Arial"/>
          <w:sz w:val="18"/>
          <w:szCs w:val="18"/>
          <w:color w:val="010000"/>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053" w:val="left"/>
        </w:tabs>
        <w:numPr>
          <w:ilvl w:val="0"/>
          <w:numId w:val="168"/>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11.04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any L/C Issuer and the Swing Line Lender, the replacement of any Lender or L/C Issuer, the termination of the Aggregate Commitments and the repayment, satisfaction or discharge of all the other Obligations.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11.05 Payments Set Aside</w:t>
      </w:r>
      <w:r>
        <w:rPr>
          <w:rFonts w:ascii="Arial" w:cs="Arial" w:eastAsia="Arial" w:hAnsi="Arial"/>
          <w:sz w:val="16"/>
          <w:szCs w:val="16"/>
          <w:color w:val="auto"/>
        </w:rPr>
        <w:t>. To the extent that any payment by or on behalf of any Borrower is made to the Administrative Agent, any L/C</w:t>
      </w:r>
      <w:r>
        <w:rPr>
          <w:rFonts w:ascii="Arial" w:cs="Arial" w:eastAsia="Arial" w:hAnsi="Arial"/>
          <w:sz w:val="16"/>
          <w:szCs w:val="16"/>
          <w:b w:val="1"/>
          <w:bCs w:val="1"/>
          <w:color w:val="auto"/>
        </w:rPr>
        <w:t xml:space="preserve"> </w:t>
      </w:r>
      <w:r>
        <w:rPr>
          <w:rFonts w:ascii="Arial" w:cs="Arial" w:eastAsia="Arial" w:hAnsi="Arial"/>
          <w:sz w:val="16"/>
          <w:szCs w:val="16"/>
          <w:color w:val="auto"/>
        </w:rPr>
        <w:t>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3" w:lineRule="exact"/>
        <w:rPr>
          <w:sz w:val="20"/>
          <w:szCs w:val="20"/>
          <w:color w:val="auto"/>
        </w:rPr>
      </w:pPr>
    </w:p>
    <w:p>
      <w:pPr>
        <w:jc w:val="both"/>
        <w:ind w:firstLine="8"/>
        <w:spacing w:after="0" w:line="253" w:lineRule="auto"/>
        <w:tabs>
          <w:tab w:leader="none" w:pos="27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660"/>
        <w:spacing w:after="0"/>
        <w:tabs>
          <w:tab w:leader="none" w:pos="12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9" w:lineRule="auto"/>
        <w:tabs>
          <w:tab w:leader="none" w:pos="1072" w:val="left"/>
        </w:tabs>
        <w:numPr>
          <w:ilvl w:val="0"/>
          <w:numId w:val="170"/>
        </w:numPr>
        <w:rPr>
          <w:rFonts w:ascii="Arial" w:cs="Arial" w:eastAsia="Arial" w:hAnsi="Arial"/>
          <w:sz w:val="17"/>
          <w:szCs w:val="17"/>
          <w:color w:val="010000"/>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no Borrower may assign or otherwise transfer any of its rights or obligations hereunder (other than assignments by PMCULC or a Designated Borrower to, and corresponding assumptions by, a Borrower)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85" w:lineRule="exact"/>
        <w:rPr>
          <w:rFonts w:ascii="Arial" w:cs="Arial" w:eastAsia="Arial" w:hAnsi="Arial"/>
          <w:sz w:val="17"/>
          <w:szCs w:val="17"/>
          <w:color w:val="010000"/>
        </w:rPr>
      </w:pPr>
    </w:p>
    <w:p>
      <w:pPr>
        <w:jc w:val="both"/>
        <w:ind w:firstLine="656"/>
        <w:spacing w:after="0" w:line="259" w:lineRule="auto"/>
        <w:tabs>
          <w:tab w:leader="none" w:pos="1083" w:val="left"/>
        </w:tabs>
        <w:numPr>
          <w:ilvl w:val="0"/>
          <w:numId w:val="170"/>
        </w:numPr>
        <w:rPr>
          <w:rFonts w:ascii="Arial" w:cs="Arial" w:eastAsia="Arial" w:hAnsi="Arial"/>
          <w:sz w:val="18"/>
          <w:szCs w:val="18"/>
          <w:color w:val="010000"/>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and the other Loan Documents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6" w:lineRule="exact"/>
        <w:rPr>
          <w:rFonts w:ascii="Arial" w:cs="Arial" w:eastAsia="Arial" w:hAnsi="Arial"/>
          <w:sz w:val="18"/>
          <w:szCs w:val="18"/>
          <w:color w:val="010000"/>
        </w:rPr>
      </w:pPr>
    </w:p>
    <w:p>
      <w:pPr>
        <w:ind w:left="1700" w:hanging="396"/>
        <w:spacing w:after="0"/>
        <w:tabs>
          <w:tab w:leader="none" w:pos="17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423" w:val="left"/>
        </w:tabs>
        <w:numPr>
          <w:ilvl w:val="2"/>
          <w:numId w:val="170"/>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652"/>
        <w:spacing w:after="0" w:line="270" w:lineRule="auto"/>
        <w:tabs>
          <w:tab w:leader="none" w:pos="2413" w:val="left"/>
        </w:tabs>
        <w:numPr>
          <w:ilvl w:val="2"/>
          <w:numId w:val="170"/>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0" w:lineRule="exact"/>
        <w:rPr>
          <w:rFonts w:ascii="Arial" w:cs="Arial" w:eastAsia="Arial" w:hAnsi="Arial"/>
          <w:sz w:val="17"/>
          <w:szCs w:val="17"/>
          <w:color w:val="auto"/>
        </w:rPr>
      </w:pPr>
    </w:p>
    <w:p>
      <w:pPr>
        <w:jc w:val="both"/>
        <w:ind w:left="660" w:firstLine="644"/>
        <w:spacing w:after="0" w:line="311" w:lineRule="auto"/>
        <w:tabs>
          <w:tab w:leader="none" w:pos="1753"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460" w:firstLine="644"/>
        <w:spacing w:after="0" w:line="277" w:lineRule="auto"/>
        <w:tabs>
          <w:tab w:leader="none" w:pos="68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jc w:val="both"/>
        <w:ind w:left="180" w:firstLine="652"/>
        <w:spacing w:after="0" w:line="257" w:lineRule="auto"/>
        <w:tabs>
          <w:tab w:leader="none" w:pos="130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187" w:lineRule="exact"/>
        <w:rPr>
          <w:rFonts w:ascii="Arial" w:cs="Arial" w:eastAsia="Arial" w:hAnsi="Arial"/>
          <w:sz w:val="18"/>
          <w:szCs w:val="18"/>
          <w:color w:val="auto"/>
        </w:rPr>
      </w:pPr>
    </w:p>
    <w:p>
      <w:pPr>
        <w:ind w:left="180" w:firstLine="652"/>
        <w:spacing w:after="0" w:line="308" w:lineRule="auto"/>
        <w:tabs>
          <w:tab w:leader="none" w:pos="129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46" w:lineRule="exact"/>
        <w:rPr>
          <w:rFonts w:ascii="Arial" w:cs="Arial" w:eastAsia="Arial" w:hAnsi="Arial"/>
          <w:sz w:val="17"/>
          <w:szCs w:val="17"/>
          <w:color w:val="auto"/>
        </w:rPr>
      </w:pPr>
    </w:p>
    <w:p>
      <w:pPr>
        <w:ind w:left="180" w:firstLine="652"/>
        <w:spacing w:after="0" w:line="277" w:lineRule="auto"/>
        <w:tabs>
          <w:tab w:leader="none" w:pos="12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consent of each L/C Issuer (such consent not to be unreasonably withheld or delayed) shall be required for any assignment so long as any L/C Commitment or L/C Obligations remain outstanding; and</w:t>
      </w:r>
    </w:p>
    <w:p>
      <w:pPr>
        <w:spacing w:after="0" w:line="170" w:lineRule="exact"/>
        <w:rPr>
          <w:rFonts w:ascii="Arial" w:cs="Arial" w:eastAsia="Arial" w:hAnsi="Arial"/>
          <w:sz w:val="18"/>
          <w:szCs w:val="18"/>
          <w:color w:val="auto"/>
        </w:rPr>
      </w:pPr>
    </w:p>
    <w:p>
      <w:pPr>
        <w:ind w:left="1300" w:hanging="468"/>
        <w:spacing w:after="0"/>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consent of the Swing Line Lender (such consent not to be unreasonably withheld or delayed) shall be required for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assignment.</w:t>
      </w:r>
    </w:p>
    <w:p>
      <w:pPr>
        <w:spacing w:after="0" w:line="210"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62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86" w:lineRule="exact"/>
        <w:rPr>
          <w:rFonts w:ascii="Arial" w:cs="Arial" w:eastAsia="Arial" w:hAnsi="Arial"/>
          <w:sz w:val="18"/>
          <w:szCs w:val="18"/>
          <w:color w:val="auto"/>
        </w:rPr>
      </w:pPr>
    </w:p>
    <w:p>
      <w:pPr>
        <w:jc w:val="both"/>
        <w:ind w:left="-460" w:firstLine="644"/>
        <w:spacing w:after="0" w:line="342" w:lineRule="auto"/>
        <w:tabs>
          <w:tab w:leader="none" w:pos="67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No Assignment Resulting in Additional Indemnified Taxes</w:t>
      </w:r>
      <w:r>
        <w:rPr>
          <w:rFonts w:ascii="Arial" w:cs="Arial" w:eastAsia="Arial" w:hAnsi="Arial"/>
          <w:sz w:val="16"/>
          <w:szCs w:val="16"/>
          <w:color w:val="auto"/>
        </w:rPr>
        <w:t>. No such assignment shall be made to any Person that, through its Lending Offices, is not capable of lending Canadian Dollars to the relevant Borrowers without the imposition of any additional Indemnified Taxes.</w:t>
      </w:r>
    </w:p>
    <w:p>
      <w:pPr>
        <w:spacing w:after="0" w:line="34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6" w:name="page137"/>
    <w:bookmarkEnd w:id="136"/>
    <w:p>
      <w:pPr>
        <w:jc w:val="both"/>
        <w:ind w:left="660" w:firstLine="644"/>
        <w:spacing w:after="0" w:line="287" w:lineRule="auto"/>
        <w:tabs>
          <w:tab w:leader="none" w:pos="184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4" w:lineRule="exact"/>
        <w:rPr>
          <w:sz w:val="20"/>
          <w:szCs w:val="20"/>
          <w:color w:val="auto"/>
        </w:rPr>
      </w:pPr>
    </w:p>
    <w:p>
      <w:pPr>
        <w:jc w:val="both"/>
        <w:ind w:firstLine="656"/>
        <w:spacing w:after="0" w:line="272" w:lineRule="auto"/>
        <w:tabs>
          <w:tab w:leader="none" w:pos="1072" w:val="left"/>
        </w:tabs>
        <w:numPr>
          <w:ilvl w:val="0"/>
          <w:numId w:val="173"/>
        </w:numPr>
        <w:rPr>
          <w:rFonts w:ascii="Arial" w:cs="Arial" w:eastAsia="Arial" w:hAnsi="Arial"/>
          <w:sz w:val="17"/>
          <w:szCs w:val="17"/>
          <w:color w:val="010000"/>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56"/>
        <w:spacing w:after="0" w:line="270" w:lineRule="auto"/>
        <w:tabs>
          <w:tab w:leader="none" w:pos="1083" w:val="left"/>
        </w:tabs>
        <w:numPr>
          <w:ilvl w:val="0"/>
          <w:numId w:val="174"/>
        </w:numPr>
        <w:rPr>
          <w:rFonts w:ascii="Arial" w:cs="Arial" w:eastAsia="Arial" w:hAnsi="Arial"/>
          <w:sz w:val="17"/>
          <w:szCs w:val="17"/>
          <w:color w:val="010000"/>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without regard to the existence of any participation.</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Company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and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the obligations imposed by such Sections to the same extent as if it were a Lender and had acquired its interest by assignment pursuant to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provided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provided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56"/>
        <w:spacing w:after="0" w:line="259" w:lineRule="auto"/>
        <w:tabs>
          <w:tab w:leader="none" w:pos="1072" w:val="left"/>
        </w:tabs>
        <w:numPr>
          <w:ilvl w:val="0"/>
          <w:numId w:val="175"/>
        </w:numPr>
        <w:rPr>
          <w:rFonts w:ascii="Arial" w:cs="Arial" w:eastAsia="Arial" w:hAnsi="Arial"/>
          <w:sz w:val="18"/>
          <w:szCs w:val="18"/>
          <w:color w:val="010000"/>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010000"/>
        </w:rPr>
      </w:pPr>
    </w:p>
    <w:p>
      <w:pPr>
        <w:jc w:val="both"/>
        <w:ind w:firstLine="656"/>
        <w:spacing w:after="0" w:line="285" w:lineRule="auto"/>
        <w:tabs>
          <w:tab w:leader="none" w:pos="1053"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73" w:lineRule="exact"/>
        <w:rPr>
          <w:rFonts w:ascii="Arial" w:cs="Arial" w:eastAsia="Arial" w:hAnsi="Arial"/>
          <w:sz w:val="16"/>
          <w:szCs w:val="16"/>
          <w:color w:val="010000"/>
        </w:rPr>
      </w:pPr>
    </w:p>
    <w:p>
      <w:pPr>
        <w:jc w:val="both"/>
        <w:ind w:firstLine="656"/>
        <w:spacing w:after="0" w:line="279" w:lineRule="auto"/>
        <w:tabs>
          <w:tab w:leader="none" w:pos="1083" w:val="left"/>
        </w:tabs>
        <w:numPr>
          <w:ilvl w:val="0"/>
          <w:numId w:val="175"/>
        </w:numPr>
        <w:rPr>
          <w:rFonts w:ascii="Arial" w:cs="Arial" w:eastAsia="Arial" w:hAnsi="Arial"/>
          <w:sz w:val="17"/>
          <w:szCs w:val="17"/>
          <w:color w:val="010000"/>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4" w:lineRule="auto"/>
        <w:rPr>
          <w:sz w:val="20"/>
          <w:szCs w:val="20"/>
          <w:color w:val="auto"/>
        </w:rPr>
      </w:pPr>
      <w:r>
        <w:rPr>
          <w:rFonts w:ascii="Arial" w:cs="Arial" w:eastAsia="Arial" w:hAnsi="Arial"/>
          <w:sz w:val="16"/>
          <w:szCs w:val="16"/>
          <w:b w:val="1"/>
          <w:bCs w:val="1"/>
          <w:color w:val="auto"/>
        </w:rPr>
        <w:t>11.07 Treatment of Certain Information; Confidentiality</w:t>
      </w:r>
      <w:r>
        <w:rPr>
          <w:rFonts w:ascii="Arial" w:cs="Arial" w:eastAsia="Arial" w:hAnsi="Arial"/>
          <w:sz w:val="16"/>
          <w:szCs w:val="16"/>
          <w:color w:val="auto"/>
        </w:rPr>
        <w:t>. Each of the Administrative Agent, the Lenders and the L/C Issuers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11.07, to</w:t>
      </w:r>
    </w:p>
    <w:p>
      <w:pPr>
        <w:spacing w:after="0" w:line="5" w:lineRule="exact"/>
        <w:rPr>
          <w:sz w:val="20"/>
          <w:szCs w:val="20"/>
          <w:color w:val="auto"/>
        </w:rPr>
      </w:pPr>
    </w:p>
    <w:p>
      <w:pPr>
        <w:jc w:val="both"/>
        <w:ind w:firstLine="8"/>
        <w:spacing w:after="0" w:line="285" w:lineRule="auto"/>
        <w:tabs>
          <w:tab w:leader="none" w:pos="22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assignee of or Participant in, or any prospective assignee of or Participant in, any of its rights and obligations under this Agreement or any Eligible Assignee invited to be a Lender pursuant to Section 2.16(c)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11.07,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11.07.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“Information” means all information received from the Company or any Subsidiary relating to the Company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11.08 Right of Setoff</w:t>
      </w:r>
      <w:r>
        <w:rPr>
          <w:rFonts w:ascii="Arial" w:cs="Arial" w:eastAsia="Arial" w:hAnsi="Arial"/>
          <w:sz w:val="16"/>
          <w:szCs w:val="16"/>
          <w:color w:val="auto"/>
        </w:rPr>
        <w:t>. At any time and from time to time during the continuance of any Event of Default, each Lender and each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3" w:lineRule="exact"/>
        <w:rPr>
          <w:sz w:val="20"/>
          <w:szCs w:val="20"/>
          <w:color w:val="auto"/>
        </w:rPr>
      </w:pPr>
    </w:p>
    <w:p>
      <w:pPr>
        <w:jc w:val="both"/>
        <w:ind w:firstLine="8"/>
        <w:spacing w:after="0" w:line="268" w:lineRule="auto"/>
        <w:tabs>
          <w:tab w:leader="none" w:pos="27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amortize, prorate, allocate, and spread in equal or unequal parts the total amount of interest throughout the contemplated term of the Obligations hereunder. In no event shall the aggregate “interest” (as defined in section 347 of the Criminal Code (Canada)) payable by PMCULC or any Designated Borrower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Administrative Agent and Lenders and the amount of such excess payment or collection shall be refunded to PMCULC or the relevant Designated Borrower. For purposes of any Notes made by PMCULC or any Designated Borrower,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prima facie evidence, for the purposes of such determination.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274" w:lineRule="auto"/>
        <w:rPr>
          <w:sz w:val="20"/>
          <w:szCs w:val="20"/>
          <w:color w:val="auto"/>
        </w:rPr>
      </w:pPr>
      <w:r>
        <w:rPr>
          <w:rFonts w:ascii="Arial" w:cs="Arial" w:eastAsia="Arial" w:hAnsi="Arial"/>
          <w:sz w:val="17"/>
          <w:szCs w:val="17"/>
          <w:b w:val="1"/>
          <w:bCs w:val="1"/>
          <w:color w:val="auto"/>
        </w:rPr>
        <w:t>11.10 Counterparts; Integration; Effectiveness</w:t>
      </w:r>
      <w:r>
        <w:rPr>
          <w:rFonts w:ascii="Arial" w:cs="Arial" w:eastAsia="Arial" w:hAnsi="Arial"/>
          <w:sz w:val="17"/>
          <w:szCs w:val="17"/>
          <w:color w:val="auto"/>
        </w:rPr>
        <w:t>. This Agreement, the other Loan Documents, and any separate letter agreements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11.11 Survival of Representations and Warranties</w:t>
      </w:r>
      <w:r>
        <w:rPr>
          <w:rFonts w:ascii="Arial" w:cs="Arial" w:eastAsia="Arial" w:hAnsi="Arial"/>
          <w:sz w:val="17"/>
          <w:szCs w:val="17"/>
          <w:color w:val="auto"/>
        </w:rPr>
        <w:t>. 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11.12 Severability</w:t>
      </w:r>
      <w:r>
        <w:rPr>
          <w:rFonts w:ascii="Arial" w:cs="Arial" w:eastAsia="Arial" w:hAnsi="Arial"/>
          <w:sz w:val="18"/>
          <w:szCs w:val="18"/>
          <w:color w:val="auto"/>
        </w:rPr>
        <w:t>. 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294" w:lineRule="auto"/>
        <w:rPr>
          <w:sz w:val="20"/>
          <w:szCs w:val="20"/>
          <w:color w:val="auto"/>
        </w:rPr>
      </w:pPr>
      <w:r>
        <w:rPr>
          <w:rFonts w:ascii="Arial" w:cs="Arial" w:eastAsia="Arial" w:hAnsi="Arial"/>
          <w:sz w:val="16"/>
          <w:szCs w:val="16"/>
          <w:b w:val="1"/>
          <w:bCs w:val="1"/>
          <w:color w:val="auto"/>
        </w:rPr>
        <w:t>11.13 Replacement of Lenders</w:t>
      </w:r>
      <w:r>
        <w:rPr>
          <w:rFonts w:ascii="Arial" w:cs="Arial" w:eastAsia="Arial" w:hAnsi="Arial"/>
          <w:sz w:val="16"/>
          <w:szCs w:val="16"/>
          <w:color w:val="auto"/>
        </w:rPr>
        <w:t>. If the Company is entitled to replace a Lender pursuant to the provisions of Section 3.06, or if any Lender is a</w:t>
      </w:r>
      <w:r>
        <w:rPr>
          <w:rFonts w:ascii="Arial" w:cs="Arial" w:eastAsia="Arial" w:hAnsi="Arial"/>
          <w:sz w:val="16"/>
          <w:szCs w:val="16"/>
          <w:b w:val="1"/>
          <w:bCs w:val="1"/>
          <w:color w:val="auto"/>
        </w:rPr>
        <w:t xml:space="preserve"> </w:t>
      </w:r>
      <w:r>
        <w:rPr>
          <w:rFonts w:ascii="Arial" w:cs="Arial" w:eastAsia="Arial" w:hAnsi="Arial"/>
          <w:sz w:val="16"/>
          <w:szCs w:val="16"/>
          <w:color w:val="auto"/>
        </w:rPr>
        <w:t>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64" w:lineRule="exact"/>
        <w:rPr>
          <w:sz w:val="20"/>
          <w:szCs w:val="20"/>
          <w:color w:val="auto"/>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unless paid by the assignee or waived by the Administrative Agent in its sole discretion, the Company shall have paid (or caused PMCULC or a Designated Borrower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59" w:lineRule="auto"/>
        <w:tabs>
          <w:tab w:leader="none" w:pos="1083"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186" w:lineRule="exact"/>
        <w:rPr>
          <w:rFonts w:ascii="Arial" w:cs="Arial" w:eastAsia="Arial" w:hAnsi="Arial"/>
          <w:sz w:val="18"/>
          <w:szCs w:val="18"/>
          <w:color w:val="010000"/>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010000"/>
        </w:rPr>
      </w:pPr>
    </w:p>
    <w:p>
      <w:pPr>
        <w:ind w:left="1100" w:hanging="444"/>
        <w:spacing w:after="0"/>
        <w:tabs>
          <w:tab w:leader="none" w:pos="110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010000"/>
        </w:rPr>
      </w:pPr>
    </w:p>
    <w:p>
      <w:pPr>
        <w:ind w:firstLine="656"/>
        <w:spacing w:after="0" w:line="277" w:lineRule="auto"/>
        <w:tabs>
          <w:tab w:leader="none" w:pos="1072"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party hereto agrees that (a) an assignment required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660"/>
        <w:spacing w:after="0"/>
        <w:tabs>
          <w:tab w:leader="none" w:pos="12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72"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7" w:lineRule="exact"/>
        <w:rPr>
          <w:rFonts w:ascii="Arial" w:cs="Arial" w:eastAsia="Arial" w:hAnsi="Arial"/>
          <w:sz w:val="18"/>
          <w:szCs w:val="18"/>
          <w:color w:val="010000"/>
        </w:rPr>
      </w:pPr>
    </w:p>
    <w:p>
      <w:pPr>
        <w:jc w:val="both"/>
        <w:ind w:firstLine="656"/>
        <w:spacing w:after="0" w:line="252" w:lineRule="auto"/>
        <w:tabs>
          <w:tab w:leader="none" w:pos="1083"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PARTY HERETO IRREVOCABLY AND UNCONDITIONALLY agrees that with respect to 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rFonts w:ascii="Arial" w:cs="Arial" w:eastAsia="Arial" w:hAnsi="Arial"/>
          <w:sz w:val="18"/>
          <w:szCs w:val="18"/>
          <w:color w:val="010000"/>
        </w:rPr>
      </w:pPr>
    </w:p>
    <w:p>
      <w:pPr>
        <w:jc w:val="both"/>
        <w:ind w:firstLine="656"/>
        <w:spacing w:after="0" w:line="255" w:lineRule="auto"/>
        <w:tabs>
          <w:tab w:leader="none" w:pos="1072" w:val="left"/>
        </w:tabs>
        <w:numPr>
          <w:ilvl w:val="0"/>
          <w:numId w:val="179"/>
        </w:numPr>
        <w:rPr>
          <w:rFonts w:ascii="Arial" w:cs="Arial" w:eastAsia="Arial" w:hAnsi="Arial"/>
          <w:sz w:val="18"/>
          <w:szCs w:val="18"/>
          <w:color w:val="010000"/>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56"/>
        <w:spacing w:after="0" w:line="263" w:lineRule="auto"/>
        <w:tabs>
          <w:tab w:leader="none" w:pos="1083" w:val="left"/>
        </w:tabs>
        <w:numPr>
          <w:ilvl w:val="0"/>
          <w:numId w:val="180"/>
        </w:numPr>
        <w:rPr>
          <w:rFonts w:ascii="Arial" w:cs="Arial" w:eastAsia="Arial" w:hAnsi="Arial"/>
          <w:sz w:val="18"/>
          <w:szCs w:val="18"/>
          <w:color w:val="010000"/>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11.15 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27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11.16 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amendment, waiver or other modification hereof or of any other Loan Document), each Borrower acknowledges and agrees, and acknowledges its Affiliates’ understanding, that: (a) (i) the arranging and other services regarding this Agreement provided by the Administrative Agent, the Arrangers, the Co-Syndication Agents and the Lenders are arm’s-length commercial transactions between such Borrower and its Affiliates, on the one hand, and the Administrative Agent, the Arrangers, the Co-Syndication Agents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 (i) the Administrative Agent, the Co-Syndication Agents and the Arrangers each is and has been acting solely as a principal and, except as expressly agreed in writing by the relevant parties, has not been, is not, and will not be acting as an advisor, agent or fiduciary for such Borrower or any of their respective Affiliates, or any other Person and (ii) none of the Administrative Agent, any Arranger, any Co-Syndication Agent nor any Lender has any obligation to such Borrower or any of their respective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Company and its Affiliates, and none of the Administrative Agent, any Arranger, any Co-Syndication Agent nor any Lender has any obligation to disclose any of such interests to such Borrower or its Affiliates. To the fullest extent permitted by law, each Borrower hereby waives and releases any claims that it may have against the Administrative Agent, the Co-Syndication Agents and the Arrangers with respect to any breach or alleged breach of agency or fiduciary duty in connection with any aspect of any transaction contemplated 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56" w:lineRule="auto"/>
        <w:rPr>
          <w:sz w:val="20"/>
          <w:szCs w:val="20"/>
          <w:color w:val="auto"/>
        </w:rPr>
      </w:pPr>
      <w:r>
        <w:rPr>
          <w:rFonts w:ascii="Arial" w:cs="Arial" w:eastAsia="Arial" w:hAnsi="Arial"/>
          <w:sz w:val="18"/>
          <w:szCs w:val="18"/>
          <w:b w:val="1"/>
          <w:bCs w:val="1"/>
          <w:color w:val="auto"/>
        </w:rPr>
        <w:t>11.17 No Recourse to Other Persons</w:t>
      </w:r>
      <w:r>
        <w:rPr>
          <w:rFonts w:ascii="Arial" w:cs="Arial" w:eastAsia="Arial" w:hAnsi="Arial"/>
          <w:sz w:val="18"/>
          <w:szCs w:val="18"/>
          <w:color w:val="auto"/>
        </w:rPr>
        <w:t>.No past, present or future director, officer, partner, employee, incorporator, manager,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 or member of the Company, General Partner, Plains AAP, or GP LLC, and no past, present or future director, officer, partner, employee, incorporator, manager, stockholder, unitholder or member of any Subsidiary of the Company that is from time to time a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Borrowers hereunder and, as applicable, the making of the Notes.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11.18 Electronic Execution; Electronic Records</w:t>
      </w:r>
      <w:r>
        <w:rPr>
          <w:rFonts w:ascii="Arial" w:cs="Arial" w:eastAsia="Arial" w:hAnsi="Arial"/>
          <w:sz w:val="16"/>
          <w:szCs w:val="16"/>
          <w:color w:val="auto"/>
        </w:rPr>
        <w:t>. This Agreement, any Loan Document and any other Communication,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6" w:name="page147"/>
    <w:bookmarkEnd w:id="146"/>
    <w:p>
      <w:pPr>
        <w:jc w:val="both"/>
        <w:ind w:firstLine="648"/>
        <w:spacing w:after="0" w:line="275" w:lineRule="auto"/>
        <w:rPr>
          <w:sz w:val="20"/>
          <w:szCs w:val="20"/>
          <w:color w:val="auto"/>
        </w:rPr>
      </w:pPr>
      <w:r>
        <w:rPr>
          <w:rFonts w:ascii="Arial" w:cs="Arial" w:eastAsia="Arial" w:hAnsi="Arial"/>
          <w:sz w:val="17"/>
          <w:szCs w:val="17"/>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11.19 USA PATRIOT Act</w:t>
      </w:r>
      <w:r>
        <w:rPr>
          <w:rFonts w:ascii="Arial" w:cs="Arial" w:eastAsia="Arial" w:hAnsi="Arial"/>
          <w:sz w:val="18"/>
          <w:szCs w:val="18"/>
          <w:color w:val="auto"/>
        </w:rPr>
        <w:t>. 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11.21 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48"/>
        <w:spacing w:after="0" w:line="266" w:lineRule="auto"/>
        <w:rPr>
          <w:sz w:val="20"/>
          <w:szCs w:val="20"/>
          <w:color w:val="auto"/>
        </w:rPr>
      </w:pPr>
      <w:r>
        <w:rPr>
          <w:rFonts w:ascii="Arial" w:cs="Arial" w:eastAsia="Arial" w:hAnsi="Arial"/>
          <w:sz w:val="18"/>
          <w:szCs w:val="18"/>
          <w:b w:val="1"/>
          <w:bCs w:val="1"/>
          <w:color w:val="auto"/>
        </w:rPr>
        <w:t>11.22 ENTIRE AGREEMENT</w:t>
      </w:r>
      <w:r>
        <w:rPr>
          <w:rFonts w:ascii="Arial" w:cs="Arial" w:eastAsia="Arial" w:hAnsi="Arial"/>
          <w:sz w:val="18"/>
          <w:szCs w:val="18"/>
          <w:color w:val="auto"/>
        </w:rPr>
        <w:t>. THIS AGREEMENT AND THE OTHER LOAN DOCUMENTS REPRESENT THE FINAL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11.23 Reallocation of Outstanding Loans under Existing Credit Agreement</w:t>
      </w:r>
      <w:r>
        <w:rPr>
          <w:rFonts w:ascii="Arial" w:cs="Arial" w:eastAsia="Arial" w:hAnsi="Arial"/>
          <w:sz w:val="16"/>
          <w:szCs w:val="16"/>
          <w:color w:val="auto"/>
        </w:rPr>
        <w:t>. In connection with the refinancing of the outstanding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indebtedness under the Existing Credit Agreement pursuant hereto, the Company, Administrative Agent and Lenders shall as of the Closing Date make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shall be necessary to provide for Loans hereunder by each Lender in the amount of its Applicable Percentage of all Loans as of the Closing Date, but in no event shall such adjustment of any “Eurocurrency Rate Loans” (as such term is defined therein)</w:t>
      </w:r>
    </w:p>
    <w:p>
      <w:pPr>
        <w:spacing w:after="0" w:line="3" w:lineRule="exact"/>
        <w:rPr>
          <w:sz w:val="20"/>
          <w:szCs w:val="20"/>
          <w:color w:val="auto"/>
        </w:rPr>
      </w:pPr>
    </w:p>
    <w:p>
      <w:pPr>
        <w:jc w:val="both"/>
        <w:ind w:firstLine="8"/>
        <w:spacing w:after="0" w:line="277" w:lineRule="auto"/>
        <w:tabs>
          <w:tab w:leader="none" w:pos="23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constitute a payment or prepayment of all or a portion of any such Eurocurrency Rate Loans or (ii) entitle any Lender to any reimbursement under Section 3.05 hereof, and each Lender shall be deemed to have made an assignment of its outstanding Loans under the Existing Credit Agreement, and assumed outstanding Loans of other Lenders under the Existing Credit Agreement as may be necessary to effect the foregoing.</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11.24 Acknowledgement and Consent to Bail-In of Affected Financial Institutions</w:t>
      </w:r>
      <w:r>
        <w:rPr>
          <w:rFonts w:ascii="Arial" w:cs="Arial" w:eastAsia="Arial" w:hAnsi="Arial"/>
          <w:sz w:val="17"/>
          <w:szCs w:val="17"/>
          <w:color w:val="auto"/>
        </w:rPr>
        <w:t>. Solely to the extent any Lender or L/C Issuer that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656"/>
        <w:spacing w:after="0" w:line="277" w:lineRule="auto"/>
        <w:tabs>
          <w:tab w:leader="none" w:pos="1095"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0" w:lineRule="exact"/>
        <w:rPr>
          <w:rFonts w:ascii="Arial" w:cs="Arial" w:eastAsia="Arial" w:hAnsi="Arial"/>
          <w:sz w:val="18"/>
          <w:szCs w:val="18"/>
          <w:color w:val="010000"/>
        </w:rPr>
      </w:pPr>
    </w:p>
    <w:p>
      <w:pPr>
        <w:ind w:left="1120" w:hanging="464"/>
        <w:spacing w:after="0"/>
        <w:tabs>
          <w:tab w:leader="none" w:pos="1120"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010000"/>
        </w:rPr>
      </w:pPr>
    </w:p>
    <w:p>
      <w:pPr>
        <w:ind w:left="1680" w:hanging="376"/>
        <w:spacing w:after="0"/>
        <w:tabs>
          <w:tab w:leader="none" w:pos="1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left="-460" w:firstLine="644"/>
        <w:spacing w:after="0" w:line="259" w:lineRule="auto"/>
        <w:tabs>
          <w:tab w:leader="none" w:pos="5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460" w:firstLine="644"/>
        <w:spacing w:after="0" w:line="277" w:lineRule="auto"/>
        <w:tabs>
          <w:tab w:leader="none" w:pos="6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 its general partner</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240"/>
          </w:cols>
          <w:pgMar w:left="320" w:top="908" w:right="339" w:bottom="1440" w:gutter="0" w:footer="0" w:header="0"/>
        </w:sectPr>
      </w:pPr>
    </w:p>
    <w:bookmarkStart w:id="150" w:name="page151"/>
    <w:bookmarkEnd w:id="150"/>
    <w:p>
      <w:pPr>
        <w:ind w:left="56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Anthea Del Bianco</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Anthea Del Bianco</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1" w:name="page152"/>
    <w:bookmarkEnd w:id="151"/>
    <w:p>
      <w:pPr>
        <w:ind w:left="56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 L/C Issuer and Swing Line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Phillips</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Phillips</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2" w:name="page153"/>
    <w:bookmarkEnd w:id="152"/>
    <w:p>
      <w:pPr>
        <w:ind w:left="5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Maureen P. Maroney</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S-4</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3" w:name="page154"/>
    <w:bookmarkEnd w:id="153"/>
    <w:p>
      <w:pPr>
        <w:ind w:left="56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Stephanie Balette</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S-5</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4" w:name="page155"/>
    <w:bookmarkEnd w:id="154"/>
    <w:p>
      <w:pPr>
        <w:ind w:left="56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Nathan Starr</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Nathan Starr</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S-6</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5" w:name="page156"/>
    <w:bookmarkEnd w:id="155"/>
    <w:p>
      <w:pPr>
        <w:ind w:left="5620"/>
        <w:spacing w:after="0"/>
        <w:rPr>
          <w:sz w:val="20"/>
          <w:szCs w:val="20"/>
          <w:color w:val="auto"/>
        </w:rPr>
      </w:pPr>
      <w:r>
        <w:rPr>
          <w:rFonts w:ascii="Arial" w:cs="Arial" w:eastAsia="Arial" w:hAnsi="Arial"/>
          <w:sz w:val="18"/>
          <w:szCs w:val="18"/>
          <w:b w:val="1"/>
          <w:bCs w:val="1"/>
          <w:color w:val="auto"/>
        </w:rPr>
        <w:t>BANCO BILBAO VIZCAYA ARGENTARIA,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S.A. NEW YORK 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Cara Younger</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Cara Younger</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Director</w:t>
            </w:r>
          </w:p>
        </w:tc>
      </w:tr>
      <w:tr>
        <w:trPr>
          <w:trHeight w:val="426"/>
        </w:trPr>
        <w:tc>
          <w:tcPr>
            <w:tcW w:w="4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Trautmann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Miriam Trautmann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S-7</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6" w:name="page157"/>
    <w:bookmarkEnd w:id="156"/>
    <w:p>
      <w:pPr>
        <w:ind w:left="56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Berryman</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Berryman</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Corporate Banking</w:t>
            </w:r>
          </w:p>
        </w:tc>
      </w:tr>
      <w:tr>
        <w:trPr>
          <w:trHeight w:val="425"/>
        </w:trPr>
        <w:tc>
          <w:tcPr>
            <w:tcW w:w="4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Graf</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Matthew Graf</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Corporate Banking</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S-8</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b w:val="1"/>
          <w:bCs w:val="1"/>
          <w:color w:val="auto"/>
        </w:rPr>
        <w:t>BANK OF NOVA SCOTIA, HOUSTON BRANCH,</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Donovan Crandall</w:t>
            </w:r>
          </w:p>
        </w:tc>
      </w:tr>
      <w:tr>
        <w:trPr>
          <w:trHeight w:val="210"/>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Donovan Crandall</w:t>
            </w:r>
          </w:p>
        </w:tc>
      </w:tr>
      <w:tr>
        <w:trPr>
          <w:trHeight w:val="209"/>
        </w:trPr>
        <w:tc>
          <w:tcPr>
            <w:tcW w:w="4040" w:type="dxa"/>
            <w:vAlign w:val="bottom"/>
          </w:tcPr>
          <w:p>
            <w:pPr>
              <w:spacing w:after="0"/>
              <w:rPr>
                <w:sz w:val="18"/>
                <w:szCs w:val="18"/>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4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S-9</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8" w:name="page159"/>
    <w:bookmarkEnd w:id="158"/>
    <w:p>
      <w:pPr>
        <w:ind w:left="562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Sydney G. Dennis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S-10</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Trudy Nelson</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Trudy Nelson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402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 Scott W. Danvers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Scott W. Danvers</w:t>
            </w:r>
          </w:p>
        </w:tc>
        <w:tc>
          <w:tcPr>
            <w:tcW w:w="100" w:type="dxa"/>
            <w:vAlign w:val="bottom"/>
          </w:tcPr>
          <w:p>
            <w:pPr>
              <w:spacing w:after="0"/>
              <w:rPr>
                <w:sz w:val="18"/>
                <w:szCs w:val="18"/>
                <w:color w:val="auto"/>
              </w:rPr>
            </w:pP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100" w:type="dxa"/>
            <w:vAlign w:val="bottom"/>
          </w:tcPr>
          <w:p>
            <w:pPr>
              <w:spacing w:after="0"/>
              <w:rPr>
                <w:sz w:val="18"/>
                <w:szCs w:val="18"/>
                <w:color w:val="auto"/>
              </w:rPr>
            </w:pP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S-11</w:t>
            </w:r>
          </w:p>
        </w:tc>
        <w:tc>
          <w:tcPr>
            <w:tcW w:w="4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0" w:name="page161"/>
    <w:bookmarkEnd w:id="160"/>
    <w:p>
      <w:pPr>
        <w:ind w:left="56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Jared A Greene</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1" w:name="page162"/>
    <w:bookmarkEnd w:id="161"/>
    <w:p>
      <w:pPr>
        <w:ind w:left="56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 Bieser</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Juli Bieser</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26"/>
        </w:trPr>
        <w:tc>
          <w:tcPr>
            <w:tcW w:w="402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Gutterman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Lauren Gutterman</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2" w:name="page163"/>
    <w:bookmarkEnd w:id="162"/>
    <w:p>
      <w:pPr>
        <w:ind w:left="56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Sacks</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Sacks</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S-14</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Warfel</w:t>
            </w:r>
          </w:p>
        </w:tc>
      </w:tr>
      <w:tr>
        <w:trPr>
          <w:trHeight w:val="210"/>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 Warfel</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S-15</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Kyle T. Helfrich</w:t>
            </w:r>
          </w:p>
        </w:tc>
      </w:tr>
      <w:tr>
        <w:trPr>
          <w:trHeight w:val="209"/>
        </w:trPr>
        <w:tc>
          <w:tcPr>
            <w:tcW w:w="4020" w:type="dxa"/>
            <w:vAlign w:val="bottom"/>
          </w:tcPr>
          <w:p>
            <w:pPr>
              <w:spacing w:after="0"/>
              <w:rPr>
                <w:sz w:val="18"/>
                <w:szCs w:val="18"/>
                <w:color w:val="auto"/>
              </w:rPr>
            </w:pP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64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2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S-16</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5" w:name="page166"/>
    <w:bookmarkEnd w:id="165"/>
    <w:p>
      <w:pPr>
        <w:ind w:left="564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S-17</w:t>
            </w:r>
          </w:p>
        </w:tc>
      </w:tr>
    </w:tbl>
    <w:p>
      <w:pPr>
        <w:sectPr>
          <w:pgSz w:w="11900" w:h="16838" w:orient="portrait"/>
          <w:cols w:equalWidth="0" w:num="1">
            <w:col w:w="11240"/>
          </w:cols>
          <w:pgMar w:left="320" w:top="904" w:right="339" w:bottom="1440" w:gutter="0" w:footer="0" w:header="0"/>
        </w:sectPr>
      </w:pPr>
    </w:p>
    <w:bookmarkStart w:id="166" w:name="page167"/>
    <w:bookmarkEnd w:id="166"/>
    <w:p>
      <w:pPr>
        <w:ind w:left="564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S-18</w:t>
            </w:r>
          </w:p>
        </w:tc>
      </w:tr>
    </w:tbl>
    <w:p>
      <w:pPr>
        <w:sectPr>
          <w:pgSz w:w="11900" w:h="16838" w:orient="portrait"/>
          <w:cols w:equalWidth="0" w:num="1">
            <w:col w:w="11240"/>
          </w:cols>
          <w:pgMar w:left="320" w:top="904" w:right="339" w:bottom="1440" w:gutter="0" w:footer="0" w:header="0"/>
        </w:sectPr>
      </w:pPr>
    </w:p>
    <w:bookmarkStart w:id="167" w:name="page168"/>
    <w:bookmarkEnd w:id="167"/>
    <w:p>
      <w:pPr>
        <w:ind w:left="5640"/>
        <w:spacing w:after="0"/>
        <w:rPr>
          <w:sz w:val="20"/>
          <w:szCs w:val="20"/>
          <w:color w:val="auto"/>
        </w:rPr>
      </w:pPr>
      <w:r>
        <w:rPr>
          <w:rFonts w:ascii="Arial" w:cs="Arial" w:eastAsia="Arial" w:hAnsi="Arial"/>
          <w:sz w:val="18"/>
          <w:szCs w:val="18"/>
          <w:b w:val="1"/>
          <w:bCs w:val="1"/>
          <w:color w:val="auto"/>
        </w:rPr>
        <w:t>SUMITOMO MITSUI BANKING</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S-19</w:t>
            </w:r>
          </w:p>
        </w:tc>
      </w:tr>
    </w:tbl>
    <w:p>
      <w:pPr>
        <w:sectPr>
          <w:pgSz w:w="11900" w:h="16838" w:orient="portrait"/>
          <w:cols w:equalWidth="0" w:num="1">
            <w:col w:w="11240"/>
          </w:cols>
          <w:pgMar w:left="320" w:top="904" w:right="339" w:bottom="1440" w:gutter="0" w:footer="0" w:header="0"/>
        </w:sectPr>
      </w:pPr>
    </w:p>
    <w:bookmarkStart w:id="168" w:name="page169"/>
    <w:bookmarkEnd w:id="168"/>
    <w:p>
      <w:pPr>
        <w:ind w:left="5640"/>
        <w:spacing w:after="0"/>
        <w:rPr>
          <w:sz w:val="20"/>
          <w:szCs w:val="20"/>
          <w:color w:val="auto"/>
        </w:rPr>
      </w:pPr>
      <w:r>
        <w:rPr>
          <w:rFonts w:ascii="Arial" w:cs="Arial" w:eastAsia="Arial" w:hAnsi="Arial"/>
          <w:sz w:val="18"/>
          <w:szCs w:val="18"/>
          <w:b w:val="1"/>
          <w:bCs w:val="1"/>
          <w:color w:val="auto"/>
        </w:rPr>
        <w:t>THE TORONTO-DOMINION BANK,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YORK BRANCH</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S-20</w:t>
            </w:r>
          </w:p>
        </w:tc>
      </w:tr>
    </w:tbl>
    <w:p>
      <w:pPr>
        <w:sectPr>
          <w:pgSz w:w="11900" w:h="16838" w:orient="portrait"/>
          <w:cols w:equalWidth="0" w:num="1">
            <w:col w:w="11240"/>
          </w:cols>
          <w:pgMar w:left="320" w:top="904" w:right="339" w:bottom="1440" w:gutter="0" w:footer="0" w:header="0"/>
        </w:sectPr>
      </w:pPr>
    </w:p>
    <w:bookmarkStart w:id="169" w:name="page170"/>
    <w:bookmarkEnd w:id="169"/>
    <w:p>
      <w:pPr>
        <w:ind w:left="564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S-21</w:t>
            </w:r>
          </w:p>
        </w:tc>
      </w:tr>
    </w:tbl>
    <w:p>
      <w:pPr>
        <w:sectPr>
          <w:pgSz w:w="11900" w:h="16838" w:orient="portrait"/>
          <w:cols w:equalWidth="0" w:num="1">
            <w:col w:w="11240"/>
          </w:cols>
          <w:pgMar w:left="320" w:top="904" w:right="339" w:bottom="1440" w:gutter="0" w:footer="0" w:header="0"/>
        </w:sectPr>
      </w:pPr>
    </w:p>
    <w:bookmarkStart w:id="170" w:name="page171"/>
    <w:bookmarkEnd w:id="170"/>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Rogers</w:t>
            </w:r>
          </w:p>
        </w:tc>
      </w:tr>
      <w:tr>
        <w:trPr>
          <w:trHeight w:val="209"/>
        </w:trPr>
        <w:tc>
          <w:tcPr>
            <w:tcW w:w="4020" w:type="dxa"/>
            <w:vAlign w:val="bottom"/>
          </w:tcPr>
          <w:p>
            <w:pPr>
              <w:spacing w:after="0"/>
              <w:rPr>
                <w:sz w:val="18"/>
                <w:szCs w:val="18"/>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S. Rogers</w:t>
            </w:r>
          </w:p>
        </w:tc>
      </w:tr>
      <w:tr>
        <w:trPr>
          <w:trHeight w:val="210"/>
        </w:trPr>
        <w:tc>
          <w:tcPr>
            <w:tcW w:w="4020" w:type="dxa"/>
            <w:vAlign w:val="bottom"/>
          </w:tcPr>
          <w:p>
            <w:pPr>
              <w:spacing w:after="0"/>
              <w:rPr>
                <w:sz w:val="18"/>
                <w:szCs w:val="18"/>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1"/>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21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1" w:name="page172"/>
    <w:bookmarkEnd w:id="171"/>
    <w:p>
      <w:pPr>
        <w:ind w:left="5640"/>
        <w:spacing w:after="0"/>
        <w:rPr>
          <w:sz w:val="20"/>
          <w:szCs w:val="20"/>
          <w:color w:val="auto"/>
        </w:rPr>
      </w:pPr>
      <w:r>
        <w:rPr>
          <w:rFonts w:ascii="Arial" w:cs="Arial" w:eastAsia="Arial" w:hAnsi="Arial"/>
          <w:sz w:val="18"/>
          <w:szCs w:val="18"/>
          <w:b w:val="1"/>
          <w:bCs w:val="1"/>
          <w:color w:val="auto"/>
        </w:rPr>
        <w:t>ZB N.A. DBA AMEGY BANK</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S-23</w:t>
            </w:r>
          </w:p>
        </w:tc>
      </w:tr>
    </w:tbl>
    <w:p>
      <w:pPr>
        <w:sectPr>
          <w:pgSz w:w="11900" w:h="16838" w:orient="portrait"/>
          <w:cols w:equalWidth="0" w:num="1">
            <w:col w:w="11240"/>
          </w:cols>
          <w:pgMar w:left="320" w:top="904" w:right="339" w:bottom="1440" w:gutter="0" w:footer="0" w:header="0"/>
        </w:sectPr>
      </w:pPr>
    </w:p>
    <w:bookmarkStart w:id="172" w:name="page173"/>
    <w:bookmarkEnd w:id="172"/>
    <w:p>
      <w:pPr>
        <w:ind w:left="564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Plains All American Credit Facility</w:t>
            </w: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S-24</w:t>
            </w:r>
          </w:p>
        </w:tc>
      </w:tr>
    </w:tbl>
    <w:p>
      <w:pPr>
        <w:sectPr>
          <w:pgSz w:w="11900" w:h="16838" w:orient="portrait"/>
          <w:cols w:equalWidth="0" w:num="1">
            <w:col w:w="11240"/>
          </w:cols>
          <w:pgMar w:left="320" w:top="904"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2.01</w:t>
            </w:r>
          </w:p>
        </w:tc>
      </w:tr>
      <w:tr>
        <w:trPr>
          <w:trHeight w:val="414"/>
        </w:trPr>
        <w:tc>
          <w:tcPr>
            <w:tcW w:w="7300" w:type="dxa"/>
            <w:vAlign w:val="bottom"/>
            <w:gridSpan w:val="2"/>
          </w:tcPr>
          <w:p>
            <w:pPr>
              <w:ind w:left="4900"/>
              <w:spacing w:after="0"/>
              <w:rPr>
                <w:sz w:val="20"/>
                <w:szCs w:val="20"/>
                <w:color w:val="auto"/>
              </w:rPr>
            </w:pPr>
            <w:r>
              <w:rPr>
                <w:rFonts w:ascii="Arial" w:cs="Arial" w:eastAsia="Arial" w:hAnsi="Arial"/>
                <w:sz w:val="18"/>
                <w:szCs w:val="18"/>
                <w:b w:val="1"/>
                <w:bCs w:val="1"/>
                <w:color w:val="auto"/>
              </w:rPr>
              <w:t>COMMITMENTS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300" w:type="dxa"/>
            <w:vAlign w:val="bottom"/>
            <w:gridSpan w:val="2"/>
          </w:tcPr>
          <w:p>
            <w:pPr>
              <w:ind w:left="4140"/>
              <w:spacing w:after="0"/>
              <w:rPr>
                <w:sz w:val="20"/>
                <w:szCs w:val="20"/>
                <w:color w:val="auto"/>
              </w:rPr>
            </w:pPr>
            <w:r>
              <w:rPr>
                <w:rFonts w:ascii="Arial" w:cs="Arial" w:eastAsia="Arial" w:hAnsi="Arial"/>
                <w:sz w:val="18"/>
                <w:szCs w:val="18"/>
                <w:b w:val="1"/>
                <w:bCs w:val="1"/>
                <w:color w:val="auto"/>
              </w:rPr>
              <w:t>AND APPLICABLE PERCENTAGES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24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Commitment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Applicable Percentage</w:t>
            </w:r>
          </w:p>
        </w:tc>
      </w:tr>
      <w:tr>
        <w:trPr>
          <w:trHeight w:val="210"/>
        </w:trPr>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4.7407407407%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Bank of Montreal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Nova Scotia, Houston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The Toronto-Dominion Bank, New York Branch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Z.B. N.A. DBA Amegy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*Rounded to ten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920" w:type="dxa"/>
            <w:vAlign w:val="bottom"/>
          </w:tcPr>
          <w:p>
            <w:pPr>
              <w:ind w:left="2700"/>
              <w:spacing w:after="0"/>
              <w:rPr>
                <w:sz w:val="20"/>
                <w:szCs w:val="20"/>
                <w:color w:val="auto"/>
              </w:rPr>
            </w:pPr>
            <w:r>
              <w:rPr>
                <w:rFonts w:ascii="Arial" w:cs="Arial" w:eastAsia="Arial" w:hAnsi="Arial"/>
                <w:sz w:val="18"/>
                <w:szCs w:val="18"/>
                <w:b w:val="1"/>
                <w:bCs w:val="1"/>
                <w:color w:val="auto"/>
              </w:rPr>
              <w:t>LETTER OF CREDIT COMMITMENTS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5"/>
        </w:trPr>
        <w:tc>
          <w:tcPr>
            <w:tcW w:w="1300" w:type="dxa"/>
            <w:vAlign w:val="bottom"/>
          </w:tcPr>
          <w:p>
            <w:pPr>
              <w:spacing w:after="0"/>
              <w:rPr>
                <w:sz w:val="24"/>
                <w:szCs w:val="24"/>
                <w:color w:val="auto"/>
              </w:rPr>
            </w:pPr>
          </w:p>
        </w:tc>
        <w:tc>
          <w:tcPr>
            <w:tcW w:w="6920" w:type="dxa"/>
            <w:vAlign w:val="bottom"/>
          </w:tcPr>
          <w:p>
            <w:pPr>
              <w:ind w:left="3180"/>
              <w:spacing w:after="0"/>
              <w:rPr>
                <w:sz w:val="20"/>
                <w:szCs w:val="20"/>
                <w:color w:val="auto"/>
              </w:rPr>
            </w:pPr>
            <w:r>
              <w:rPr>
                <w:rFonts w:ascii="Arial" w:cs="Arial" w:eastAsia="Arial" w:hAnsi="Arial"/>
                <w:sz w:val="18"/>
                <w:szCs w:val="18"/>
                <w:b w:val="1"/>
                <w:bCs w:val="1"/>
                <w:color w:val="auto"/>
              </w:rPr>
              <w:t>Lender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w:t>
            </w:r>
          </w:p>
        </w:tc>
        <w:tc>
          <w:tcPr>
            <w:tcW w:w="140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250,000,000.00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Citibank, N.A.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50,000,000.00</w:t>
            </w:r>
          </w:p>
        </w:tc>
        <w:tc>
          <w:tcPr>
            <w:tcW w:w="1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400,000,000.00</w:t>
            </w:r>
          </w:p>
        </w:tc>
        <w:tc>
          <w:tcPr>
            <w:tcW w:w="1400" w:type="dxa"/>
            <w:vAlign w:val="bottom"/>
          </w:tcPr>
          <w:p>
            <w:pPr>
              <w:spacing w:after="0"/>
              <w:rPr>
                <w:sz w:val="18"/>
                <w:szCs w:val="18"/>
                <w:color w:val="auto"/>
              </w:rPr>
            </w:pPr>
          </w:p>
        </w:tc>
      </w:tr>
      <w:tr>
        <w:trPr>
          <w:trHeight w:val="675"/>
        </w:trPr>
        <w:tc>
          <w:tcPr>
            <w:tcW w:w="13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i w:val="1"/>
          <w:iCs w:val="1"/>
          <w:color w:val="auto"/>
        </w:rPr>
        <w:t>SCHEDULE 2.01A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229" w:lineRule="exact"/>
        <w:rPr>
          <w:sz w:val="20"/>
          <w:szCs w:val="20"/>
          <w:color w:val="auto"/>
        </w:rPr>
      </w:pPr>
    </w:p>
    <w:p>
      <w:pPr>
        <w:jc w:val="both"/>
        <w:ind w:firstLine="656"/>
        <w:spacing w:after="0" w:line="263" w:lineRule="auto"/>
        <w:tabs>
          <w:tab w:leader="none" w:pos="105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Execution of Canadian BA’s</w:t>
      </w:r>
      <w:r>
        <w:rPr>
          <w:rFonts w:ascii="Arial" w:cs="Arial" w:eastAsia="Arial" w:hAnsi="Arial"/>
          <w:sz w:val="18"/>
          <w:szCs w:val="18"/>
          <w:color w:val="auto"/>
        </w:rPr>
        <w:t>. (a) To facilitate the acceptance of Canadian BA’s hereunder, PMCULC and each Designated Borrower hereby appoints each Lender as its attorney to sign and endorse on its behalf, as and when considered necessary by such Lender, an appropriate number of Canadian BA’s in the form prescribed by such Lender.</w:t>
      </w:r>
    </w:p>
    <w:p>
      <w:pPr>
        <w:spacing w:after="0" w:line="184" w:lineRule="exact"/>
        <w:rPr>
          <w:sz w:val="20"/>
          <w:szCs w:val="20"/>
          <w:color w:val="auto"/>
        </w:rPr>
      </w:pPr>
    </w:p>
    <w:p>
      <w:pPr>
        <w:jc w:val="both"/>
        <w:ind w:firstLine="656"/>
        <w:spacing w:after="0" w:line="279" w:lineRule="auto"/>
        <w:tabs>
          <w:tab w:leader="none" w:pos="108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Lender may, at its option, execute any Canadian BA in handwriting or by the facsimile or mechanical signature of any of its authorized officers, and each Lender is hereby authorized to accept or pay, as the case may be, any Canadian BA of PMCULC or a Designated Borrower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0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Canadian BA signed by a Lender as attorney for PMCULC or a Designated Borrower, whether signed in handwriting or by the facsimile or mechanical signature of an authorized officer of a Lender, may be dealt with by such Lender for all intents and purposes, and shall bind PMCULC or such Designated Borrower, as if duly signed and issued by PMCULC or such Designated Borrower.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8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187" w:lineRule="exact"/>
        <w:rPr>
          <w:sz w:val="20"/>
          <w:szCs w:val="20"/>
          <w:color w:val="auto"/>
        </w:rPr>
      </w:pPr>
    </w:p>
    <w:p>
      <w:pPr>
        <w:ind w:firstLine="656"/>
        <w:spacing w:after="0" w:line="308" w:lineRule="auto"/>
        <w:tabs>
          <w:tab w:leader="none" w:pos="1053"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Sale of Canadian BA’s</w:t>
      </w:r>
      <w:r>
        <w:rPr>
          <w:rFonts w:ascii="Arial" w:cs="Arial" w:eastAsia="Arial" w:hAnsi="Arial"/>
          <w:sz w:val="17"/>
          <w:szCs w:val="17"/>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146" w:lineRule="exact"/>
        <w:rPr>
          <w:sz w:val="20"/>
          <w:szCs w:val="20"/>
          <w:color w:val="auto"/>
        </w:rPr>
      </w:pPr>
    </w:p>
    <w:p>
      <w:pPr>
        <w:ind w:right="20" w:firstLine="656"/>
        <w:spacing w:after="0" w:line="277" w:lineRule="auto"/>
        <w:tabs>
          <w:tab w:leader="none" w:pos="10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PMCULC or the Designated Borrower on the funding date.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184" w:lineRule="exact"/>
        <w:rPr>
          <w:sz w:val="20"/>
          <w:szCs w:val="20"/>
          <w:color w:val="auto"/>
        </w:rPr>
      </w:pPr>
    </w:p>
    <w:p>
      <w:pPr>
        <w:jc w:val="both"/>
        <w:ind w:firstLine="656"/>
        <w:spacing w:after="0" w:line="275" w:lineRule="auto"/>
        <w:tabs>
          <w:tab w:leader="none" w:pos="105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Size and Maturity of Canadian BA’s and Rollovers</w:t>
      </w:r>
      <w:r>
        <w:rPr>
          <w:rFonts w:ascii="Arial" w:cs="Arial" w:eastAsia="Arial" w:hAnsi="Arial"/>
          <w:sz w:val="17"/>
          <w:szCs w:val="17"/>
          <w:color w:val="auto"/>
        </w:rPr>
        <w:t>. Each Borrowing by means of Canadian BA’s shall be in a minimum amount of CDN$1,000,000, and no more than seven Borrowings of Canadian BA’s shall be outstanding at any time. Each Canadian BA shall have a term of 30, 60 or 90 days (or such other period as may be agreed to by PMCULC or the Designated Borrower requesting such Borrowing and the Lenders) after the date of acceptance of the Canadian BA by a Lender, but no Canadian BA may mature on a date which is not a Business Day or after the Maturity Date. The face amount at maturity of a Canadian BA may be rolled over as a Canadian BA (by repayment and reissue) or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ind w:left="-656" w:firstLine="656"/>
        <w:spacing w:after="0" w:line="277" w:lineRule="auto"/>
        <w:tabs>
          <w:tab w:leader="none" w:pos="39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170" w:lineRule="exact"/>
        <w:rPr>
          <w:sz w:val="20"/>
          <w:szCs w:val="20"/>
          <w:color w:val="auto"/>
        </w:rPr>
      </w:pPr>
    </w:p>
    <w:p>
      <w:pPr>
        <w:jc w:val="both"/>
        <w:ind w:left="-656" w:firstLine="656"/>
        <w:spacing w:after="0" w:line="269" w:lineRule="auto"/>
        <w:tabs>
          <w:tab w:leader="none" w:pos="41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Administrative Agent, promptly following receipt of a notice from PMCULC or a Designated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requesting a Borrowing by way of Canadian BA’s, shall advise each Lender of the aggregate face amount and term(s) of the Canadian BA’s to be accepted by it, which term(s) shall, subject to the provisions hereof,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PMCULC, each Designated Borrower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178" w:lineRule="exact"/>
        <w:rPr>
          <w:rFonts w:ascii="Arial" w:cs="Arial" w:eastAsia="Arial" w:hAnsi="Arial"/>
          <w:sz w:val="17"/>
          <w:szCs w:val="17"/>
          <w:color w:val="auto"/>
        </w:rPr>
      </w:pPr>
    </w:p>
    <w:p>
      <w:pPr>
        <w:jc w:val="both"/>
        <w:ind w:left="-656" w:firstLine="656"/>
        <w:spacing w:after="0" w:line="269" w:lineRule="auto"/>
        <w:tabs>
          <w:tab w:leader="none" w:pos="42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PMCULC or a Designated Borrower into a Borrowing by way of Bankers’ Acceptances to be accepted by a Lender pursuant hereto, such Lender, in order to satisfy the continuing liability of PMCULC or such Designated Borrower to it for the principal amount of the Canadian Prime Rate Loans being converted, shall retain for its own account the Canadian BA Discount Proceeds of each new Canadian BA issued by it in connection with such conversion; and PMCULC or such Designated Borrower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7" w:name="page178"/>
    <w:bookmarkEnd w:id="177"/>
    <w:p>
      <w:pPr>
        <w:jc w:val="both"/>
        <w:ind w:left="-8" w:firstLine="656"/>
        <w:spacing w:after="0" w:line="286" w:lineRule="auto"/>
        <w:tabs>
          <w:tab w:leader="none" w:pos="106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Notwithstanding any other provision hereof, for the purpose of determining the amount to be transferred by a Lender to PMCULC or the Designated Borrower requesting such Borrowing in 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3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189" w:lineRule="exact"/>
        <w:rPr>
          <w:rFonts w:ascii="Arial" w:cs="Arial" w:eastAsia="Arial" w:hAnsi="Arial"/>
          <w:sz w:val="18"/>
          <w:szCs w:val="18"/>
          <w:color w:val="auto"/>
        </w:rPr>
      </w:pPr>
    </w:p>
    <w:p>
      <w:pPr>
        <w:jc w:val="both"/>
        <w:ind w:left="-8" w:firstLine="656"/>
        <w:spacing w:after="0" w:line="269" w:lineRule="auto"/>
        <w:tabs>
          <w:tab w:leader="none" w:pos="1075" w:val="left"/>
        </w:tabs>
        <w:numPr>
          <w:ilvl w:val="1"/>
          <w:numId w:val="193"/>
        </w:numPr>
        <w:rPr>
          <w:rFonts w:ascii="Arial" w:cs="Arial" w:eastAsia="Arial" w:hAnsi="Arial"/>
          <w:sz w:val="17"/>
          <w:szCs w:val="17"/>
          <w:color w:val="auto"/>
        </w:rPr>
      </w:pPr>
      <w:r>
        <w:rPr>
          <w:rFonts w:ascii="Arial" w:cs="Arial" w:eastAsia="Arial" w:hAnsi="Arial"/>
          <w:sz w:val="17"/>
          <w:szCs w:val="17"/>
          <w:color w:val="auto"/>
        </w:rPr>
        <w:t>Whenever PMCULC or a Designated Borrower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7"/>
          <w:szCs w:val="17"/>
          <w:u w:val="single" w:color="auto"/>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such Canadian BA’s, make available to PMCULC or the applicable Designated Borrower on the funding date a non-interest bearing loan (a “</w:t>
      </w:r>
      <w:r>
        <w:rPr>
          <w:rFonts w:ascii="Arial" w:cs="Arial" w:eastAsia="Arial" w:hAnsi="Arial"/>
          <w:sz w:val="17"/>
          <w:szCs w:val="17"/>
          <w:u w:val="single" w:color="auto"/>
          <w:color w:val="auto"/>
        </w:rPr>
        <w:t>Canadian BA Equivalent Loan</w:t>
      </w:r>
      <w:r>
        <w:rPr>
          <w:rFonts w:ascii="Arial" w:cs="Arial" w:eastAsia="Arial" w:hAnsi="Arial"/>
          <w:sz w:val="17"/>
          <w:szCs w:val="17"/>
          <w:color w:val="auto"/>
        </w:rPr>
        <w:t xml:space="preserve">”) in Canadian Dollars in an amount equal to the amount of Canadian BA Discount Proceeds that would constitute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applicable Canadian BA’s based on the Canadian BA Discount Rate set forth in c</w:t>
      </w:r>
      <w:r>
        <w:rPr>
          <w:rFonts w:ascii="Arial" w:cs="Arial" w:eastAsia="Arial" w:hAnsi="Arial"/>
          <w:sz w:val="17"/>
          <w:szCs w:val="17"/>
          <w:u w:val="single" w:color="auto"/>
          <w:color w:val="auto"/>
        </w:rPr>
        <w:t>lause (b)</w:t>
      </w:r>
      <w:r>
        <w:rPr>
          <w:rFonts w:ascii="Arial" w:cs="Arial" w:eastAsia="Arial" w:hAnsi="Arial"/>
          <w:sz w:val="17"/>
          <w:szCs w:val="17"/>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PMCULC or the Designated Borrower requesting such Borrowing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to Canadian BA Equivalent Loans and Non BA Lenders and, without limiting the foregoing, Borrowings shall include Canadian BA Equivalent</w:t>
      </w:r>
      <w:r>
        <w:rPr>
          <w:rFonts w:ascii="Arial" w:cs="Arial" w:eastAsia="Arial" w:hAnsi="Arial"/>
          <w:sz w:val="17"/>
          <w:szCs w:val="17"/>
          <w:i w:val="1"/>
          <w:iCs w:val="1"/>
          <w:color w:val="auto"/>
        </w:rPr>
        <w:t xml:space="preserve"> </w:t>
      </w:r>
      <w:r>
        <w:rPr>
          <w:rFonts w:ascii="Arial" w:cs="Arial" w:eastAsia="Arial" w:hAnsi="Arial"/>
          <w:sz w:val="17"/>
          <w:szCs w:val="17"/>
          <w:color w:val="auto"/>
        </w:rPr>
        <w:t>Loans.</w:t>
      </w:r>
    </w:p>
    <w:p>
      <w:pPr>
        <w:spacing w:after="0" w:line="179" w:lineRule="exact"/>
        <w:rPr>
          <w:sz w:val="20"/>
          <w:szCs w:val="20"/>
          <w:color w:val="auto"/>
        </w:rPr>
      </w:pPr>
    </w:p>
    <w:p>
      <w:pPr>
        <w:jc w:val="both"/>
        <w:ind w:left="-8" w:firstLine="656"/>
        <w:spacing w:after="0" w:line="271" w:lineRule="auto"/>
        <w:tabs>
          <w:tab w:leader="none" w:pos="1045"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Payment of Canadian BA’s; Cash Collateral; Prepayments; Taxes, Yield Protection and Illegality</w:t>
      </w:r>
      <w:r>
        <w:rPr>
          <w:rFonts w:ascii="Arial" w:cs="Arial" w:eastAsia="Arial" w:hAnsi="Arial"/>
          <w:sz w:val="17"/>
          <w:szCs w:val="17"/>
          <w:color w:val="auto"/>
        </w:rPr>
        <w:t>. (a) PMCULC and each Designated Borrower shall provide for the payment to each Lender of the full face amount of each Canadian BA accepted for its account on the earlier of (i) the date of maturity of such Canadian BA; and (ii) the date on which any Obligations become due and payable pursuant to Section 8.02. Any amount owing by PMCULC or a Designated Borrower in respect of any Canadian BA which is not paid in accordance with the foregoing, shall, as and from the date on which such Canadian BA matures, be deemed to be outstanding hereunder as a Canadian Prime Rate Loan. Each Lender shall be entitled to recover interest from PMCULC or such Designated Borrower, at the Default Rate, on any amount that is not paid when due by PMCULC or such Designated Borrower, from the date of maturity of each applicable Canadian BA to the date such payment, and all interest thereon, is provided for by PMCULC or such Designated Borrower, both before and after demand, default and judgment.</w:t>
      </w:r>
    </w:p>
    <w:p>
      <w:pPr>
        <w:spacing w:after="0" w:line="178" w:lineRule="exact"/>
        <w:rPr>
          <w:sz w:val="20"/>
          <w:szCs w:val="20"/>
          <w:color w:val="auto"/>
        </w:rPr>
      </w:pPr>
    </w:p>
    <w:p>
      <w:pPr>
        <w:jc w:val="both"/>
        <w:ind w:left="-8" w:firstLine="656"/>
        <w:spacing w:after="0" w:line="255" w:lineRule="auto"/>
        <w:tabs>
          <w:tab w:leader="none" w:pos="107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purposes of this Schedule 2.01A, Section 2.05(d) and Section 8.02(c),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 Administrative Agent and the Lenders (which documents are hereby consented to by the Lenders). Derivatives of such term have corresponding meanings. PMCULC and each Designated Borrower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8" w:name="page179"/>
    <w:bookmarkEnd w:id="178"/>
    <w:p>
      <w:pPr>
        <w:jc w:val="both"/>
        <w:ind w:left="-656" w:firstLine="656"/>
        <w:spacing w:after="0" w:line="254" w:lineRule="auto"/>
        <w:tabs>
          <w:tab w:leader="none" w:pos="4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amounts received by the Administrative Agent to be applied to outstanding Canadian BA’s, whether pursuant to an Event of Default and acceleration of the Obligations under Section 8.02 or a prepayment as permitted or required under Section 2.05,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PMCULC or the appropriate Designated Borrower.</w:t>
      </w:r>
    </w:p>
    <w:p>
      <w:pPr>
        <w:spacing w:after="0" w:line="191" w:lineRule="exact"/>
        <w:rPr>
          <w:rFonts w:ascii="Arial" w:cs="Arial" w:eastAsia="Arial" w:hAnsi="Arial"/>
          <w:sz w:val="18"/>
          <w:szCs w:val="18"/>
          <w:color w:val="auto"/>
        </w:rPr>
      </w:pPr>
    </w:p>
    <w:p>
      <w:pPr>
        <w:ind w:left="-656" w:firstLine="656"/>
        <w:spacing w:after="0" w:line="277" w:lineRule="auto"/>
        <w:tabs>
          <w:tab w:leader="none" w:pos="42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left="-656" w:firstLine="656"/>
        <w:spacing w:after="0" w:line="273" w:lineRule="auto"/>
        <w:tabs>
          <w:tab w:leader="none" w:pos="397"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Deemed Advance — Canadian BA’s</w:t>
      </w:r>
      <w:r>
        <w:rPr>
          <w:rFonts w:ascii="Arial" w:cs="Arial" w:eastAsia="Arial" w:hAnsi="Arial"/>
          <w:sz w:val="17"/>
          <w:szCs w:val="17"/>
          <w:color w:val="auto"/>
        </w:rPr>
        <w:t>. Except for amounts that are paid from the proceeds of a rollover of a Canadian BA or for which payment has otherwise been funded by PMCULC or a Designated Borrower,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PMCULC or such Designated Borrower under this Agreement. Each Lender shall forthwith give notice of the making of such a Loan to PMCULC or such Designated Borrower, the Administrative Agent and the other Lenders. Interest shall be payable on such Loans in accordance with the terms applicable to Canadian Prime Rate Loans.</w:t>
      </w:r>
    </w:p>
    <w:p>
      <w:pPr>
        <w:spacing w:after="0" w:line="177" w:lineRule="exact"/>
        <w:rPr>
          <w:rFonts w:ascii="Arial" w:cs="Arial" w:eastAsia="Arial" w:hAnsi="Arial"/>
          <w:sz w:val="17"/>
          <w:szCs w:val="17"/>
          <w:color w:val="auto"/>
        </w:rPr>
      </w:pPr>
    </w:p>
    <w:p>
      <w:pPr>
        <w:jc w:val="both"/>
        <w:ind w:left="-656" w:firstLine="656"/>
        <w:spacing w:after="0" w:line="257" w:lineRule="auto"/>
        <w:tabs>
          <w:tab w:leader="none" w:pos="39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PMCULC and each Designated Borrower waives presentment for payment of Canadian BA’s by Lenders. Neither PMCULC nor any Designated Borrower shall claim from a Lender any days of grace for the payment at maturity of any Canadian BA presented and accepted by such Lender pursuant to this Agreement. PMCULC and each Designated Borrower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187" w:lineRule="exact"/>
        <w:rPr>
          <w:rFonts w:ascii="Arial" w:cs="Arial" w:eastAsia="Arial" w:hAnsi="Arial"/>
          <w:sz w:val="18"/>
          <w:szCs w:val="18"/>
          <w:color w:val="auto"/>
        </w:rPr>
      </w:pPr>
    </w:p>
    <w:p>
      <w:pPr>
        <w:jc w:val="both"/>
        <w:ind w:left="-656" w:right="20" w:firstLine="656"/>
        <w:spacing w:after="0" w:line="257" w:lineRule="auto"/>
        <w:tabs>
          <w:tab w:leader="none" w:pos="39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 any bankers’ acceptance draft endorsed in blank except for any loss arising by reason of the Administrative Agent or a Lender failing to use the same standard of care in the custody of such bankers’ acceptance drafts as the Administrative Agent or such Lender use in the custody of their own property of a similar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9" w:name="page180"/>
    <w:bookmarkEnd w:id="179"/>
    <w:p>
      <w:pPr>
        <w:jc w:val="both"/>
        <w:ind w:firstLine="656"/>
        <w:spacing w:after="0" w:line="263" w:lineRule="auto"/>
        <w:tabs>
          <w:tab w:leader="none" w:pos="1111"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obligations of PMCULC and each Designated Borrower with respect to Canadian BA’s under this Agreement shall be unconditional and irrevocable, and shall be paid strictly in accordance with the terms of this Agreement under all circumstances, including the following circumstances:</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225" w:lineRule="exact"/>
        <w:rPr>
          <w:rFonts w:ascii="Arial" w:cs="Arial" w:eastAsia="Arial" w:hAnsi="Arial"/>
          <w:sz w:val="18"/>
          <w:szCs w:val="18"/>
          <w:color w:val="auto"/>
        </w:rPr>
      </w:pPr>
    </w:p>
    <w:p>
      <w:pPr>
        <w:ind w:left="660" w:firstLine="644"/>
        <w:spacing w:after="0" w:line="277" w:lineRule="auto"/>
        <w:tabs>
          <w:tab w:leader="none" w:pos="177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PMCULC or any Designated Borrower may have at any time against the holder of a Canadian BA, a Lender or any other Person, whether in connection with this Agreement or otherwise.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PMCULC and each Designated Borrower agrees that: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amount of a Borrowing requested by PMCULC or such Designated Borrower by way of Canadian BA’s and the actual proceeds of the Canadian BA’s;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0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shall be funded and paid by PMCULC or such Designated Borrower from its own resources, by 12:00 p.m. (Toronto time) on the day of the applicable Borrowing or may be advanced as a Canadian Prime Rate Loan under the Commitments if PMCULC or such Designated Borrower is otherwise entitled to a Borrowing under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i w:val="1"/>
          <w:iCs w:val="1"/>
          <w:color w:val="auto"/>
        </w:rPr>
        <w:t>SCHEDULE 5.03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i w:val="1"/>
          <w:iCs w:val="1"/>
          <w:color w:val="auto"/>
        </w:rPr>
        <w:t>SCHEDULE 5.06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and its Subsidiaries are subject to actions, suits, proceedings, claims an disputes related to the Line 901 Incident as publicly disclosed in the Company’s Form 10-Q for the fiscal quarter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i w:val="1"/>
          <w:iCs w:val="1"/>
          <w:color w:val="auto"/>
        </w:rPr>
        <w:t>SCHEDULE 5.07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i w:val="1"/>
          <w:iCs w:val="1"/>
          <w:color w:val="auto"/>
        </w:rPr>
        <w:t>SCHEDULE 5.08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t>SCHEDULE 5.11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i w:val="1"/>
          <w:iCs w:val="1"/>
          <w:color w:val="auto"/>
        </w:rPr>
        <w:t>SCHEDULE 11.02</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Access Identification Number: 2015780733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Requests for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Karen Puente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469.201.8912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214.290.8378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karen.r.puente@bofa.com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ind w:right="3959"/>
        <w:spacing w:after="0" w:line="257" w:lineRule="auto"/>
        <w:rPr>
          <w:sz w:val="20"/>
          <w:szCs w:val="20"/>
          <w:color w:val="auto"/>
        </w:rPr>
      </w:pPr>
      <w:r>
        <w:rPr>
          <w:rFonts w:ascii="Arial" w:cs="Arial" w:eastAsia="Arial" w:hAnsi="Arial"/>
          <w:sz w:val="18"/>
          <w:szCs w:val="18"/>
          <w:b w:val="1"/>
          <w:bCs w:val="1"/>
          <w:color w:val="auto"/>
        </w:rPr>
        <w:t xml:space="preserve">CAD Payment Instructions; Bank of America, Canada Office Wire Instructions: </w:t>
      </w:r>
      <w:r>
        <w:rPr>
          <w:rFonts w:ascii="Arial" w:cs="Arial" w:eastAsia="Arial" w:hAnsi="Arial"/>
          <w:sz w:val="18"/>
          <w:szCs w:val="18"/>
          <w:color w:val="auto"/>
        </w:rPr>
        <w:t>Beneficiary Bank: Bank of America NA, Canada Branch (SWIFT ID: BOFACATT) A/C #: 90083255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#0241 Transit #56792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 Canada Branch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CA5-705-04-09</w:t>
      </w:r>
    </w:p>
    <w:p>
      <w:pPr>
        <w:spacing w:after="0" w:line="192"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San Francisco, CA 94104</w:t>
      </w:r>
    </w:p>
    <w:p>
      <w:pPr>
        <w:spacing w:after="0" w:line="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Anthea Del Bianco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415-436-2776</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415-503-5101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anthea.del_bianco@bofa.com</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L/C ISSUERS: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Mike Grizzanti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570-496-9621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michael.a.grizzanti@bofa.com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201-472-4024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212-994-0847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global.loans.LCRecon@citi.com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855-609-9959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214-307-6874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chicago.lc.agency.closing.team@jpmchase.com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02" w:lineRule="auto"/>
        <w:rPr>
          <w:sz w:val="20"/>
          <w:szCs w:val="20"/>
          <w:color w:val="auto"/>
        </w:rPr>
      </w:pPr>
      <w:r>
        <w:rPr>
          <w:rFonts w:ascii="Arial" w:cs="Arial" w:eastAsia="Arial" w:hAnsi="Arial"/>
          <w:sz w:val="18"/>
          <w:szCs w:val="18"/>
          <w:color w:val="auto"/>
        </w:rPr>
        <w:t>1000 Louisiana St.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Mail Code: T0002-120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Nathan Starr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713-319-1977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Telecopier: </w:t>
      </w:r>
      <w:r>
        <w:rPr>
          <w:rFonts w:ascii="Arial" w:cs="Arial" w:eastAsia="Arial" w:hAnsi="Arial"/>
          <w:sz w:val="18"/>
          <w:szCs w:val="18"/>
          <w:u w:val="single" w:color="auto"/>
          <w:color w:val="auto"/>
        </w:rPr>
        <w:t>713-319-1053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Nathan.Starr@wellsfargo.com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SWING LINE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Karen Puente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469.201.8912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214.290.8378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Bank of America Canada (SWIFT ID: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711465090227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Number: 72651GAE5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-130175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72651GAF2</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AUGUST 20, 2021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PLAINS MARKETING, L.P. </w:t>
      </w:r>
      <w:r>
        <w:rPr>
          <w:rFonts w:ascii="Arial" w:cs="Arial" w:eastAsia="Arial" w:hAnsi="Arial"/>
          <w:sz w:val="18"/>
          <w:szCs w:val="18"/>
          <w:color w:val="auto"/>
        </w:rPr>
        <w:t>and</w:t>
      </w:r>
      <w:r>
        <w:rPr>
          <w:rFonts w:ascii="Arial" w:cs="Arial" w:eastAsia="Arial" w:hAnsi="Arial"/>
          <w:sz w:val="18"/>
          <w:szCs w:val="18"/>
          <w:b w:val="1"/>
          <w:bCs w:val="1"/>
          <w:color w:val="auto"/>
        </w:rPr>
        <w:t xml:space="preserve"> PLAINS MIDSTREAM CANADA ULC,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Guarantor,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 xml:space="preserve">BANK OF AMERICA, N.A., CITIBANK, N.A., JPMORGAN CHASE BANK, N.A. </w:t>
      </w:r>
      <w:r>
        <w:rPr>
          <w:rFonts w:ascii="Arial" w:cs="Arial" w:eastAsia="Arial" w:hAnsi="Arial"/>
          <w:sz w:val="17"/>
          <w:szCs w:val="17"/>
          <w:color w:val="auto"/>
        </w:rPr>
        <w:t>and</w:t>
      </w:r>
      <w:r>
        <w:rPr>
          <w:rFonts w:ascii="Arial" w:cs="Arial" w:eastAsia="Arial" w:hAnsi="Arial"/>
          <w:sz w:val="17"/>
          <w:szCs w:val="17"/>
          <w:b w:val="1"/>
          <w:bCs w:val="1"/>
          <w:color w:val="auto"/>
        </w:rPr>
        <w:t xml:space="preserve"> WELLS FARGO</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L/C Issuers,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CITIBANK, N.A., 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Co-Syndication Agents, and</w:t>
      </w:r>
    </w:p>
    <w:p>
      <w:pPr>
        <w:spacing w:after="0" w:line="207" w:lineRule="exact"/>
        <w:rPr>
          <w:sz w:val="20"/>
          <w:szCs w:val="20"/>
          <w:color w:val="auto"/>
        </w:rPr>
      </w:pPr>
    </w:p>
    <w:p>
      <w:pPr>
        <w:ind w:left="2160" w:right="1680" w:hanging="1599"/>
        <w:spacing w:after="0" w:line="276" w:lineRule="auto"/>
        <w:rPr>
          <w:sz w:val="20"/>
          <w:szCs w:val="20"/>
          <w:color w:val="auto"/>
        </w:rPr>
      </w:pPr>
      <w:r>
        <w:rPr>
          <w:rFonts w:ascii="Arial" w:cs="Arial" w:eastAsia="Arial" w:hAnsi="Arial"/>
          <w:sz w:val="17"/>
          <w:szCs w:val="17"/>
          <w:b w:val="1"/>
          <w:bCs w:val="1"/>
          <w:color w:val="auto"/>
        </w:rPr>
        <w:t>BANCO BILBAO VIZCAYA ARGENTARIA, S.A., NEW YORK BRANCH, BANK OF MONTREAL, BANK OF NOVA SCOTIA, HOUSTON BRANCH, BARCLAYS BANK PLC,</w:t>
      </w:r>
    </w:p>
    <w:p>
      <w:pPr>
        <w:spacing w:after="0" w:line="1" w:lineRule="exact"/>
        <w:rPr>
          <w:sz w:val="20"/>
          <w:szCs w:val="20"/>
          <w:color w:val="auto"/>
        </w:rPr>
      </w:pPr>
    </w:p>
    <w:p>
      <w:pPr>
        <w:ind w:left="2700" w:right="1980" w:hanging="1827"/>
        <w:spacing w:after="0" w:line="250" w:lineRule="auto"/>
        <w:rPr>
          <w:sz w:val="20"/>
          <w:szCs w:val="20"/>
          <w:color w:val="auto"/>
        </w:rPr>
      </w:pPr>
      <w:r>
        <w:rPr>
          <w:rFonts w:ascii="Arial" w:cs="Arial" w:eastAsia="Arial" w:hAnsi="Arial"/>
          <w:sz w:val="18"/>
          <w:szCs w:val="18"/>
          <w:b w:val="1"/>
          <w:bCs w:val="1"/>
          <w:color w:val="auto"/>
        </w:rPr>
        <w:t>CANADIAN IMPERIAL BANK OF COMMERCE, NEW YORK BRANCH, COBANK, ACB, ING CAPITAL LLC, MIZUHO BANK, LTD., MUFG BANK, LTD.,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PNC BANK, NATIONAL ASSOCIATION, REGIONS BANK,</w:t>
      </w:r>
    </w:p>
    <w:p>
      <w:pPr>
        <w:spacing w:after="0" w:line="9" w:lineRule="exact"/>
        <w:rPr>
          <w:sz w:val="20"/>
          <w:szCs w:val="20"/>
          <w:color w:val="auto"/>
        </w:rPr>
      </w:pPr>
    </w:p>
    <w:p>
      <w:pPr>
        <w:ind w:left="1240" w:right="1720" w:firstLine="662"/>
        <w:spacing w:after="0" w:line="250" w:lineRule="auto"/>
        <w:rPr>
          <w:sz w:val="20"/>
          <w:szCs w:val="20"/>
          <w:color w:val="auto"/>
        </w:rPr>
      </w:pPr>
      <w:r>
        <w:rPr>
          <w:rFonts w:ascii="Arial" w:cs="Arial" w:eastAsia="Arial" w:hAnsi="Arial"/>
          <w:sz w:val="18"/>
          <w:szCs w:val="18"/>
          <w:b w:val="1"/>
          <w:bCs w:val="1"/>
          <w:color w:val="auto"/>
        </w:rPr>
        <w:t>ROYAL BANK OF CANADA, SUMITOMO MITSUI BANKING CORPORATION, THE TORONTO-DOMINION BANK, NEW YORK BRANCH, TRUIST BANK and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Co-Documentation Agents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BOFA SECURITIES, INC., 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 WELLS FARGO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BANCO BILBAO VIZCAYA ARGENTARIA, S.A., NEW YORK BRANCH, BMO CAPITAL MARKETS,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NOVA SCOTIA, HOUSTON BRANCH, BARCLAYS BANK PLC,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CANADIAN IMPERIAL BANK OF COMMERCE, NEW YORK BRANCH, COBANK, ACB,</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ING CAPITAL LLC, MIZUHO BANK, LTD., MUFG BANK, LTD.,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PNC BANK, NATIONAL ASSOCIATION, REGIONS BANK, ROYAL BANK OF CANADA,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TD SECURITIES (USA) LLC, TRUIST BANK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Joint Book Managers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Senior Secured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6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8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76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53"/>
        </w:trPr>
        <w:tc>
          <w:tcPr>
            <w:tcW w:w="1080" w:type="dxa"/>
            <w:vAlign w:val="bottom"/>
            <w:gridSpan w:val="2"/>
          </w:tcPr>
          <w:p>
            <w:pPr>
              <w:spacing w:after="0"/>
              <w:rPr>
                <w:sz w:val="20"/>
                <w:szCs w:val="20"/>
                <w:color w:val="auto"/>
              </w:rPr>
            </w:pPr>
            <w:r>
              <w:rPr>
                <w:rFonts w:ascii="Arial" w:cs="Arial" w:eastAsia="Arial" w:hAnsi="Arial"/>
                <w:sz w:val="18"/>
                <w:szCs w:val="18"/>
                <w:color w:val="auto"/>
              </w:rPr>
              <w:t>ARTICLE I.</w:t>
            </w:r>
          </w:p>
        </w:tc>
        <w:tc>
          <w:tcPr>
            <w:tcW w:w="7660" w:type="dxa"/>
            <w:vAlign w:val="bottom"/>
          </w:tcPr>
          <w:p>
            <w:pPr>
              <w:ind w:left="280"/>
              <w:spacing w:after="0"/>
              <w:rPr>
                <w:sz w:val="20"/>
                <w:szCs w:val="20"/>
                <w:color w:val="auto"/>
              </w:rPr>
            </w:pPr>
            <w:r>
              <w:rPr>
                <w:rFonts w:ascii="Arial" w:cs="Arial" w:eastAsia="Arial" w:hAnsi="Arial"/>
                <w:sz w:val="18"/>
                <w:szCs w:val="18"/>
                <w:color w:val="auto"/>
              </w:rPr>
              <w:t>DEFINITIONS AND 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766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7660" w:type="dxa"/>
            <w:vAlign w:val="bottom"/>
          </w:tcPr>
          <w:p>
            <w:pPr>
              <w:ind w:left="60"/>
              <w:spacing w:after="0"/>
              <w:rPr>
                <w:sz w:val="20"/>
                <w:szCs w:val="20"/>
                <w:color w:val="auto"/>
              </w:rPr>
            </w:pPr>
            <w:r>
              <w:rPr>
                <w:rFonts w:ascii="Arial" w:cs="Arial" w:eastAsia="Arial" w:hAnsi="Arial"/>
                <w:sz w:val="18"/>
                <w:szCs w:val="18"/>
                <w:color w:val="auto"/>
              </w:rPr>
              <w:t>Other Interpretive Provisions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66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7660" w:type="dxa"/>
            <w:vAlign w:val="bottom"/>
          </w:tcPr>
          <w:p>
            <w:pPr>
              <w:ind w:left="60"/>
              <w:spacing w:after="0"/>
              <w:rPr>
                <w:sz w:val="20"/>
                <w:szCs w:val="20"/>
                <w:color w:val="auto"/>
              </w:rPr>
            </w:pPr>
            <w:r>
              <w:rPr>
                <w:rFonts w:ascii="Arial" w:cs="Arial" w:eastAsia="Arial" w:hAnsi="Arial"/>
                <w:sz w:val="18"/>
                <w:szCs w:val="18"/>
                <w:color w:val="auto"/>
              </w:rPr>
              <w:t>Rounding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7660" w:type="dxa"/>
            <w:vAlign w:val="bottom"/>
          </w:tcPr>
          <w:p>
            <w:pPr>
              <w:ind w:left="60"/>
              <w:spacing w:after="0"/>
              <w:rPr>
                <w:sz w:val="20"/>
                <w:szCs w:val="20"/>
                <w:color w:val="auto"/>
              </w:rPr>
            </w:pPr>
            <w:r>
              <w:rPr>
                <w:rFonts w:ascii="Arial" w:cs="Arial" w:eastAsia="Arial" w:hAnsi="Arial"/>
                <w:sz w:val="18"/>
                <w:szCs w:val="18"/>
                <w:color w:val="auto"/>
              </w:rPr>
              <w:t>Times of Day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7660" w:type="dxa"/>
            <w:vAlign w:val="bottom"/>
          </w:tcPr>
          <w:p>
            <w:pPr>
              <w:ind w:left="60"/>
              <w:spacing w:after="0"/>
              <w:rPr>
                <w:sz w:val="20"/>
                <w:szCs w:val="20"/>
                <w:color w:val="auto"/>
              </w:rPr>
            </w:pPr>
            <w:r>
              <w:rPr>
                <w:rFonts w:ascii="Arial" w:cs="Arial" w:eastAsia="Arial" w:hAnsi="Arial"/>
                <w:sz w:val="18"/>
                <w:szCs w:val="18"/>
                <w:color w:val="auto"/>
              </w:rPr>
              <w:t>Exchange Rates; Currency Equivalents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7660" w:type="dxa"/>
            <w:vAlign w:val="bottom"/>
          </w:tcPr>
          <w:p>
            <w:pPr>
              <w:ind w:left="60"/>
              <w:spacing w:after="0"/>
              <w:rPr>
                <w:sz w:val="20"/>
                <w:szCs w:val="20"/>
                <w:color w:val="auto"/>
              </w:rPr>
            </w:pPr>
            <w:r>
              <w:rPr>
                <w:rFonts w:ascii="Arial" w:cs="Arial" w:eastAsia="Arial" w:hAnsi="Arial"/>
                <w:sz w:val="18"/>
                <w:szCs w:val="18"/>
                <w:color w:val="auto"/>
              </w:rPr>
              <w:t>Letter of Credit Amounts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7660" w:type="dxa"/>
            <w:vAlign w:val="bottom"/>
          </w:tcPr>
          <w:p>
            <w:pPr>
              <w:ind w:left="60"/>
              <w:spacing w:after="0"/>
              <w:rPr>
                <w:sz w:val="20"/>
                <w:szCs w:val="20"/>
                <w:color w:val="auto"/>
              </w:rPr>
            </w:pPr>
            <w:r>
              <w:rPr>
                <w:rFonts w:ascii="Arial" w:cs="Arial" w:eastAsia="Arial" w:hAnsi="Arial"/>
                <w:sz w:val="18"/>
                <w:szCs w:val="18"/>
                <w:color w:val="auto"/>
              </w:rPr>
              <w:t>Interest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7660" w:type="dxa"/>
            <w:vAlign w:val="bottom"/>
          </w:tcPr>
          <w:p>
            <w:pPr>
              <w:ind w:left="280"/>
              <w:spacing w:after="0"/>
              <w:rPr>
                <w:sz w:val="20"/>
                <w:szCs w:val="20"/>
                <w:color w:val="auto"/>
              </w:rPr>
            </w:pPr>
            <w:r>
              <w:rPr>
                <w:rFonts w:ascii="Arial" w:cs="Arial" w:eastAsia="Arial" w:hAnsi="Arial"/>
                <w:sz w:val="18"/>
                <w:szCs w:val="18"/>
                <w:color w:val="auto"/>
              </w:rPr>
              <w:t>THE COMMITMENTS AND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7660" w:type="dxa"/>
            <w:vAlign w:val="bottom"/>
          </w:tcPr>
          <w:p>
            <w:pPr>
              <w:ind w:left="60"/>
              <w:spacing w:after="0"/>
              <w:rPr>
                <w:sz w:val="20"/>
                <w:szCs w:val="20"/>
                <w:color w:val="auto"/>
              </w:rPr>
            </w:pPr>
            <w:r>
              <w:rPr>
                <w:rFonts w:ascii="Arial" w:cs="Arial" w:eastAsia="Arial" w:hAnsi="Arial"/>
                <w:sz w:val="18"/>
                <w:szCs w:val="18"/>
                <w:color w:val="auto"/>
              </w:rPr>
              <w:t>Committed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7660" w:type="dxa"/>
            <w:vAlign w:val="bottom"/>
          </w:tcPr>
          <w:p>
            <w:pPr>
              <w:ind w:left="60"/>
              <w:spacing w:after="0"/>
              <w:rPr>
                <w:sz w:val="20"/>
                <w:szCs w:val="20"/>
                <w:color w:val="auto"/>
              </w:rPr>
            </w:pPr>
            <w:r>
              <w:rPr>
                <w:rFonts w:ascii="Arial" w:cs="Arial" w:eastAsia="Arial" w:hAnsi="Arial"/>
                <w:sz w:val="18"/>
                <w:szCs w:val="18"/>
                <w:color w:val="auto"/>
              </w:rPr>
              <w:t>Borrowings, Conversions and Continuations of Committed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766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7660" w:type="dxa"/>
            <w:vAlign w:val="bottom"/>
          </w:tcPr>
          <w:p>
            <w:pPr>
              <w:ind w:left="60"/>
              <w:spacing w:after="0"/>
              <w:rPr>
                <w:sz w:val="20"/>
                <w:szCs w:val="20"/>
                <w:color w:val="auto"/>
              </w:rPr>
            </w:pPr>
            <w:r>
              <w:rPr>
                <w:rFonts w:ascii="Arial" w:cs="Arial" w:eastAsia="Arial" w:hAnsi="Arial"/>
                <w:sz w:val="18"/>
                <w:szCs w:val="18"/>
                <w:color w:val="auto"/>
              </w:rPr>
              <w:t>Swing Line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766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7660" w:type="dxa"/>
            <w:vAlign w:val="bottom"/>
          </w:tcPr>
          <w:p>
            <w:pPr>
              <w:ind w:left="60"/>
              <w:spacing w:after="0"/>
              <w:rPr>
                <w:sz w:val="20"/>
                <w:szCs w:val="20"/>
                <w:color w:val="auto"/>
              </w:rPr>
            </w:pPr>
            <w:r>
              <w:rPr>
                <w:rFonts w:ascii="Arial" w:cs="Arial" w:eastAsia="Arial" w:hAnsi="Arial"/>
                <w:sz w:val="18"/>
                <w:szCs w:val="18"/>
                <w:color w:val="auto"/>
              </w:rPr>
              <w:t>Termination or Reduction of Commitments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766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7660" w:type="dxa"/>
            <w:vAlign w:val="bottom"/>
          </w:tcPr>
          <w:p>
            <w:pPr>
              <w:ind w:left="6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7660" w:type="dxa"/>
            <w:vAlign w:val="bottom"/>
          </w:tcPr>
          <w:p>
            <w:pPr>
              <w:ind w:left="60"/>
              <w:spacing w:after="0"/>
              <w:rPr>
                <w:sz w:val="20"/>
                <w:szCs w:val="20"/>
                <w:color w:val="auto"/>
              </w:rPr>
            </w:pPr>
            <w:r>
              <w:rPr>
                <w:rFonts w:ascii="Arial" w:cs="Arial" w:eastAsia="Arial" w:hAnsi="Arial"/>
                <w:sz w:val="18"/>
                <w:szCs w:val="18"/>
                <w:color w:val="auto"/>
              </w:rPr>
              <w:t>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7660" w:type="dxa"/>
            <w:vAlign w:val="bottom"/>
          </w:tcPr>
          <w:p>
            <w:pPr>
              <w:ind w:left="60"/>
              <w:spacing w:after="0"/>
              <w:rPr>
                <w:sz w:val="20"/>
                <w:szCs w:val="20"/>
                <w:color w:val="auto"/>
              </w:rPr>
            </w:pPr>
            <w:r>
              <w:rPr>
                <w:rFonts w:ascii="Arial" w:cs="Arial" w:eastAsia="Arial" w:hAnsi="Arial"/>
                <w:sz w:val="18"/>
                <w:szCs w:val="18"/>
                <w:color w:val="auto"/>
              </w:rPr>
              <w:t>Computation of Interest and 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7660" w:type="dxa"/>
            <w:vAlign w:val="bottom"/>
          </w:tcPr>
          <w:p>
            <w:pPr>
              <w:ind w:left="60"/>
              <w:spacing w:after="0"/>
              <w:rPr>
                <w:sz w:val="20"/>
                <w:szCs w:val="20"/>
                <w:color w:val="auto"/>
              </w:rPr>
            </w:pPr>
            <w:r>
              <w:rPr>
                <w:rFonts w:ascii="Arial" w:cs="Arial" w:eastAsia="Arial" w:hAnsi="Arial"/>
                <w:sz w:val="18"/>
                <w:szCs w:val="18"/>
                <w:color w:val="auto"/>
              </w:rPr>
              <w:t>Evidence of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7660" w:type="dxa"/>
            <w:vAlign w:val="bottom"/>
          </w:tcPr>
          <w:p>
            <w:pPr>
              <w:ind w:left="60"/>
              <w:spacing w:after="0"/>
              <w:rPr>
                <w:sz w:val="20"/>
                <w:szCs w:val="20"/>
                <w:color w:val="auto"/>
              </w:rPr>
            </w:pPr>
            <w:r>
              <w:rPr>
                <w:rFonts w:ascii="Arial" w:cs="Arial" w:eastAsia="Arial" w:hAnsi="Arial"/>
                <w:sz w:val="18"/>
                <w:szCs w:val="18"/>
                <w:color w:val="auto"/>
              </w:rPr>
              <w:t>Payments Generally; Administrative Agent’s Clawback</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7660" w:type="dxa"/>
            <w:vAlign w:val="bottom"/>
          </w:tcPr>
          <w:p>
            <w:pPr>
              <w:ind w:left="60"/>
              <w:spacing w:after="0"/>
              <w:rPr>
                <w:sz w:val="20"/>
                <w:szCs w:val="20"/>
                <w:color w:val="auto"/>
              </w:rPr>
            </w:pPr>
            <w:r>
              <w:rPr>
                <w:rFonts w:ascii="Arial" w:cs="Arial" w:eastAsia="Arial" w:hAnsi="Arial"/>
                <w:sz w:val="18"/>
                <w:szCs w:val="18"/>
                <w:color w:val="auto"/>
              </w:rPr>
              <w:t>Sharing of Payments by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7660" w:type="dxa"/>
            <w:vAlign w:val="bottom"/>
          </w:tcPr>
          <w:p>
            <w:pPr>
              <w:ind w:left="60"/>
              <w:spacing w:after="0"/>
              <w:rPr>
                <w:sz w:val="20"/>
                <w:szCs w:val="20"/>
                <w:color w:val="auto"/>
              </w:rPr>
            </w:pPr>
            <w:r>
              <w:rPr>
                <w:rFonts w:ascii="Arial" w:cs="Arial" w:eastAsia="Arial" w:hAnsi="Arial"/>
                <w:sz w:val="18"/>
                <w:szCs w:val="18"/>
                <w:color w:val="auto"/>
              </w:rPr>
              <w:t>Extension of Maturity Date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7660" w:type="dxa"/>
            <w:vAlign w:val="bottom"/>
          </w:tcPr>
          <w:p>
            <w:pPr>
              <w:ind w:left="60"/>
              <w:spacing w:after="0"/>
              <w:rPr>
                <w:sz w:val="20"/>
                <w:szCs w:val="20"/>
                <w:color w:val="auto"/>
              </w:rPr>
            </w:pPr>
            <w:r>
              <w:rPr>
                <w:rFonts w:ascii="Arial" w:cs="Arial" w:eastAsia="Arial" w:hAnsi="Arial"/>
                <w:sz w:val="18"/>
                <w:szCs w:val="18"/>
                <w:color w:val="auto"/>
              </w:rPr>
              <w:t>Increase in Commitments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7660" w:type="dxa"/>
            <w:vAlign w:val="bottom"/>
          </w:tcPr>
          <w:p>
            <w:pPr>
              <w:ind w:left="60"/>
              <w:spacing w:after="0"/>
              <w:rPr>
                <w:sz w:val="20"/>
                <w:szCs w:val="20"/>
                <w:color w:val="auto"/>
              </w:rPr>
            </w:pPr>
            <w:r>
              <w:rPr>
                <w:rFonts w:ascii="Arial" w:cs="Arial" w:eastAsia="Arial" w:hAnsi="Arial"/>
                <w:sz w:val="18"/>
                <w:szCs w:val="18"/>
                <w:color w:val="auto"/>
              </w:rPr>
              <w:t>Cash Collateral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766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7660" w:type="dxa"/>
            <w:vAlign w:val="bottom"/>
          </w:tcPr>
          <w:p>
            <w:pPr>
              <w:ind w:left="280"/>
              <w:spacing w:after="0"/>
              <w:rPr>
                <w:sz w:val="20"/>
                <w:szCs w:val="20"/>
                <w:color w:val="auto"/>
              </w:rPr>
            </w:pPr>
            <w:r>
              <w:rPr>
                <w:rFonts w:ascii="Arial" w:cs="Arial" w:eastAsia="Arial" w:hAnsi="Arial"/>
                <w:sz w:val="18"/>
                <w:szCs w:val="18"/>
                <w:color w:val="auto"/>
              </w:rPr>
              <w:t>TAXES, YIELD PROTECTION AND 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7660" w:type="dxa"/>
            <w:vAlign w:val="bottom"/>
          </w:tcPr>
          <w:p>
            <w:pPr>
              <w:ind w:left="60"/>
              <w:spacing w:after="0"/>
              <w:rPr>
                <w:sz w:val="20"/>
                <w:szCs w:val="20"/>
                <w:color w:val="auto"/>
              </w:rPr>
            </w:pPr>
            <w:r>
              <w:rPr>
                <w:rFonts w:ascii="Arial" w:cs="Arial" w:eastAsia="Arial" w:hAnsi="Arial"/>
                <w:sz w:val="18"/>
                <w:szCs w:val="18"/>
                <w:color w:val="auto"/>
              </w:rPr>
              <w:t>Taxes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766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7660" w:type="dxa"/>
            <w:vAlign w:val="bottom"/>
          </w:tcPr>
          <w:p>
            <w:pPr>
              <w:ind w:left="60"/>
              <w:spacing w:after="0"/>
              <w:rPr>
                <w:sz w:val="20"/>
                <w:szCs w:val="20"/>
                <w:color w:val="auto"/>
              </w:rPr>
            </w:pPr>
            <w:r>
              <w:rPr>
                <w:rFonts w:ascii="Arial" w:cs="Arial" w:eastAsia="Arial" w:hAnsi="Arial"/>
                <w:sz w:val="18"/>
                <w:szCs w:val="18"/>
                <w:color w:val="auto"/>
              </w:rPr>
              <w:t>Inability to Determine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7660" w:type="dxa"/>
            <w:vAlign w:val="bottom"/>
          </w:tcPr>
          <w:p>
            <w:pPr>
              <w:ind w:left="60"/>
              <w:spacing w:after="0"/>
              <w:rPr>
                <w:sz w:val="20"/>
                <w:szCs w:val="20"/>
                <w:color w:val="auto"/>
              </w:rPr>
            </w:pPr>
            <w:r>
              <w:rPr>
                <w:rFonts w:ascii="Arial" w:cs="Arial" w:eastAsia="Arial" w:hAnsi="Arial"/>
                <w:sz w:val="18"/>
                <w:szCs w:val="18"/>
                <w:color w:val="auto"/>
              </w:rPr>
              <w:t>Increased Costs; Reserves on Eurocurrency Rate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7660" w:type="dxa"/>
            <w:vAlign w:val="bottom"/>
          </w:tcPr>
          <w:p>
            <w:pPr>
              <w:ind w:left="60"/>
              <w:spacing w:after="0"/>
              <w:rPr>
                <w:sz w:val="20"/>
                <w:szCs w:val="20"/>
                <w:color w:val="auto"/>
              </w:rPr>
            </w:pPr>
            <w:r>
              <w:rPr>
                <w:rFonts w:ascii="Arial" w:cs="Arial" w:eastAsia="Arial" w:hAnsi="Arial"/>
                <w:sz w:val="18"/>
                <w:szCs w:val="18"/>
                <w:color w:val="auto"/>
              </w:rPr>
              <w:t>Compensation for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7660" w:type="dxa"/>
            <w:vAlign w:val="bottom"/>
          </w:tcPr>
          <w:p>
            <w:pPr>
              <w:ind w:left="6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7660" w:type="dxa"/>
            <w:vAlign w:val="bottom"/>
          </w:tcPr>
          <w:p>
            <w:pPr>
              <w:ind w:left="60"/>
              <w:spacing w:after="0"/>
              <w:rPr>
                <w:sz w:val="20"/>
                <w:szCs w:val="20"/>
                <w:color w:val="auto"/>
              </w:rPr>
            </w:pPr>
            <w:r>
              <w:rPr>
                <w:rFonts w:ascii="Arial" w:cs="Arial" w:eastAsia="Arial" w:hAnsi="Arial"/>
                <w:sz w:val="18"/>
                <w:szCs w:val="18"/>
                <w:color w:val="auto"/>
              </w:rPr>
              <w:t>Survival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ARTICLE IV.</w:t>
            </w:r>
          </w:p>
        </w:tc>
        <w:tc>
          <w:tcPr>
            <w:tcW w:w="7660" w:type="dxa"/>
            <w:vAlign w:val="bottom"/>
          </w:tcPr>
          <w:p>
            <w:pPr>
              <w:ind w:left="280"/>
              <w:spacing w:after="0"/>
              <w:rPr>
                <w:sz w:val="20"/>
                <w:szCs w:val="20"/>
                <w:color w:val="auto"/>
              </w:rPr>
            </w:pPr>
            <w:r>
              <w:rPr>
                <w:rFonts w:ascii="Arial" w:cs="Arial" w:eastAsia="Arial" w:hAnsi="Arial"/>
                <w:sz w:val="18"/>
                <w:szCs w:val="18"/>
                <w:color w:val="auto"/>
              </w:rPr>
              <w:t>CONDITIONS PRECEDENT TO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7660" w:type="dxa"/>
            <w:vAlign w:val="bottom"/>
          </w:tcPr>
          <w:p>
            <w:pPr>
              <w:ind w:left="60"/>
              <w:spacing w:after="0"/>
              <w:rPr>
                <w:sz w:val="20"/>
                <w:szCs w:val="20"/>
                <w:color w:val="auto"/>
              </w:rPr>
            </w:pPr>
            <w:r>
              <w:rPr>
                <w:rFonts w:ascii="Arial" w:cs="Arial" w:eastAsia="Arial" w:hAnsi="Arial"/>
                <w:sz w:val="18"/>
                <w:szCs w:val="18"/>
                <w:color w:val="auto"/>
              </w:rPr>
              <w:t>Conditions Precedent to Initial Credit Extension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7660" w:type="dxa"/>
            <w:vAlign w:val="bottom"/>
          </w:tcPr>
          <w:p>
            <w:pPr>
              <w:ind w:left="60"/>
              <w:spacing w:after="0"/>
              <w:rPr>
                <w:sz w:val="20"/>
                <w:szCs w:val="20"/>
                <w:color w:val="auto"/>
              </w:rPr>
            </w:pPr>
            <w:r>
              <w:rPr>
                <w:rFonts w:ascii="Arial" w:cs="Arial" w:eastAsia="Arial" w:hAnsi="Arial"/>
                <w:sz w:val="18"/>
                <w:szCs w:val="18"/>
                <w:color w:val="auto"/>
              </w:rPr>
              <w:t>Conditions to all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8160" w:type="dxa"/>
            <w:vAlign w:val="bottom"/>
          </w:tcPr>
          <w:p>
            <w:pPr>
              <w:ind w:left="280"/>
              <w:spacing w:after="0"/>
              <w:rPr>
                <w:sz w:val="20"/>
                <w:szCs w:val="20"/>
                <w:color w:val="auto"/>
              </w:rPr>
            </w:pPr>
            <w:r>
              <w:rPr>
                <w:rFonts w:ascii="Arial" w:cs="Arial" w:eastAsia="Arial" w:hAnsi="Arial"/>
                <w:sz w:val="18"/>
                <w:szCs w:val="18"/>
                <w:color w:val="auto"/>
              </w:rPr>
              <w:t>REPRESENTATIONS AND WARRANTIES</w:t>
            </w:r>
          </w:p>
        </w:tc>
        <w:tc>
          <w:tcPr>
            <w:tcW w:w="1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5.01</w:t>
            </w:r>
          </w:p>
        </w:tc>
        <w:tc>
          <w:tcPr>
            <w:tcW w:w="8160" w:type="dxa"/>
            <w:vAlign w:val="bottom"/>
          </w:tcPr>
          <w:p>
            <w:pPr>
              <w:ind w:left="60"/>
              <w:spacing w:after="0"/>
              <w:rPr>
                <w:sz w:val="20"/>
                <w:szCs w:val="20"/>
                <w:color w:val="auto"/>
              </w:rPr>
            </w:pPr>
            <w:r>
              <w:rPr>
                <w:rFonts w:ascii="Arial" w:cs="Arial" w:eastAsia="Arial" w:hAnsi="Arial"/>
                <w:sz w:val="18"/>
                <w:szCs w:val="18"/>
                <w:color w:val="auto"/>
              </w:rPr>
              <w:t>Existence, Qualification and Power</w:t>
            </w:r>
          </w:p>
        </w:tc>
        <w:tc>
          <w:tcPr>
            <w:tcW w:w="1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5.02</w:t>
            </w:r>
          </w:p>
        </w:tc>
        <w:tc>
          <w:tcPr>
            <w:tcW w:w="8160" w:type="dxa"/>
            <w:vAlign w:val="bottom"/>
          </w:tcPr>
          <w:p>
            <w:pPr>
              <w:ind w:left="60"/>
              <w:spacing w:after="0"/>
              <w:rPr>
                <w:sz w:val="20"/>
                <w:szCs w:val="20"/>
                <w:color w:val="auto"/>
              </w:rPr>
            </w:pPr>
            <w:r>
              <w:rPr>
                <w:rFonts w:ascii="Arial" w:cs="Arial" w:eastAsia="Arial" w:hAnsi="Arial"/>
                <w:sz w:val="18"/>
                <w:szCs w:val="18"/>
                <w:color w:val="auto"/>
              </w:rPr>
              <w:t>Authorization; No Contravention</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5.03</w:t>
            </w:r>
          </w:p>
        </w:tc>
        <w:tc>
          <w:tcPr>
            <w:tcW w:w="8160" w:type="dxa"/>
            <w:vAlign w:val="bottom"/>
          </w:tcPr>
          <w:p>
            <w:pPr>
              <w:ind w:left="60"/>
              <w:spacing w:after="0"/>
              <w:rPr>
                <w:sz w:val="20"/>
                <w:szCs w:val="20"/>
                <w:color w:val="auto"/>
              </w:rPr>
            </w:pPr>
            <w:r>
              <w:rPr>
                <w:rFonts w:ascii="Arial" w:cs="Arial" w:eastAsia="Arial" w:hAnsi="Arial"/>
                <w:sz w:val="18"/>
                <w:szCs w:val="18"/>
                <w:color w:val="auto"/>
              </w:rPr>
              <w:t>Governmental Authorization; Other Consents</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5.04</w:t>
            </w:r>
          </w:p>
        </w:tc>
        <w:tc>
          <w:tcPr>
            <w:tcW w:w="8160" w:type="dxa"/>
            <w:vAlign w:val="bottom"/>
          </w:tcPr>
          <w:p>
            <w:pPr>
              <w:ind w:left="60"/>
              <w:spacing w:after="0"/>
              <w:rPr>
                <w:sz w:val="20"/>
                <w:szCs w:val="20"/>
                <w:color w:val="auto"/>
              </w:rPr>
            </w:pPr>
            <w:r>
              <w:rPr>
                <w:rFonts w:ascii="Arial" w:cs="Arial" w:eastAsia="Arial" w:hAnsi="Arial"/>
                <w:sz w:val="18"/>
                <w:szCs w:val="18"/>
                <w:color w:val="auto"/>
              </w:rPr>
              <w:t>Binding Effect</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5.05</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 No Material Adverse Effect</w:t>
            </w: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5.06</w:t>
            </w:r>
          </w:p>
        </w:tc>
        <w:tc>
          <w:tcPr>
            <w:tcW w:w="816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5.07</w:t>
            </w:r>
          </w:p>
        </w:tc>
        <w:tc>
          <w:tcPr>
            <w:tcW w:w="8160" w:type="dxa"/>
            <w:vAlign w:val="bottom"/>
          </w:tcPr>
          <w:p>
            <w:pPr>
              <w:ind w:left="60"/>
              <w:spacing w:after="0"/>
              <w:rPr>
                <w:sz w:val="20"/>
                <w:szCs w:val="20"/>
                <w:color w:val="auto"/>
              </w:rPr>
            </w:pPr>
            <w:r>
              <w:rPr>
                <w:rFonts w:ascii="Arial" w:cs="Arial" w:eastAsia="Arial" w:hAnsi="Arial"/>
                <w:sz w:val="18"/>
                <w:szCs w:val="18"/>
                <w:color w:val="auto"/>
              </w:rPr>
              <w:t>Ownership of Property; Liens; Receivables</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5.08</w:t>
            </w:r>
          </w:p>
        </w:tc>
        <w:tc>
          <w:tcPr>
            <w:tcW w:w="8160" w:type="dxa"/>
            <w:vAlign w:val="bottom"/>
          </w:tcPr>
          <w:p>
            <w:pPr>
              <w:ind w:left="60"/>
              <w:spacing w:after="0"/>
              <w:rPr>
                <w:sz w:val="20"/>
                <w:szCs w:val="20"/>
                <w:color w:val="auto"/>
              </w:rPr>
            </w:pPr>
            <w:r>
              <w:rPr>
                <w:rFonts w:ascii="Arial" w:cs="Arial" w:eastAsia="Arial" w:hAnsi="Arial"/>
                <w:sz w:val="18"/>
                <w:szCs w:val="18"/>
                <w:color w:val="auto"/>
              </w:rPr>
              <w:t>Environmental Compliance</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5.09</w:t>
            </w:r>
          </w:p>
        </w:tc>
        <w:tc>
          <w:tcPr>
            <w:tcW w:w="8160" w:type="dxa"/>
            <w:vAlign w:val="bottom"/>
          </w:tcPr>
          <w:p>
            <w:pPr>
              <w:ind w:left="60"/>
              <w:spacing w:after="0"/>
              <w:rPr>
                <w:sz w:val="20"/>
                <w:szCs w:val="20"/>
                <w:color w:val="auto"/>
              </w:rPr>
            </w:pPr>
            <w:r>
              <w:rPr>
                <w:rFonts w:ascii="Arial" w:cs="Arial" w:eastAsia="Arial" w:hAnsi="Arial"/>
                <w:sz w:val="18"/>
                <w:szCs w:val="18"/>
                <w:color w:val="auto"/>
              </w:rPr>
              <w:t>ERISA Compliance</w:t>
            </w: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5.10</w:t>
            </w:r>
          </w:p>
        </w:tc>
        <w:tc>
          <w:tcPr>
            <w:tcW w:w="8160" w:type="dxa"/>
            <w:vAlign w:val="bottom"/>
          </w:tcPr>
          <w:p>
            <w:pPr>
              <w:ind w:left="60"/>
              <w:spacing w:after="0"/>
              <w:rPr>
                <w:sz w:val="20"/>
                <w:szCs w:val="20"/>
                <w:color w:val="auto"/>
              </w:rPr>
            </w:pPr>
            <w:r>
              <w:rPr>
                <w:rFonts w:ascii="Arial" w:cs="Arial" w:eastAsia="Arial" w:hAnsi="Arial"/>
                <w:sz w:val="18"/>
                <w:szCs w:val="18"/>
                <w:color w:val="auto"/>
              </w:rPr>
              <w:t>Margin Regulations; Investment Company Act</w:t>
            </w: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5.11</w:t>
            </w:r>
          </w:p>
        </w:tc>
        <w:tc>
          <w:tcPr>
            <w:tcW w:w="816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5.12</w:t>
            </w:r>
          </w:p>
        </w:tc>
        <w:tc>
          <w:tcPr>
            <w:tcW w:w="816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5.13</w:t>
            </w:r>
          </w:p>
        </w:tc>
        <w:tc>
          <w:tcPr>
            <w:tcW w:w="8160" w:type="dxa"/>
            <w:vAlign w:val="bottom"/>
          </w:tcPr>
          <w:p>
            <w:pPr>
              <w:ind w:left="60"/>
              <w:spacing w:after="0"/>
              <w:rPr>
                <w:sz w:val="20"/>
                <w:szCs w:val="20"/>
                <w:color w:val="auto"/>
              </w:rPr>
            </w:pPr>
            <w:r>
              <w:rPr>
                <w:rFonts w:ascii="Arial" w:cs="Arial" w:eastAsia="Arial" w:hAnsi="Arial"/>
                <w:sz w:val="18"/>
                <w:szCs w:val="18"/>
                <w:color w:val="auto"/>
              </w:rPr>
              <w:t>Collateral Documents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5.14</w:t>
            </w:r>
          </w:p>
        </w:tc>
        <w:tc>
          <w:tcPr>
            <w:tcW w:w="8160" w:type="dxa"/>
            <w:vAlign w:val="bottom"/>
          </w:tcPr>
          <w:p>
            <w:pPr>
              <w:ind w:left="60"/>
              <w:spacing w:after="0"/>
              <w:rPr>
                <w:sz w:val="20"/>
                <w:szCs w:val="20"/>
                <w:color w:val="auto"/>
              </w:rPr>
            </w:pPr>
            <w:r>
              <w:rPr>
                <w:rFonts w:ascii="Arial" w:cs="Arial" w:eastAsia="Arial" w:hAnsi="Arial"/>
                <w:sz w:val="18"/>
                <w:szCs w:val="18"/>
                <w:color w:val="auto"/>
              </w:rPr>
              <w:t>OFAC</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5.15</w:t>
            </w:r>
          </w:p>
        </w:tc>
        <w:tc>
          <w:tcPr>
            <w:tcW w:w="816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5.16</w:t>
            </w:r>
          </w:p>
        </w:tc>
        <w:tc>
          <w:tcPr>
            <w:tcW w:w="8160" w:type="dxa"/>
            <w:vAlign w:val="bottom"/>
          </w:tcPr>
          <w:p>
            <w:pPr>
              <w:ind w:left="60"/>
              <w:spacing w:after="0"/>
              <w:rPr>
                <w:sz w:val="20"/>
                <w:szCs w:val="20"/>
                <w:color w:val="auto"/>
              </w:rPr>
            </w:pPr>
            <w:r>
              <w:rPr>
                <w:rFonts w:ascii="Arial" w:cs="Arial" w:eastAsia="Arial" w:hAnsi="Arial"/>
                <w:sz w:val="18"/>
                <w:szCs w:val="18"/>
                <w:color w:val="auto"/>
              </w:rPr>
              <w:t>Affected Financial Institution</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8160" w:type="dxa"/>
            <w:vAlign w:val="bottom"/>
          </w:tcPr>
          <w:p>
            <w:pPr>
              <w:ind w:left="280"/>
              <w:spacing w:after="0"/>
              <w:rPr>
                <w:sz w:val="20"/>
                <w:szCs w:val="20"/>
                <w:color w:val="auto"/>
              </w:rPr>
            </w:pPr>
            <w:r>
              <w:rPr>
                <w:rFonts w:ascii="Arial" w:cs="Arial" w:eastAsia="Arial" w:hAnsi="Arial"/>
                <w:sz w:val="18"/>
                <w:szCs w:val="18"/>
                <w:color w:val="auto"/>
              </w:rPr>
              <w:t>AFFIRMATIVE COVENANTS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6.01</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6.02</w:t>
            </w:r>
          </w:p>
        </w:tc>
        <w:tc>
          <w:tcPr>
            <w:tcW w:w="8160" w:type="dxa"/>
            <w:vAlign w:val="bottom"/>
          </w:tcPr>
          <w:p>
            <w:pPr>
              <w:ind w:left="60"/>
              <w:spacing w:after="0"/>
              <w:rPr>
                <w:sz w:val="20"/>
                <w:szCs w:val="20"/>
                <w:color w:val="auto"/>
              </w:rPr>
            </w:pPr>
            <w:r>
              <w:rPr>
                <w:rFonts w:ascii="Arial" w:cs="Arial" w:eastAsia="Arial" w:hAnsi="Arial"/>
                <w:sz w:val="18"/>
                <w:szCs w:val="18"/>
                <w:color w:val="auto"/>
              </w:rPr>
              <w:t>Certificates; Other Information</w:t>
            </w:r>
          </w:p>
        </w:tc>
        <w:tc>
          <w:tcPr>
            <w:tcW w:w="18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6.03</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6.04</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of Taxes, Etc.</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6.05</w:t>
            </w:r>
          </w:p>
        </w:tc>
        <w:tc>
          <w:tcPr>
            <w:tcW w:w="8160" w:type="dxa"/>
            <w:vAlign w:val="bottom"/>
          </w:tcPr>
          <w:p>
            <w:pPr>
              <w:ind w:left="60"/>
              <w:spacing w:after="0"/>
              <w:rPr>
                <w:sz w:val="20"/>
                <w:szCs w:val="20"/>
                <w:color w:val="auto"/>
              </w:rPr>
            </w:pPr>
            <w:r>
              <w:rPr>
                <w:rFonts w:ascii="Arial" w:cs="Arial" w:eastAsia="Arial" w:hAnsi="Arial"/>
                <w:sz w:val="18"/>
                <w:szCs w:val="18"/>
                <w:color w:val="auto"/>
              </w:rPr>
              <w:t>Preservation of Existence, Etc.</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6.06</w:t>
            </w:r>
          </w:p>
        </w:tc>
        <w:tc>
          <w:tcPr>
            <w:tcW w:w="816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6.07</w:t>
            </w:r>
          </w:p>
        </w:tc>
        <w:tc>
          <w:tcPr>
            <w:tcW w:w="8160" w:type="dxa"/>
            <w:vAlign w:val="bottom"/>
          </w:tcPr>
          <w:p>
            <w:pPr>
              <w:ind w:left="60"/>
              <w:spacing w:after="0"/>
              <w:rPr>
                <w:sz w:val="20"/>
                <w:szCs w:val="20"/>
                <w:color w:val="auto"/>
              </w:rPr>
            </w:pPr>
            <w:r>
              <w:rPr>
                <w:rFonts w:ascii="Arial" w:cs="Arial" w:eastAsia="Arial" w:hAnsi="Arial"/>
                <w:sz w:val="18"/>
                <w:szCs w:val="18"/>
                <w:color w:val="auto"/>
              </w:rPr>
              <w:t>Maintenance of Insurance</w:t>
            </w:r>
          </w:p>
        </w:tc>
        <w:tc>
          <w:tcPr>
            <w:tcW w:w="1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6.08</w:t>
            </w:r>
          </w:p>
        </w:tc>
        <w:tc>
          <w:tcPr>
            <w:tcW w:w="8160" w:type="dxa"/>
            <w:vAlign w:val="bottom"/>
          </w:tcPr>
          <w:p>
            <w:pPr>
              <w:ind w:left="60"/>
              <w:spacing w:after="0"/>
              <w:rPr>
                <w:sz w:val="20"/>
                <w:szCs w:val="20"/>
                <w:color w:val="auto"/>
              </w:rPr>
            </w:pPr>
            <w:r>
              <w:rPr>
                <w:rFonts w:ascii="Arial" w:cs="Arial" w:eastAsia="Arial" w:hAnsi="Arial"/>
                <w:sz w:val="18"/>
                <w:szCs w:val="18"/>
                <w:color w:val="auto"/>
              </w:rPr>
              <w:t>Compliance with Laws; Compliance with Contracts for Sale of Hedged Eligible Inventory</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6.09</w:t>
            </w:r>
          </w:p>
        </w:tc>
        <w:tc>
          <w:tcPr>
            <w:tcW w:w="816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6.10</w:t>
            </w:r>
          </w:p>
        </w:tc>
        <w:tc>
          <w:tcPr>
            <w:tcW w:w="8160" w:type="dxa"/>
            <w:vAlign w:val="bottom"/>
          </w:tcPr>
          <w:p>
            <w:pPr>
              <w:ind w:left="60"/>
              <w:spacing w:after="0"/>
              <w:rPr>
                <w:sz w:val="20"/>
                <w:szCs w:val="20"/>
                <w:color w:val="auto"/>
              </w:rPr>
            </w:pPr>
            <w:r>
              <w:rPr>
                <w:rFonts w:ascii="Arial" w:cs="Arial" w:eastAsia="Arial" w:hAnsi="Arial"/>
                <w:sz w:val="18"/>
                <w:szCs w:val="18"/>
                <w:color w:val="auto"/>
              </w:rPr>
              <w:t>Inspection Rights</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6.11</w:t>
            </w:r>
          </w:p>
        </w:tc>
        <w:tc>
          <w:tcPr>
            <w:tcW w:w="816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6.12</w:t>
            </w:r>
          </w:p>
        </w:tc>
        <w:tc>
          <w:tcPr>
            <w:tcW w:w="8160" w:type="dxa"/>
            <w:vAlign w:val="bottom"/>
          </w:tcPr>
          <w:p>
            <w:pPr>
              <w:ind w:left="60"/>
              <w:spacing w:after="0"/>
              <w:rPr>
                <w:sz w:val="20"/>
                <w:szCs w:val="20"/>
                <w:color w:val="auto"/>
              </w:rPr>
            </w:pPr>
            <w:r>
              <w:rPr>
                <w:rFonts w:ascii="Arial" w:cs="Arial" w:eastAsia="Arial" w:hAnsi="Arial"/>
                <w:sz w:val="18"/>
                <w:szCs w:val="18"/>
                <w:color w:val="auto"/>
              </w:rPr>
              <w:t>Covenant to Give Security</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6.13</w:t>
            </w:r>
          </w:p>
        </w:tc>
        <w:tc>
          <w:tcPr>
            <w:tcW w:w="816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8160" w:type="dxa"/>
            <w:vAlign w:val="bottom"/>
          </w:tcPr>
          <w:p>
            <w:pPr>
              <w:ind w:left="280"/>
              <w:spacing w:after="0"/>
              <w:rPr>
                <w:sz w:val="20"/>
                <w:szCs w:val="20"/>
                <w:color w:val="auto"/>
              </w:rPr>
            </w:pPr>
            <w:r>
              <w:rPr>
                <w:rFonts w:ascii="Arial" w:cs="Arial" w:eastAsia="Arial" w:hAnsi="Arial"/>
                <w:sz w:val="18"/>
                <w:szCs w:val="18"/>
                <w:color w:val="auto"/>
              </w:rPr>
              <w:t>NEGATIVE COVENANTS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8"/>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7.01</w:t>
            </w:r>
          </w:p>
        </w:tc>
        <w:tc>
          <w:tcPr>
            <w:tcW w:w="8160" w:type="dxa"/>
            <w:vAlign w:val="bottom"/>
          </w:tcPr>
          <w:p>
            <w:pPr>
              <w:ind w:left="60"/>
              <w:spacing w:after="0"/>
              <w:rPr>
                <w:sz w:val="20"/>
                <w:szCs w:val="20"/>
                <w:color w:val="auto"/>
              </w:rPr>
            </w:pPr>
            <w:r>
              <w:rPr>
                <w:rFonts w:ascii="Arial" w:cs="Arial" w:eastAsia="Arial" w:hAnsi="Arial"/>
                <w:sz w:val="18"/>
                <w:szCs w:val="18"/>
                <w:color w:val="auto"/>
              </w:rPr>
              <w:t>Liens</w:t>
            </w: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7.02</w:t>
            </w:r>
          </w:p>
        </w:tc>
        <w:tc>
          <w:tcPr>
            <w:tcW w:w="8160" w:type="dxa"/>
            <w:vAlign w:val="bottom"/>
          </w:tcPr>
          <w:p>
            <w:pPr>
              <w:ind w:left="60"/>
              <w:spacing w:after="0"/>
              <w:rPr>
                <w:sz w:val="20"/>
                <w:szCs w:val="20"/>
                <w:color w:val="auto"/>
              </w:rPr>
            </w:pPr>
            <w:r>
              <w:rPr>
                <w:rFonts w:ascii="Arial" w:cs="Arial" w:eastAsia="Arial" w:hAnsi="Arial"/>
                <w:sz w:val="18"/>
                <w:szCs w:val="18"/>
                <w:color w:val="auto"/>
              </w:rPr>
              <w:t>Fundamental Changes; Dispositions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7.03</w:t>
            </w:r>
          </w:p>
        </w:tc>
        <w:tc>
          <w:tcPr>
            <w:tcW w:w="8160" w:type="dxa"/>
            <w:vAlign w:val="bottom"/>
          </w:tcPr>
          <w:p>
            <w:pPr>
              <w:ind w:left="60"/>
              <w:spacing w:after="0"/>
              <w:rPr>
                <w:sz w:val="20"/>
                <w:szCs w:val="20"/>
                <w:color w:val="auto"/>
              </w:rPr>
            </w:pPr>
            <w:r>
              <w:rPr>
                <w:rFonts w:ascii="Arial" w:cs="Arial" w:eastAsia="Arial" w:hAnsi="Arial"/>
                <w:sz w:val="18"/>
                <w:szCs w:val="18"/>
                <w:color w:val="auto"/>
              </w:rPr>
              <w:t>Dispositions of Collateral</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7.04</w:t>
            </w:r>
          </w:p>
        </w:tc>
        <w:tc>
          <w:tcPr>
            <w:tcW w:w="81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7.05</w:t>
            </w:r>
          </w:p>
        </w:tc>
        <w:tc>
          <w:tcPr>
            <w:tcW w:w="8160" w:type="dxa"/>
            <w:vAlign w:val="bottom"/>
          </w:tcPr>
          <w:p>
            <w:pPr>
              <w:ind w:left="60"/>
              <w:spacing w:after="0"/>
              <w:rPr>
                <w:sz w:val="20"/>
                <w:szCs w:val="20"/>
                <w:color w:val="auto"/>
              </w:rPr>
            </w:pPr>
            <w:r>
              <w:rPr>
                <w:rFonts w:ascii="Arial" w:cs="Arial" w:eastAsia="Arial" w:hAnsi="Arial"/>
                <w:sz w:val="18"/>
                <w:szCs w:val="18"/>
                <w:color w:val="auto"/>
              </w:rPr>
              <w:t>Burdensome Agreements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7.06</w:t>
            </w:r>
          </w:p>
        </w:tc>
        <w:tc>
          <w:tcPr>
            <w:tcW w:w="816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7.07</w:t>
            </w:r>
          </w:p>
        </w:tc>
        <w:tc>
          <w:tcPr>
            <w:tcW w:w="8160" w:type="dxa"/>
            <w:vAlign w:val="bottom"/>
          </w:tcPr>
          <w:p>
            <w:pPr>
              <w:ind w:left="60"/>
              <w:spacing w:after="0"/>
              <w:rPr>
                <w:sz w:val="20"/>
                <w:szCs w:val="20"/>
                <w:color w:val="auto"/>
              </w:rPr>
            </w:pPr>
            <w:r>
              <w:rPr>
                <w:rFonts w:ascii="Arial" w:cs="Arial" w:eastAsia="Arial" w:hAnsi="Arial"/>
                <w:sz w:val="18"/>
                <w:szCs w:val="18"/>
                <w:color w:val="auto"/>
              </w:rPr>
              <w:t>PAA Consolidated Leverage Ratio</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00" w:type="dxa"/>
            <w:vAlign w:val="bottom"/>
          </w:tcPr>
          <w:p>
            <w:pPr>
              <w:jc w:val="right"/>
              <w:ind w:right="310"/>
              <w:spacing w:after="0"/>
              <w:rPr>
                <w:sz w:val="20"/>
                <w:szCs w:val="20"/>
                <w:color w:val="auto"/>
              </w:rPr>
            </w:pPr>
            <w:r>
              <w:rPr>
                <w:rFonts w:ascii="Arial" w:cs="Arial" w:eastAsia="Arial" w:hAnsi="Arial"/>
                <w:sz w:val="18"/>
                <w:szCs w:val="18"/>
                <w:color w:val="auto"/>
              </w:rPr>
              <w:t>7.08</w:t>
            </w:r>
          </w:p>
        </w:tc>
        <w:tc>
          <w:tcPr>
            <w:tcW w:w="8160" w:type="dxa"/>
            <w:vAlign w:val="bottom"/>
          </w:tcPr>
          <w:p>
            <w:pPr>
              <w:ind w:left="60"/>
              <w:spacing w:after="0"/>
              <w:rPr>
                <w:sz w:val="20"/>
                <w:szCs w:val="20"/>
                <w:color w:val="auto"/>
              </w:rPr>
            </w:pPr>
            <w:r>
              <w:rPr>
                <w:rFonts w:ascii="Arial" w:cs="Arial" w:eastAsia="Arial" w:hAnsi="Arial"/>
                <w:sz w:val="18"/>
                <w:szCs w:val="18"/>
                <w:color w:val="auto"/>
              </w:rPr>
              <w:t>Commodity Intermediary Transactions</w:t>
            </w: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VIII.</w:t>
            </w:r>
          </w:p>
        </w:tc>
        <w:tc>
          <w:tcPr>
            <w:tcW w:w="8160" w:type="dxa"/>
            <w:vAlign w:val="bottom"/>
          </w:tcPr>
          <w:p>
            <w:pPr>
              <w:ind w:left="280"/>
              <w:spacing w:after="0"/>
              <w:rPr>
                <w:sz w:val="20"/>
                <w:szCs w:val="20"/>
                <w:color w:val="auto"/>
              </w:rPr>
            </w:pPr>
            <w:r>
              <w:rPr>
                <w:rFonts w:ascii="Arial" w:cs="Arial" w:eastAsia="Arial" w:hAnsi="Arial"/>
                <w:sz w:val="18"/>
                <w:szCs w:val="18"/>
                <w:color w:val="auto"/>
              </w:rPr>
              <w:t>EVENTS OF DEFAULT AND REMEDIES</w:t>
            </w: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8.01</w:t>
            </w:r>
          </w:p>
        </w:tc>
        <w:tc>
          <w:tcPr>
            <w:tcW w:w="762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8.02</w:t>
            </w:r>
          </w:p>
        </w:tc>
        <w:tc>
          <w:tcPr>
            <w:tcW w:w="762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8.03</w:t>
            </w:r>
          </w:p>
        </w:tc>
        <w:tc>
          <w:tcPr>
            <w:tcW w:w="762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IX.</w:t>
            </w:r>
          </w:p>
        </w:tc>
        <w:tc>
          <w:tcPr>
            <w:tcW w:w="7620" w:type="dxa"/>
            <w:vAlign w:val="bottom"/>
          </w:tcPr>
          <w:p>
            <w:pPr>
              <w:ind w:left="300"/>
              <w:spacing w:after="0"/>
              <w:rPr>
                <w:sz w:val="20"/>
                <w:szCs w:val="20"/>
                <w:color w:val="auto"/>
              </w:rPr>
            </w:pPr>
            <w:r>
              <w:rPr>
                <w:rFonts w:ascii="Arial" w:cs="Arial" w:eastAsia="Arial" w:hAnsi="Arial"/>
                <w:sz w:val="18"/>
                <w:szCs w:val="18"/>
                <w:color w:val="auto"/>
              </w:rPr>
              <w:t>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9.01</w:t>
            </w:r>
          </w:p>
        </w:tc>
        <w:tc>
          <w:tcPr>
            <w:tcW w:w="762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9.02</w:t>
            </w:r>
          </w:p>
        </w:tc>
        <w:tc>
          <w:tcPr>
            <w:tcW w:w="762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9.03</w:t>
            </w:r>
          </w:p>
        </w:tc>
        <w:tc>
          <w:tcPr>
            <w:tcW w:w="762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9.04</w:t>
            </w:r>
          </w:p>
        </w:tc>
        <w:tc>
          <w:tcPr>
            <w:tcW w:w="762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9.05</w:t>
            </w:r>
          </w:p>
        </w:tc>
        <w:tc>
          <w:tcPr>
            <w:tcW w:w="762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9.06</w:t>
            </w:r>
          </w:p>
        </w:tc>
        <w:tc>
          <w:tcPr>
            <w:tcW w:w="7620" w:type="dxa"/>
            <w:vAlign w:val="bottom"/>
          </w:tcPr>
          <w:p>
            <w:pPr>
              <w:ind w:left="60"/>
              <w:spacing w:after="0"/>
              <w:rPr>
                <w:sz w:val="20"/>
                <w:szCs w:val="20"/>
                <w:color w:val="auto"/>
              </w:rPr>
            </w:pPr>
            <w:r>
              <w:rPr>
                <w:rFonts w:ascii="Arial" w:cs="Arial" w:eastAsia="Arial" w:hAnsi="Arial"/>
                <w:sz w:val="18"/>
                <w:szCs w:val="18"/>
                <w:color w:val="auto"/>
              </w:rPr>
              <w:t>Resignation or Removal of Administrative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9.07</w:t>
            </w:r>
          </w:p>
        </w:tc>
        <w:tc>
          <w:tcPr>
            <w:tcW w:w="7620" w:type="dxa"/>
            <w:vAlign w:val="bottom"/>
          </w:tcPr>
          <w:p>
            <w:pPr>
              <w:ind w:left="60"/>
              <w:spacing w:after="0"/>
              <w:rPr>
                <w:sz w:val="20"/>
                <w:szCs w:val="20"/>
                <w:color w:val="auto"/>
              </w:rPr>
            </w:pPr>
            <w:r>
              <w:rPr>
                <w:rFonts w:ascii="Arial" w:cs="Arial" w:eastAsia="Arial" w:hAnsi="Arial"/>
                <w:sz w:val="18"/>
                <w:szCs w:val="18"/>
                <w:color w:val="auto"/>
              </w:rPr>
              <w:t>Non-Reliance on Administrative Agent, the Arrangers and Other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9.08</w:t>
            </w:r>
          </w:p>
        </w:tc>
        <w:tc>
          <w:tcPr>
            <w:tcW w:w="762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9.09</w:t>
            </w:r>
          </w:p>
        </w:tc>
        <w:tc>
          <w:tcPr>
            <w:tcW w:w="762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9.10</w:t>
            </w:r>
          </w:p>
        </w:tc>
        <w:tc>
          <w:tcPr>
            <w:tcW w:w="762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9.11</w:t>
            </w:r>
          </w:p>
        </w:tc>
        <w:tc>
          <w:tcPr>
            <w:tcW w:w="7620" w:type="dxa"/>
            <w:vAlign w:val="bottom"/>
          </w:tcPr>
          <w:p>
            <w:pPr>
              <w:ind w:left="60"/>
              <w:spacing w:after="0"/>
              <w:rPr>
                <w:sz w:val="20"/>
                <w:szCs w:val="20"/>
                <w:color w:val="auto"/>
              </w:rPr>
            </w:pPr>
            <w:r>
              <w:rPr>
                <w:rFonts w:ascii="Arial" w:cs="Arial" w:eastAsia="Arial" w:hAnsi="Arial"/>
                <w:sz w:val="18"/>
                <w:szCs w:val="18"/>
                <w:color w:val="auto"/>
              </w:rPr>
              <w:t>Certain ERISA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9.12</w:t>
            </w:r>
          </w:p>
        </w:tc>
        <w:tc>
          <w:tcPr>
            <w:tcW w:w="7620" w:type="dxa"/>
            <w:vAlign w:val="bottom"/>
          </w:tcPr>
          <w:p>
            <w:pPr>
              <w:ind w:left="60"/>
              <w:spacing w:after="0"/>
              <w:rPr>
                <w:sz w:val="20"/>
                <w:szCs w:val="20"/>
                <w:color w:val="auto"/>
              </w:rPr>
            </w:pPr>
            <w:r>
              <w:rPr>
                <w:rFonts w:ascii="Arial" w:cs="Arial" w:eastAsia="Arial" w:hAnsi="Arial"/>
                <w:sz w:val="18"/>
                <w:szCs w:val="18"/>
                <w:color w:val="auto"/>
              </w:rPr>
              <w:t>Recovery of Erroneous 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X.</w:t>
            </w:r>
          </w:p>
        </w:tc>
        <w:tc>
          <w:tcPr>
            <w:tcW w:w="7620" w:type="dxa"/>
            <w:vAlign w:val="bottom"/>
          </w:tcPr>
          <w:p>
            <w:pPr>
              <w:ind w:left="300"/>
              <w:spacing w:after="0"/>
              <w:rPr>
                <w:sz w:val="20"/>
                <w:szCs w:val="20"/>
                <w:color w:val="auto"/>
              </w:rPr>
            </w:pPr>
            <w:r>
              <w:rPr>
                <w:rFonts w:ascii="Arial" w:cs="Arial" w:eastAsia="Arial" w:hAnsi="Arial"/>
                <w:sz w:val="18"/>
                <w:szCs w:val="18"/>
                <w:color w:val="auto"/>
              </w:rPr>
              <w:t>CONTINUING GUARANTY</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10.01</w:t>
            </w:r>
          </w:p>
        </w:tc>
        <w:tc>
          <w:tcPr>
            <w:tcW w:w="7620" w:type="dxa"/>
            <w:vAlign w:val="bottom"/>
          </w:tcPr>
          <w:p>
            <w:pPr>
              <w:ind w:left="60"/>
              <w:spacing w:after="0"/>
              <w:rPr>
                <w:sz w:val="20"/>
                <w:szCs w:val="20"/>
                <w:color w:val="auto"/>
              </w:rPr>
            </w:pPr>
            <w:r>
              <w:rPr>
                <w:rFonts w:ascii="Arial" w:cs="Arial" w:eastAsia="Arial" w:hAnsi="Arial"/>
                <w:sz w:val="18"/>
                <w:szCs w:val="18"/>
                <w:color w:val="auto"/>
              </w:rPr>
              <w:t>PAA Guaranty</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10.02</w:t>
            </w:r>
          </w:p>
        </w:tc>
        <w:tc>
          <w:tcPr>
            <w:tcW w:w="7620" w:type="dxa"/>
            <w:vAlign w:val="bottom"/>
          </w:tcPr>
          <w:p>
            <w:pPr>
              <w:ind w:left="60"/>
              <w:spacing w:after="0"/>
              <w:rPr>
                <w:sz w:val="20"/>
                <w:szCs w:val="20"/>
                <w:color w:val="auto"/>
              </w:rPr>
            </w:pPr>
            <w:r>
              <w:rPr>
                <w:rFonts w:ascii="Arial" w:cs="Arial" w:eastAsia="Arial" w:hAnsi="Arial"/>
                <w:sz w:val="18"/>
                <w:szCs w:val="18"/>
                <w:color w:val="auto"/>
              </w:rPr>
              <w:t>Rights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10.03</w:t>
            </w:r>
          </w:p>
        </w:tc>
        <w:tc>
          <w:tcPr>
            <w:tcW w:w="762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10.04</w:t>
            </w:r>
          </w:p>
        </w:tc>
        <w:tc>
          <w:tcPr>
            <w:tcW w:w="7620" w:type="dxa"/>
            <w:vAlign w:val="bottom"/>
          </w:tcPr>
          <w:p>
            <w:pPr>
              <w:ind w:left="60"/>
              <w:spacing w:after="0"/>
              <w:rPr>
                <w:sz w:val="20"/>
                <w:szCs w:val="20"/>
                <w:color w:val="auto"/>
              </w:rPr>
            </w:pPr>
            <w:r>
              <w:rPr>
                <w:rFonts w:ascii="Arial" w:cs="Arial" w:eastAsia="Arial" w:hAnsi="Arial"/>
                <w:sz w:val="18"/>
                <w:szCs w:val="18"/>
                <w:color w:val="auto"/>
              </w:rPr>
              <w:t>Obligations Independent</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10.05</w:t>
            </w:r>
          </w:p>
        </w:tc>
        <w:tc>
          <w:tcPr>
            <w:tcW w:w="762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10.06</w:t>
            </w:r>
          </w:p>
        </w:tc>
        <w:tc>
          <w:tcPr>
            <w:tcW w:w="7620" w:type="dxa"/>
            <w:vAlign w:val="bottom"/>
          </w:tcPr>
          <w:p>
            <w:pPr>
              <w:ind w:left="60"/>
              <w:spacing w:after="0"/>
              <w:rPr>
                <w:sz w:val="20"/>
                <w:szCs w:val="20"/>
                <w:color w:val="auto"/>
              </w:rPr>
            </w:pPr>
            <w:r>
              <w:rPr>
                <w:rFonts w:ascii="Arial" w:cs="Arial" w:eastAsia="Arial" w:hAnsi="Arial"/>
                <w:sz w:val="18"/>
                <w:szCs w:val="18"/>
                <w:color w:val="auto"/>
              </w:rPr>
              <w:t>Termination; Reinstatement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10.07</w:t>
            </w:r>
          </w:p>
        </w:tc>
        <w:tc>
          <w:tcPr>
            <w:tcW w:w="762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10.08</w:t>
            </w:r>
          </w:p>
        </w:tc>
        <w:tc>
          <w:tcPr>
            <w:tcW w:w="762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10.09</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 of Borrowers</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ARTICLE XI.</w:t>
            </w:r>
          </w:p>
        </w:tc>
        <w:tc>
          <w:tcPr>
            <w:tcW w:w="762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18"/>
        </w:trPr>
        <w:tc>
          <w:tcPr>
            <w:tcW w:w="1080" w:type="dxa"/>
            <w:vAlign w:val="bottom"/>
          </w:tcPr>
          <w:p>
            <w:pPr>
              <w:ind w:left="500"/>
              <w:spacing w:after="0"/>
              <w:rPr>
                <w:sz w:val="20"/>
                <w:szCs w:val="20"/>
                <w:color w:val="auto"/>
              </w:rPr>
            </w:pPr>
            <w:r>
              <w:rPr>
                <w:rFonts w:ascii="Arial" w:cs="Arial" w:eastAsia="Arial" w:hAnsi="Arial"/>
                <w:sz w:val="18"/>
                <w:szCs w:val="18"/>
                <w:color w:val="auto"/>
              </w:rPr>
              <w:t>11.01</w:t>
            </w:r>
          </w:p>
        </w:tc>
        <w:tc>
          <w:tcPr>
            <w:tcW w:w="762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11.02</w:t>
            </w:r>
          </w:p>
        </w:tc>
        <w:tc>
          <w:tcPr>
            <w:tcW w:w="7620" w:type="dxa"/>
            <w:vAlign w:val="bottom"/>
          </w:tcPr>
          <w:p>
            <w:pPr>
              <w:ind w:left="60"/>
              <w:spacing w:after="0"/>
              <w:rPr>
                <w:sz w:val="20"/>
                <w:szCs w:val="20"/>
                <w:color w:val="auto"/>
              </w:rPr>
            </w:pPr>
            <w:r>
              <w:rPr>
                <w:rFonts w:ascii="Arial" w:cs="Arial" w:eastAsia="Arial" w:hAnsi="Arial"/>
                <w:sz w:val="18"/>
                <w:szCs w:val="18"/>
                <w:color w:val="auto"/>
              </w:rPr>
              <w:t>Notices; Effectiveness; Electronic Communication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11.03</w:t>
            </w:r>
          </w:p>
        </w:tc>
        <w:tc>
          <w:tcPr>
            <w:tcW w:w="7620" w:type="dxa"/>
            <w:vAlign w:val="bottom"/>
          </w:tcPr>
          <w:p>
            <w:pPr>
              <w:ind w:left="60"/>
              <w:spacing w:after="0"/>
              <w:rPr>
                <w:sz w:val="20"/>
                <w:szCs w:val="20"/>
                <w:color w:val="auto"/>
              </w:rPr>
            </w:pPr>
            <w:r>
              <w:rPr>
                <w:rFonts w:ascii="Arial" w:cs="Arial" w:eastAsia="Arial" w:hAnsi="Arial"/>
                <w:sz w:val="18"/>
                <w:szCs w:val="18"/>
                <w:color w:val="auto"/>
              </w:rPr>
              <w:t>No Waiver; Cumulative Remedies; Enforcement; Nature of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11.04</w:t>
            </w:r>
          </w:p>
        </w:tc>
        <w:tc>
          <w:tcPr>
            <w:tcW w:w="7620" w:type="dxa"/>
            <w:vAlign w:val="bottom"/>
          </w:tcPr>
          <w:p>
            <w:pPr>
              <w:ind w:left="60"/>
              <w:spacing w:after="0"/>
              <w:rPr>
                <w:sz w:val="20"/>
                <w:szCs w:val="20"/>
                <w:color w:val="auto"/>
              </w:rPr>
            </w:pPr>
            <w:r>
              <w:rPr>
                <w:rFonts w:ascii="Arial" w:cs="Arial" w:eastAsia="Arial" w:hAnsi="Arial"/>
                <w:sz w:val="18"/>
                <w:szCs w:val="18"/>
                <w:color w:val="auto"/>
              </w:rPr>
              <w:t>Expenses; Indemnity; Damage 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11.05</w:t>
            </w:r>
          </w:p>
        </w:tc>
        <w:tc>
          <w:tcPr>
            <w:tcW w:w="7620" w:type="dxa"/>
            <w:vAlign w:val="bottom"/>
          </w:tcPr>
          <w:p>
            <w:pPr>
              <w:ind w:left="60"/>
              <w:spacing w:after="0"/>
              <w:rPr>
                <w:sz w:val="20"/>
                <w:szCs w:val="20"/>
                <w:color w:val="auto"/>
              </w:rPr>
            </w:pPr>
            <w:r>
              <w:rPr>
                <w:rFonts w:ascii="Arial" w:cs="Arial" w:eastAsia="Arial" w:hAnsi="Arial"/>
                <w:sz w:val="18"/>
                <w:szCs w:val="18"/>
                <w:color w:val="auto"/>
              </w:rPr>
              <w:t>Payments Set Aside</w:t>
            </w:r>
          </w:p>
        </w:tc>
        <w:tc>
          <w:tcPr>
            <w:tcW w:w="2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11.06</w:t>
            </w:r>
          </w:p>
        </w:tc>
        <w:tc>
          <w:tcPr>
            <w:tcW w:w="76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11.07</w:t>
            </w:r>
          </w:p>
        </w:tc>
        <w:tc>
          <w:tcPr>
            <w:tcW w:w="7620" w:type="dxa"/>
            <w:vAlign w:val="bottom"/>
          </w:tcPr>
          <w:p>
            <w:pPr>
              <w:ind w:left="60"/>
              <w:spacing w:after="0"/>
              <w:rPr>
                <w:sz w:val="20"/>
                <w:szCs w:val="20"/>
                <w:color w:val="auto"/>
              </w:rPr>
            </w:pPr>
            <w:r>
              <w:rPr>
                <w:rFonts w:ascii="Arial" w:cs="Arial" w:eastAsia="Arial" w:hAnsi="Arial"/>
                <w:sz w:val="18"/>
                <w:szCs w:val="18"/>
                <w:color w:val="auto"/>
              </w:rPr>
              <w:t>Treatment of Certain Information; 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11.08</w:t>
            </w:r>
          </w:p>
        </w:tc>
        <w:tc>
          <w:tcPr>
            <w:tcW w:w="7620" w:type="dxa"/>
            <w:vAlign w:val="bottom"/>
          </w:tcPr>
          <w:p>
            <w:pPr>
              <w:ind w:left="60"/>
              <w:spacing w:after="0"/>
              <w:rPr>
                <w:sz w:val="20"/>
                <w:szCs w:val="20"/>
                <w:color w:val="auto"/>
              </w:rPr>
            </w:pPr>
            <w:r>
              <w:rPr>
                <w:rFonts w:ascii="Arial" w:cs="Arial" w:eastAsia="Arial" w:hAnsi="Arial"/>
                <w:sz w:val="18"/>
                <w:szCs w:val="18"/>
                <w:color w:val="auto"/>
              </w:rPr>
              <w:t>Right of Setoff</w:t>
            </w:r>
          </w:p>
        </w:tc>
        <w:tc>
          <w:tcPr>
            <w:tcW w:w="2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11.09</w:t>
            </w:r>
          </w:p>
        </w:tc>
        <w:tc>
          <w:tcPr>
            <w:tcW w:w="762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11.10</w:t>
            </w:r>
          </w:p>
        </w:tc>
        <w:tc>
          <w:tcPr>
            <w:tcW w:w="7620" w:type="dxa"/>
            <w:vAlign w:val="bottom"/>
          </w:tcPr>
          <w:p>
            <w:pPr>
              <w:ind w:left="60"/>
              <w:spacing w:after="0"/>
              <w:rPr>
                <w:sz w:val="20"/>
                <w:szCs w:val="20"/>
                <w:color w:val="auto"/>
              </w:rPr>
            </w:pPr>
            <w:r>
              <w:rPr>
                <w:rFonts w:ascii="Arial" w:cs="Arial" w:eastAsia="Arial" w:hAnsi="Arial"/>
                <w:sz w:val="18"/>
                <w:szCs w:val="18"/>
                <w:color w:val="auto"/>
              </w:rPr>
              <w:t>Counterparts; Integration; Effectiveness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11.11</w:t>
            </w:r>
          </w:p>
        </w:tc>
        <w:tc>
          <w:tcPr>
            <w:tcW w:w="762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11.12</w:t>
            </w:r>
          </w:p>
        </w:tc>
        <w:tc>
          <w:tcPr>
            <w:tcW w:w="76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11.13</w:t>
            </w:r>
          </w:p>
        </w:tc>
        <w:tc>
          <w:tcPr>
            <w:tcW w:w="7620" w:type="dxa"/>
            <w:vAlign w:val="bottom"/>
          </w:tcPr>
          <w:p>
            <w:pPr>
              <w:ind w:left="60"/>
              <w:spacing w:after="0"/>
              <w:rPr>
                <w:sz w:val="20"/>
                <w:szCs w:val="20"/>
                <w:color w:val="auto"/>
              </w:rPr>
            </w:pPr>
            <w:r>
              <w:rPr>
                <w:rFonts w:ascii="Arial" w:cs="Arial" w:eastAsia="Arial" w:hAnsi="Arial"/>
                <w:sz w:val="18"/>
                <w:szCs w:val="18"/>
                <w:color w:val="auto"/>
              </w:rPr>
              <w:t>Replacement of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11.14</w:t>
            </w:r>
          </w:p>
        </w:tc>
        <w:tc>
          <w:tcPr>
            <w:tcW w:w="7620" w:type="dxa"/>
            <w:vAlign w:val="bottom"/>
          </w:tcPr>
          <w:p>
            <w:pPr>
              <w:ind w:left="60"/>
              <w:spacing w:after="0"/>
              <w:rPr>
                <w:sz w:val="20"/>
                <w:szCs w:val="20"/>
                <w:color w:val="auto"/>
              </w:rPr>
            </w:pPr>
            <w:r>
              <w:rPr>
                <w:rFonts w:ascii="Arial" w:cs="Arial" w:eastAsia="Arial" w:hAnsi="Arial"/>
                <w:sz w:val="18"/>
                <w:szCs w:val="18"/>
                <w:color w:val="auto"/>
              </w:rPr>
              <w:t>Governing Law; Jurisdiction; Etc.</w:t>
            </w:r>
          </w:p>
        </w:tc>
        <w:tc>
          <w:tcPr>
            <w:tcW w:w="25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080" w:type="dxa"/>
            <w:vAlign w:val="bottom"/>
          </w:tcPr>
          <w:p>
            <w:pPr>
              <w:ind w:left="500"/>
              <w:spacing w:after="0"/>
              <w:rPr>
                <w:sz w:val="20"/>
                <w:szCs w:val="20"/>
                <w:color w:val="auto"/>
              </w:rPr>
            </w:pPr>
            <w:r>
              <w:rPr>
                <w:rFonts w:ascii="Arial" w:cs="Arial" w:eastAsia="Arial" w:hAnsi="Arial"/>
                <w:sz w:val="18"/>
                <w:szCs w:val="18"/>
                <w:color w:val="auto"/>
              </w:rPr>
              <w:t>11.15</w:t>
            </w:r>
          </w:p>
        </w:tc>
        <w:tc>
          <w:tcPr>
            <w:tcW w:w="76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080" w:type="dxa"/>
            <w:vAlign w:val="bottom"/>
          </w:tcPr>
          <w:p>
            <w:pPr>
              <w:ind w:left="500"/>
              <w:spacing w:after="0"/>
              <w:rPr>
                <w:sz w:val="20"/>
                <w:szCs w:val="20"/>
                <w:color w:val="auto"/>
              </w:rPr>
            </w:pPr>
            <w:r>
              <w:rPr>
                <w:rFonts w:ascii="Arial" w:cs="Arial" w:eastAsia="Arial" w:hAnsi="Arial"/>
                <w:sz w:val="18"/>
                <w:szCs w:val="18"/>
                <w:color w:val="auto"/>
              </w:rPr>
              <w:t>11.16</w:t>
            </w:r>
          </w:p>
        </w:tc>
        <w:tc>
          <w:tcPr>
            <w:tcW w:w="7620" w:type="dxa"/>
            <w:vAlign w:val="bottom"/>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tbl>
      <w:tblPr>
        <w:tblLayout w:type="fixed"/>
        <w:tblInd w:w="500" w:type="dxa"/>
        <w:tblCellMar>
          <w:top w:w="0" w:type="dxa"/>
          <w:left w:w="0" w:type="dxa"/>
          <w:bottom w:w="0" w:type="dxa"/>
          <w:right w:w="0" w:type="dxa"/>
        </w:tblCellMar>
      </w:tblP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11.17</w:t>
            </w:r>
          </w:p>
        </w:tc>
        <w:tc>
          <w:tcPr>
            <w:tcW w:w="7780" w:type="dxa"/>
            <w:vAlign w:val="bottom"/>
          </w:tcPr>
          <w:p>
            <w:pPr>
              <w:ind w:left="120"/>
              <w:spacing w:after="0"/>
              <w:rPr>
                <w:sz w:val="20"/>
                <w:szCs w:val="20"/>
                <w:color w:val="auto"/>
              </w:rPr>
            </w:pPr>
            <w:r>
              <w:rPr>
                <w:rFonts w:ascii="Arial" w:cs="Arial" w:eastAsia="Arial" w:hAnsi="Arial"/>
                <w:sz w:val="18"/>
                <w:szCs w:val="18"/>
                <w:color w:val="auto"/>
              </w:rPr>
              <w:t>No Recourse to Other Persons</w:t>
            </w:r>
          </w:p>
        </w:tc>
        <w:tc>
          <w:tcPr>
            <w:tcW w:w="24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11.18</w:t>
            </w:r>
          </w:p>
        </w:tc>
        <w:tc>
          <w:tcPr>
            <w:tcW w:w="7780" w:type="dxa"/>
            <w:vAlign w:val="bottom"/>
          </w:tcPr>
          <w:p>
            <w:pPr>
              <w:ind w:left="120"/>
              <w:spacing w:after="0"/>
              <w:rPr>
                <w:sz w:val="20"/>
                <w:szCs w:val="20"/>
                <w:color w:val="auto"/>
              </w:rPr>
            </w:pPr>
            <w:r>
              <w:rPr>
                <w:rFonts w:ascii="Arial" w:cs="Arial" w:eastAsia="Arial" w:hAnsi="Arial"/>
                <w:sz w:val="18"/>
                <w:szCs w:val="18"/>
                <w:color w:val="auto"/>
              </w:rPr>
              <w:t>Electronic Execution; Electronic Records</w:t>
            </w:r>
          </w:p>
        </w:tc>
        <w:tc>
          <w:tcPr>
            <w:tcW w:w="2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11.19</w:t>
            </w:r>
          </w:p>
        </w:tc>
        <w:tc>
          <w:tcPr>
            <w:tcW w:w="778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24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11.20</w:t>
            </w:r>
          </w:p>
        </w:tc>
        <w:tc>
          <w:tcPr>
            <w:tcW w:w="7780" w:type="dxa"/>
            <w:vAlign w:val="bottom"/>
          </w:tcPr>
          <w:p>
            <w:pPr>
              <w:ind w:left="120"/>
              <w:spacing w:after="0"/>
              <w:rPr>
                <w:sz w:val="20"/>
                <w:szCs w:val="20"/>
                <w:color w:val="auto"/>
              </w:rPr>
            </w:pPr>
            <w:r>
              <w:rPr>
                <w:rFonts w:ascii="Arial" w:cs="Arial" w:eastAsia="Arial" w:hAnsi="Arial"/>
                <w:sz w:val="18"/>
                <w:szCs w:val="18"/>
                <w:color w:val="auto"/>
              </w:rPr>
              <w:t>Time of the Essence</w:t>
            </w:r>
          </w:p>
        </w:tc>
        <w:tc>
          <w:tcPr>
            <w:tcW w:w="2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11.21</w:t>
            </w:r>
          </w:p>
        </w:tc>
        <w:tc>
          <w:tcPr>
            <w:tcW w:w="778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11.22</w:t>
            </w:r>
          </w:p>
        </w:tc>
        <w:tc>
          <w:tcPr>
            <w:tcW w:w="77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11.23</w:t>
            </w:r>
          </w:p>
        </w:tc>
        <w:tc>
          <w:tcPr>
            <w:tcW w:w="7780" w:type="dxa"/>
            <w:vAlign w:val="bottom"/>
          </w:tcPr>
          <w:p>
            <w:pPr>
              <w:ind w:left="120"/>
              <w:spacing w:after="0"/>
              <w:rPr>
                <w:sz w:val="20"/>
                <w:szCs w:val="20"/>
                <w:color w:val="auto"/>
              </w:rPr>
            </w:pPr>
            <w:r>
              <w:rPr>
                <w:rFonts w:ascii="Arial" w:cs="Arial" w:eastAsia="Arial" w:hAnsi="Arial"/>
                <w:sz w:val="18"/>
                <w:szCs w:val="18"/>
                <w:color w:val="auto"/>
              </w:rPr>
              <w:t>Restated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11.24</w:t>
            </w:r>
          </w:p>
        </w:tc>
        <w:tc>
          <w:tcPr>
            <w:tcW w:w="778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11.25</w:t>
            </w:r>
          </w:p>
        </w:tc>
        <w:tc>
          <w:tcPr>
            <w:tcW w:w="7780" w:type="dxa"/>
            <w:vAlign w:val="bottom"/>
          </w:tcPr>
          <w:p>
            <w:pPr>
              <w:ind w:left="120"/>
              <w:spacing w:after="0"/>
              <w:rPr>
                <w:sz w:val="20"/>
                <w:szCs w:val="20"/>
                <w:color w:val="auto"/>
              </w:rPr>
            </w:pPr>
            <w:r>
              <w:rPr>
                <w:rFonts w:ascii="Arial" w:cs="Arial" w:eastAsia="Arial" w:hAnsi="Arial"/>
                <w:sz w:val="18"/>
                <w:szCs w:val="18"/>
                <w:color w:val="auto"/>
              </w:rPr>
              <w:t>Acknowledgement Regarding Any Supported QFCs</w:t>
            </w:r>
          </w:p>
        </w:tc>
        <w:tc>
          <w:tcPr>
            <w:tcW w:w="244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 L/C Commitments</w:t>
      </w:r>
    </w:p>
    <w:p>
      <w:pPr>
        <w:spacing w:after="0" w:line="2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2.01A</w:t>
      </w:r>
      <w:r>
        <w:rPr>
          <w:sz w:val="20"/>
          <w:szCs w:val="20"/>
          <w:color w:val="auto"/>
        </w:rPr>
        <w:tab/>
      </w:r>
      <w:r>
        <w:rPr>
          <w:rFonts w:ascii="Arial" w:cs="Arial" w:eastAsia="Arial" w:hAnsi="Arial"/>
          <w:sz w:val="16"/>
          <w:szCs w:val="16"/>
          <w:color w:val="auto"/>
        </w:rPr>
        <w:t>Canadian Bankers’ Acceptances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Governmental Authorization; Other Consents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color w:val="auto"/>
        </w:rPr>
        <w:t>Environmental Matters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ERISA Matters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Compliance with Laws</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140" w:hanging="646"/>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Swing Line Loan Notice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6"/>
          <w:szCs w:val="16"/>
          <w:color w:val="auto"/>
        </w:rPr>
        <w:t>Committed Loan Note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7"/>
          <w:szCs w:val="17"/>
          <w:color w:val="auto"/>
        </w:rPr>
        <w:t>Swing Line Note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D-1</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D-2</w:t>
      </w:r>
      <w:r>
        <w:rPr>
          <w:rFonts w:ascii="Arial" w:cs="Arial" w:eastAsia="Arial" w:hAnsi="Arial"/>
          <w:sz w:val="16"/>
          <w:szCs w:val="16"/>
          <w:color w:val="auto"/>
        </w:rPr>
        <w:t>Administrative Questionnaire</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Letter of Credit Report</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7"/>
          <w:szCs w:val="17"/>
          <w:color w:val="auto"/>
        </w:rPr>
        <w:t>Notice of Additional L/C Issuer</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G-1</w:t>
      </w:r>
      <w:r>
        <w:rPr>
          <w:rFonts w:ascii="Arial" w:cs="Arial" w:eastAsia="Arial" w:hAnsi="Arial"/>
          <w:sz w:val="16"/>
          <w:szCs w:val="16"/>
          <w:color w:val="auto"/>
        </w:rPr>
        <w:t>Form of U.S. Tax Compliance Certificate – Foreign Lenders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G-2</w:t>
      </w:r>
      <w:r>
        <w:rPr>
          <w:rFonts w:ascii="Arial" w:cs="Arial" w:eastAsia="Arial" w:hAnsi="Arial"/>
          <w:sz w:val="16"/>
          <w:szCs w:val="16"/>
          <w:color w:val="auto"/>
        </w:rPr>
        <w:t>Form of U.S. Tax Compliance Certificate – Non-U.S. Participants (Not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G-3</w:t>
      </w:r>
      <w:r>
        <w:rPr>
          <w:rFonts w:ascii="Arial" w:cs="Arial" w:eastAsia="Arial" w:hAnsi="Arial"/>
          <w:sz w:val="16"/>
          <w:szCs w:val="16"/>
          <w:color w:val="auto"/>
        </w:rPr>
        <w:t>Form of U.S. Tax Compliance Certificate – Non-U.S. Participants (Partnerships)</w:t>
      </w:r>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G-4</w:t>
      </w:r>
      <w:r>
        <w:rPr>
          <w:rFonts w:ascii="Arial" w:cs="Arial" w:eastAsia="Arial" w:hAnsi="Arial"/>
          <w:sz w:val="16"/>
          <w:szCs w:val="16"/>
          <w:color w:val="auto"/>
        </w:rPr>
        <w:t>Form of U.S. Tax Compliance Certificate – Foreign Lenders (Partnerships)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FOURTH AMENDED AND RESTATED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August 20, 2021,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w:t>
      </w:r>
      <w:r>
        <w:rPr>
          <w:rFonts w:ascii="Arial" w:cs="Arial" w:eastAsia="Arial" w:hAnsi="Arial"/>
          <w:sz w:val="17"/>
          <w:szCs w:val="17"/>
          <w:u w:val="single" w:color="auto"/>
          <w:color w:val="auto"/>
        </w:rPr>
        <w:t>PAA</w:t>
      </w:r>
      <w:r>
        <w:rPr>
          <w:rFonts w:ascii="Arial" w:cs="Arial" w:eastAsia="Arial" w:hAnsi="Arial"/>
          <w:sz w:val="17"/>
          <w:szCs w:val="17"/>
          <w:color w:val="auto"/>
        </w:rPr>
        <w:t>”), as guarantor,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BANK OF AMERICA, N.A., as Administrative Agent and Swing Line Lender, BANK OF AMERICA, N.A., CITIBANK, N.A., JPMORGAN CHASE BANK, N.A. and WELLS FARGO BANK, NATIONAL ASSOCIATION, as L/C Issuers, and CITIBANK, N.A., JPMORGAN CHASE BANK, N.A. and WELLS FARGO BANK, NATIONAL ASSOCIATION, as Co-Syndication Agents, and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as Co-Documentation Agents.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the Administrative Agent and certain Lenders entered into that certain Third Amended and Restated Credit Agreement dated as of August 19, 2011 (as heretofore amended,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requested that the Lenders provide a revolving credit facility to refinance the outstanding Indebtedness of the Company and PMCULC under, and amend and restate, the Existing Credit Agreement, and the Lenders are willing to do so on the terms and conditions set forth herein.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or who may become obligated under, with respect to, or on account of, a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under any of the Loan Documents, or any successor administrative agent appointed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 the Company and the Lenders pursuant to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 The initial Aggregate Commitments as of the Closing Date are $1,350,000,000.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Fourth Amended and Restated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has the meaning specified in Section 5.15.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If the commitment of each Lender to make Loans and accept Canadian BA’s and the obligation of each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from time to time, the following percentages per annum, based upon the PAA Debt Rating as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Applicable Rate</w:t>
            </w:r>
          </w:p>
        </w:tc>
        <w:tc>
          <w:tcPr>
            <w:tcW w:w="2320" w:type="dxa"/>
            <w:vAlign w:val="bottom"/>
          </w:tcPr>
          <w:p>
            <w:pPr>
              <w:spacing w:after="0"/>
              <w:rPr>
                <w:sz w:val="20"/>
                <w:szCs w:val="20"/>
                <w:color w:val="auto"/>
              </w:rPr>
            </w:pPr>
          </w:p>
        </w:tc>
      </w:tr>
      <w:tr>
        <w:trPr>
          <w:trHeight w:val="198"/>
        </w:trPr>
        <w:tc>
          <w:tcPr>
            <w:tcW w:w="10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Eurocurrency Rate Loans,</w:t>
            </w:r>
          </w:p>
        </w:tc>
        <w:tc>
          <w:tcPr>
            <w:tcW w:w="23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Base Rate Loans</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PAA Debt Ratings</w:t>
            </w:r>
          </w:p>
        </w:tc>
        <w:tc>
          <w:tcPr>
            <w:tcW w:w="144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Commitment</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Letters of Credit and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3"/>
              </w:rPr>
              <w:t>and Canadian</w:t>
            </w:r>
          </w:p>
        </w:tc>
      </w:tr>
      <w:tr>
        <w:trPr>
          <w:trHeight w:val="234"/>
        </w:trPr>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S&amp;P/Moody’s</w:t>
            </w:r>
          </w:p>
        </w:tc>
        <w:tc>
          <w:tcPr>
            <w:tcW w:w="14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3"/>
              </w:rPr>
              <w:t>Fee</w:t>
            </w:r>
          </w:p>
        </w:tc>
        <w:tc>
          <w:tcPr>
            <w:tcW w:w="36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 BA’s</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Prime Rate Loans</w:t>
            </w:r>
          </w:p>
        </w:tc>
      </w:tr>
      <w:tr>
        <w:trPr>
          <w:trHeight w:val="195"/>
        </w:trPr>
        <w:tc>
          <w:tcPr>
            <w:tcW w:w="1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2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 / A3 or higher</w:t>
            </w:r>
          </w:p>
        </w:tc>
        <w:tc>
          <w:tcPr>
            <w:tcW w:w="144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88"/>
              </w:rPr>
              <w:t>0.080%</w:t>
            </w:r>
          </w:p>
        </w:tc>
        <w:tc>
          <w:tcPr>
            <w:tcW w:w="36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0.750%</w:t>
            </w:r>
          </w:p>
        </w:tc>
        <w:tc>
          <w:tcPr>
            <w:tcW w:w="2320" w:type="dxa"/>
            <w:vAlign w:val="bottom"/>
          </w:tcPr>
          <w:p>
            <w:pPr>
              <w:jc w:val="center"/>
              <w:spacing w:after="0" w:line="195" w:lineRule="exact"/>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Baa1</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0.100%</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0.875%</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BBB / Baa2</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0.125%</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0.000%</w:t>
            </w:r>
          </w:p>
        </w:tc>
      </w:tr>
      <w:tr>
        <w:trPr>
          <w:trHeight w:val="21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 / Baa3</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0.150%</w:t>
            </w:r>
          </w:p>
        </w:tc>
        <w:tc>
          <w:tcPr>
            <w:tcW w:w="36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1.125%</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0.125%</w:t>
            </w:r>
          </w:p>
        </w:tc>
      </w:tr>
      <w:tr>
        <w:trPr>
          <w:trHeight w:val="230"/>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 / Ba1 or lower</w:t>
            </w:r>
          </w:p>
        </w:tc>
        <w:tc>
          <w:tcPr>
            <w:tcW w:w="1440" w:type="dxa"/>
            <w:vAlign w:val="bottom"/>
          </w:tcPr>
          <w:p>
            <w:pPr>
              <w:jc w:val="center"/>
              <w:ind w:left="250"/>
              <w:spacing w:after="0"/>
              <w:rPr>
                <w:sz w:val="20"/>
                <w:szCs w:val="20"/>
                <w:color w:val="auto"/>
              </w:rPr>
            </w:pPr>
            <w:r>
              <w:rPr>
                <w:rFonts w:ascii="Arial" w:cs="Arial" w:eastAsia="Arial" w:hAnsi="Arial"/>
                <w:sz w:val="18"/>
                <w:szCs w:val="18"/>
                <w:color w:val="auto"/>
                <w:w w:val="88"/>
              </w:rPr>
              <w:t>0.200%</w:t>
            </w:r>
          </w:p>
        </w:tc>
        <w:tc>
          <w:tcPr>
            <w:tcW w:w="36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1.250%</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0.250%</w:t>
            </w: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PAA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of PAA’s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respective PAA Debt Ratings issued by the foregoing rating agencies differ by one Pricing Level, then the Pricing Level for the higher of such PAA Debt Ratings shall apply (with the PAA Debt Rating for Pricing Level 1 being the highest and the PAA Debt Rating for Pricing Level 5 being the lowest); (b) if the respective PAA Debt Ratings issued by the foregoing rating agencies differ by more than one Pricing Level, then the Pricing Level that is one Pricing Level lower than the Pricing Level of the higher PAA Debt Rating shall apply; (c) if PAA has only one PAA Debt Rating, the Pricing Level equal to that of such PAA Debt Rating shall apply; and (d) if PAA does not have any PAA Debt Rating, then the Administrative Agent and the Company shall negotiate in good faith to amend the definition of Applicable Rate to reflect such change in circumstances, and until such time as the Administrative Agent and the Company shall reach agreement with respect thereto, Pricing Level 5 shall apply.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Initially, the Applicable Rate shall be determined based upon the PAA Debt Rating specified in the certificate delivered pursuant to </w:t>
      </w:r>
      <w:r>
        <w:rPr>
          <w:rFonts w:ascii="Arial" w:cs="Arial" w:eastAsia="Arial" w:hAnsi="Arial"/>
          <w:sz w:val="18"/>
          <w:szCs w:val="18"/>
          <w:u w:val="single" w:color="auto"/>
          <w:color w:val="auto"/>
        </w:rPr>
        <w:t>Section 4.01(a)(viii)</w:t>
      </w:r>
      <w:r>
        <w:rPr>
          <w:rFonts w:ascii="Arial" w:cs="Arial" w:eastAsia="Arial" w:hAnsi="Arial"/>
          <w:sz w:val="18"/>
          <w:szCs w:val="18"/>
          <w:color w:val="auto"/>
        </w:rPr>
        <w:t>. Thereafter, each change in the Applicable Rate resulting from a publicly announced change in the PAA Debt Rating shall be effective, in the case of an upgrade, during the period commencing on the date of delivery by the Company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or S&amp;P shall change, or if either such rating agency shall cease to be in the business of rating corporate debt obligations, PAA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xml:space="preserve">” means, with respect to any borrowings and payments in Canadian Dollars, the local time in the place of settlement for Canadian Dollars as may be determined by the Administrative Agent or the applicable L/C Issuer, as the case may be, to be necessary for timely settlement on the relevant date in accordance with normal banking procedures in the place of payment;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local time shall be no earlier than 12:00 noon, Eastern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Location</w:t>
      </w:r>
      <w:r>
        <w:rPr>
          <w:rFonts w:ascii="Arial" w:cs="Arial" w:eastAsia="Arial" w:hAnsi="Arial"/>
          <w:sz w:val="18"/>
          <w:szCs w:val="18"/>
          <w:color w:val="auto"/>
        </w:rPr>
        <w:t>” means (i) a Plains Terminal or (ii) any storage terminal, tankage, facility or other locations or pipelines over which, through ownership, contract or otherwise, PAA or any of its Affiliates has control with respect to all Collateral stored or located there.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BofA Securities, Citibank, N.A., JPMorgan Chase Bank, N.A., Wells Fargo Securities, LLC, Banco Bilbao Vizcaya Argentaria, S.A., New York Branch, BMO Capital Markets, Bank of Nova Scotia, Houston Branch, Barclays Bank PLC, Canadian Imperial Bank of Commerce, New York Branch, CoBank, ACB, ING Capital LLC, Mizuho Bank, Ltd., MUFG Bank, Ltd., PNC Bank, National Association, Regions Bank, Royal Bank of Canada, Sumitomo Mitsui Banking Corporation, TD Securities (USA) LLC, Truist Bank and U.S. Bank National Association, in its capacity as joint lead arranger and joint book manager.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solely managed by the same investment advisor.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PAA and its Subsidiaries for the fiscal year ended December 31, 2020, and the related consolidated statements of income or operations and cash flows for such fiscal year and partners’ capital of PAA and its Subsidiaries, including the notes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Issuers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R.S.C. 1985, c. B-3,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in effect on such day plus 1/2 of 1%, (b) the rate of interest in effect for such day as publicly announced from time to time by Bank of America as its “prime rate,” (or, as to Base Rate Loans to PMCULC, the rate of interest publicly announced from time to time by Bank of America, Canada Branch as its reference rate of interest for loans in U.S. Dollars to Canadian customers and designated as its “prime rate”) (provided that, if such rate as so determined would be less than zero, such rate shall be deemed to be zero for purposes of this Agreement) and (c) the Eurocurrency Rate in effect on such day as determined pursuant to clause (b) of the definition thereof plus 1.00%. The “prime rate” is a rate set by Bank of America (or Bank of America, Canada Branch, as applicable) based upon various factors including Bank of America’s (or Bank of America, Canada Branch’s, as applicable) costs and desired return, general economic conditions and other factors, and is used as a reference point for pricing some loans, which may be priced at, above, or below such announced rate. Any change in such prime rate announced by Bank of America (or Bank of America, Canada Branch, as applicable)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Committed Loan</w:t>
      </w:r>
      <w:r>
        <w:rPr>
          <w:rFonts w:ascii="Arial" w:cs="Arial" w:eastAsia="Arial" w:hAnsi="Arial"/>
          <w:sz w:val="18"/>
          <w:szCs w:val="18"/>
          <w:color w:val="auto"/>
        </w:rPr>
        <w:t>” means a Committed Loan that is a Base Rate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(i) a Committed Loan that bears interest based on the Base Rate or (ii) a Swing Line Loan that bears interest based on the Base Rate. All Base Rate Loans shall be denominated in Dollars.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LIBOR; provided 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w:t>
      </w:r>
    </w:p>
    <w:p>
      <w:pPr>
        <w:spacing w:after="0" w:line="225"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purposes of Section 3.03(c)(i), the first alternative set forth below that can be determined by the Administrative Agent:</w:t>
      </w:r>
    </w:p>
    <w:p>
      <w:pPr>
        <w:spacing w:after="0" w:line="225"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 or</w:t>
      </w:r>
    </w:p>
    <w:p>
      <w:pPr>
        <w:spacing w:after="0" w:line="148" w:lineRule="exact"/>
        <w:rPr>
          <w:rFonts w:ascii="Arial" w:cs="Arial" w:eastAsia="Arial" w:hAnsi="Arial"/>
          <w:sz w:val="16"/>
          <w:szCs w:val="16"/>
          <w:color w:val="auto"/>
        </w:rPr>
      </w:pPr>
    </w:p>
    <w:p>
      <w:pPr>
        <w:ind w:left="1960" w:hanging="656"/>
        <w:spacing w:after="0"/>
        <w:tabs>
          <w:tab w:leader="none" w:pos="19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2" w:lineRule="exact"/>
        <w:rPr>
          <w:sz w:val="20"/>
          <w:szCs w:val="20"/>
          <w:color w:val="auto"/>
        </w:rPr>
      </w:pPr>
    </w:p>
    <w:p>
      <w:pPr>
        <w:jc w:val="both"/>
        <w:ind w:left="1300" w:hanging="644"/>
        <w:spacing w:after="0" w:line="279" w:lineRule="auto"/>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 purposes of Section 3.03(c)(ii), the sum of (a) the alternate benchmark rate and (b) an adjustment (which may be a positive or negative value or zero), in each case, that has been selected by the Administrative Agent and the Company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zero percent (0.0%), the Benchmark Replacement will be deemed to be zero percent (0.0%)% for the purposes of this Agreement and the other Loan Documents.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Securities</w:t>
      </w:r>
      <w:r>
        <w:rPr>
          <w:rFonts w:ascii="Arial" w:cs="Arial" w:eastAsia="Arial" w:hAnsi="Arial"/>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 or a Swing Line Borrowing, as the context may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Liens</w:t>
      </w:r>
      <w:r>
        <w:rPr>
          <w:rFonts w:ascii="Arial" w:cs="Arial" w:eastAsia="Arial" w:hAnsi="Arial"/>
          <w:sz w:val="18"/>
          <w:szCs w:val="18"/>
          <w:color w:val="auto"/>
        </w:rPr>
        <w:t>” means any Liens under or with respect to accounts with brokers or counterparties with respect to Swap Contracts in favor of such brokers or counterparties, securing only obligations under such Swap Contracts.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6" w:lineRule="exact"/>
        <w:rPr>
          <w:sz w:val="20"/>
          <w:szCs w:val="20"/>
          <w:color w:val="auto"/>
        </w:rPr>
      </w:pPr>
    </w:p>
    <w:p>
      <w:pPr>
        <w:jc w:val="both"/>
        <w:ind w:firstLine="656"/>
        <w:spacing w:after="0" w:line="259"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Eurocurrency market;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5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Canadian Dollars, means any such day on which dealings in deposits in Canadian Dollars are conducted by and between banks in the London or other applicable offshore interbank market for Canadian Dollars; and</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(x) in Canadian Dollars in respect of a Eurocurrency Rate Loan denominated in Canadian Dollars, or any other dealings in Canadian Dollars to be carried out pursuant to this Agreement in respect of any such Eurocurrency Rate Loan (other than any interest rate settings), or any other dealings in Canadian Dollars to be carried out pursuant to this Agreement, including Canadian BA’s, or (y) with respect to PMCULC, in Dollars in respect of a Eurocurrency Rate Loan denominated in Dollars or any other dealings in Dollars to be carried out pursuant to this Agreement in respect of any such Eurocurrency Rate Loan (other than interest rate settings), or any other dealings in Dollars to be carried out pursuant to this Agreement, in each case, means any such day on which banks are open for foreign exchange business in Toronto, Canada.</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Proceeds</w:t>
      </w:r>
      <w:r>
        <w:rPr>
          <w:rFonts w:ascii="Arial" w:cs="Arial" w:eastAsia="Arial" w:hAnsi="Arial"/>
          <w:sz w:val="18"/>
          <w:szCs w:val="18"/>
          <w:color w:val="auto"/>
        </w:rPr>
        <w:t>” means, in respect of any Canadian Banker’s Acceptance, an amount (rounded to the nearest full cent, with one half of one cent being rounded up) calculated on the applicable funding date equal to the face amount of such Canadian Banker’s Acceptance multiplied by the price, where the price is calculated by dividing one by the sum of one plus the product of (a) the Canadian BA Discount Rate applicable thereto expressed as a decimal fraction multiplied by (b) a fraction, the numerator of which is the term of such Canadian Banker’s Acceptance and the denominator of which is 365, rounded to the nearest multiple of 0.001%.</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Discount Rate</w:t>
      </w:r>
      <w:r>
        <w:rPr>
          <w:rFonts w:ascii="Arial" w:cs="Arial" w:eastAsia="Arial" w:hAnsi="Arial"/>
          <w:sz w:val="18"/>
          <w:szCs w:val="18"/>
          <w:color w:val="auto"/>
        </w:rPr>
        <w:t>” means, on the funding date for any Canadian BA, (a) for any Lender named on Schedule I to the Bank Act (Canada), the CDOR on the applicable funding date; or, if such rate is not available, the average of the rates advised by the Canadian Schedule I Reference Lenders to the Administrative Agent, determined in accordance with normal market practices, as being the discount rate of such Canadian Schedule I Reference Lenders on such funding date for Canadian bankers’ acceptances having a comparable face amount and maturity date; and (b) for any other Lender, the lesser of (i) the average of the rates advised by the Canadian Non-Schedule I Reference Lenders to the Administrative Agent, determined in accordance with normal market practices, as being the discount rate of such Canadian Non-Schedule I Reference Lenders on such funding date for banker’s acceptances of such Canadian Non-Schedule I Reference Lenders having a comparable face amount and maturity date, and (ii) the CDOR on the applicable funding date plus 0.10% per annum.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Equivalent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 Fee</w:t>
      </w:r>
      <w:r>
        <w:rPr>
          <w:rFonts w:ascii="Arial" w:cs="Arial" w:eastAsia="Arial" w:hAnsi="Arial"/>
          <w:sz w:val="17"/>
          <w:szCs w:val="17"/>
          <w:color w:val="auto"/>
        </w:rPr>
        <w:t>” means, with respect to any Canadian BA, the amount calculated by multiplying the face amount of such Canadian BA by the then Applicable Rate applicable to Canadian BA’s, and then multiplying the result by a fraction, the numerator of which is the duration of its term on the basis of the actual number of days to elapse from the date of acceptance of such Canadian BA by the accepting Lender to the maturity date of such Canadian BA and the denominator of which is the number of days in the calendar year in question.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Bankers’ Acceptance</w:t>
      </w:r>
      <w:r>
        <w:rPr>
          <w:rFonts w:ascii="Arial" w:cs="Arial" w:eastAsia="Arial" w:hAnsi="Arial"/>
          <w:sz w:val="18"/>
          <w:szCs w:val="18"/>
          <w:color w:val="auto"/>
        </w:rPr>
        <w:t xml:space="preserve"> ” or “</w:t>
      </w:r>
      <w:r>
        <w:rPr>
          <w:rFonts w:ascii="Arial" w:cs="Arial" w:eastAsia="Arial" w:hAnsi="Arial"/>
          <w:sz w:val="18"/>
          <w:szCs w:val="18"/>
          <w:u w:val="single" w:color="auto"/>
          <w:color w:val="auto"/>
        </w:rPr>
        <w:t>Canadian BA</w:t>
      </w:r>
      <w:r>
        <w:rPr>
          <w:rFonts w:ascii="Arial" w:cs="Arial" w:eastAsia="Arial" w:hAnsi="Arial"/>
          <w:sz w:val="18"/>
          <w:szCs w:val="18"/>
          <w:color w:val="auto"/>
        </w:rPr>
        <w:t>” means a non-interest bearing bill of exchange on the Administrative Agent’s usual form (or a bill of exchange within the meaning of the Bills of Exchange Act Canada), R.S.C. 1985, c. B-5, as amended, or a depository bill within the meaning of the Depository Bills and Notes Act (Canada), denominated in Canadian Dollars, drawn by or on behalf of PMCULC, for a term selected by PMCULC of either one, two or three months (as reduced or extended by the Administrative Agent, acting reasonably, to allow the maturity thereof to fall on a Business Day) payable in Canada, and accepted by a Lender in accordance with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Equivalent</w:t>
      </w:r>
      <w:r>
        <w:rPr>
          <w:rFonts w:ascii="Arial" w:cs="Arial" w:eastAsia="Arial" w:hAnsi="Arial"/>
          <w:sz w:val="18"/>
          <w:szCs w:val="18"/>
          <w:color w:val="auto"/>
        </w:rPr>
        <w:t>” means, at any time, with respect to any amount denominated in Dollars, the equivalent amount thereof in Canadian Dollars as reasonably determined by the Administrative Agent or the applicable L/C Issuer, as the case may be, in each case, in accordance with normal banking industry practice using the Spot Rate (determined in respect of the most recent Revaluation Date) for the purchase of Canadian Dollars with Dollars.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Non-Schedule I Reference Lender</w:t>
      </w:r>
      <w:r>
        <w:rPr>
          <w:rFonts w:ascii="Arial" w:cs="Arial" w:eastAsia="Arial" w:hAnsi="Arial"/>
          <w:sz w:val="18"/>
          <w:szCs w:val="18"/>
          <w:color w:val="auto"/>
        </w:rPr>
        <w:t>” means each of Bank of America, N.A., Canada Branch, Citibank Canada, JPMorgan Chase Bank, N.A. (Toronto Branch) and Wells Fargo Bank, National Association, Canadian Branch (or such other or additional Lenders as may be designated by the Administrative Agent and reasonably acceptable to the Company).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greater of (a) the floating annual rate of interest established from time to time by the Administrative Agent in its sole discretion as the reference rate for determining interest rates that it will charge to customers of varying degrees of credit worthiness on commercial loans made in Canada in the lawful currency of Canada and designated as its prime rate and (b) the CDOR for one month Canadian BA’s that appears on the Reuters Screen CDOR Page at 10:00 a.m. Toronto time on that day, plus 0.50% per annum; provided that, if the Canadian Prime Rate as so determined would be less than zero, such rate shall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 Committed Loan</w:t>
      </w:r>
      <w:r>
        <w:rPr>
          <w:rFonts w:ascii="Arial" w:cs="Arial" w:eastAsia="Arial" w:hAnsi="Arial"/>
          <w:sz w:val="16"/>
          <w:szCs w:val="16"/>
          <w:color w:val="auto"/>
        </w:rPr>
        <w:t>” means any Committed Loan which bears interest at a rate determined by reference to the Canadian Prime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means (i) a Canadian Prime Rate Committed Loan or (ii) a Swing Line Loan that bears interest at a rate based on the Canadian Prime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Schedule I Reference Lenders</w:t>
      </w:r>
      <w:r>
        <w:rPr>
          <w:rFonts w:ascii="Arial" w:cs="Arial" w:eastAsia="Arial" w:hAnsi="Arial"/>
          <w:sz w:val="18"/>
          <w:szCs w:val="18"/>
          <w:color w:val="auto"/>
        </w:rPr>
        <w:t xml:space="preserve">” means The Bank of Nova Scotia, Bank of Montreal and Royal Bank of Canada] (or such other or additional Lenders listed in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as may be designated by the Administrative Agent and reasonably acceptable to the Company).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 other than any Operating Lease.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Carry Purchases</w:t>
      </w:r>
      <w:r>
        <w:rPr>
          <w:rFonts w:ascii="Arial" w:cs="Arial" w:eastAsia="Arial" w:hAnsi="Arial"/>
          <w:sz w:val="18"/>
          <w:szCs w:val="18"/>
          <w:color w:val="auto"/>
        </w:rPr>
        <w:t>” means purchases of Petroleum Products for physical storage at an Approved Location which qualify as Hedged Eligible Inventory or in transit in pipelines which has been hedged by either a NYMEX contract, an OTC contract, an Intercontinental Exchange contract, or a contract for physical delivery.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(i) with respect to Canadian BA’s, has the meaning specified in Section 5(b) of Schedule 2.01A and (ii) otherwise means to pledge and deposit with or deliver to the Administrative Agent, for the benefit of the L/C Issuers or Swing Line Lender (as applicable) and the Lenders, as collateral for L/C Obligations, payment Obligations in respect of Swing Line Loans, or obligations of Lenders to fund participations in respect of either thereof (as the context may require), cash or deposit account balances or, if the L/C Issuers or Swing Line Lender benefitting from such collateral shall agree in its sole discretion, other credit support, in each case pursuant to documentation in form and substance reasonably satisfactory to (a) the Administrative Agent and (b) the L/C Issuers or the Swing Line Lender (as applicable). “Cash Collateral” shall have a meaning correlative to the foregoing and shall include the proceeds of such cash collateral and other credit support.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xml:space="preserve">” means for any day, and relative to Canadian BA’s having any specified term and face amount, the discount rate per annum, calculated on the basis of a year of 365 days equal to (i) the average rate per annum (as determined by the Administrative Agent) for Canadian Dollar bankers’ acceptances having the specified term and face amount (or a term and face amount as closely as possible comparable to such specified term and face amount of the Canadian BA) that appear on the Reuters Screen CDOR page "Canadian Interbank Bid BA Fee Rates" (or such other page as the Administrative Agent shall nominate which replaces that page for the purpose of displaying rates quoted for such Canadian BA’s) at 10:00 a.m. (Toronto time) on the first day of such term, as reported by the Administrative Agent or (ii) if such rate does not appear on such CDOR page at 10:00 a.m. (Toronto time) on any such day, then CDOR will be determined by the Administrative Agent as being the arithmetic average of the annual discount rates of interest (rounded upward to the nearest whole multiple of 1/100 of 1%) as of 10:00 a.m. (Toronto time) on the date at which the Lenders named on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are then offering to purchase bankers’ acceptances accepted by them having the specified term and face amount (or a term and face amount as closely as possible comparable to such specified term and face amount) of the Canadian BA; and if CDOR shall be less than zero, such rate shall be deemed zero for purposes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an event or series of events by which PAA ceases to be, directly or indirectly, the beneficial owner (within the meaning of Rule 13d-3 under the Securities Exchange Act of 1934, as amended) of a majority of the outstanding general partnership interests and the outstanding limited partnership interests of the Company or (b) the Company shall cease to be, directly or indirectly, the beneficial owner of a majority of the outstanding Equity Interests of PMCULC.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on which all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purported under the terms of the Collateral Documents to be subject to Liens in favor of the Administrative Agent for the benefit of the Secured Parties, in each case, to secure all or part of the Obligations of a Borrower. In no event shall Collateral include (x) any Permian Excluded Inventory or corresponding Swap Contracts or Receivables with respect thereto or (y) any Commodity Intermediary Subject Inventory, corresponding Swap Contracts with respect thereto or Commodity Intermediary Subject Receivables.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Tri-Party Agreement, each of the security agreements, pledge agreements or other similar agreements delivered by a Borrower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 in each case, to secure all or part of the Obligations of a Borrower.</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Value</w:t>
      </w:r>
      <w:r>
        <w:rPr>
          <w:rFonts w:ascii="Arial" w:cs="Arial" w:eastAsia="Arial" w:hAnsi="Arial"/>
          <w:sz w:val="17"/>
          <w:szCs w:val="17"/>
          <w:color w:val="auto"/>
        </w:rPr>
        <w:t xml:space="preserve">” means, as to each Borrower, the sum of (i) one hundred percent (100%) of the aggregate Sale Value of Financed Hedged Eligible Inventory of such Borrower subject to sales contracts, excluding any such inventory commingled with Permian Excluded Inventory, unless such commingled inventory is located at an Approved Location and subject to customary industry shipping documentation evidencing the Company’s ownership thereof, plus (ii) one hundred percent (100%) of the aggregate Hedged Value of stored Financed Hedged Eligible Inventory of such Borrower not subject to sale contracts, excluding any such inventory (x) commingled with Permian Excluded Inventory, unless such commingled inventory is located at an Approved Location and subject to customary industry shipping documentation evidencing the Company’s ownership thereof or (y) hedged pursuant to a Swap Contract that may be subject to netting with respect to Swap Contracts hedging Permian Excluded Inventory,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all accounts receivable and other Receivables of such Borrower related to the inventory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without duplication, in amount, of such inventory. In no event shall any Permian Excluded Inventory, any corresponding Swap Contracts or any receivables owing by Permian JV or any of its Subsidiaries with respect thereto be included in the calculation of Collateral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 as to each Lender other than the Swing Line Lender, such Lender’s obligation to (i) make Committed Loans to the Borrowers and accept Canadian BA’s from PMCULC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(ii) purchase participations in L/C Obligations, and (iii) purchase participations in Swing Line Loans and (b) as to the Swing Line Lender, its obligation to make Swing Line Loans to the Borrowers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in each case, in an aggregate principal amount the Dollar Equivalent of which at any one time outstanding, does not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amount may from time to time be increased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decreased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or in the Assignment and Assumption pursuant to which such Lender becomes a party hereto, as applicable, as such amount may be adjusted from time to time in accordance with this Agreement.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(i) a borrowing consisting of simultaneous Committed Loans of the same Type, in the same currency and, in the case of Eurocurrency Rate Committed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(ii) the acceptance by Lenders of Canadian Bankers’ Acceptances issued by PMCULC under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Note</w:t>
      </w:r>
      <w:r>
        <w:rPr>
          <w:rFonts w:ascii="Arial" w:cs="Arial" w:eastAsia="Arial" w:hAnsi="Arial"/>
          <w:sz w:val="18"/>
          <w:szCs w:val="18"/>
          <w:color w:val="auto"/>
        </w:rPr>
        <w:t xml:space="preserve">” means a promissory note made by the Borrowers in favor of a Lender evidencing Committed Loans made by such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means a notice of (a) a Committed Borrowing, (b) a conversion of Committed Loans from one Type to the other, or</w:t>
      </w:r>
    </w:p>
    <w:p>
      <w:pPr>
        <w:spacing w:after="0" w:line="35" w:lineRule="exact"/>
        <w:rPr>
          <w:sz w:val="20"/>
          <w:szCs w:val="20"/>
          <w:color w:val="auto"/>
        </w:rPr>
      </w:pPr>
    </w:p>
    <w:p>
      <w:pPr>
        <w:jc w:val="both"/>
        <w:ind w:firstLine="8"/>
        <w:spacing w:after="0" w:line="253" w:lineRule="auto"/>
        <w:tabs>
          <w:tab w:leader="none" w:pos="25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Committed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w:t>
      </w:r>
      <w:r>
        <w:rPr>
          <w:rFonts w:ascii="Arial" w:cs="Arial" w:eastAsia="Arial" w:hAnsi="Arial"/>
          <w:sz w:val="18"/>
          <w:szCs w:val="18"/>
          <w:color w:val="auto"/>
        </w:rPr>
        <w:t>” means (i) any Lender, any Affiliate of any Lender that engages in Commodity Intermediary Transactions, or other nationally recognized institution engaged in transactions of such type, or (ii) any other institution that engages in Commodity Intermediary Transactions that is reasonably acceptable to the Administrative Agent.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 Subject Inventory</w:t>
      </w:r>
      <w:r>
        <w:rPr>
          <w:rFonts w:ascii="Arial" w:cs="Arial" w:eastAsia="Arial" w:hAnsi="Arial"/>
          <w:sz w:val="18"/>
          <w:szCs w:val="18"/>
          <w:color w:val="auto"/>
        </w:rPr>
        <w:t>” means any portion of Borrower’s Petroleum Product inventory identified by Borrower as subject to a Commodity Intermediary Transaction.</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 Subject Receivables</w:t>
      </w:r>
      <w:r>
        <w:rPr>
          <w:rFonts w:ascii="Arial" w:cs="Arial" w:eastAsia="Arial" w:hAnsi="Arial"/>
          <w:sz w:val="18"/>
          <w:szCs w:val="18"/>
          <w:color w:val="auto"/>
        </w:rPr>
        <w:t>” means Receivables arising from the sale of Commodity Intermediary Subject Inventory.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Intermediary Transaction</w:t>
      </w:r>
      <w:r>
        <w:rPr>
          <w:rFonts w:ascii="Arial" w:cs="Arial" w:eastAsia="Arial" w:hAnsi="Arial"/>
          <w:sz w:val="16"/>
          <w:szCs w:val="16"/>
          <w:color w:val="auto"/>
        </w:rPr>
        <w:t>” means a transaction or series of transactions (whether reflected in a single agreement or a set of related agreements) under which a Commodity Intermediary buys from the Company and/or sells to the Company or third parties Commodity Intermediary Subject Inventory, and in addition, may enter into Swap Contracts with respect to such Commodity Intermediary Subject Inventory (including for hedging and/or risk mitigation purposes) and/or provide additional financial accommodations based on Commodity Intermediary Subject Receivables, and in connection therewith (i) the Administrative Agent releases any Liens securing the Obligations on Commodity Intermediary Subject Inventory, such Swap Contracts and Commodity Intermediary Subject Receivables, and (ii) the Company grants a Lien on Commodity Intermediary Subject Inventory, corresponding Swap Contracts with respect thereto, and Commodity Intermediary Subject Receivables (if any) in favor of such Commodity Intermediary to secure the obligations of the Company to such Commodity Intermediary arising under such Commodity Intermediary Transaction.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R.S.C. 1985, c. C-36,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(“SOFR”)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at any time during a Default Rate Period, (a) when used with respect to Obligations other than Letter of Credit Fees and Canadian Prime Rate Loans,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Eurocurrency Rate Loan, the Default Rate shall be an interest rate equal to the interest rate (including any Applicable Rate) otherwise applicable to such Eurocurrency Rate Loan plus 2% per annum, (b) when used with respect to Canadian Prime Rate Loans, an interest rate equal to (i)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applicable to Canadian Prime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and (c) when used with respect to Letter of Credit Fees, a rate equal to the Applicable Rate plus 2% per annum.</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Period</w:t>
      </w:r>
      <w:r>
        <w:rPr>
          <w:rFonts w:ascii="Arial" w:cs="Arial" w:eastAsia="Arial" w:hAnsi="Arial"/>
          <w:sz w:val="17"/>
          <w:szCs w:val="17"/>
          <w:color w:val="auto"/>
        </w:rPr>
        <w:t xml:space="preserve">” means (a) any period during which an Event of Default, other than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is continuing, provided that such period shall not begin until notice of the commencement of the Default Rate has been given to the Company by the Administrative Agent upon the instruction by the Required Lenders and (b) any period during which any Event of Default pursuant to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is continuing unless the Company has been notified otherwise by the Administrative Agent upon the instruction by the Required Lenders.</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any Lender that, as determined by the Administrative Agent, (a) has failed to fund any of its funding obligations hereunder in respect of its Loans or participations in respect of Letters of Credit or Swing Line Loans, within two Business Days of the date required to be funded by it hereunder, or has failed to make any payment to the Administrative Agent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within the time specified therein, (b) has notified the Company or the Administrative Agent that it does not intend to comply with its funding obligations hereunder or has made a public statement to that effect with respect to its funding obligations hereunder or under other agreements in which it commits to extend credit,</w:t>
      </w:r>
    </w:p>
    <w:p>
      <w:pPr>
        <w:spacing w:after="0" w:line="2" w:lineRule="exact"/>
        <w:rPr>
          <w:sz w:val="20"/>
          <w:szCs w:val="20"/>
          <w:color w:val="auto"/>
        </w:rPr>
      </w:pPr>
    </w:p>
    <w:p>
      <w:pPr>
        <w:jc w:val="both"/>
        <w:ind w:firstLine="8"/>
        <w:spacing w:after="0" w:line="268" w:lineRule="auto"/>
        <w:tabs>
          <w:tab w:leader="none" w:pos="28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has failed, within two Business Days after request by the Administrative Agent or the Company,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S.C. 1998, c. 13, as amended, including the regulations made and, from time to time, in force under that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region or territory to the extent that such country or territory itself is the subject of any Sanction.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each Person from time to time and at each relevant time acting in the capacity as a documentation agent, co-documentation agent, joint-documentation agent or similar documentation agent capacity in connection with this Agreement, Banco Bilbao Vizcaya Argentaria, S.A., New York Branch, Bank of Montreal, Bank of Nova Scotia, Houston Branch, Barclays Bank PLC, Canadian Imperial Bank of Commerce, New York Branch, CoBank, ACB, ING Capital LLC, Mizuho Bank, Ltd., MUFG Bank, Ltd., PNC Bank, National Association, Regions Bank, Royal Bank of Canada, Sumitomo Mitsui Banking Corporation, The Toronto-Dominion Bank, New York Branch, Truist Bank and U.S. Bank National Association, are acting in the capacity as co-documentation agents.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Canadian Dollars, the equivalent amount thereof in Dollars as reasonably determined by the Administrative Agent or the applicable L/C Issuer, as the case may be, in accordance with normal banking industry practice using the Spot Rate (determined in respect of the most recent Revaluation Date) for the purchase of Dollars with Canadian Dollars.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organized under the Laws of the United States, a State thereof or the District of Columbia.</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determination by the Administrative Agent, or a notification by the Company to the Administrative Agent that the Company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Company to replace LIBOR with a Benchmark Replacement and the provision by the Administrative Agent of written notice of such election to the Lenders.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206"/>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clauses</w:t>
      </w:r>
    </w:p>
    <w:p>
      <w:pPr>
        <w:spacing w:after="0" w:line="20" w:lineRule="exact"/>
        <w:rPr>
          <w:rFonts w:ascii="Arial" w:cs="Arial" w:eastAsia="Arial" w:hAnsi="Arial"/>
          <w:sz w:val="17"/>
          <w:szCs w:val="17"/>
          <w:u w:val="single" w:color="auto"/>
          <w:color w:val="auto"/>
        </w:rPr>
      </w:pPr>
    </w:p>
    <w:p>
      <w:pPr>
        <w:ind w:left="260" w:hanging="252"/>
        <w:spacing w:after="0"/>
        <w:tabs>
          <w:tab w:leader="none" w:pos="260" w:val="left"/>
        </w:tabs>
        <w:numPr>
          <w:ilvl w:val="0"/>
          <w:numId w:val="20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0" w:name="page211"/>
    <w:bookmarkEnd w:id="210"/>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Inventory</w:t>
      </w:r>
      <w:r>
        <w:rPr>
          <w:rFonts w:ascii="Arial" w:cs="Arial" w:eastAsia="Arial" w:hAnsi="Arial"/>
          <w:sz w:val="17"/>
          <w:szCs w:val="17"/>
          <w:color w:val="auto"/>
        </w:rPr>
        <w:t>” means inventories of Petroleum Products (specifically excluding, however, tank bottoms and pipeline linefill of any Borrower) (i) in which any Borrower has good and defensible title, (ii) which are not subject to any Lien in favor of any Person (other than Permitted Inventory Liens), and (iii) which are subject to a fully perfected first priority security interest (subject only to Permitted Inventory Liens) in favor of Administrative Agent pursuant to the Loan Documents prior to the rights of, and enforceable as such against, any other Person.</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interpretations, orders, decrees, permits, concessions, grants, franchises, licenses, agreements or governmental restrictions relating to pollution and the protection of the environment and natural resources and, as such relates to exposure to Hazardous Materials, human and health and safety, or the release of any materials into the environment, including those related to hazardous substances or wastes, air emissions and discharges to waste or public systems.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left="1120" w:hanging="464"/>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Rate Loan:</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174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the case of Eurocurrency Rate Loan denominated in Dollars,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Reuters Screen page (or such other commercially available source providing quotations of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 if the Eurocurrency Rate shall be less than zero, such rate shall be deemed zero for purposes of this Agreement; and</w:t>
      </w:r>
    </w:p>
    <w:p>
      <w:pPr>
        <w:spacing w:after="0" w:line="192" w:lineRule="exact"/>
        <w:rPr>
          <w:rFonts w:ascii="Arial" w:cs="Arial" w:eastAsia="Arial" w:hAnsi="Arial"/>
          <w:sz w:val="18"/>
          <w:szCs w:val="18"/>
          <w:color w:val="auto"/>
        </w:rPr>
      </w:pPr>
    </w:p>
    <w:p>
      <w:pPr>
        <w:ind w:left="660" w:firstLine="644"/>
        <w:spacing w:after="0" w:line="277" w:lineRule="auto"/>
        <w:tabs>
          <w:tab w:leader="none" w:pos="17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the case of a Eurocurrency Rate Loan denominated in Canadian Dollars, at a rate per annum equal to CDOR for a Canadian BA in such amount with a term equivalent to such Interest Period for such Loan;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2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any interest calculation with respect to (i) a Base Rate Loan or a Swing Line Loan based on the Eurocurrency Rate denominated in Dollars, on any date, the rate per annum equal to LIBOR, at approximately 11:00 a.m., London time determined two London Banking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Committed Loan</w:t>
      </w:r>
      <w:r>
        <w:rPr>
          <w:rFonts w:ascii="Arial" w:cs="Arial" w:eastAsia="Arial" w:hAnsi="Arial"/>
          <w:sz w:val="18"/>
          <w:szCs w:val="18"/>
          <w:color w:val="auto"/>
        </w:rPr>
        <w:t>” means a Committed Loan that bears interest at a rate based on clause (a) of the definition of “Eurocurrency Rate.” Eurocurrency Rate Loans may be denominated in Dollars or in Canadian Dollars.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(i) a Eurocurrency Rate Committed Loan or (ii) a Swing Line Loan that bears interest at a rate based on the Eurocurrency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81" w:lineRule="auto"/>
        <w:tabs>
          <w:tab w:leader="none" w:pos="22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and Canadian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withholding Taxes imposed pursuant to FATCA.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letters of credit issued and outstanding under the Existing Credit Agreement as of the Closing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each of the letter agreements among the Company and the Administrative Agent and/or the Arrangers and executed in relation to this Agreement and the transactions contemplated thereby.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Hedged Eligible Inventory</w:t>
      </w:r>
      <w:r>
        <w:rPr>
          <w:rFonts w:ascii="Arial" w:cs="Arial" w:eastAsia="Arial" w:hAnsi="Arial"/>
          <w:sz w:val="18"/>
          <w:szCs w:val="18"/>
          <w:color w:val="auto"/>
        </w:rPr>
        <w:t>” means all Hedged Eligible Inventory (i) the Cash and Carry Purchase of which is to be or has been secured by Letters of Credit issued hereunder, and/or (ii) the purchase of which pursuant to Cash and Carry Purchases, or the storage thereof at Approved Locations, has been financed pursuant to Loans or Canadian BA’s hereunder.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Purchase Crude Payables</w:t>
      </w:r>
      <w:r>
        <w:rPr>
          <w:rFonts w:ascii="Arial" w:cs="Arial" w:eastAsia="Arial" w:hAnsi="Arial"/>
          <w:sz w:val="17"/>
          <w:szCs w:val="17"/>
          <w:color w:val="auto"/>
        </w:rPr>
        <w:t>” means the unpaid amount of any payable obligation related to the purchase of Petroleum Products by any Borrower secured by a valid statutory Lien, including but not limited to valid statutory Liens, if any, created under the laws of Texas, New Mexico, Wyoming, Kansas, Oklahoma or any other state to the extent such payable obligation is not at the time in question covered by a Letter of Credit.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resident for tax purposes (including such a Lender when acting in the capacity of an L/C Issuer). For purposes of this definition, (a) the United States, each State thereof and the District of Columbia shall constitute a single jurisdiction and (b) Canada and each Province thereof shall constitute a single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which are recognized as such by the Financial Accounting Standards Board (or any generally recognized successor) and which, in the case of the Company and its Subsidiaries on a consolidated basis, are applied for all periods after the date hereof in a manner consistent with the manner in which such principles and practices were applied to the Audited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Plains GP LLC, a Texas limited liability company, in its capacity as the general partner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Hedged Eligible Inventory</w:t>
      </w:r>
      <w:r>
        <w:rPr>
          <w:rFonts w:ascii="Arial" w:cs="Arial" w:eastAsia="Arial" w:hAnsi="Arial"/>
          <w:sz w:val="16"/>
          <w:szCs w:val="16"/>
          <w:color w:val="auto"/>
        </w:rPr>
        <w:t>” means Petroleum Products (excluding all Permian Excluded Inventory and Commodity Intermediary Subject Inventory) purchased or stored, or scheduled to be purchased or stored in the following month, by any Borrower, which have been hedged by either (i) a NYMEX contract or an Intercontinental Exchange contract which constitutes a Swap Contract, which Swap Contract is pursuant to a segregated account subject to a Tri-Party Agreement and not subject to any setoff, counterclaim or netting, or (ii) an over-the-counter contract or contract for physical delivery, and which Petroleum Products, in either such case, upon such purchase or storage by such Borrower, shall qualify as Eligible Inventory.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Hedged Value</w:t>
      </w:r>
      <w:r>
        <w:rPr>
          <w:rFonts w:ascii="Arial" w:cs="Arial" w:eastAsia="Arial" w:hAnsi="Arial"/>
          <w:sz w:val="18"/>
          <w:szCs w:val="18"/>
          <w:color w:val="auto"/>
        </w:rPr>
        <w:t xml:space="preserve">” means, as to Hedged Eligible Inventory and such corresponding Swap Contracts with respect thereto, an amount equal to the volume of such Hedged Eligible Inventory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prices fixed in such corresponding Swap Contract,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all related storage, transportation and other applicable costs of such Hedged Eligible Inventory, as set forth therein and (ii) the amount secured by any Broker Liens, other than Broker Liens on margin deposits with respect to such corresponding Swap Contracts.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Hybrid Securities</w:t>
      </w:r>
      <w:r>
        <w:rPr>
          <w:rFonts w:ascii="Arial" w:cs="Arial" w:eastAsia="Arial" w:hAnsi="Arial"/>
          <w:sz w:val="16"/>
          <w:szCs w:val="16"/>
          <w:color w:val="auto"/>
        </w:rPr>
        <w:t>” means any trust preferred securities, or deferrable interest subordinated debt with a maturity of at least 20 years (and not less than one year after the Maturity Date), which provides for the optional or mandatory deferral of interest or distributions, issued by any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such Borrower or any of its Subsidiaries, (b) that have been formed for the purpose of issuing trust preferred securities or deferrable interest subordinated debt, and</w:t>
      </w:r>
    </w:p>
    <w:p>
      <w:pPr>
        <w:spacing w:after="0" w:line="2" w:lineRule="exact"/>
        <w:rPr>
          <w:sz w:val="20"/>
          <w:szCs w:val="20"/>
          <w:color w:val="auto"/>
        </w:rPr>
      </w:pPr>
    </w:p>
    <w:p>
      <w:pPr>
        <w:ind w:right="20" w:firstLine="8"/>
        <w:spacing w:after="0" w:line="260" w:lineRule="auto"/>
        <w:tabs>
          <w:tab w:leader="none" w:pos="2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substantially all the assets of which consist of (i) subordinated debt of such Borrower or another Subsidiary and (ii) payments made from time to time on the subordinated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as amended, including the regulations made and, from time to time, in force under that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120" w:hanging="464"/>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225" w:lineRule="exact"/>
        <w:rPr>
          <w:rFonts w:ascii="Arial" w:cs="Arial" w:eastAsia="Arial" w:hAnsi="Arial"/>
          <w:sz w:val="18"/>
          <w:szCs w:val="18"/>
          <w:color w:val="auto"/>
        </w:rPr>
      </w:pPr>
    </w:p>
    <w:p>
      <w:pPr>
        <w:ind w:firstLine="656"/>
        <w:spacing w:after="0" w:line="342" w:lineRule="auto"/>
        <w:tabs>
          <w:tab w:leader="none" w:pos="112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23" w:lineRule="exact"/>
        <w:rPr>
          <w:rFonts w:ascii="Arial" w:cs="Arial" w:eastAsia="Arial" w:hAnsi="Arial"/>
          <w:sz w:val="16"/>
          <w:szCs w:val="16"/>
          <w:color w:val="auto"/>
        </w:rPr>
      </w:pPr>
    </w:p>
    <w:p>
      <w:pPr>
        <w:ind w:right="20" w:firstLine="656"/>
        <w:spacing w:after="0" w:line="277" w:lineRule="auto"/>
        <w:tabs>
          <w:tab w:leader="none" w:pos="111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 other than surety, bid, performance, statutory and other similar bonds and instruments obtained in the ordinary course of business,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225" w:lineRule="exact"/>
        <w:rPr>
          <w:rFonts w:ascii="Arial" w:cs="Arial" w:eastAsia="Arial" w:hAnsi="Arial"/>
          <w:sz w:val="18"/>
          <w:szCs w:val="18"/>
          <w:color w:val="auto"/>
        </w:rPr>
      </w:pPr>
    </w:p>
    <w:p>
      <w:pPr>
        <w:ind w:firstLine="656"/>
        <w:spacing w:after="0" w:line="277" w:lineRule="auto"/>
        <w:tabs>
          <w:tab w:leader="none" w:pos="111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Synthetic Lease Obligations,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Act (Canada)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Interest Act</w:t>
      </w:r>
      <w:r>
        <w:rPr>
          <w:rFonts w:ascii="Arial" w:cs="Arial" w:eastAsia="Arial" w:hAnsi="Arial"/>
          <w:sz w:val="16"/>
          <w:szCs w:val="16"/>
          <w:color w:val="auto"/>
        </w:rPr>
        <w:t>, R.S.C. 1985, c. I-15, including the regulations made and, from time to time, in force under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or a Canadian Prime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or Canadian Prime Rate Loan (including a Swing Line Loan), the last Business Day of each March, June, September and December and the Maturity Date.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Eurocurrency Rate Loan, the period commencing on the date of such Borrowing or the date such Eurocurrency Rate Loan is converted to or continued as a Eurocurrency Rate Loan and (x) with respect to a Eurocurrency Rate Loan denominated in Dollars, ending on the date one month, three months or six months thereafter, or (y) with respect to a Eurocurrency Rate Loan denominated in Canadian Dollars, ending on the date one month, two months or three months thereafter, in each case, as selected by the Company in its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7" w:lineRule="exact"/>
        <w:rPr>
          <w:sz w:val="20"/>
          <w:szCs w:val="20"/>
          <w:color w:val="auto"/>
        </w:rPr>
      </w:pPr>
    </w:p>
    <w:p>
      <w:pPr>
        <w:jc w:val="both"/>
        <w:ind w:left="660" w:firstLine="644"/>
        <w:spacing w:after="0" w:line="263" w:lineRule="auto"/>
        <w:tabs>
          <w:tab w:leader="none" w:pos="174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 of issuance).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L/C Issuer and the applicable Borrower (or any Subsidiary) or in favor of such L/C Issuer and relating to such Letter of Credit.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Borrowing</w:t>
      </w:r>
      <w:r>
        <w:rPr>
          <w:rFonts w:ascii="Arial" w:cs="Arial" w:eastAsia="Arial" w:hAnsi="Arial"/>
          <w:sz w:val="16"/>
          <w:szCs w:val="16"/>
          <w:color w:val="auto"/>
        </w:rPr>
        <w:t xml:space="preserve">” means an extension of credit resulting from a drawing under any Letter of Credit which has not been reimbursed on the date as required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or refinanced as a Committed Borrowing. Unless otherwise agreed by the applicable Borrower and the applicable L/C Issuer, all L/C Borrowings shall be denominated in the currency of the Letter of Credit that was drawn upon that resulted in such L/C Borrowing.</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if an L/C Issuer has entered into an Assignment and Assumption or has otherwise assumed an L/C Commitment after the Closing Date, the amount set forth for such L/C Issuer as its L/C Commitment in the Register maintained by the Administrative Agent. The Letter of Credit Commitment of an L/C Issuer may be modified from time to time by agreement between such L/C Issuer and the Borrowers, and notified to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L/C Issuer pursuant to a Letter of Credit.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each of (i) Bank of America, Citibank, N.A., JPMorgan Chase Bank, N.A. and Wells Fargo Bank, National Association, in its capacity as issuer of Letters of Credit hereunder, or any successor issuer of Letters of Credit hereunder and (ii) any other Lender appointed as a replacement or additional “L/C Issuer” pursuant to the immediately succeeding sentence. From time to time, the Administrative Agent may, with the consent of the Company and the Lender in question, or the Company may, with the consent of the Lender in question and notice to the Administrative Agent, appoint such Lender hereunder as an L/C Issuer in place of any L/C Issuer, or in addition to the L/C Issuers as of such time. Any L/C Issuer may, in its discretion, arrange for one or more Letters of Credit to be issued by Affiliates of such L/C Issuer, in which case the term “L/C Issuer” shall include any such Affiliate with respect to Letters of Credit issued by such Affiliate. Each reference herein to the “L/C Issuer” in connection with a Letter of Credit or other matter shall be deemed to be a reference to the relevant L/C Issuer with respect thereto.</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at any time, the sum of (a) the aggregate undrawn amount of all outstanding Letters of Credit at such time, plus (b) the aggregate amount of all Unreimbursed Amounts, including (without duplication) all L/C Borrowings. The L/C Obligations of any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prior to such expiration been presented but not yet honored, such Letter of Credit shall be deemed to be “outstanding” and “undrawn” in the amount so remaining available to be paid, and the obligations of the Borrower requesting such Letter of Credit and each Lender shall remain in full force and effect until the applicable L/C Issuer shall have no further obligation to make any payments or disbursements under any circumstances with respect to such Letter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and “</w:t>
      </w:r>
      <w:r>
        <w:rPr>
          <w:rFonts w:ascii="Arial" w:cs="Arial" w:eastAsia="Arial" w:hAnsi="Arial"/>
          <w:sz w:val="17"/>
          <w:szCs w:val="17"/>
          <w:u w:val="single" w:color="auto"/>
          <w:color w:val="auto"/>
        </w:rPr>
        <w:t>Lender Recipient Parties</w:t>
      </w:r>
      <w:r>
        <w:rPr>
          <w:rFonts w:ascii="Arial" w:cs="Arial" w:eastAsia="Arial" w:hAnsi="Arial"/>
          <w:sz w:val="17"/>
          <w:szCs w:val="17"/>
          <w:color w:val="auto"/>
        </w:rPr>
        <w:t>” means, collectively, the Administrative Agent, the L/C Issuers, the Swing Line Lender and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in accordance with the terms hereof,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hereunder at the request of any Borrower providing for the payment of cash upon the honoring of a drawing thereunder and shall include the Existing Letters of Credit. A Letter of Credit may be a commercial letter of credit or a standby letter of credit;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commercial letter of credit issued hereunder shall provide solely for cash payment upon presentation of a sight draft,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agreed to by the L/C Issuer issuing such letter of credit.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Report</w:t>
      </w:r>
      <w:r>
        <w:rPr>
          <w:rFonts w:ascii="Arial" w:cs="Arial" w:eastAsia="Arial" w:hAnsi="Arial"/>
          <w:sz w:val="17"/>
          <w:szCs w:val="17"/>
          <w:color w:val="auto"/>
        </w:rPr>
        <w:t xml:space="preserve">” means a certificate substantially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or any other form approved by the Administrative Agent.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$400,000,000. The Letter of Credit Sublimit is part of, and not in addition to, the Aggregate Commitments.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 or a Swing Line Loan.</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each Canadian BA, each Collateral Document,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Fee Letters and any guaranty of the Obligations delivered in connection 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(i) the Company, (ii) PMCULC and (iii) PAA.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specified in the definition of “Swap Contract”.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properties or financial condition of the Company and its Subsidiaries taken as a whole; (b) a material adverse effect on the ability of any Loan Party to pay its obligations under any Loan Document to which it is a party; or (c) a material adverse effect on the enforceability against any Loan Party of any material terms of any Loan Document to which it is a party.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the later of (a) such date that is three years from the Closing Date and (b) if the Maturity Date then in effect is extended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such extended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date does not satisfy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“Business Day,” the Maturity Date shall be the next preceding Business Day; provided, that such local time shall be no earlier than 12:00 noon, Eastern time.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an amount equal to 102% of the Fronting Exposure of all L/C Issuers with respect to Letters of Credit issued and outstanding at such time and (ii) otherwise, an amount determined by the Administrative Agent and the L/C Issuers in their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any successor to the ratings agency business thereof.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 Plan which has two or more contributing sponsors (including the Company or any ERISA Affiliate) at least two of whom are not under common control at such times and meeting the requirements of such a plan as described in Section 4064 of ERISA.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means any Lender that does not approve any consent, waiver or amendment that (a) requires the approval of all Lenders or all affected Lenders in accordance with the terms of Section 11.01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Committed Loan Notes and the Swing Line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Additional L/C Issuer</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any other form approved by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NYMEX</w:t>
      </w:r>
      <w:r>
        <w:rPr>
          <w:rFonts w:ascii="Arial" w:cs="Arial" w:eastAsia="Arial" w:hAnsi="Arial"/>
          <w:sz w:val="18"/>
          <w:szCs w:val="18"/>
          <w:color w:val="auto"/>
        </w:rPr>
        <w:t>” means the New York Mercantile Exchange.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Canadian BA, whether direct or indirect (including those acquired by assumption), absolute or contingent, due or to become due, now existing or hereafter arising and including interest and fees that accrue after the commencement by or against any Loan Party or any of its Affiliates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accounted for as an operating lease under the provisions of GAAP in effect as of December 31, 2015.</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means the Administrative Agent and the Company have elected to replace LIBOR with a Benchmark Replacement other than a SOFR-based rate pursuant to (1) an Early Opt-in Election and (2) Section </w:t>
      </w:r>
      <w:r>
        <w:rPr>
          <w:rFonts w:ascii="Arial" w:cs="Arial" w:eastAsia="Arial" w:hAnsi="Arial"/>
          <w:sz w:val="18"/>
          <w:szCs w:val="18"/>
          <w:u w:val="single" w:color="auto"/>
          <w:color w:val="auto"/>
        </w:rPr>
        <w:t>3.03(c)(ii)</w:t>
      </w:r>
      <w:r>
        <w:rPr>
          <w:rFonts w:ascii="Arial" w:cs="Arial" w:eastAsia="Arial" w:hAnsi="Arial"/>
          <w:sz w:val="18"/>
          <w:szCs w:val="18"/>
          <w:color w:val="auto"/>
        </w:rPr>
        <w:t xml:space="preserve"> and paragraph (2) of the definition of “Benchmark Replacement”.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(ii) with respect to any L/C Obligations on any date, the Dollar Equivalent amount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and (iii) with respect to any Canadian BA on any date, the Dollar Equivalent amount of the unpaid portion of the face amount thereof on such date.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relevant banking industry rules on interbank compensation for major banks in the United States interbank market, and (b) with respect to any amount denominated in Canadian Dollars, the rate of interest per annum at which overnight deposits in Canadian Dollars,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Consolidated Leverage Ratio</w:t>
      </w:r>
      <w:r>
        <w:rPr>
          <w:rFonts w:ascii="Arial" w:cs="Arial" w:eastAsia="Arial" w:hAnsi="Arial"/>
          <w:sz w:val="18"/>
          <w:szCs w:val="18"/>
          <w:color w:val="auto"/>
        </w:rPr>
        <w:t>” means the “Consolidated Leverage Ratio” as defined in the PAA Credit Agreement.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PAA Credit Agreement</w:t>
      </w:r>
      <w:r>
        <w:rPr>
          <w:rFonts w:ascii="Arial" w:cs="Arial" w:eastAsia="Arial" w:hAnsi="Arial"/>
          <w:sz w:val="17"/>
          <w:szCs w:val="17"/>
          <w:color w:val="auto"/>
        </w:rPr>
        <w:t>” means that certain Credit Agreement of even date herewith among PAA, PMCULC, other Subsidiaries of PAA from time to time party thereto, Bank of America, N.A., as administrative agent, and the lenders named therein, as amended from time to time.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PAA 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PAA Guaranty</w:t>
      </w:r>
      <w:r>
        <w:rPr>
          <w:rFonts w:ascii="Arial" w:cs="Arial" w:eastAsia="Arial" w:hAnsi="Arial"/>
          <w:sz w:val="16"/>
          <w:szCs w:val="16"/>
          <w:color w:val="auto"/>
        </w:rPr>
        <w:t xml:space="preserve">” means the Guaranty of the payment Obligations of each of the Borrowers made by PAA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favor of the Lender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11.06(d)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funding standards with respect to Pension Plans and set forth in Sections 412, 430, 431, 432 and 436 of the Code and Sections 302, 303, 304 and 305 of ERISA.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Permian Excluded Inventory</w:t>
      </w:r>
      <w:r>
        <w:rPr>
          <w:rFonts w:ascii="Arial" w:cs="Arial" w:eastAsia="Arial" w:hAnsi="Arial"/>
          <w:sz w:val="17"/>
          <w:szCs w:val="17"/>
          <w:color w:val="auto"/>
        </w:rPr>
        <w:t>” means any portion of the Company’s Petroleum Products inventory that is sold or is obligated to be sold to Permian JV pursuant to the Permian JV Inventory Transactions; provided, upon (i) the repurchase of any such Petroleum Product Inventory by the Company pursuant thereto and (ii) either (A) payment by the Company of the purchase price therefor pursuant thereto or (B) pursuant to the Buy/Sell</w:t>
      </w:r>
    </w:p>
    <w:p>
      <w:pPr>
        <w:jc w:val="both"/>
        <w:spacing w:after="0" w:line="209" w:lineRule="auto"/>
        <w:rPr>
          <w:sz w:val="20"/>
          <w:szCs w:val="20"/>
          <w:color w:val="auto"/>
        </w:rPr>
      </w:pPr>
      <w:r>
        <w:rPr>
          <w:rFonts w:ascii="Arial" w:cs="Arial" w:eastAsia="Arial" w:hAnsi="Arial"/>
          <w:sz w:val="18"/>
          <w:szCs w:val="18"/>
          <w:color w:val="auto"/>
        </w:rPr>
        <w:t>Contract (as defined in the by the Permian JV Merger Agreement), settlement therefor shall be contractually obligated to occur by not later than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following month, such Petroleum Products Inventory shall cease to be Permian Excluded Inventory.</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w:t>
      </w:r>
      <w:r>
        <w:rPr>
          <w:rFonts w:ascii="Arial" w:cs="Arial" w:eastAsia="Arial" w:hAnsi="Arial"/>
          <w:sz w:val="18"/>
          <w:szCs w:val="18"/>
          <w:color w:val="auto"/>
        </w:rPr>
        <w:t>” means Plains Oryx Permian Basin LLC, a Delaware limited liability company, in which PAA is to indirectly own, as of the date of the closing of the Permian JV Merger Agreement, a 65% Equity Interest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Permian JV Inventory Transactions</w:t>
      </w:r>
      <w:r>
        <w:rPr>
          <w:rFonts w:ascii="Arial" w:cs="Arial" w:eastAsia="Arial" w:hAnsi="Arial"/>
          <w:sz w:val="16"/>
          <w:szCs w:val="16"/>
          <w:color w:val="auto"/>
        </w:rPr>
        <w:t>” means transactions pursuant to the Permian JV Transaction Documents described in clauses (v), (vi) and</w:t>
      </w:r>
    </w:p>
    <w:p>
      <w:pPr>
        <w:spacing w:after="0" w:line="46" w:lineRule="exact"/>
        <w:rPr>
          <w:sz w:val="20"/>
          <w:szCs w:val="20"/>
          <w:color w:val="auto"/>
        </w:rPr>
      </w:pPr>
    </w:p>
    <w:p>
      <w:pPr>
        <w:ind w:left="360" w:hanging="352"/>
        <w:spacing w:after="0"/>
        <w:tabs>
          <w:tab w:leader="none" w:pos="3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of the definition thereof pursuant to which (i) the Company sells or is obligated to sell any portion of its Petroleum Products inventory to Permian JV,</w:t>
      </w:r>
    </w:p>
    <w:p>
      <w:pPr>
        <w:spacing w:after="0" w:line="32" w:lineRule="exact"/>
        <w:rPr>
          <w:rFonts w:ascii="Arial" w:cs="Arial" w:eastAsia="Arial" w:hAnsi="Arial"/>
          <w:sz w:val="16"/>
          <w:szCs w:val="16"/>
          <w:color w:val="auto"/>
        </w:rPr>
      </w:pPr>
    </w:p>
    <w:p>
      <w:pPr>
        <w:ind w:firstLine="8"/>
        <w:spacing w:after="0" w:line="290" w:lineRule="auto"/>
        <w:tabs>
          <w:tab w:leader="none" w:pos="29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Permian JV transports such Petroleum Products inventory to a Plains Terminal delivery point and (iii) upon delivery of such Petroleum Products inventory by Permian JV to such Plains Terminal delivery point, the Company repurchases such Petroleum Products inventory from Permian JV.</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Merger Agreement</w:t>
      </w:r>
      <w:r>
        <w:rPr>
          <w:rFonts w:ascii="Arial" w:cs="Arial" w:eastAsia="Arial" w:hAnsi="Arial"/>
          <w:sz w:val="18"/>
          <w:szCs w:val="18"/>
          <w:color w:val="auto"/>
        </w:rPr>
        <w:t>” means that certain Agreement and Plan of Merger dated as of July 12, 2021 by and among Plains Pipeline, the Company, Oryx Midstream Holdings LLC and certain affiliates, Permian JV, POPB Marketing and POPB Pipeline, together with all exhibits and schedules attached thereto, attached to PAA’s Form 8-K filed with the SEC on July 13,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Permian JV Transaction Documents</w:t>
      </w:r>
      <w:r>
        <w:rPr>
          <w:rFonts w:ascii="Arial" w:cs="Arial" w:eastAsia="Arial" w:hAnsi="Arial"/>
          <w:sz w:val="18"/>
          <w:szCs w:val="18"/>
          <w:color w:val="auto"/>
        </w:rPr>
        <w:t>” means:</w:t>
      </w:r>
    </w:p>
    <w:p>
      <w:pPr>
        <w:spacing w:after="0" w:line="225" w:lineRule="exact"/>
        <w:rPr>
          <w:sz w:val="20"/>
          <w:szCs w:val="20"/>
          <w:color w:val="auto"/>
        </w:rPr>
      </w:pPr>
    </w:p>
    <w:p>
      <w:pPr>
        <w:ind w:left="1740" w:hanging="436"/>
        <w:spacing w:after="0"/>
        <w:tabs>
          <w:tab w:leader="none" w:pos="1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Permian JV Merger Agreement;</w:t>
      </w:r>
    </w:p>
    <w:p>
      <w:pPr>
        <w:spacing w:after="0" w:line="225" w:lineRule="exact"/>
        <w:rPr>
          <w:rFonts w:ascii="Arial" w:cs="Arial" w:eastAsia="Arial" w:hAnsi="Arial"/>
          <w:sz w:val="18"/>
          <w:szCs w:val="18"/>
          <w:color w:val="auto"/>
        </w:rPr>
      </w:pPr>
    </w:p>
    <w:p>
      <w:pPr>
        <w:ind w:left="660" w:firstLine="644"/>
        <w:spacing w:after="0" w:line="342" w:lineRule="auto"/>
        <w:tabs>
          <w:tab w:leader="none" w:pos="177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“Divisive Merger Agreements”, the “Oryx Holdings Contribution Agreement”, the “Marketing Certificate of Merger”, the “Marketing Conversion Certificates” and the “Pipeline Conversion Certificates”, as such terms are defined in the Permian JV Merger Agreement;</w:t>
      </w:r>
    </w:p>
    <w:p>
      <w:pPr>
        <w:spacing w:after="0" w:line="123" w:lineRule="exact"/>
        <w:rPr>
          <w:rFonts w:ascii="Arial" w:cs="Arial" w:eastAsia="Arial" w:hAnsi="Arial"/>
          <w:sz w:val="16"/>
          <w:szCs w:val="16"/>
          <w:color w:val="auto"/>
        </w:rPr>
      </w:pPr>
    </w:p>
    <w:p>
      <w:pPr>
        <w:ind w:left="1800" w:hanging="496"/>
        <w:spacing w:after="0"/>
        <w:tabs>
          <w:tab w:leader="none" w:pos="18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“Middle Cadence Contribution Agreement”, as such term is defined in the Permian JV Merger Agreement;</w:t>
      </w:r>
    </w:p>
    <w:p>
      <w:pPr>
        <w:spacing w:after="0" w:line="225"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Amended and Restated Limited Liability Company Agreement of Permian JV, substantially in the form of Exhibit C-2 to the Permian JV Merger Agreement;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“Employee Matters Agreement”, the “Operating Agreement”, the “Marketing Services Agreement”, the “Buy/Sell Contract”, the “McCamey Capacity Lease”, the “Basin Capacity Lease”, the “Storage and Contango Agreement”, the “First Purchase Contract Assignment” and the “Secondment Agreement”, as such terms are defined in the Permian JV Merger Agreement;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“OMOG Services Agreement Assignment” and the “OMOG Services Agreement”, as such terms are defined in the Permian JV Merger Agreement;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capacity leases by and between POPB Marketing and POPB Pipeline for the BHT System, Iatan Gathering System, Porterville Pipeline and Scurry Pipeline,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other documents required to carry out the intention and purpose of the Permian JV Merger Agreement, including any connection agreements and shared facility use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as amended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Inventory Liens</w:t>
      </w:r>
      <w:r>
        <w:rPr>
          <w:rFonts w:ascii="Arial" w:cs="Arial" w:eastAsia="Arial" w:hAnsi="Arial"/>
          <w:sz w:val="18"/>
          <w:szCs w:val="18"/>
          <w:color w:val="auto"/>
        </w:rPr>
        <w:t>” means (i) any Lien, and the amount of any liability secured thereby, on Petroleum Products inventory imposed by any governmental authority for taxes, assessments or charges not yet due or the validity of which is being contested in good faith and by appropriate proceedings, if necessary, for which adequate reserves are maintained on the books of the applicable Borrower in accordance with GAAP or other applicable accounting principles and standards, as applicable (so long as such Lien is inchoate) or (ii) carriers’, warehousemen’s, mechanics’, materialmen’s, repairmen’s, landlord’s, or other like Liens (including, without limitation, Liens on property of any Borrower in the possession of storage facilities, pipelines or barges) arising in the ordinary course of business for amounts which are not more than 60 days past due or the validity of which is being contested in good faith and by appropriate proceedings, if necessary, and for which adequate reserves are maintained on the books of Borrower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Pipeline</w:t>
      </w:r>
      <w:r>
        <w:rPr>
          <w:rFonts w:ascii="Arial" w:cs="Arial" w:eastAsia="Arial" w:hAnsi="Arial"/>
          <w:sz w:val="18"/>
          <w:szCs w:val="18"/>
          <w:color w:val="auto"/>
        </w:rPr>
        <w:t>” means Plains Pipeline, L.P., a Texas limited partnership.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Plains Terminal</w:t>
      </w:r>
      <w:r>
        <w:rPr>
          <w:rFonts w:ascii="Arial" w:cs="Arial" w:eastAsia="Arial" w:hAnsi="Arial"/>
          <w:sz w:val="18"/>
          <w:szCs w:val="18"/>
          <w:color w:val="auto"/>
        </w:rPr>
        <w:t>” means any storage terminal, tankage or facility owned by (i) any Borrower or PAA, or (ii) by any Affiliate of the Company or PAA that has executed and delivered a bailee letter in form and substance reasonably acceptable to Administrative Agent with respect to any Collateral stored at such terminal, tankage or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PMCULC</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Marketing</w:t>
      </w:r>
      <w:r>
        <w:rPr>
          <w:rFonts w:ascii="Arial" w:cs="Arial" w:eastAsia="Arial" w:hAnsi="Arial"/>
          <w:sz w:val="16"/>
          <w:szCs w:val="16"/>
          <w:color w:val="auto"/>
        </w:rPr>
        <w:t>” means Plains Oryx Permian Basin Marketing LLC, a Texas limited liability company, a wholly-owned Subsidiary of Permian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POPB Pipeline</w:t>
      </w:r>
      <w:r>
        <w:rPr>
          <w:rFonts w:ascii="Arial" w:cs="Arial" w:eastAsia="Arial" w:hAnsi="Arial"/>
          <w:sz w:val="16"/>
          <w:szCs w:val="16"/>
          <w:color w:val="auto"/>
        </w:rPr>
        <w:t>” means Plains Oryx Permian Basin Pipeline LLC, a Texas limited liability company, a wholly-owned Subsidiary of Permian JV.</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(including Canadian BA’s), conversion or continuation of Committed Loans, a Committed Loan Notice, (b) with respect to an L/C Credit Extension, a Letter of Credit Application, and (c) with respect to a Swing Line Loan, a Swing Line Loan Notice.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the L/C Issuers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Total Outstandings held or deemed held by, any Defaulting Lender shall be excluded for purposes of making a determination of Required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as defined in </w:t>
      </w:r>
      <w:r>
        <w:rPr>
          <w:rFonts w:ascii="Arial" w:cs="Arial" w:eastAsia="Arial" w:hAnsi="Arial"/>
          <w:sz w:val="18"/>
          <w:szCs w:val="18"/>
          <w:u w:val="single" w:color="auto"/>
          <w:color w:val="auto"/>
        </w:rPr>
        <w:t>Section 2.12(b)(ii)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vice president, chief financial officer, treasurer, assistant treasurer or controller of a Loan Party,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the secretary or any assistant secretary of such Loan Party, or any general partner thereof or any general partner of any such general partner or any sole member thereof, as the case may be,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such Loan Party,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a Loan Party, or any general partner thereof or any general partner of any such general partner or any sole member thereof, as the case may be, shall be conclusively presumed to have been authorized by all necessary corporate, partnership or other equivalent action on the part of such Loan Party, and such Responsible Officer shall be conclusively presumed to have acted on behalf of such Loan Party 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or other property, but excluding dividends or other distributions payable in Equity Interests in any Borrower) with respect to any Equity Interest of any Borrower, or any payment (whether in cash or other property, but excluding dividends or other distributions payable in Equity Interests in any Borrower), including any sinking fund or similar deposit, on account of the purchase, redemption, retirement, acquisition, cancellation or termination for value of any Equity Interest of any Borrower, or on account of any return of capital to holders of any Equity Interests of any Borrower.</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Exception</w:t>
      </w:r>
      <w:r>
        <w:rPr>
          <w:rFonts w:ascii="Arial" w:cs="Arial" w:eastAsia="Arial" w:hAnsi="Arial"/>
          <w:sz w:val="16"/>
          <w:szCs w:val="16"/>
          <w:color w:val="auto"/>
        </w:rPr>
        <w:t xml:space="preserve">” means (a) any Applicable Law or any instrument governing Indebtedness or Equity Interests, or any Applicable Law or any other agreement relating to any property, assets or operations of a Person whose Equity Interests are acquired, in whole or part, by any Borrower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such Borrower, or the property, assets or operations of such Borrower, other than the acquired Person, or the property, assets or operations of such acquired Person or such acquired Person’s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any Borrower, which restricts the transfer of the property subject to such mortgages, deeds of trust, pledges or other security instruments, or (iii) customary provisions restricting disposition of, or encumbrances on, real property interests set forth in any reciprocal easements of any Borrower, (d) restrictions imposed pursuant to (i) this Agreement and the other Loan Documents, (ii) the PAA Credit Agreement, or</w:t>
      </w:r>
    </w:p>
    <w:p>
      <w:pPr>
        <w:spacing w:after="0" w:line="2" w:lineRule="exact"/>
        <w:rPr>
          <w:sz w:val="20"/>
          <w:szCs w:val="20"/>
          <w:color w:val="auto"/>
        </w:rPr>
      </w:pPr>
    </w:p>
    <w:p>
      <w:pPr>
        <w:jc w:val="both"/>
        <w:ind w:firstLine="8"/>
        <w:spacing w:after="0" w:line="267" w:lineRule="auto"/>
        <w:tabs>
          <w:tab w:leader="none" w:pos="32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the Permian JV Transaction Documents as in effect as of the Closing Date, (e) restrictions on the transfer or encumbrance of property or assets which are imposed by the holder of Liens on property or assets of any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is consummated in compliance with any applicable provisions of this Agreement, (g) net worth provisions in leases and other agreements entered into by any Borrower in the ordinary course of business, (h) an agreement governing Indebtedness incurred to refinance the Indebtedness issued, assumed or incurred pursuant to an agreement referred to in clauses (d) and (e)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relating to such encumbrance or restriction contained in any such Indebtedness are no less favorable to the applicable Borrower in any material respect as determined by the sole member of the General Partner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Loan, each of the following: (i) each date of a Borrowing of a Eurocurrency Rate Loan denominated in Canadian Dollars, (ii) each date of a continuation of a Eurocurrency Rate Loan denominated in Canadian Dollars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(iii) such additional dates as the Administrative Agent shall determine or the Required Lenders shall require; (b) with respect to any Letter of Credit, each of the following: (i) each date of issuance of a Letter of Credit denominated in Canadian Dollars, (ii) each date of an amendment of any such Letter of Credit having the effect of increasing the amount thereof (solely with respect to the increased amount), (iii) each date of any payment by the L/C Issuers under any Letter of Credit denominated in Canadian Dollars, (iv) in the case of the Existing Letters of Credit, the Closing Date, and (v) such additional dates as the Administrative Agent or the L/C Issuers shall determine or the Required Lenders shall require; (c) with respect to Loans and Letters of Credit, each date on which a Borrower would otherwise be required to make a prepayment or Cash Collateralize payment Obligations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and (d) with respect to any Canadian BA, each of the following: (i) each date of the funding of such Canadian BA and (ii) such additional dates as the Administrative Agent shall determine or the Required Lenders shall require.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S&amp;P Global Inc., and any successor to the ratings agency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Value</w:t>
      </w:r>
      <w:r>
        <w:rPr>
          <w:rFonts w:ascii="Arial" w:cs="Arial" w:eastAsia="Arial" w:hAnsi="Arial"/>
          <w:sz w:val="17"/>
          <w:szCs w:val="17"/>
          <w:color w:val="auto"/>
        </w:rPr>
        <w:t xml:space="preserve">” means, as to Hedged Eligible Inventory subject to sales contracts and such corresponding sales contracts with respect thereto, an amount equal to the volumes of such Hedged Eligible Inventory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sale price with respect to which Lenders are financing the Cash and Carry Purchase (or refinancing the storage) thereof, minus all related storage, transportation and other applicable costs, as set forth therein.</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means (a) with respect to disbursements and payments in Dollars, immediately available funds, and (b) with respect to disbursements and payments in Canadian Dollars, same day funds as may be determined by the Administrative Agent or the applicable L/C Issuer, as the case may be, to be customary in the place of disbursement or payment for the settlement of international banking transactions in Canadian Dollars.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w:t>
      </w:r>
      <w:r>
        <w:rPr>
          <w:rFonts w:ascii="Arial" w:cs="Arial" w:eastAsia="Arial" w:hAnsi="Arial"/>
          <w:sz w:val="18"/>
          <w:szCs w:val="18"/>
          <w:color w:val="auto"/>
        </w:rPr>
        <w:t>” means any economic or trade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of any relevant jurisdiction where any Loan Party maintains assets or engages in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a Borrower’s Obligations owing to which are or are purported to be secured by the Collateral under the terms of the Collateral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Fifth Amended and Restated Security Agreement dated as of the date hereof by Borrowers in favor of Administrative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Company have elected to replace LIBOR pursuant to (1) an Early Opt-in Election and (2) Section </w:t>
      </w:r>
      <w:r>
        <w:rPr>
          <w:rFonts w:ascii="Arial" w:cs="Arial" w:eastAsia="Arial" w:hAnsi="Arial"/>
          <w:sz w:val="18"/>
          <w:szCs w:val="18"/>
          <w:u w:val="single" w:color="auto"/>
          <w:color w:val="auto"/>
        </w:rPr>
        <w:t>3.03(c)(i)</w:t>
      </w:r>
      <w:r>
        <w:rPr>
          <w:rFonts w:ascii="Arial" w:cs="Arial" w:eastAsia="Arial" w:hAnsi="Arial"/>
          <w:sz w:val="18"/>
          <w:szCs w:val="18"/>
          <w:color w:val="auto"/>
        </w:rPr>
        <w:t xml:space="preserve"> and paragraph (1) of the definition of “Benchmark Replacement.”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12:00 p.m. on the Business Day immediately preceding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L/C Issuer, as the case may be, may obtain such spot rate from another comparable and major financial institution reasonably designated by the Administrative Agent or such L/C Issuer, as the case may be, if the Person acting in such capacity does not have as of the date of determination a spot buying rate available to it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L/C Issuer may use such spot rate quoted on the date as of which the foreign exchange computation is made in the case of any Letter of Credit denominated in Canadian Dollars.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 provided, however, that “Swap Contract” shall not include any physical sales or purchase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made by a Borrower in favor of the Swing Line Lender evidencing Swing Line Loans made by the Swing Line Lender to such Borrower,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$75,000,000 and (b) the Aggregate Commitments. The Swing Line Sublimit is part of, and not in addition to, the Aggregate Commitments.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each Person from time to time and at each relevant time acting in the capacity as a syndication agent, co-syndication agent, joint-syndication agent or similar syndication agent capacity in connection with this Agreement, Citibank, N.A., JPMorgan Chase Bank, N.A. and Wells Fargo Bank, National Association are acting in the capacity as co-syndication agents.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jc w:val="both"/>
        <w:ind w:firstLine="8"/>
        <w:spacing w:after="0" w:line="277" w:lineRule="auto"/>
        <w:tabs>
          <w:tab w:leader="none" w:pos="27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included in the foregoing, Operating Leases entered into in the ordinary course of business are excluded therefrom.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0" w:name="page231"/>
    <w:bookmarkEnd w:id="230"/>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all L/C Obligations and all Canadian BA’s.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Tri-Party Agreement</w:t>
      </w:r>
      <w:r>
        <w:rPr>
          <w:rFonts w:ascii="Arial" w:cs="Arial" w:eastAsia="Arial" w:hAnsi="Arial"/>
          <w:sz w:val="17"/>
          <w:szCs w:val="17"/>
          <w:color w:val="auto"/>
        </w:rPr>
        <w:t>” means (i) that certain Security Agreement and Assignment of Hedging Account and Agency Agreement dated September 3, 2009 among the Company, Administrative Agent and Barclays Capital Inc., (ii) that certain Security Agreement and Assignment of Hedging Account and Agency Agreement dated August __, 2021 among PMCULC, Administrative Agent, and RBC Capital Markets Inc., and (iii) each other security agreement and assignment of hedging account and agency agreement with and satisfactory to Administrative Agent.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or a Swing Line Loan, its character as a Base Rate Loan, a Canadian Prime Rate Loan or a Eurocurrency Rate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International Chamber of Commerce Publication No. 600 (or such later version thereof as may be in effect at the applicable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Company, PMCULC and the Administrative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1.02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jc w:val="both"/>
        <w:ind w:firstLine="656"/>
        <w:spacing w:after="0" w:line="284" w:lineRule="auto"/>
        <w:tabs>
          <w:tab w:leader="none" w:pos="111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 “</w:t>
      </w:r>
      <w:r>
        <w:rPr>
          <w:rFonts w:ascii="Arial" w:cs="Arial" w:eastAsia="Arial" w:hAnsi="Arial"/>
          <w:sz w:val="16"/>
          <w:szCs w:val="16"/>
          <w:u w:val="single" w:color="auto"/>
          <w:color w:val="auto"/>
        </w:rPr>
        <w:t>or</w:t>
      </w:r>
      <w:r>
        <w:rPr>
          <w:rFonts w:ascii="Arial" w:cs="Arial" w:eastAsia="Arial" w:hAnsi="Arial"/>
          <w:sz w:val="16"/>
          <w:szCs w:val="16"/>
          <w:color w:val="auto"/>
        </w:rPr>
        <w:t>” is not exclusive and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4" w:lineRule="exact"/>
        <w:rPr>
          <w:rFonts w:ascii="Arial" w:cs="Arial" w:eastAsia="Arial" w:hAnsi="Arial"/>
          <w:sz w:val="16"/>
          <w:szCs w:val="16"/>
          <w:color w:val="auto"/>
        </w:rPr>
      </w:pPr>
    </w:p>
    <w:p>
      <w:pPr>
        <w:jc w:val="both"/>
        <w:ind w:firstLine="8"/>
        <w:spacing w:after="0" w:line="281" w:lineRule="auto"/>
        <w:tabs>
          <w:tab w:leader="none" w:pos="28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such Person’s successors and permitted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3" w:lineRule="exact"/>
        <w:rPr>
          <w:rFonts w:ascii="Arial" w:cs="Arial" w:eastAsia="Arial" w:hAnsi="Arial"/>
          <w:sz w:val="16"/>
          <w:szCs w:val="16"/>
          <w:color w:val="auto"/>
        </w:rPr>
      </w:pPr>
    </w:p>
    <w:p>
      <w:pPr>
        <w:ind w:firstLine="8"/>
        <w:spacing w:after="0" w:line="260" w:lineRule="auto"/>
        <w:tabs>
          <w:tab w:leader="none" w:pos="30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8"/>
          <w:szCs w:val="18"/>
          <w:color w:val="auto"/>
        </w:rPr>
      </w:pPr>
    </w:p>
    <w:p>
      <w:pPr>
        <w:ind w:firstLine="656"/>
        <w:spacing w:after="0" w:line="277" w:lineRule="auto"/>
        <w:tabs>
          <w:tab w:leader="none" w:pos="112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11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56"/>
        <w:spacing w:after="0" w:line="255" w:lineRule="auto"/>
        <w:tabs>
          <w:tab w:leader="none" w:pos="112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Accounting Terms.</w:t>
      </w:r>
    </w:p>
    <w:p>
      <w:pPr>
        <w:spacing w:after="0" w:line="229" w:lineRule="exact"/>
        <w:rPr>
          <w:sz w:val="20"/>
          <w:szCs w:val="20"/>
          <w:color w:val="auto"/>
        </w:rPr>
      </w:pPr>
    </w:p>
    <w:p>
      <w:pPr>
        <w:jc w:val="both"/>
        <w:ind w:firstLine="656"/>
        <w:spacing w:after="0" w:line="287" w:lineRule="auto"/>
        <w:tabs>
          <w:tab w:leader="none" w:pos="1117"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171" w:lineRule="exact"/>
        <w:rPr>
          <w:rFonts w:ascii="Arial" w:cs="Arial" w:eastAsia="Arial" w:hAnsi="Arial"/>
          <w:sz w:val="16"/>
          <w:szCs w:val="16"/>
          <w:color w:val="auto"/>
        </w:rPr>
      </w:pPr>
    </w:p>
    <w:p>
      <w:pPr>
        <w:jc w:val="both"/>
        <w:ind w:firstLine="656"/>
        <w:spacing w:after="0" w:line="270" w:lineRule="auto"/>
        <w:tabs>
          <w:tab w:leader="none" w:pos="1127"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Company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648"/>
        <w:spacing w:after="0" w:line="266" w:lineRule="auto"/>
        <w:rPr>
          <w:sz w:val="20"/>
          <w:szCs w:val="20"/>
          <w:color w:val="auto"/>
        </w:rPr>
      </w:pPr>
      <w:r>
        <w:rPr>
          <w:rFonts w:ascii="Arial" w:cs="Arial" w:eastAsia="Arial" w:hAnsi="Arial"/>
          <w:sz w:val="18"/>
          <w:szCs w:val="18"/>
          <w:b w:val="1"/>
          <w:bCs w:val="1"/>
          <w:color w:val="auto"/>
        </w:rPr>
        <w:t>1.04 Rounding</w:t>
      </w:r>
      <w:r>
        <w:rPr>
          <w:rFonts w:ascii="Arial" w:cs="Arial" w:eastAsia="Arial" w:hAnsi="Arial"/>
          <w:sz w:val="18"/>
          <w:szCs w:val="18"/>
          <w:color w:val="auto"/>
        </w:rPr>
        <w:t>. Any financial ratios required to be maintained by the Company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1.05 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Exchange Rates; Currency Equivalents.</w:t>
      </w:r>
    </w:p>
    <w:p>
      <w:pPr>
        <w:spacing w:after="0" w:line="229" w:lineRule="exact"/>
        <w:rPr>
          <w:sz w:val="20"/>
          <w:szCs w:val="20"/>
          <w:color w:val="auto"/>
        </w:rPr>
      </w:pPr>
    </w:p>
    <w:p>
      <w:pPr>
        <w:jc w:val="both"/>
        <w:ind w:firstLine="656"/>
        <w:spacing w:after="0" w:line="291" w:lineRule="auto"/>
        <w:tabs>
          <w:tab w:leader="none" w:pos="111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Administrative Agent or the applicable L/C Issuer, as applicable, shall determine the Spot Rates as of each Revaluation Date to be used for calculating Dollar Equivalent amounts of Credit Extensions and Outstanding Amounts denominated in Canadian Dollars. Such Spot Rates shall become effective as of such Revaluation Date and shall be the Spot Rates employed in converting any amounts between the applicable currencies until the next Revaluation Date to occur. The Administrative Agent or the applicable L/C Issuer, as applicable, shall notify the Company from time to time upon request of the Spot Rate in effect at such time and the determination thereof.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12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Canadian Dollars, such amount shall be the Canadian Dollar Equivalent of such Dollar amount (rounded to the nearest unit of Canadian Dollars, with 0.5 of a unit being rounded upward), as determined by the Administrative Agent or the applicable L/C Issuer, as the case may be.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1.07 Letter of Credit Amounts</w:t>
      </w:r>
      <w:r>
        <w:rPr>
          <w:rFonts w:ascii="Arial" w:cs="Arial" w:eastAsia="Arial" w:hAnsi="Arial"/>
          <w:sz w:val="16"/>
          <w:szCs w:val="16"/>
          <w:color w:val="auto"/>
        </w:rPr>
        <w:t>. Unless otherwise specified herein, the amount of a Letter of Credit at any time shall be deemed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Dollar Equivalent of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48"/>
        <w:spacing w:after="0" w:line="261" w:lineRule="auto"/>
        <w:rPr>
          <w:sz w:val="20"/>
          <w:szCs w:val="20"/>
          <w:color w:val="auto"/>
        </w:rPr>
      </w:pPr>
      <w:r>
        <w:rPr>
          <w:rFonts w:ascii="Arial" w:cs="Arial" w:eastAsia="Arial" w:hAnsi="Arial"/>
          <w:sz w:val="18"/>
          <w:szCs w:val="18"/>
          <w:b w:val="1"/>
          <w:bCs w:val="1"/>
          <w:color w:val="auto"/>
        </w:rPr>
        <w:t>1.08 Interest Rates</w:t>
      </w:r>
      <w:r>
        <w:rPr>
          <w:rFonts w:ascii="Arial" w:cs="Arial" w:eastAsia="Arial" w:hAnsi="Arial"/>
          <w:sz w:val="18"/>
          <w:szCs w:val="18"/>
          <w:color w:val="auto"/>
        </w:rPr>
        <w:t>. The Administrative Agent does not warrant, nor accept responsibility, nor shall the Administrative Agent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administration, submission or any other matter related to the rates in the definition of “Eurocurrency Rate” or with respect to any rate that is an alternative or replacement for or successor to any of such rate (including, without limitation, any Benchmark Replacement) or the effect of any of the foregoing, or of any Benchmark Replacement Conforming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2.01 Committed Loans</w:t>
      </w:r>
      <w:r>
        <w:rPr>
          <w:rFonts w:ascii="Arial" w:cs="Arial" w:eastAsia="Arial" w:hAnsi="Arial"/>
          <w:sz w:val="17"/>
          <w:szCs w:val="17"/>
          <w:color w:val="auto"/>
        </w:rPr>
        <w:t>. Subject to the terms and conditions set forth herein, each Lender severally agrees to make loans to finance Hedged</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Inventory (each such loan, a “</w:t>
      </w:r>
      <w:r>
        <w:rPr>
          <w:rFonts w:ascii="Arial" w:cs="Arial" w:eastAsia="Arial" w:hAnsi="Arial"/>
          <w:sz w:val="17"/>
          <w:szCs w:val="17"/>
          <w:u w:val="single" w:color="auto"/>
          <w:color w:val="auto"/>
        </w:rPr>
        <w:t>Committed Loan</w:t>
      </w:r>
      <w:r>
        <w:rPr>
          <w:rFonts w:ascii="Arial" w:cs="Arial" w:eastAsia="Arial" w:hAnsi="Arial"/>
          <w:sz w:val="17"/>
          <w:szCs w:val="17"/>
          <w:color w:val="auto"/>
        </w:rPr>
        <w:t xml:space="preserve">”) to each requesting Borrower in Dollars or in Canadian Dollars, as so requested, from time to time, and accept drafts of Canadian Bankers’ Acceptances issued under this Agreement by PMCULC, in each case, on a several basis, on any Business Day during the Availability Period, in an aggregate principal amount not to exceed at any time outstanding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immediately after giving effect to any Committed Borrowing and determined as of the date on which such Committed Loans are made, (i) the Total Outstandings shall not exceed the Aggregate Commitments, (ii) the Outstanding Amount of all Loans, all L/C Obligations and all Canadian BA’s of any Borrower does not exceed such Borrower’s Collateral Value, and (iii)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Canadian BA’s (or Canadian BA Equivalent Loans) accepted and purchased from PMCULC shall not exceed such Lender’s Commitment. Within the limits of each Lender’s Commitment, and subject to the other terms and conditions hereof, each requesting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Committed Loans may be Base Rate Loans (with respect to Loans denominated in Dollars), Canadian Prime Rate Loans (with respect to Loans denominated in Canadian Dollars), or Eurocurrency Rate Loans, as further provided herein.</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11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Each Committed Borrowing, each conversion of Committed Loans from one Type to the other, and each continuation of Eurocurrency Rate Committed Loans shall be made upon a Borrower’s irrevocable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notice to the Administrative Agent, which may be given by</w:t>
      </w:r>
    </w:p>
    <w:p>
      <w:pPr>
        <w:jc w:val="both"/>
        <w:ind w:firstLine="8"/>
        <w:spacing w:after="0" w:line="284" w:lineRule="auto"/>
        <w:tabs>
          <w:tab w:leader="none" w:pos="31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telephone, or (B) a Committed Loan Notice; provided that any telephonic notice must be confirmed immediately by delivery to the Administrative Agent of a Committed Loan Notice. Each such Committed Loan Notice must be received by the Administrative Agent not later than 12:00 p.m. (i) three Business Days prior to the requested date of (A) any Borrowing of Eurocurrency Rate Committed Loans (as to Canadian Dollars), (B) any continuation of Eurocurrency Rate Committed Loans (as to Canadian Dollars) or (C) any Borrowing of Canadian BA’s, (ii) two Business Days prior to the requested date of (A) any Borrowing of Eurocurrency Rate Committed Loans (with respect to Loans denominated in Dollars), or (B) any conversion to or continuation of Eurocurrency Rate Committed Loans (with respect to Loans denominated in Dollars), and (iii) on the requested date of any Borrowing of or conversion to Base Rate Committed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Borrower wishes to request (x) Eurocurrency Rate Committed Loans (with respect to Loans denominated in Dollars) having an Interest Period other than one month, three months or six months in duration or (y) Eurocurrency Rate Committed Loans (with respect to Loans denominated in Canadian Dollars) having an Interest Period other than one month, two months or three months, in each case,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such Borrower (which notice may be by telephone) whether or not the requested Interest Period has been consented to by all the Lenders.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56"/>
        <w:spacing w:after="0" w:line="301" w:lineRule="auto"/>
        <w:tabs>
          <w:tab w:leader="none" w:pos="112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Each Borrowing of, conversion to or continuation of Eurocurrency Rate Committed Loans shall be (A) with respect to Loans denominated in Dollars, in a principal amount of $1,000,000 or a whole multiple of $100,000 in excess thereof and (B) with respect to Loans denominated in Canadian Dollars, in a principal amount of C$1,000,000 or a whole multiple of C$100,000 in excess thereof. Except as provided in </w:t>
      </w:r>
      <w:r>
        <w:rPr>
          <w:rFonts w:ascii="Arial" w:cs="Arial" w:eastAsia="Arial" w:hAnsi="Arial"/>
          <w:sz w:val="16"/>
          <w:szCs w:val="16"/>
          <w:u w:val="single" w:color="auto"/>
          <w:color w:val="auto"/>
        </w:rPr>
        <w:t>Sections 2.03(f)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Committed Loans shall be in a principal amount of $1,000,000 or a whole multiple of $100,000 in excess thereof.</w:t>
      </w:r>
    </w:p>
    <w:p>
      <w:pPr>
        <w:spacing w:after="0" w:line="157" w:lineRule="exact"/>
        <w:rPr>
          <w:rFonts w:ascii="Arial" w:cs="Arial" w:eastAsia="Arial" w:hAnsi="Arial"/>
          <w:sz w:val="16"/>
          <w:szCs w:val="16"/>
          <w:color w:val="auto"/>
        </w:rPr>
      </w:pPr>
    </w:p>
    <w:p>
      <w:pPr>
        <w:jc w:val="both"/>
        <w:ind w:firstLine="656"/>
        <w:spacing w:after="0" w:line="286" w:lineRule="auto"/>
        <w:tabs>
          <w:tab w:leader="none" w:pos="111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Each Committed Loan Notice shall specify (i) whether such Borrower is requesting a Committed Borrowing, a conversion of Committed Loans from one Type to the other, or a continuation of Eurocurrency Rate Committed Loans, (ii) the requested date of the Borrowing, conversion or continuation, as the case may be (which shall be a Business Day), (iii) the principal amount of Committed Loans to be borrowed, converted or continued (or the aggregate face amount of the Canadian BA’s to be accepted, if applicable), (iv) the Type of Committed Loans to be borrowed or to which existing Committed Loans are to be converted, (v) if applicable, the duration of the Interest Period with respect thereto (or the maturity of the Canadian BA’s, if applicable), (vi) the currency of the Committed Loans to be borrowed and (vii) the applicable Borrower. If a Borrower fails to specify a currency in a Committed Loan Notice requesting a Borrowing, then the Committed Loans so requested shall be made in Dollars. If a Borrower fails to specify a Type of Committed Loan in a Committed Loan Notice or if a Borrower fails to give a timely notice requesting a conversion or continuation, then the applicable Committed Loans shall be made as, or converted to Base Rate Loans (with respect to Loans denominated in Dollars); provided, however, that in the case of a failure to timely request a continuation of Committed Loans denominated in Canadian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Committed Loans. If a Borrower requests a Borrowing of,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656"/>
        <w:spacing w:after="0" w:line="286" w:lineRule="auto"/>
        <w:tabs>
          <w:tab w:leader="none" w:pos="112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currency) of its Applicable Percentage of the applicable Committed Loans or Canadian BA’s, and if no timely notice of a conversion or continuation is provided by the Company,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Canadian Dollars (or, in the case of Canadian BA’s, such amount with respect thereto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2.01A)</w:t>
      </w:r>
      <w:r>
        <w:rPr>
          <w:rFonts w:ascii="Arial" w:cs="Arial" w:eastAsia="Arial" w:hAnsi="Arial"/>
          <w:sz w:val="16"/>
          <w:szCs w:val="16"/>
          <w:color w:val="auto"/>
        </w:rPr>
        <w:t xml:space="preserve">,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in like funds as received by the Administrative Agent, at the Company’s election, either by (i) crediting the account of such Borrower on the books of Bank of America with the amount of such funds or (ii) wire transfer of such funds, in each case in accordance with instructions provided to the Administrative Agent by the Company as set forth in the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immediately prior to delivery by the applicable Borrower of the Committed Loan Notice with respect to such Borrowing, there are L/C Borrowings in such currency outstanding, then the proceeds of such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applicable Borrower as provided above.</w:t>
      </w:r>
    </w:p>
    <w:p>
      <w:pPr>
        <w:spacing w:after="0" w:line="170" w:lineRule="exact"/>
        <w:rPr>
          <w:rFonts w:ascii="Arial" w:cs="Arial" w:eastAsia="Arial" w:hAnsi="Arial"/>
          <w:sz w:val="16"/>
          <w:szCs w:val="16"/>
          <w:color w:val="auto"/>
        </w:rPr>
      </w:pPr>
    </w:p>
    <w:p>
      <w:pPr>
        <w:jc w:val="both"/>
        <w:ind w:firstLine="656"/>
        <w:spacing w:after="0" w:line="255" w:lineRule="auto"/>
        <w:tabs>
          <w:tab w:leader="none" w:pos="111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Rate Committed Loan may be continued or converted only on the last day of an Interest Period for such Eurocurrency Rate Committed Loan. Upon the occurrence and during the continuation of an Event of Default, no Loans may be requested as, converted to or continued as Eurocurrency Rate Committed Loans (whether in Dollars or Canadian Dollars) without the consent of the Required Lenders, and the Required Lenders may demand that any or all of the then outstanding Eurocurrency Rate Loans denominated in Canadian Dollars be prepaid, or redenominated into Dollars in the amount of the Dollar Equivalent thereof, in each case, on the last day of the then current Interest Period with respect thereto.</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1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Committed Loans upon determination of such interest rate. At any time that Base Rate Loans are outstanding, the Administrative Agent shall notify the Company and the Lenders of any change in Bank of America’s prime rate used in determining the Base Rate and the effective date thereof promptly following the public announcement of such change.</w:t>
      </w:r>
    </w:p>
    <w:p>
      <w:pPr>
        <w:spacing w:after="0" w:line="186" w:lineRule="exact"/>
        <w:rPr>
          <w:rFonts w:ascii="Arial" w:cs="Arial" w:eastAsia="Arial" w:hAnsi="Arial"/>
          <w:sz w:val="18"/>
          <w:szCs w:val="18"/>
          <w:color w:val="auto"/>
        </w:rPr>
      </w:pPr>
    </w:p>
    <w:p>
      <w:pPr>
        <w:ind w:firstLine="656"/>
        <w:spacing w:after="0" w:line="308" w:lineRule="auto"/>
        <w:tabs>
          <w:tab w:leader="none" w:pos="112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ten Interest Periods in effect at any one time with respect to Committed Loans.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tabs>
          <w:tab w:leader="none" w:pos="11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 addition to the Loans provided for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each L/C Issuer agrees, at the request of any Borrower and in reliance 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to issue (and to renew, amend or extend), at any time and from time to time during the Availability Period, Letters of Credit denominated in Dollars or in Canadian Dollars (unless the applicable LC Issuer shall have notified the Company that such L/C Issuer does not as of such requested issuance date issue Letters of Credit in Canadian Dollars) for the account of the Company or PMCULC in favor of sellers of Financed Hedged Eligible Inventory, as beneficiaries, to secure purchases of Financed Hedged Eligible Inventory in such form as is acceptable to the Administrative Agent and such L/C Issuer in its reasonable determination. Letters of Credit issued hereunder shall constitute utilization of the Commitments. All Existing Letters of Credit shall be deemed to have been issued pursuant hereto, and from and after the Closing Date shall be subject to and governed by the terms and conditions hereof.</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12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Extension, Reinstatement or Renewal</w:t>
      </w:r>
      <w:r>
        <w:rPr>
          <w:rFonts w:ascii="Arial" w:cs="Arial" w:eastAsia="Arial" w:hAnsi="Arial"/>
          <w:sz w:val="17"/>
          <w:szCs w:val="17"/>
          <w:color w:val="auto"/>
        </w:rPr>
        <w:t xml:space="preserve">. To request the issuance of a Letter of Credit (or the amendment of the terms and conditions, extension of the terms and conditions, extension of the expiration date, or reinstatement of amounts paid, or renewal of an outstanding Letter of Credit), the applicable Borrower shall deliver (or transmit by electronic communication, if arrangements for doing so have been approved by the applicable L/C Issuer) to an L/C Issuer selected by it and to the Administrative Agent not later than 12:00 p.m.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applicable Borrower also shall submit a Letter of Credit Application in connection with any request for a Letter of Credit. In the event of any inconsistency between the terms and conditions of this Agreement and the terms and conditions of any form of letter of credit application and reimbursement agreement or other agreement submitted by the applicable Borrower to, or entered into by such Borrower with, an L/C Issuer relating to any Letter of Credit, the terms and conditions of this Agreement shall control.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firstLine="648"/>
        <w:spacing w:after="0" w:line="267" w:lineRule="auto"/>
        <w:rPr>
          <w:sz w:val="20"/>
          <w:szCs w:val="20"/>
          <w:color w:val="auto"/>
        </w:rPr>
      </w:pPr>
      <w:r>
        <w:rPr>
          <w:rFonts w:ascii="Arial" w:cs="Arial" w:eastAsia="Arial" w:hAnsi="Arial"/>
          <w:sz w:val="17"/>
          <w:szCs w:val="17"/>
          <w:color w:val="auto"/>
        </w:rPr>
        <w:t>If a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provided that any such Auto-Extension Letter of Credit must permit such L/C Issuer to prevent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in each such twelve-month period to be agreed upon between such Borrower and the applicable L/C Issuer at the time such Letter of Credit is issued. Each L/C Issuer of any Auto-Extension Letter of Credit hereby agrees to contemporaneously furnish to the applicable Borrower a copy of any denial of the extension of such Auto-Extension Letter of Credit. Unless otherwise directed by the applicable L/C Issuer, the applicable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provided, however,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Section 2.03(c) or otherwise), or (B) it has received notice (which may be by telephone or in writing) on or before the day that is seven Business Days before the Non-Extension Notice Date (1) from the Administrative Agent (who hereby agrees to provide contemporaneous notice to the requesting Borrower) that the Required Lenders have elected not to permit such extension or (2) from the Administrative Agent (who hereby agrees to provide contemporaneous notice to such Borrower) or such Borrower that one or more of the applicable conditions specified in Section 4.02 is not then satisfied, specifying in reasonable detail the relevant condition or conditions not then satisfied, and such condition or conditions, as applicable, are unsatisfied on such extension date, and the basis for such assertion, and in each such case directing such L/C Issuer not to permit such extension.</w:t>
      </w:r>
    </w:p>
    <w:p>
      <w:pPr>
        <w:spacing w:after="0" w:line="190" w:lineRule="exact"/>
        <w:rPr>
          <w:sz w:val="20"/>
          <w:szCs w:val="20"/>
          <w:color w:val="auto"/>
        </w:rPr>
      </w:pPr>
    </w:p>
    <w:p>
      <w:pPr>
        <w:jc w:val="both"/>
        <w:ind w:firstLine="656"/>
        <w:spacing w:after="0" w:line="269" w:lineRule="auto"/>
        <w:tabs>
          <w:tab w:leader="none" w:pos="1117"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Limitations on Amounts, Issuance and Amendment</w:t>
      </w:r>
      <w:r>
        <w:rPr>
          <w:rFonts w:ascii="Arial" w:cs="Arial" w:eastAsia="Arial" w:hAnsi="Arial"/>
          <w:sz w:val="17"/>
          <w:szCs w:val="17"/>
          <w:color w:val="auto"/>
        </w:rPr>
        <w:t>. A Letter of Credit shall be issued, amended, extended, reinstated or renewed only if (and upon issuance, amendment, extension, reinstatement or renewal of each Letter of Credit the applicable Borrower shall be deemed to represent and warrant that (based on the Company’s reasonable determination of the Dollar Equivalent of any such Obligations denominated in Canadian Dollars), after giving effect to such issuance, amendment, extension, reinstatement or renewal, (i) the aggregate amount of the outstanding Letters of Credit issued by any L/C Issuer shall not exceed its L/C Commitment, (ii) the aggregate L/C Obligations shall not exceed the Letter of Credit Sublimit, (iii) the Total Outstandings shall not exceed the Aggregate Commitments, (iv) the aggregate Outstanding Amount of the Committed Loans of any Lender, plus such Lender’s Applicable Percentage of the Outstanding Amount of all L/C Obligations, plus such Lender’s Applicable Percentage of the Outstanding Amount of all Swing Line Loans, plus such Lender’s Canadian BA’s (or Canadian BA Equivalent Loans) accepted and purchased from PMCULC shall not exceed such Lender’s Commitment, and (v) the aggregate Outstanding Amount of all L/C Obligations shall not exceed the Letter of Credit Sublimit. Within the foregoing limits, and subject to the terms and conditions hereof, the Borrowers’ ability to obtain Letters of Credit shall be fully revolving, and accordingly a Borrower may, during the foregoing period, obtain Letters of Credit to replace Letters of Credit that have expired or that have been drawn upon and reimbursed.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left="620" w:hanging="436"/>
        <w:spacing w:after="0"/>
        <w:tabs>
          <w:tab w:leader="none" w:pos="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225" w:lineRule="exact"/>
        <w:rPr>
          <w:rFonts w:ascii="Arial" w:cs="Arial" w:eastAsia="Arial" w:hAnsi="Arial"/>
          <w:sz w:val="18"/>
          <w:szCs w:val="18"/>
          <w:color w:val="auto"/>
        </w:rPr>
      </w:pPr>
    </w:p>
    <w:p>
      <w:pPr>
        <w:jc w:val="both"/>
        <w:ind w:left="180" w:firstLine="652"/>
        <w:spacing w:after="0" w:line="271" w:lineRule="auto"/>
        <w:tabs>
          <w:tab w:leader="none" w:pos="1348"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entitled to be, but is not so, compensated hereunder) not in effect on the Closing Date, or shall impose upon such L/C Issuer any loss, cost or expense which was not applicable on the Closing Date and which such L/C Issuer in good faith deems material to it (for which such L/C Issuer is entitled to be, but is not so, reimbursed hereunder);</w:t>
      </w:r>
    </w:p>
    <w:p>
      <w:pPr>
        <w:spacing w:after="0" w:line="178" w:lineRule="exact"/>
        <w:rPr>
          <w:rFonts w:ascii="Arial" w:cs="Arial" w:eastAsia="Arial" w:hAnsi="Arial"/>
          <w:sz w:val="17"/>
          <w:szCs w:val="17"/>
          <w:color w:val="auto"/>
        </w:rPr>
      </w:pPr>
    </w:p>
    <w:p>
      <w:pPr>
        <w:jc w:val="both"/>
        <w:ind w:left="180" w:firstLine="652"/>
        <w:spacing w:after="0" w:line="263" w:lineRule="auto"/>
        <w:tabs>
          <w:tab w:leader="none" w:pos="133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issuance of the Letter of Credit would violate one or more policies of such L/C Issuer applicable to letters of credit generally; provided that, upon request of the applicable Borrower, the applicable L/C Issuer shall provide to such Borrower a reasonably detailed description thereof;</w:t>
      </w:r>
    </w:p>
    <w:p>
      <w:pPr>
        <w:spacing w:after="0" w:line="183" w:lineRule="exact"/>
        <w:rPr>
          <w:rFonts w:ascii="Arial" w:cs="Arial" w:eastAsia="Arial" w:hAnsi="Arial"/>
          <w:sz w:val="18"/>
          <w:szCs w:val="18"/>
          <w:color w:val="auto"/>
        </w:rPr>
      </w:pPr>
    </w:p>
    <w:p>
      <w:pPr>
        <w:ind w:left="180" w:firstLine="652"/>
        <w:spacing w:after="0" w:line="277" w:lineRule="auto"/>
        <w:tabs>
          <w:tab w:leader="none" w:pos="133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the Letter of Credit is in an initial stated amount less than $100,000;</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 or Canadian Dollars;</w:t>
      </w:r>
    </w:p>
    <w:p>
      <w:pPr>
        <w:spacing w:after="0" w:line="225" w:lineRule="exact"/>
        <w:rPr>
          <w:rFonts w:ascii="Arial" w:cs="Arial" w:eastAsia="Arial" w:hAnsi="Arial"/>
          <w:sz w:val="18"/>
          <w:szCs w:val="18"/>
          <w:color w:val="auto"/>
        </w:rPr>
      </w:pPr>
    </w:p>
    <w:p>
      <w:pPr>
        <w:ind w:left="1360" w:hanging="528"/>
        <w:spacing w:after="0"/>
        <w:tabs>
          <w:tab w:leader="none" w:pos="13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such L/C Issuer does not as of the issuance date of such requested Letter of Credit issue Letters of Credit in the requested</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jc w:val="both"/>
        <w:ind w:left="180" w:firstLine="652"/>
        <w:spacing w:after="0" w:line="272" w:lineRule="auto"/>
        <w:tabs>
          <w:tab w:leader="none" w:pos="13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Lender is at that time a Defaulting Lender, unless either (1) the requesting Borrower has delivered to the Administrative Agent Cash Collateral in an amount equal to such L/C Issuer’s actual Fronting Exposure (after giving effect to Section 2.17(a)(iv) and any other Cash Collateral provided by the Defaulting Lender) with respect to the Defaulting Lender or (2) such L/C Issuer has otherwise entered into arrangements satisfactory to such L/C Issuer (in its sole discretion) with the Company or such Lender to eliminate such L/C Issuer’s Fronting Exposure (after giving effect to Section 2.17(a)(iv)) with respect to the Defaulting Lender, in either case, arising from either the Letter of Credit then proposed to be issued or that Letter of Credit and all other L/C Obligations as to which such L/C Issuer has Fronting Exposure, as it may elect in its sole discretion; or</w:t>
      </w:r>
    </w:p>
    <w:p>
      <w:pPr>
        <w:spacing w:after="0" w:line="177" w:lineRule="exact"/>
        <w:rPr>
          <w:rFonts w:ascii="Arial" w:cs="Arial" w:eastAsia="Arial" w:hAnsi="Arial"/>
          <w:sz w:val="17"/>
          <w:szCs w:val="17"/>
          <w:color w:val="auto"/>
        </w:rPr>
      </w:pPr>
    </w:p>
    <w:p>
      <w:pPr>
        <w:ind w:left="1380" w:hanging="548"/>
        <w:spacing w:after="0"/>
        <w:tabs>
          <w:tab w:leader="none" w:pos="138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460" w:firstLine="644"/>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the Letter of Credit in its amended form under the terms hereof.</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0" w:name="page241"/>
    <w:bookmarkEnd w:id="240"/>
    <w:p>
      <w:pPr>
        <w:jc w:val="both"/>
        <w:ind w:firstLine="656"/>
        <w:spacing w:after="0" w:line="286" w:lineRule="auto"/>
        <w:tabs>
          <w:tab w:leader="none" w:pos="1127"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have a stated expiration date no later than the earlier of (i) subject to </w:t>
      </w:r>
      <w:r>
        <w:rPr>
          <w:rFonts w:ascii="Arial" w:cs="Arial" w:eastAsia="Arial" w:hAnsi="Arial"/>
          <w:sz w:val="17"/>
          <w:szCs w:val="17"/>
          <w:u w:val="single" w:color="auto"/>
          <w:color w:val="auto"/>
        </w:rPr>
        <w:t>Section 2.03(b)</w:t>
      </w:r>
      <w:r>
        <w:rPr>
          <w:rFonts w:ascii="Arial" w:cs="Arial" w:eastAsia="Arial" w:hAnsi="Arial"/>
          <w:sz w:val="17"/>
          <w:szCs w:val="17"/>
          <w:color w:val="auto"/>
        </w:rPr>
        <w:t>, the date twelve months after the date of the issuance of such Letter of Credit (or, in the case of any extension of the expiration date thereof, whether automatic or by amendment, twelve months after the then current expiration date of such Letter of Credit) and (ii) the Letter of Credit Expiration Date.</w:t>
      </w:r>
    </w:p>
    <w:p>
      <w:pPr>
        <w:spacing w:after="0" w:line="165" w:lineRule="exact"/>
        <w:rPr>
          <w:rFonts w:ascii="Arial" w:cs="Arial" w:eastAsia="Arial" w:hAnsi="Arial"/>
          <w:sz w:val="17"/>
          <w:szCs w:val="17"/>
          <w:color w:val="auto"/>
        </w:rPr>
      </w:pPr>
    </w:p>
    <w:p>
      <w:pPr>
        <w:jc w:val="both"/>
        <w:ind w:firstLine="656"/>
        <w:spacing w:after="0" w:line="254" w:lineRule="auto"/>
        <w:tabs>
          <w:tab w:leader="none" w:pos="111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or extending the expiration date thereof), and without any further action on the part of the applicable L/C Issuer or the Lenders, such L/C Issuer hereby grants to each Lender, and each Lender hereby acquires from such L/C Issuer, a participation in such Letter of Credit equal to such Lender’s Applicable Percentage of the aggregate amount available to be drawn under such Letter of Credit. Each Lender acknowledges and agrees that its obligation to acquire participations pursuant to this clause (e)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Lenders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Section 2.02 with respect to Loans made by such Lender (and Section 2.02 shall apply, mutatis mutandis, to the payment obligations of the Lenders), and the Administrative Agent shall promptly pay to the applicable L/C Issuer the amounts so received by it from the Lenders. Promptly following receipt by the Administrative Agent of any payment from the Company pursuant to </w:t>
      </w:r>
      <w:r>
        <w:rPr>
          <w:rFonts w:ascii="Arial" w:cs="Arial" w:eastAsia="Arial" w:hAnsi="Arial"/>
          <w:sz w:val="17"/>
          <w:szCs w:val="17"/>
          <w:u w:val="single" w:color="auto"/>
          <w:color w:val="auto"/>
        </w:rPr>
        <w:t>Section 2.03(f)</w:t>
      </w:r>
      <w:r>
        <w:rPr>
          <w:rFonts w:ascii="Arial" w:cs="Arial" w:eastAsia="Arial" w:hAnsi="Arial"/>
          <w:sz w:val="17"/>
          <w:szCs w:val="17"/>
          <w:color w:val="auto"/>
        </w:rPr>
        <w:t>, the Administrative Agent shall distribute such payment to the applicable L/C Issuer or, to the extent that the Lenders have made payments pursuant to this clause (e) to reimburse such L/C Issuer, then to such Lenders and such L/C Issuer as their interests may appear. Any payment made by a Lender pursuant to this clause (e) to reimburse an L/C Issuer for any L/C Disbursement shall not constitute a Loan and shall not relieve the Company of its obligation to reimburse such L/C Disbursement.</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as a result of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otherwise pursuant to this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648"/>
        <w:spacing w:after="0" w:line="253" w:lineRule="auto"/>
        <w:rPr>
          <w:sz w:val="20"/>
          <w:szCs w:val="20"/>
          <w:color w:val="auto"/>
        </w:rPr>
      </w:pPr>
      <w:r>
        <w:rPr>
          <w:rFonts w:ascii="Arial" w:cs="Arial" w:eastAsia="Arial" w:hAnsi="Arial"/>
          <w:sz w:val="18"/>
          <w:szCs w:val="18"/>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 2.03(e)</w:t>
      </w:r>
      <w:r>
        <w:rPr>
          <w:rFonts w:ascii="Arial" w:cs="Arial" w:eastAsia="Arial" w:hAnsi="Arial"/>
          <w:sz w:val="18"/>
          <w:szCs w:val="18"/>
          <w:color w:val="auto"/>
        </w:rPr>
        <w:t>,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(without interest and fees as aforesaid) shall constitute such Lender’s Committed Loan included in the relevant Committed Borrowing or L/C Advance in respect of the relevant L/C Borrowing, as the case may be. A certificate of any L/C Issuer submitted to any Lender (through the Administrative Agent) with respect to any amounts owing under this clause (vi) shall be conclusive absent manifest error.</w:t>
      </w:r>
    </w:p>
    <w:p>
      <w:pPr>
        <w:spacing w:after="0" w:line="194" w:lineRule="exact"/>
        <w:rPr>
          <w:sz w:val="20"/>
          <w:szCs w:val="20"/>
          <w:color w:val="auto"/>
        </w:rPr>
      </w:pPr>
    </w:p>
    <w:p>
      <w:pPr>
        <w:jc w:val="both"/>
        <w:ind w:firstLine="656"/>
        <w:spacing w:after="0" w:line="284" w:lineRule="auto"/>
        <w:tabs>
          <w:tab w:leader="none" w:pos="1120"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L/C Issuer shall make any L/C Disbursement in respect of a Letter of Credit, the Borrower shall reimburse such L/C Issuer in respect of such L/C Disbursement (in the case of a Letter of Credit denominated in Canadian Dollars, the applicable Borrower shall reimburse the applicable L/C Issuer in Canadian Dollars, unless such Borrower and such L/C Issuer agree that such Borrower will reimburse such L/C Issuer in Dollars; in the case of any such reimbursement in Dollars of a drawing under a Letter of Credit denominated in Canadian Dollars, the applicable L/C Issuer shall notify the applicable Borrower of the Dollar Equivalent of the amount of the drawing promptly following the determination thereof) by paying to the Administrative Agent an amount equal to such L/C Disbursement not later than 12:00 noon on (i) the Business Day that the applicable Borrower receives notice of such L/C Disbursement, if such notice is received prior to 10:00 a.m. on the date of any payment by such L/C Issuer under a Letter of Credit to be reimbursed in Dollars, or the Applicable Time on the date of any payment by such L/C Issuer under a Letter of Credit to be reimbursed in Canadian Dollars or (ii) the Business Day immediately following the day that the applicable Borrower receives such notice, if such notice is not received prior to such time, provided that, if such L/C Disbursement is not less than $1,000,000, the applicable Borrower may, subject to the conditions to borrowing set forth herein, request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 Committed Borrowing of Base Rate Loans (with respect to Letters of Credit denominated in Dollars) or Canadian Prime Rate Loans (with respect to Letters of Credit denominated in Canadian Dollars) in an equivalent amount and, to the extent so financed, such Borrower’s obligation to make such payment shall be discharged and replaced by the resulting Borrowing of Committed Borrowing of Base Rate Loans (with respect to Letters of Credit denominated in Dollars) or Canadian Prime Rate Loans (with respect to Letters of Credit denominated in Canadian Dollars. If the applicable Borrower fails to make such payment when due, the Administrative Agent shall notify each Lender of the applicable L/C Disbursement, the payment then due from such Borrower in respect thereof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such Lender’s Applicable Percentage thereof. In such event, the applicable Borrower shall be deemed to have requested a Committed Borrowing of Base Rate Loans (with respect to Letters of Credit denominated in Dollars) or Canadian Prime Rate Loans (with respect to Letters of Credit denominated in Canadian Dollars) to be disbursed on the date of payment by the applicable L/C Issuer under a Letter of Credit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(with respect to Letters of Credit denominated in Dollars) or Canadian Prime Rate Loans (with respect to Letters of Credit denominated in Canadian Dollars), but subject to the amount of the unutilized portion of the Aggregate Commitments and the conditions set forth in Section 4.02 (other than the delivery of a Committed Loan Notice and without giving effect to such Borrower’s failure to so reimburse such L/C Issuer as provided in this clause (f)). Any notice given by any L/C Issuer or the Administrative Agent pursuant to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may be given by telephone if immediately confirmed in writing; provided that the lack of such an immediate confirmation shall not affect the conclusiveness or binding effect of such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56"/>
        <w:spacing w:after="0" w:line="263" w:lineRule="auto"/>
        <w:tabs>
          <w:tab w:leader="none" w:pos="1127"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applicable Borrower to reimburse each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7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0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any Borrower or any waiver by such L/C Issuer which does not in fact materially prejudice any Borrower;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required that demand be in the form of 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draft;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9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8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660" w:firstLine="644"/>
        <w:spacing w:after="0" w:line="277" w:lineRule="auto"/>
        <w:tabs>
          <w:tab w:leader="none" w:pos="184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Canadian Dollars to the Company or any Subsidiary or in the relevant currency markets generally; or</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81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other event or circumstance whatsoever, whether or not similar to any of the foregoing, that might, but for the provisions of this Section 2.03, constitute a legal or equitable discharge of, or provide a right of setoff against, any Borrower’s obligations hereunder.</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promptly notify the applicable L/C Issuer and such L/C Issuer will correct such claim in conformity with such Borrower’s instructions or as otherwise agreed between such Borrower and such L/C Issuer, subject to the terms hereof. Each Borrower shall be conclusively deemed to have waived any such claim against each L/C Issuer and its correspondents unless such notice is given as aforesaid.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provided that the foregoing shall not be construed to excuse an L/C Issuer from liability to any Borrower to the extent of any direct damages (as opposed to consequential damages, claims in respect of which are hereby waived by each Borrower to the extent permitted by Applicable Law) suffered by such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spacing w:after="0" w:line="182" w:lineRule="exact"/>
        <w:rPr>
          <w:sz w:val="20"/>
          <w:szCs w:val="20"/>
          <w:color w:val="auto"/>
        </w:rPr>
      </w:pPr>
    </w:p>
    <w:p>
      <w:pPr>
        <w:ind w:left="660" w:firstLine="644"/>
        <w:spacing w:after="0" w:line="277" w:lineRule="auto"/>
        <w:tabs>
          <w:tab w:leader="none" w:pos="17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L/C Issuer may replace a purportedly lost, stolen, or destroyed original Letter of Credit or missing amendment thereto with a certified true copy marked as such or waive a requirement for its presentation;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7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660" w:firstLine="644"/>
        <w:spacing w:after="0" w:line="277" w:lineRule="auto"/>
        <w:tabs>
          <w:tab w:leader="none" w:pos="180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 L/C Issuer shall have the right, in its sole discretion, to decline to accept such documents and to make such payment if such documents are not in strict compliance with the terms of such Letter of Credit;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9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3" w:lineRule="exact"/>
        <w:rPr>
          <w:rFonts w:ascii="Arial" w:cs="Arial" w:eastAsia="Arial" w:hAnsi="Arial"/>
          <w:sz w:val="18"/>
          <w:szCs w:val="18"/>
          <w:color w:val="auto"/>
        </w:rPr>
      </w:pPr>
    </w:p>
    <w:p>
      <w:pPr>
        <w:jc w:val="both"/>
        <w:ind w:left="660" w:firstLine="644"/>
        <w:spacing w:after="0" w:line="287" w:lineRule="auto"/>
        <w:tabs>
          <w:tab w:leader="none" w:pos="176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w:t>
      </w:r>
    </w:p>
    <w:p>
      <w:pPr>
        <w:spacing w:after="0" w:line="2" w:lineRule="exact"/>
        <w:rPr>
          <w:rFonts w:ascii="Arial" w:cs="Arial" w:eastAsia="Arial" w:hAnsi="Arial"/>
          <w:sz w:val="16"/>
          <w:szCs w:val="16"/>
          <w:color w:val="auto"/>
        </w:rPr>
      </w:pPr>
    </w:p>
    <w:p>
      <w:pPr>
        <w:jc w:val="both"/>
        <w:ind w:left="660" w:hanging="4"/>
        <w:spacing w:after="0" w:line="273" w:lineRule="auto"/>
        <w:tabs>
          <w:tab w:leader="none" w:pos="97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against documents that are fraudulent, forged, or for other reasons by which that it is entitled not to honor or (B) following a Borrower’s waiver of discrepancies with respect to such documents or request for honor of such documents or (iii) an L/C Issuer retaining proceeds of a Letter of Credit based on an apparently applicable attachment order, blocking regulation, or third-party claim notified to such L/C Issuer, and upon the occurrence of any of the foregoing, the applicable L/C Issuer shall promptly notify the applicable Borrower of the details thereof.</w:t>
      </w:r>
    </w:p>
    <w:p>
      <w:pPr>
        <w:spacing w:after="0" w:line="176" w:lineRule="exact"/>
        <w:rPr>
          <w:sz w:val="20"/>
          <w:szCs w:val="20"/>
          <w:color w:val="auto"/>
        </w:rPr>
      </w:pPr>
    </w:p>
    <w:p>
      <w:pPr>
        <w:jc w:val="both"/>
        <w:ind w:firstLine="656"/>
        <w:spacing w:after="0" w:line="270" w:lineRule="auto"/>
        <w:tabs>
          <w:tab w:leader="none" w:pos="112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applicable L/C Issuer and the applicable Borrower when a Letter of Credit is issued, including any such agreement applicable to an Existing Letter of Credit, (i) the rules of the ISP shall apply to each standby Letter of Credit, and (ii) the rules of the UCP, as most recently published at the time of issuance, shall apply to each commercial Letter of Credit. Notwithstanding the foregoing, no L/C Issuer shall be responsible to any Borrower for, and no L/C Issuer’s rights and remedies against a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0" w:lineRule="exact"/>
        <w:rPr>
          <w:rFonts w:ascii="Arial" w:cs="Arial" w:eastAsia="Arial" w:hAnsi="Arial"/>
          <w:sz w:val="17"/>
          <w:szCs w:val="17"/>
          <w:color w:val="auto"/>
        </w:rPr>
      </w:pPr>
    </w:p>
    <w:p>
      <w:pPr>
        <w:jc w:val="both"/>
        <w:ind w:firstLine="656"/>
        <w:spacing w:after="0" w:line="257" w:lineRule="auto"/>
        <w:tabs>
          <w:tab w:leader="none" w:pos="11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L/C Issuer shall act on behalf of the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56"/>
        <w:spacing w:after="0" w:line="286" w:lineRule="auto"/>
        <w:tabs>
          <w:tab w:leader="none" w:pos="111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Company shall pay to the Administrative Agent for the account of each Lender in accordance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commercial or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or the Company has not provided Cash Collateral satisfactory to the applicable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Such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during any Default Rate Period, all Letter of Credit Fees shall accrue at the Default Rate.</w:t>
      </w:r>
    </w:p>
    <w:p>
      <w:pPr>
        <w:spacing w:after="0" w:line="173" w:lineRule="exact"/>
        <w:rPr>
          <w:rFonts w:ascii="Arial" w:cs="Arial" w:eastAsia="Arial" w:hAnsi="Arial"/>
          <w:sz w:val="16"/>
          <w:szCs w:val="16"/>
          <w:color w:val="auto"/>
        </w:rPr>
      </w:pPr>
    </w:p>
    <w:p>
      <w:pPr>
        <w:jc w:val="both"/>
        <w:ind w:firstLine="656"/>
        <w:spacing w:after="0" w:line="268" w:lineRule="auto"/>
        <w:tabs>
          <w:tab w:leader="none" w:pos="1127"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Company shall pay directly to the applicable L/C Issuer for its own account a fronting fee (i) with respect to each commercial Letter of Credit, at the rate specified in the Fee Letters, computed on the Dollar Equivalent of the amount of such Letter of Credit, and payable upon the issuance thereof, and (ii) with respect to each standby Letter of Credit, at the rate per annum specified in the Fee Letters, computed on the Dollar Equivalent of the daily amount available to be drawn under such Letter of Credit on a quarterly basis in arrears. Such fronting fee with respect to standby Letters of Credit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Company shall pay directly to the applicable L/C Issuer for its own account in Dollars the customary issuance, presentation, amendment and other processing fees, and other standard costs and charges, of the such L/C Issuer relating to letters of credit as from time to time in effect, effective schedules of which will be provided to the Company upon its request. Such customary fees and standard costs and charges are due and payable quarterly in arrears on the first Business Day after the end of each March, June, September and December and are nonrefundable.</w:t>
      </w:r>
    </w:p>
    <w:p>
      <w:pPr>
        <w:spacing w:after="0" w:line="186" w:lineRule="exact"/>
        <w:rPr>
          <w:rFonts w:ascii="Arial" w:cs="Arial" w:eastAsia="Arial" w:hAnsi="Arial"/>
          <w:sz w:val="17"/>
          <w:szCs w:val="17"/>
          <w:color w:val="auto"/>
        </w:rPr>
      </w:pPr>
    </w:p>
    <w:p>
      <w:pPr>
        <w:jc w:val="both"/>
        <w:ind w:firstLine="656"/>
        <w:spacing w:after="0" w:line="275" w:lineRule="auto"/>
        <w:tabs>
          <w:tab w:leader="none" w:pos="111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The applicable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applicable Borrower in writing of such demand for payment if such L/C Issuer has made or will make an L/C Disbursement thereunder; provided that any failure to give or delay in giving such notice shall not relieve such Borrower of its obligation to reimburse such L/C Issuer and the Lenders with respect to any such L/C Disbursement.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56"/>
        <w:spacing w:after="0" w:line="286" w:lineRule="auto"/>
        <w:tabs>
          <w:tab w:leader="none" w:pos="1155"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If the applicable L/C Issuer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Base Rate Loans; provided that if such Borrower fails to reimburse such L/C Disbursement when due pursuant to clause</w:t>
      </w:r>
    </w:p>
    <w:p>
      <w:pPr>
        <w:spacing w:after="0" w:line="1" w:lineRule="exact"/>
        <w:rPr>
          <w:rFonts w:ascii="Arial" w:cs="Arial" w:eastAsia="Arial" w:hAnsi="Arial"/>
          <w:sz w:val="16"/>
          <w:szCs w:val="16"/>
          <w:color w:val="auto"/>
        </w:rPr>
      </w:pPr>
    </w:p>
    <w:p>
      <w:pPr>
        <w:jc w:val="both"/>
        <w:ind w:firstLine="8"/>
        <w:spacing w:after="0" w:line="255" w:lineRule="auto"/>
        <w:tabs>
          <w:tab w:leader="none" w:pos="2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then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shall apply. Interest accrued pursuant to this clause (m) shall be for account of such L/C Issuer, except that interest accrued on and after the date of payment by any Lender pursuant to clause (c)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to reimburse such L/C Issuer shall be for account of such Lender to the extent of such payment.</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127"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Replacement of any L/C Issuer</w:t>
      </w:r>
      <w:r>
        <w:rPr>
          <w:rFonts w:ascii="Arial" w:cs="Arial" w:eastAsia="Arial" w:hAnsi="Arial"/>
          <w:sz w:val="17"/>
          <w:szCs w:val="17"/>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applicable Borrower shall pay all unpaid fees accrued for the account of the replaced L/C Issuer pursuant to </w:t>
      </w:r>
      <w:r>
        <w:rPr>
          <w:rFonts w:ascii="Arial" w:cs="Arial" w:eastAsia="Arial" w:hAnsi="Arial"/>
          <w:sz w:val="17"/>
          <w:szCs w:val="17"/>
          <w:u w:val="single" w:color="auto"/>
          <w:color w:val="auto"/>
        </w:rPr>
        <w:t>Section 2.03(j)</w:t>
      </w:r>
      <w:r>
        <w:rPr>
          <w:rFonts w:ascii="Arial" w:cs="Arial" w:eastAsia="Arial" w:hAnsi="Arial"/>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0" w:lineRule="exact"/>
        <w:rPr>
          <w:rFonts w:ascii="Arial" w:cs="Arial" w:eastAsia="Arial" w:hAnsi="Arial"/>
          <w:sz w:val="17"/>
          <w:szCs w:val="17"/>
          <w:color w:val="auto"/>
        </w:rPr>
      </w:pPr>
    </w:p>
    <w:p>
      <w:pPr>
        <w:jc w:val="both"/>
        <w:ind w:firstLine="656"/>
        <w:spacing w:after="0" w:line="269" w:lineRule="auto"/>
        <w:tabs>
          <w:tab w:leader="none" w:pos="1127"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Company receives notice from the Administrative Agent or the Required Lenders (or, if the maturity of the Loans has been accelerated, Lenders with L/C Obligations representing at least 66-2/3% of the total L/C Obligations) demanding the deposit of cash collateral pursuant to this clause (o), such Borrower shall immediately deposit into an account established and maintained on the books and records of the Administrative Agent (the “</w:t>
      </w:r>
      <w:r>
        <w:rPr>
          <w:rFonts w:ascii="Arial" w:cs="Arial" w:eastAsia="Arial" w:hAnsi="Arial"/>
          <w:sz w:val="17"/>
          <w:szCs w:val="17"/>
          <w:u w:val="single" w:color="auto"/>
          <w:color w:val="auto"/>
        </w:rPr>
        <w:t>Collateral Account</w:t>
      </w:r>
      <w:r>
        <w:rPr>
          <w:rFonts w:ascii="Arial" w:cs="Arial" w:eastAsia="Arial" w:hAnsi="Arial"/>
          <w:sz w:val="17"/>
          <w:szCs w:val="17"/>
          <w:color w:val="auto"/>
        </w:rPr>
        <w:t xml:space="preserve">”) an amount in cash equal to 102% of the total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such Borrower described in clause (f) of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Such deposit shall be held by the Administrative Agent as collateral for the payment and performance of the obligations of the applicable Borrower under this Agreement. In addition, and without limiting the foregoing or clause (d) of this </w:t>
      </w:r>
      <w:r>
        <w:rPr>
          <w:rFonts w:ascii="Arial" w:cs="Arial" w:eastAsia="Arial" w:hAnsi="Arial"/>
          <w:sz w:val="17"/>
          <w:szCs w:val="17"/>
          <w:u w:val="single" w:color="auto"/>
          <w:color w:val="auto"/>
        </w:rPr>
        <w:t>Section 2.03</w:t>
      </w:r>
      <w:r>
        <w:rPr>
          <w:rFonts w:ascii="Arial" w:cs="Arial" w:eastAsia="Arial" w:hAnsi="Arial"/>
          <w:sz w:val="17"/>
          <w:szCs w:val="17"/>
          <w:color w:val="auto"/>
        </w:rPr>
        <w:t>, if any L/C Obligations remain outstanding after the expiration date specified in said clause (d), the applicable Borrower shall immediately deposit into the Collateral Account an amount in cash equal to 102% of such L/C Obligations as of such date plus any accrued and unpaid interest thereon.</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applicable Borrower for the L/C Obligations at such time or, if the maturity of the Loans has been accelerated (but subject to the consent of Lenders with L/C Obligations representing 66-2/3% of the total L/C Obligations), be applied to satisfy other obligations of such Borrower under this Agreement. If the applicable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w:t>
      </w:r>
    </w:p>
    <w:p>
      <w:pPr>
        <w:spacing w:after="0" w:line="185" w:lineRule="exact"/>
        <w:rPr>
          <w:sz w:val="20"/>
          <w:szCs w:val="20"/>
          <w:color w:val="auto"/>
        </w:rPr>
      </w:pPr>
    </w:p>
    <w:p>
      <w:pPr>
        <w:ind w:firstLine="656"/>
        <w:spacing w:after="0" w:line="342" w:lineRule="auto"/>
        <w:tabs>
          <w:tab w:leader="none" w:pos="1127"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L/C Issuer Reports to the Administrative Agent</w:t>
      </w:r>
      <w:r>
        <w:rPr>
          <w:rFonts w:ascii="Arial" w:cs="Arial" w:eastAsia="Arial" w:hAnsi="Arial"/>
          <w:sz w:val="16"/>
          <w:szCs w:val="16"/>
          <w:color w:val="auto"/>
        </w:rPr>
        <w:t xml:space="preserve">. Unless otherwise agreed by the Administrative Agent, each L/C Issuer shall, in addition to its notification obligations set forth elsewhere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provide the Administrative Agent a Letter of Credit Report, as set forth below:</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174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on each Business Day on which such L/C Issuer makes a payment pursuant to a Letter of Credit, the date and amount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payment;</w:t>
      </w:r>
    </w:p>
    <w:p>
      <w:pPr>
        <w:spacing w:after="0" w:line="210" w:lineRule="exact"/>
        <w:rPr>
          <w:rFonts w:ascii="Arial" w:cs="Arial" w:eastAsia="Arial" w:hAnsi="Arial"/>
          <w:sz w:val="16"/>
          <w:szCs w:val="16"/>
          <w:color w:val="auto"/>
        </w:rPr>
      </w:pPr>
    </w:p>
    <w:p>
      <w:pPr>
        <w:ind w:left="660" w:right="20" w:firstLine="644"/>
        <w:spacing w:after="0" w:line="277" w:lineRule="auto"/>
        <w:tabs>
          <w:tab w:leader="none" w:pos="180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on any Business Day on which a Borrower fails to reimburse a payment made pursuant to a Letter of Credit required to be reimbursed to such L/C Issuer on such day, the date of such failure and the amount of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93" w:val="left"/>
        </w:tabs>
        <w:numPr>
          <w:ilvl w:val="1"/>
          <w:numId w:val="243"/>
        </w:numPr>
        <w:rPr>
          <w:rFonts w:ascii="Arial" w:cs="Arial" w:eastAsia="Arial" w:hAnsi="Arial"/>
          <w:sz w:val="18"/>
          <w:szCs w:val="18"/>
          <w:color w:val="auto"/>
        </w:rPr>
      </w:pPr>
      <w:r>
        <w:rPr>
          <w:rFonts w:ascii="Arial" w:cs="Arial" w:eastAsia="Arial" w:hAnsi="Arial"/>
          <w:sz w:val="18"/>
          <w:szCs w:val="18"/>
          <w:color w:val="auto"/>
        </w:rPr>
        <w:t>on any other Business Day, such other information as the Administrative Agent shall reasonably request as to the Letters of Credit issued by such L/C Issuer; and</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for so long as any Letter of Credit issued by an L/C Issuer is outstanding, such L/C Issuer shall deliver to the Administrative Agent</w:t>
      </w:r>
    </w:p>
    <w:p>
      <w:pPr>
        <w:spacing w:after="0" w:line="46" w:lineRule="exact"/>
        <w:rPr>
          <w:sz w:val="20"/>
          <w:szCs w:val="20"/>
          <w:color w:val="auto"/>
        </w:rPr>
      </w:pPr>
    </w:p>
    <w:p>
      <w:pPr>
        <w:jc w:val="both"/>
        <w:ind w:left="660" w:hanging="4"/>
        <w:spacing w:after="0" w:line="227" w:lineRule="auto"/>
        <w:tabs>
          <w:tab w:leader="none" w:pos="9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656"/>
        <w:spacing w:after="0" w:line="279" w:lineRule="auto"/>
        <w:tabs>
          <w:tab w:leader="none" w:pos="1127"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Any Lender hereunder may become an L/C Issuer upon receipt by the Administrative Agent of a fully executed Notice of Additional L/C Issuer which shall be signed by the Company, the Administrative Agent and the applicable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71" w:lineRule="exact"/>
        <w:rPr>
          <w:rFonts w:ascii="Arial" w:cs="Arial" w:eastAsia="Arial" w:hAnsi="Arial"/>
          <w:sz w:val="17"/>
          <w:szCs w:val="17"/>
          <w:color w:val="auto"/>
        </w:rPr>
      </w:pPr>
    </w:p>
    <w:p>
      <w:pPr>
        <w:ind w:firstLine="656"/>
        <w:spacing w:after="0" w:line="277" w:lineRule="auto"/>
        <w:tabs>
          <w:tab w:leader="none" w:pos="109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108"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 issued or outstanding hereunder is in support of any obligations of a Subsidiary, the applicable Borrower (and not any such Subsidiary) that requested such Letter of Credit shall be obligated to reimburse, indemnify and compensate the applicable L/C Issuer hereunder for any and all drawings under such Letter of Credit requested by it. Each Borrower irrevocably waives any and all defenses that might otherwise be available to it as a guarantor or surety of any or all of the obligations of such Subsidiary in respect of such Letter of Credit. Each Borrower hereby acknowledges that the issuance of Letters of Credit requested by it in support of the obligations of any of its Subsidiaries inures to the benefit of such Borrower, and that such Borrower’s business derives benefits from the business of such Subsidiary.</w:t>
      </w:r>
    </w:p>
    <w:p>
      <w:pPr>
        <w:spacing w:after="0" w:line="16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p>
    <w:p>
      <w:pPr>
        <w:spacing w:after="0" w:line="229" w:lineRule="exact"/>
        <w:rPr>
          <w:sz w:val="20"/>
          <w:szCs w:val="20"/>
          <w:color w:val="auto"/>
        </w:rPr>
      </w:pPr>
    </w:p>
    <w:p>
      <w:pPr>
        <w:jc w:val="both"/>
        <w:ind w:firstLine="656"/>
        <w:spacing w:after="0" w:line="268" w:lineRule="auto"/>
        <w:tabs>
          <w:tab w:leader="none" w:pos="1117"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agrees,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make loans in Dollars or in Canadian Dollars from time to time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each requesting Borrower, in each case, on a several basis,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Outstandings shall not exceed the Aggregate Commitments, and (ii) the aggregate Outstanding Amount of the Committed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Canadian BA’s (or Canadian BA Equivalent Loans) accepted from PMCULC shall not exceed such Lender’s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Swing Line Loan. Within the foregoing limits, and subject to the other terms and conditions hereof, each requesting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Swing Line Loans may be Base Rate Loans, Canadian Prime Rate Loans or Eurocurrency Rate Loans. Immediately upon the making of a Swing Line Loan to a Borrower,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656"/>
        <w:spacing w:after="0" w:line="283" w:lineRule="auto"/>
        <w:tabs>
          <w:tab w:leader="none" w:pos="1127"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a Borrower’s irrevocable notice to the Swing Line Lender and the Administrative Agent, which may be given by (A) telephone, or (B) a Swing Line Loan Notice; provided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$1,000,000 (with respect to Swing Line Loans denominated in Dollars) or C$1,000,000 (with respect to Swing Line Loans denominated in Canadian Dollars), (ii) whether such Swing Line Loan is a Base Rate Loan, a Canadian Prime Rate Loan or a Eurocurrency Rate Loan (and if a Eurocurrency Rate Loan, either (x) the applicable Interest Period thereof or (y) that the daily floating Eurocurrency Rate provided in clause (b) of the definition thereof shall apply), (iii) the requested borrowing date, which shall be a Business Day and (iv) the currency of the Swing Line Loan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firstLine="8"/>
        <w:spacing w:after="0" w:line="268" w:lineRule="auto"/>
        <w:tabs>
          <w:tab w:leader="none" w:pos="28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that it believes in good faith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Swing Line Lender will, not later than 3:00 p.m., in the case of any Swing Line Loan denominated in Dollars, and not later than the Applicable Time specified by the Administrative Agent in the case of any Swing Line Loan in Canadian Dollars, in each case on the borrowing date specified in such Swing Line Loan Notice, make the amount of its Swing Line Loan available to such Borrower, at such Borrower’s election, either by (i) crediting the account of such Borrower on the books of Bank of America with the amount of such funds or (ii) wire transfer of such funds, in each case in accordance with instructions provided to the Administrative Agent by such Borrower as set forth in the Swing Line Loan Notice.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9" w:name="page250"/>
    <w:bookmarkEnd w:id="249"/>
    <w:p>
      <w:pPr>
        <w:ind w:left="464" w:hanging="464"/>
        <w:spacing w:after="0"/>
        <w:tabs>
          <w:tab w:leader="none" w:pos="46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6" w:lineRule="auto"/>
        <w:tabs>
          <w:tab w:leader="none" w:pos="111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applicable Borrower (which hereby irrevocably authorizes the Swing Line Lender to so request on its behalf), that each Lender make a Base Rate Committed Loan (with respect to Swing Line Loans denominated in Dollars) or a Canadian Prime Rate Loan (with respect to Swing Line Loans denominated in Canadian Dollars), in each case, in an amount equal to such Lender’s Applicable Percentage of the amount of Swing Line Loans denominated in such currency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or Canadian Prime Rate Loans, but subject to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Base Rate Committed Loan (with respect Swing Line Loans denominated in Dollars) or Canadian Prime Rate Loan (with respect Swing Line Loans denominated in Canadian Dollars) to the applicable Borrower in such amount. The Administrative Agent shall remit the funds so received to the Swing Line Lender.</w:t>
      </w:r>
    </w:p>
    <w:p>
      <w:pPr>
        <w:spacing w:after="0" w:line="167" w:lineRule="exact"/>
        <w:rPr>
          <w:rFonts w:ascii="Arial" w:cs="Arial" w:eastAsia="Arial" w:hAnsi="Arial"/>
          <w:sz w:val="16"/>
          <w:szCs w:val="16"/>
          <w:color w:val="auto"/>
        </w:rPr>
      </w:pPr>
    </w:p>
    <w:p>
      <w:pPr>
        <w:ind w:left="1124" w:hanging="476"/>
        <w:spacing w:after="0"/>
        <w:tabs>
          <w:tab w:leader="none" w:pos="112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Committed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jc w:val="both"/>
        <w:ind w:left="4" w:hanging="4"/>
        <w:spacing w:after="0" w:line="273" w:lineRule="auto"/>
        <w:tabs>
          <w:tab w:leader="none" w:pos="238" w:val="left"/>
        </w:tabs>
        <w:numPr>
          <w:ilvl w:val="0"/>
          <w:numId w:val="250"/>
        </w:numPr>
        <w:rPr>
          <w:rFonts w:ascii="Arial" w:cs="Arial" w:eastAsia="Arial" w:hAnsi="Arial"/>
          <w:sz w:val="17"/>
          <w:szCs w:val="17"/>
          <w:u w:val="single" w:color="auto"/>
          <w:color w:val="auto"/>
        </w:rPr>
      </w:pPr>
      <w:r>
        <w:rPr>
          <w:rFonts w:ascii="Arial" w:cs="Arial" w:eastAsia="Arial" w:hAnsi="Arial"/>
          <w:sz w:val="17"/>
          <w:szCs w:val="17"/>
          <w:color w:val="auto"/>
        </w:rPr>
        <w:t xml:space="preserve">or pursuant to a Borrowing requested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as the case may be, the request for Base Rate Committed Loans or Canadian Prime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76" w:lineRule="exact"/>
        <w:rPr>
          <w:rFonts w:ascii="Arial" w:cs="Arial" w:eastAsia="Arial" w:hAnsi="Arial"/>
          <w:sz w:val="17"/>
          <w:szCs w:val="17"/>
          <w:u w:val="single" w:color="auto"/>
          <w:color w:val="auto"/>
        </w:rPr>
      </w:pPr>
    </w:p>
    <w:p>
      <w:pPr>
        <w:jc w:val="both"/>
        <w:ind w:left="4" w:firstLine="644"/>
        <w:spacing w:after="0" w:line="269" w:lineRule="auto"/>
        <w:tabs>
          <w:tab w:leader="none" w:pos="114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applicable Overnight Rate from time to time in effect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portion thereof equal to such Lender’s Applicable Percentage of the Outstanding Amount of all Swing Line Loans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39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0" w:name="page251"/>
    <w:bookmarkEnd w:id="250"/>
    <w:p>
      <w:pPr>
        <w:jc w:val="both"/>
        <w:ind w:left="660" w:firstLine="644"/>
        <w:spacing w:after="0" w:line="272" w:lineRule="auto"/>
        <w:tabs>
          <w:tab w:leader="none" w:pos="1793" w:val="left"/>
        </w:tabs>
        <w:numPr>
          <w:ilvl w:val="1"/>
          <w:numId w:val="251"/>
        </w:numPr>
        <w:rPr>
          <w:rFonts w:ascii="Arial" w:cs="Arial" w:eastAsia="Arial" w:hAnsi="Arial"/>
          <w:sz w:val="17"/>
          <w:szCs w:val="17"/>
          <w:color w:val="auto"/>
        </w:rPr>
      </w:pPr>
      <w:r>
        <w:rPr>
          <w:rFonts w:ascii="Arial" w:cs="Arial" w:eastAsia="Arial" w:hAnsi="Arial"/>
          <w:sz w:val="17"/>
          <w:szCs w:val="17"/>
          <w:color w:val="auto"/>
        </w:rPr>
        <w:t xml:space="preserve">Each Lender’s obligation to make Committed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Company, PMCULC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Committed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Company to repay Swing Line Loans, together with interest as provided herein.</w:t>
      </w:r>
    </w:p>
    <w:p>
      <w:pPr>
        <w:spacing w:after="0" w:line="177" w:lineRule="exact"/>
        <w:rPr>
          <w:rFonts w:ascii="Arial" w:cs="Arial" w:eastAsia="Arial" w:hAnsi="Arial"/>
          <w:sz w:val="17"/>
          <w:szCs w:val="17"/>
          <w:color w:val="auto"/>
        </w:rPr>
      </w:pPr>
    </w:p>
    <w:p>
      <w:pPr>
        <w:ind w:left="1140" w:hanging="484"/>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86" w:lineRule="exact"/>
        <w:rPr>
          <w:rFonts w:ascii="Arial" w:cs="Arial" w:eastAsia="Arial" w:hAnsi="Arial"/>
          <w:sz w:val="18"/>
          <w:szCs w:val="18"/>
          <w:color w:val="auto"/>
        </w:rPr>
      </w:pPr>
    </w:p>
    <w:p>
      <w:pPr>
        <w:jc w:val="both"/>
        <w:ind w:left="660" w:firstLine="644"/>
        <w:spacing w:after="0" w:line="293" w:lineRule="auto"/>
        <w:tabs>
          <w:tab w:leader="none" w:pos="1775"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payment Obligations and the termination of this Agreement.</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applicable Borrower for interest on the Swing Line Loans. Until each Lender funds its Base Rate Committed Loan or Canadian Prime Rate Committed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86" w:lineRule="exact"/>
        <w:rPr>
          <w:rFonts w:ascii="Arial" w:cs="Arial" w:eastAsia="Arial" w:hAnsi="Arial"/>
          <w:sz w:val="18"/>
          <w:szCs w:val="18"/>
          <w:color w:val="auto"/>
        </w:rPr>
      </w:pPr>
    </w:p>
    <w:p>
      <w:pPr>
        <w:ind w:firstLine="656"/>
        <w:spacing w:after="0" w:line="277" w:lineRule="auto"/>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applicable Borrower shall make all payments of principal and interest in respect of the Swing Line Loans directly to the Swing Line Lender.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660"/>
        <w:spacing w:after="0"/>
        <w:tabs>
          <w:tab w:leader="none" w:pos="11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p>
    <w:p>
      <w:pPr>
        <w:spacing w:after="0" w:line="229" w:lineRule="exact"/>
        <w:rPr>
          <w:sz w:val="20"/>
          <w:szCs w:val="20"/>
          <w:color w:val="auto"/>
        </w:rPr>
      </w:pPr>
    </w:p>
    <w:p>
      <w:pPr>
        <w:jc w:val="both"/>
        <w:ind w:firstLine="656"/>
        <w:spacing w:after="0" w:line="267" w:lineRule="auto"/>
        <w:tabs>
          <w:tab w:leader="none" w:pos="111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Each Borrower may, upon notice from such Borrower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12:00 p.m. (A) three (with respect to Committed Loans denominated in Canadian Dollars) or two (with respect to Committed Loans denominated in Dollars) Business Days prior to any date of prepayment of Eurocurrency Rate Committed Loans and (B) on the date of prepayment of Base Rate Committed Loans or Canadian Prime Rate Loans; (ii) any prepayment of Eurocurrency Rate Committed Loans denominated in Dollars shall be in a principal amount of $2,500,000 or a whole multiple of $250,000 in excess thereof; (iii) any prepayment of Eurocurrency Rate Loans denominated in Canadian Dollars shall be in a minimum principal amount of C$2,500,000 or a whole multiple of C$500,000 in excess thereof, (iv) any prepayment of Base Rate Committed Loans shall be in a principal amount of $250,000 or a whole multiple of $50,000 in excess thereof and (v) any prepayment of Canadian Prime Rate Loans shall be in a principal amount of C$250,000 or a whole multiple of C$50,000 in excess thereof, or, in each case, if less, the entire principal amount thereof then outstanding. Each such notice shall specify the date and amount of such prepayment and the Type(s) of Committed Loans to be prepaid and, if Eurocurrency Rate Committed Loans are to be prepaid, the Interest Period(s) of such Loans. The Administrative Agent will promptly notify each Lender of its receipt of each such notice, and of the amount of such Lender’s Applicable Percentage of such prepayment. If such notice is given by a Borrower, such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delivered by such Borrower may state that such notice is conditioned upon the effectiveness of other credit facilities or the closing of a securities offering, and the receipt of proceeds thereunder, in which case such notice may be revoked by such Borrower (by notice to the Administrative Agent on or prior to the specified effective date) if such conditions are not satisfied.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such prepayment shall be applied to the Committed Loans of the Lenders in accordance with their respective Applicable Percentages. No Canadian BA may be prepaid except by depositing the full face amount of such Canadian BA with the Administrative Agent in accordance with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2.01A</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firstLine="656"/>
        <w:spacing w:after="0" w:line="275" w:lineRule="auto"/>
        <w:tabs>
          <w:tab w:leader="none" w:pos="112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Each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176" w:lineRule="exact"/>
        <w:rPr>
          <w:rFonts w:ascii="Arial" w:cs="Arial" w:eastAsia="Arial" w:hAnsi="Arial"/>
          <w:sz w:val="17"/>
          <w:szCs w:val="17"/>
          <w:color w:val="auto"/>
        </w:rPr>
      </w:pPr>
    </w:p>
    <w:p>
      <w:pPr>
        <w:jc w:val="both"/>
        <w:ind w:firstLine="656"/>
        <w:spacing w:after="0" w:line="275" w:lineRule="auto"/>
        <w:tabs>
          <w:tab w:leader="none" w:pos="111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If for any reason the Outstanding Amount of all Loans, all L/C Obligations and all Canadian BA’s of any Borrower at any time exceeds such Borrower’s Collateral Value, such Borrower shall immediately upon demand prepay Loans to such Borrower and/or Cash Collateralize the L/C Obligations or Canadian BA’s of such Borrower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Borrower shall not be required to Cash Collateralize the L/C Obligations or Canadian BA’s pursuant to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unless after the prepayment in full of the Committed Loans and Swing Line Loans to such Borrower, the Total Outstandings exceed the Aggregate Commitments then in effect.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656"/>
        <w:spacing w:after="0" w:line="273" w:lineRule="auto"/>
        <w:tabs>
          <w:tab w:leader="none" w:pos="112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If for any reason the Total Outstandings at any time exceed an amount equal to 105% of the Aggregate Commitments then in effect, then each Borrower, as applicable, shall immediately upon demand prepay Loans made to such Borrower denominated in Canadian Dollars and/or Cash Collateralize L/C Obligations of such Borrower in Canadian Dollars and/or Canadian BA’s issued by such Borrower in an aggregate amount for all Borrowers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Borrower shall be required to Cash Collateralize L/C Obligations denominated in Canadian Dollars or Canadian BA’s pursuant to this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unless after the prepayment in full of the Committed Loans and Swing Line Loans denominated in Canadian Dollars, the Total Outstandings exceed the Aggregate Commitments.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2.06 Termination or Reduction of Commitments</w:t>
      </w:r>
      <w:r>
        <w:rPr>
          <w:rFonts w:ascii="Arial" w:cs="Arial" w:eastAsia="Arial" w:hAnsi="Arial"/>
          <w:sz w:val="16"/>
          <w:szCs w:val="16"/>
          <w:color w:val="auto"/>
        </w:rPr>
        <w:t>. The Company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Letter of Credit Sublimit or the Swing Line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p>
    <w:p>
      <w:pPr>
        <w:spacing w:after="0" w:line="229" w:lineRule="exact"/>
        <w:rPr>
          <w:sz w:val="20"/>
          <w:szCs w:val="20"/>
          <w:color w:val="auto"/>
        </w:rPr>
      </w:pPr>
    </w:p>
    <w:p>
      <w:pPr>
        <w:ind w:right="20" w:firstLine="656"/>
        <w:spacing w:after="0" w:line="277" w:lineRule="auto"/>
        <w:tabs>
          <w:tab w:leader="none" w:pos="111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Borrower shall repay to the Lenders on the Maturity Date the aggregate principal amount of Committed Loans made to such Borrower outstanding on such date.</w:t>
      </w:r>
    </w:p>
    <w:p>
      <w:pPr>
        <w:spacing w:after="0" w:line="170" w:lineRule="exact"/>
        <w:rPr>
          <w:rFonts w:ascii="Arial" w:cs="Arial" w:eastAsia="Arial" w:hAnsi="Arial"/>
          <w:sz w:val="18"/>
          <w:szCs w:val="18"/>
          <w:color w:val="auto"/>
        </w:rPr>
      </w:pPr>
    </w:p>
    <w:p>
      <w:pPr>
        <w:jc w:val="both"/>
        <w:ind w:firstLine="656"/>
        <w:spacing w:after="0" w:line="301" w:lineRule="auto"/>
        <w:tabs>
          <w:tab w:leader="none" w:pos="112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Each Borrower shall repay each Swing Line Loan made to such Borrower on the earlier to occur of (i) the date ten Business Days after such Loan is made and (ii) the Maturity Date. At any time that there shall exist a Defaulting Lender, immediately upon the request of the Swing Line Lender, and after giving effect to </w:t>
      </w:r>
      <w:r>
        <w:rPr>
          <w:rFonts w:ascii="Arial" w:cs="Arial" w:eastAsia="Arial" w:hAnsi="Arial"/>
          <w:sz w:val="16"/>
          <w:szCs w:val="16"/>
          <w:u w:val="single" w:color="auto"/>
          <w:color w:val="auto"/>
        </w:rPr>
        <w:t>Section 2.18(a)(iv)</w:t>
      </w:r>
      <w:r>
        <w:rPr>
          <w:rFonts w:ascii="Arial" w:cs="Arial" w:eastAsia="Arial" w:hAnsi="Arial"/>
          <w:sz w:val="16"/>
          <w:szCs w:val="16"/>
          <w:color w:val="auto"/>
        </w:rPr>
        <w:t xml:space="preserve"> and any Cash Collateral then held by the Swing Line Lender, the Company shall repay the outstanding Swing Line Loans made by such Swing Line Lender in an amount sufficient to eliminate any Fronting Exposure in respect of such Swing Line Loans.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660"/>
        <w:spacing w:after="0"/>
        <w:tabs>
          <w:tab w:leader="none" w:pos="11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jc w:val="both"/>
        <w:ind w:firstLine="656"/>
        <w:spacing w:after="0" w:line="291" w:lineRule="auto"/>
        <w:tabs>
          <w:tab w:leader="none" w:pos="111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(i) each Eurocurrency Rate Committed Loan shall bear interest on the outstanding 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jc w:val="both"/>
        <w:ind w:firstLine="8"/>
        <w:spacing w:after="0" w:line="268" w:lineRule="auto"/>
        <w:tabs>
          <w:tab w:leader="none" w:pos="26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each Base Rate Committed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(iii) each Canadian Prime Rate Committed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(iv) each Eurocurrency Rate Swing Line Loan shall bear interest on the outstanding principal amount thereof for each Interest Period at a rate per annum equal to the daily floating Eurocurrency Rate provided in clause (b) of the definition thereof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(v) each Base Rate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(vi) each Canadian Prime Rate Swing Line Loan shall bear interest on the outstanding principal amount thereof from the applicable borrowing date at a rate per annum equal to the Canadian Prime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183" w:lineRule="exact"/>
        <w:rPr>
          <w:rFonts w:ascii="Arial" w:cs="Arial" w:eastAsia="Arial" w:hAnsi="Arial"/>
          <w:sz w:val="17"/>
          <w:szCs w:val="17"/>
          <w:color w:val="auto"/>
        </w:rPr>
      </w:pPr>
    </w:p>
    <w:p>
      <w:pPr>
        <w:jc w:val="both"/>
        <w:ind w:firstLine="656"/>
        <w:spacing w:after="0" w:line="263" w:lineRule="auto"/>
        <w:tabs>
          <w:tab w:leader="none" w:pos="112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775" w:val="left"/>
        </w:tabs>
        <w:numPr>
          <w:ilvl w:val="2"/>
          <w:numId w:val="257"/>
        </w:numPr>
        <w:rPr>
          <w:rFonts w:ascii="Arial" w:cs="Arial" w:eastAsia="Arial" w:hAnsi="Arial"/>
          <w:sz w:val="17"/>
          <w:szCs w:val="17"/>
          <w:color w:val="auto"/>
        </w:rPr>
      </w:pPr>
      <w:r>
        <w:rPr>
          <w:rFonts w:ascii="Arial" w:cs="Arial" w:eastAsia="Arial" w:hAnsi="Arial"/>
          <w:sz w:val="17"/>
          <w:szCs w:val="17"/>
          <w:color w:val="auto"/>
        </w:rPr>
        <w:t>If any amount (other than principal of any Loan) payable by any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5" w:lineRule="exact"/>
        <w:rPr>
          <w:rFonts w:ascii="Arial" w:cs="Arial" w:eastAsia="Arial" w:hAnsi="Arial"/>
          <w:sz w:val="17"/>
          <w:szCs w:val="17"/>
          <w:color w:val="auto"/>
        </w:rPr>
      </w:pPr>
    </w:p>
    <w:p>
      <w:pPr>
        <w:ind w:left="660" w:firstLine="644"/>
        <w:spacing w:after="0" w:line="308" w:lineRule="auto"/>
        <w:tabs>
          <w:tab w:leader="none" w:pos="1803" w:val="left"/>
        </w:tabs>
        <w:numPr>
          <w:ilvl w:val="2"/>
          <w:numId w:val="257"/>
        </w:numPr>
        <w:rPr>
          <w:rFonts w:ascii="Arial" w:cs="Arial" w:eastAsia="Arial" w:hAnsi="Arial"/>
          <w:sz w:val="17"/>
          <w:szCs w:val="17"/>
          <w:color w:val="auto"/>
        </w:rPr>
      </w:pPr>
      <w:r>
        <w:rPr>
          <w:rFonts w:ascii="Arial" w:cs="Arial" w:eastAsia="Arial" w:hAnsi="Arial"/>
          <w:sz w:val="17"/>
          <w:szCs w:val="17"/>
          <w:color w:val="auto"/>
        </w:rPr>
        <w:t>During any Default Rate Period, the Borrowers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17"/>
          <w:szCs w:val="17"/>
          <w:color w:val="auto"/>
        </w:rPr>
      </w:pPr>
    </w:p>
    <w:p>
      <w:pPr>
        <w:ind w:left="1780" w:hanging="476"/>
        <w:spacing w:after="0"/>
        <w:tabs>
          <w:tab w:leader="none" w:pos="1780" w:val="left"/>
        </w:tabs>
        <w:numPr>
          <w:ilvl w:val="2"/>
          <w:numId w:val="25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11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2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rates of interest stipulated herein are intended to be nominal rates and not effective rates or yields.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660"/>
        <w:spacing w:after="0"/>
        <w:tabs>
          <w:tab w:leader="none" w:pos="116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Each Borrower shall pay to the Administrative Agent for the account of each Lender in accordance with its Applicable Percentage, a commitment fee in Dollars equal to (A) fifty percent (50%) times (B) (1)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(2) the actual daily amount by which the Aggregate Commitments exceed the sum of (i) the Outstanding Amount of all Committed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Outstanding Amount of all Canadian Bankers’ Acceptances, subject to adjustment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2" w:lineRule="exact"/>
        <w:rPr>
          <w:sz w:val="20"/>
          <w:szCs w:val="20"/>
          <w:color w:val="auto"/>
        </w:rPr>
      </w:pPr>
    </w:p>
    <w:p>
      <w:pPr>
        <w:ind w:left="1760" w:hanging="456"/>
        <w:spacing w:after="0"/>
        <w:tabs>
          <w:tab w:leader="none" w:pos="17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3" w:lineRule="auto"/>
        <w:tabs>
          <w:tab w:leader="none" w:pos="174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shall pay to the Arrangers and the Administrative Agent for their own respective accounts in Dollars fees in the amounts and at the times specified in their respective Fee Letters. Such fees shall be fully earned when paid and shall not be refundable for any reason whatsoever, except as expressly set forth therein.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between the Company and the Administrative Agent and/or Lenders, as the case may be, in writing in the amounts and at the times so specified. Such fees shall be fully earned when paid and shall not be refundable for any reason whatsoever, except as expressly agreed to in writing.</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2.10 Computation of Interest and Fees</w:t>
      </w:r>
      <w:r>
        <w:rPr>
          <w:rFonts w:ascii="Arial" w:cs="Arial" w:eastAsia="Arial" w:hAnsi="Arial"/>
          <w:sz w:val="16"/>
          <w:szCs w:val="16"/>
          <w:color w:val="auto"/>
        </w:rPr>
        <w:t>. All computations of interest for Base Rate Loans (including Base Rate Loans determined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Eurocurrency Rate) and Canadian Prime Rate Loans and Eurocurrency Rate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660"/>
        <w:spacing w:after="0"/>
        <w:tabs>
          <w:tab w:leader="none" w:pos="11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11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the Borrowers hereunder to pay any amount owing on their respective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Committed Loan Note and/or a Swing Line Note, as applicable,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68" w:lineRule="exact"/>
        <w:rPr>
          <w:rFonts w:ascii="Arial" w:cs="Arial" w:eastAsia="Arial" w:hAnsi="Arial"/>
          <w:sz w:val="16"/>
          <w:szCs w:val="16"/>
          <w:color w:val="auto"/>
        </w:rPr>
      </w:pPr>
    </w:p>
    <w:p>
      <w:pPr>
        <w:jc w:val="both"/>
        <w:ind w:firstLine="656"/>
        <w:spacing w:after="0" w:line="279" w:lineRule="auto"/>
        <w:tabs>
          <w:tab w:leader="none" w:pos="112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117"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Lenders to which such payment is owed, at the applicable Administrative Agent’s Office in Canadian Dollars and in Same Day Funds not later than the Applicable Time specified by the Administrative Agent on the dates specified herein. If, for any reason, any Borrower is prohibited by any Law from making any required payment hereunder in Canadian Dollars, such Borrower shall make such payment in Dollars in the Dollar Equivalent of the Canadian Dollars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both"/>
        <w:ind w:left="-460" w:firstLine="644"/>
        <w:spacing w:after="0" w:line="285" w:lineRule="auto"/>
        <w:tabs>
          <w:tab w:leader="none" w:pos="53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or Canadian Prime Rate Loans prior to 1:00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or Canadian Prime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or Canadian Prime Rate Loans, as applicable. If such Borrower and such Lender shall pay such principal or interest to the Administrative Agent for the same or an overlapping period, the Administrative Agent shall promptly remit to such Borrower the amount of such principal and interest paid by such Borrower for such period. If such Lender pays its share of the applicable Committed Borrowing to the Administrative Agent, then the amount so paid (excluding interest and fees as aforesaid)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69" w:lineRule="exact"/>
        <w:rPr>
          <w:sz w:val="20"/>
          <w:szCs w:val="20"/>
          <w:color w:val="auto"/>
        </w:rPr>
      </w:pPr>
    </w:p>
    <w:p>
      <w:pPr>
        <w:jc w:val="both"/>
        <w:ind w:left="-460" w:firstLine="644"/>
        <w:spacing w:after="0" w:line="257" w:lineRule="auto"/>
        <w:tabs>
          <w:tab w:leader="none" w:pos="655"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the applicable L/C Issuers, as the case may be, the amount due.</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7" w:name="page258"/>
    <w:bookmarkEnd w:id="257"/>
    <w:p>
      <w:pPr>
        <w:jc w:val="both"/>
        <w:ind w:left="660" w:firstLine="644"/>
        <w:spacing w:after="0" w:line="270" w:lineRule="auto"/>
        <w:tabs>
          <w:tab w:leader="none" w:pos="180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“Rescindable Amount”):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0" w:lineRule="exact"/>
        <w:rPr>
          <w:rFonts w:ascii="Arial" w:cs="Arial" w:eastAsia="Arial" w:hAnsi="Arial"/>
          <w:sz w:val="17"/>
          <w:szCs w:val="17"/>
          <w:color w:val="auto"/>
        </w:rPr>
      </w:pPr>
    </w:p>
    <w:p>
      <w:pPr>
        <w:ind w:left="660" w:right="20" w:firstLine="644"/>
        <w:spacing w:after="0" w:line="277" w:lineRule="auto"/>
        <w:tabs>
          <w:tab w:leader="none" w:pos="179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 notice of the Administrative Agent to any Lender or Borrower with respect to any amount owing under this subsection (b) shall be conclusive, absent manifest error.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117"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127"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Obligations of Lenders and L/C Issuers Several</w:t>
      </w:r>
      <w:r>
        <w:rPr>
          <w:rFonts w:ascii="Arial" w:cs="Arial" w:eastAsia="Arial" w:hAnsi="Arial"/>
          <w:sz w:val="18"/>
          <w:szCs w:val="18"/>
          <w:color w:val="auto"/>
        </w:rPr>
        <w:t xml:space="preserve">. The obligations of (i) the Lenders hereunder to make Committed Loans, to fund participations in Letters of Credit and Swing Line Loans and to make payments pursuant to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and (ii) the L/C Issuers hereunder to issue (and to renew, amend or extend) Letters of Credit, are in each case several and not joint. The failure of (i) any Lender to make any Committed Loan, to fund any such participation or to make any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or (ii) any L/C Issuer to issue (or renew, amend or extend) any Letter of Credit, on any date required hereunder shall not in either case relieve any other Lender or L/C Issuer, as applicable, of its corresponding obligation to do so on such date, and (x)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11.04(d)</w:t>
      </w:r>
      <w:r>
        <w:rPr>
          <w:rFonts w:ascii="Arial" w:cs="Arial" w:eastAsia="Arial" w:hAnsi="Arial"/>
          <w:sz w:val="18"/>
          <w:szCs w:val="18"/>
          <w:color w:val="auto"/>
        </w:rPr>
        <w:t>, and (y) no L/C Issuer shall be responsible for the failure of any other L/C Issuer to so issue (or renew, amend or extend) any such Letter of Credit.</w:t>
      </w:r>
    </w:p>
    <w:p>
      <w:pPr>
        <w:spacing w:after="0" w:line="191" w:lineRule="exact"/>
        <w:rPr>
          <w:rFonts w:ascii="Arial" w:cs="Arial" w:eastAsia="Arial" w:hAnsi="Arial"/>
          <w:sz w:val="18"/>
          <w:szCs w:val="18"/>
          <w:color w:val="auto"/>
        </w:rPr>
      </w:pPr>
    </w:p>
    <w:p>
      <w:pPr>
        <w:ind w:right="20" w:firstLine="656"/>
        <w:spacing w:after="0" w:line="308" w:lineRule="auto"/>
        <w:tabs>
          <w:tab w:leader="none" w:pos="1117"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648"/>
        <w:spacing w:after="0" w:line="291" w:lineRule="auto"/>
        <w:rPr>
          <w:sz w:val="20"/>
          <w:szCs w:val="20"/>
          <w:color w:val="auto"/>
        </w:rPr>
      </w:pPr>
      <w:r>
        <w:rPr>
          <w:rFonts w:ascii="Arial" w:cs="Arial" w:eastAsia="Arial" w:hAnsi="Arial"/>
          <w:sz w:val="16"/>
          <w:szCs w:val="16"/>
          <w:b w:val="1"/>
          <w:bCs w:val="1"/>
          <w:color w:val="auto"/>
        </w:rPr>
        <w:t>2.13 Sharing of Payments by Lenders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11.08</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Defaulting Lender, if any Lender shall, by exercising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 of setoff or counterclaim or otherwise, obtain payment in respect of any principal of or interest on any of the Committed Loans made by it or Canadian BA’s accepted by it, or the participations in L/C Obligations or in Swing Line Loans held by it resulting in such Lender’s receiving payment of a proportion of the aggregate amount of such Committed Loans or participations and accrued interest thereon greater than its Applicable Percentage thereof as provided herein, then the Lender receiving such greater proportion shall (a) notify the Administrative Agent of such fact, and (b) purchase (for cash at face value) participations in the Committed Loans and Canadian BA’s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3" w:lineRule="exact"/>
        <w:rPr>
          <w:sz w:val="20"/>
          <w:szCs w:val="20"/>
          <w:color w:val="auto"/>
        </w:rPr>
      </w:pPr>
    </w:p>
    <w:p>
      <w:pPr>
        <w:ind w:left="660" w:firstLine="644"/>
        <w:spacing w:after="0" w:line="342" w:lineRule="auto"/>
        <w:tabs>
          <w:tab w:leader="none" w:pos="174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jc w:val="both"/>
        <w:ind w:left="660" w:firstLine="644"/>
        <w:spacing w:after="0" w:line="291" w:lineRule="auto"/>
        <w:tabs>
          <w:tab w:leader="none" w:pos="177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660" w:hanging="4"/>
        <w:spacing w:after="0" w:line="253" w:lineRule="auto"/>
        <w:tabs>
          <w:tab w:leader="none" w:pos="916" w:val="left"/>
        </w:tabs>
        <w:numPr>
          <w:ilvl w:val="0"/>
          <w:numId w:val="269"/>
        </w:numPr>
        <w:rPr>
          <w:rFonts w:ascii="Arial" w:cs="Arial" w:eastAsia="Arial" w:hAnsi="Arial"/>
          <w:sz w:val="18"/>
          <w:szCs w:val="18"/>
          <w:color w:val="191919"/>
        </w:rPr>
      </w:pPr>
      <w:r>
        <w:rPr>
          <w:rFonts w:ascii="Arial" w:cs="Arial" w:eastAsia="Arial" w:hAnsi="Arial"/>
          <w:sz w:val="18"/>
          <w:szCs w:val="18"/>
          <w:color w:val="191919"/>
        </w:rPr>
        <w:t xml:space="preserve">the application of Cash Collateral provided for in </w:t>
      </w:r>
      <w:r>
        <w:rPr>
          <w:rFonts w:ascii="Arial" w:cs="Arial" w:eastAsia="Arial" w:hAnsi="Arial"/>
          <w:sz w:val="18"/>
          <w:szCs w:val="18"/>
          <w:u w:val="single" w:color="auto"/>
          <w:color w:val="191919"/>
        </w:rPr>
        <w:t>Section 2.16</w:t>
      </w:r>
      <w:r>
        <w:rPr>
          <w:rFonts w:ascii="Arial" w:cs="Arial" w:eastAsia="Arial" w:hAnsi="Arial"/>
          <w:sz w:val="18"/>
          <w:szCs w:val="18"/>
          <w:color w:val="191919"/>
        </w:rPr>
        <w:t xml:space="preserve">, or (z) </w:t>
      </w:r>
      <w:r>
        <w:rPr>
          <w:rFonts w:ascii="Arial" w:cs="Arial" w:eastAsia="Arial" w:hAnsi="Arial"/>
          <w:sz w:val="18"/>
          <w:szCs w:val="18"/>
          <w:color w:val="000000"/>
        </w:rPr>
        <w:t>any payment obtained by a Lender as consideration for the assignment of</w:t>
      </w:r>
      <w:r>
        <w:rPr>
          <w:rFonts w:ascii="Arial" w:cs="Arial" w:eastAsia="Arial" w:hAnsi="Arial"/>
          <w:sz w:val="18"/>
          <w:szCs w:val="18"/>
          <w:color w:val="191919"/>
        </w:rPr>
        <w:t xml:space="preserve"> </w:t>
      </w:r>
      <w:r>
        <w:rPr>
          <w:rFonts w:ascii="Arial" w:cs="Arial" w:eastAsia="Arial" w:hAnsi="Arial"/>
          <w:sz w:val="18"/>
          <w:szCs w:val="18"/>
          <w:color w:val="000000"/>
        </w:rPr>
        <w:t>or sale of a participation in any of its Committed Loans or Canadian BA’s or subparticipations in L/C Obligations or Swing Line Loans to any permitted assignee or participant, other than an assignment to the Company or any Subsidiary thereof (as to which the provisions of this Section shall apply).</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Extension of Maturity Date.</w:t>
      </w:r>
    </w:p>
    <w:p>
      <w:pPr>
        <w:spacing w:after="0" w:line="229" w:lineRule="exact"/>
        <w:rPr>
          <w:sz w:val="20"/>
          <w:szCs w:val="20"/>
          <w:color w:val="auto"/>
        </w:rPr>
      </w:pPr>
    </w:p>
    <w:p>
      <w:pPr>
        <w:jc w:val="both"/>
        <w:ind w:firstLine="656"/>
        <w:spacing w:after="0" w:line="259" w:lineRule="auto"/>
        <w:tabs>
          <w:tab w:leader="none" w:pos="1117"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once each calendar year during the Availability Period, by notice to the Administrative Agent (who 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186" w:lineRule="exact"/>
        <w:rPr>
          <w:rFonts w:ascii="Arial" w:cs="Arial" w:eastAsia="Arial" w:hAnsi="Arial"/>
          <w:sz w:val="18"/>
          <w:szCs w:val="18"/>
          <w:color w:val="auto"/>
        </w:rPr>
      </w:pPr>
    </w:p>
    <w:p>
      <w:pPr>
        <w:jc w:val="both"/>
        <w:ind w:firstLine="656"/>
        <w:spacing w:after="0" w:line="272" w:lineRule="auto"/>
        <w:tabs>
          <w:tab w:leader="none" w:pos="1127"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Lender Elections to Extend</w:t>
      </w:r>
      <w:r>
        <w:rPr>
          <w:rFonts w:ascii="Arial" w:cs="Arial" w:eastAsia="Arial" w:hAnsi="Arial"/>
          <w:sz w:val="17"/>
          <w:szCs w:val="17"/>
          <w:color w:val="auto"/>
        </w:rPr>
        <w:t>. Each Lender, acting in its sole and individual discretion, shall, by notice to the Administrative Agent given not later than the date (the “</w:t>
      </w:r>
      <w:r>
        <w:rPr>
          <w:rFonts w:ascii="Arial" w:cs="Arial" w:eastAsia="Arial" w:hAnsi="Arial"/>
          <w:sz w:val="17"/>
          <w:szCs w:val="17"/>
          <w:u w:val="single" w:color="auto"/>
          <w:color w:val="auto"/>
        </w:rPr>
        <w:t>Notice Date</w:t>
      </w:r>
      <w:r>
        <w:rPr>
          <w:rFonts w:ascii="Arial" w:cs="Arial" w:eastAsia="Arial" w:hAnsi="Arial"/>
          <w:sz w:val="17"/>
          <w:szCs w:val="17"/>
          <w:color w:val="auto"/>
        </w:rPr>
        <w:t>”) that is 15 days after the date of the Company’s notice to the Administrative Agent under subsection (a) above, advise the Administrative Agent (and the Administrative Agent shall upon the Company’s request prior to the Notice Date advise the Company as to Lenders’ responses) whether or not such Lender agrees to such extension, and each Lender that determines not to so extend its Maturity Date (a “</w:t>
      </w:r>
      <w:r>
        <w:rPr>
          <w:rFonts w:ascii="Arial" w:cs="Arial" w:eastAsia="Arial" w:hAnsi="Arial"/>
          <w:sz w:val="17"/>
          <w:szCs w:val="17"/>
          <w:u w:val="single" w:color="auto"/>
          <w:color w:val="auto"/>
        </w:rPr>
        <w:t>Non-Extending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shall notify the Administrative Agent of such fact promptly after such determination (but in any event no later than the Notice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so advise the Administrative Agent on or before the Notice Date shall be deemed to be a Non-Extending Lender. The election of any Lender to agree to such extension shall not obligate any other Lender to so agree.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firstLine="656"/>
        <w:spacing w:after="0" w:line="277" w:lineRule="auto"/>
        <w:tabs>
          <w:tab w:leader="none" w:pos="1117"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Notification by the Administrative Agent</w:t>
      </w:r>
      <w:r>
        <w:rPr>
          <w:rFonts w:ascii="Arial" w:cs="Arial" w:eastAsia="Arial" w:hAnsi="Arial"/>
          <w:sz w:val="18"/>
          <w:szCs w:val="18"/>
          <w:color w:val="auto"/>
        </w:rPr>
        <w:t>. The Administrative Agent shall notify the Company of each Lender’s determination under this Section on the Notice Date (or, if such date is not a Business Day, on the next following Business Day).</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12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Additional Commitment Lenders</w:t>
      </w:r>
      <w:r>
        <w:rPr>
          <w:rFonts w:ascii="Arial" w:cs="Arial" w:eastAsia="Arial" w:hAnsi="Arial"/>
          <w:sz w:val="16"/>
          <w:szCs w:val="16"/>
          <w:color w:val="auto"/>
        </w:rPr>
        <w:t xml:space="preserve">. The Company shall have the right, both before and after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replace any Non-Extending Lender (with respect to all or any portion of its Commitment) with, and add as “Lenders” under this Agreement in place thereof, one or more Eligible Assignees (each such Eligible Assignee replacing a Non-Extending Lender on or before the effectiveness of a requested extension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an “</w:t>
      </w:r>
      <w:r>
        <w:rPr>
          <w:rFonts w:ascii="Arial" w:cs="Arial" w:eastAsia="Arial" w:hAnsi="Arial"/>
          <w:sz w:val="16"/>
          <w:szCs w:val="16"/>
          <w:u w:val="single" w:color="auto"/>
          <w:color w:val="auto"/>
        </w:rPr>
        <w:t>Additional Commitment Lender</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Additional Commitment Lender shall enter into an Assignment and Assumption pursuant to which such Additional Commitment Lender shall, effective as of the effectiveness of such requested extension, undertake a Commitment (and, if any such Additional Commitment Lender is a Lender on the effective date referenced in the immediately succeeding clause (e),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166" w:lineRule="exact"/>
        <w:rPr>
          <w:rFonts w:ascii="Arial" w:cs="Arial" w:eastAsia="Arial" w:hAnsi="Arial"/>
          <w:sz w:val="16"/>
          <w:szCs w:val="16"/>
          <w:color w:val="auto"/>
        </w:rPr>
      </w:pPr>
    </w:p>
    <w:p>
      <w:pPr>
        <w:jc w:val="both"/>
        <w:ind w:firstLine="656"/>
        <w:spacing w:after="0" w:line="270" w:lineRule="auto"/>
        <w:tabs>
          <w:tab w:leader="none" w:pos="1117"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Minimum Extension Requirement</w:t>
      </w:r>
      <w:r>
        <w:rPr>
          <w:rFonts w:ascii="Arial" w:cs="Arial" w:eastAsia="Arial" w:hAnsi="Arial"/>
          <w:sz w:val="17"/>
          <w:szCs w:val="17"/>
          <w:color w:val="auto"/>
        </w:rPr>
        <w:t>. If (and only if) the total of the Commitments of the Lenders that have agreed so to extend their Maturity Date (each an “</w:t>
      </w:r>
      <w:r>
        <w:rPr>
          <w:rFonts w:ascii="Arial" w:cs="Arial" w:eastAsia="Arial" w:hAnsi="Arial"/>
          <w:sz w:val="17"/>
          <w:szCs w:val="17"/>
          <w:u w:val="single" w:color="auto"/>
          <w:color w:val="auto"/>
        </w:rPr>
        <w:t>Extending Lender</w:t>
      </w:r>
      <w:r>
        <w:rPr>
          <w:rFonts w:ascii="Arial" w:cs="Arial" w:eastAsia="Arial" w:hAnsi="Arial"/>
          <w:sz w:val="17"/>
          <w:szCs w:val="17"/>
          <w:color w:val="auto"/>
        </w:rPr>
        <w:t xml:space="preserve">”) and the additional Commitments of the Additional Commitment Lenders shall be more than 50% of the aggregate amount of the Commitments in effect on the Notice Date, then, subject to the conditions set forth in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effective as of the Notice Date, or such later date as the Administrative Agent and the Company shall agree, the Maturity Date of each Extending Lender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shall continue to have the right to replace any such Non-Extending Lender (with respect to all or any portion of its Commitment) following the effectiveness of any such extension as provided in </w:t>
      </w:r>
      <w:r>
        <w:rPr>
          <w:rFonts w:ascii="Arial" w:cs="Arial" w:eastAsia="Arial" w:hAnsi="Arial"/>
          <w:sz w:val="17"/>
          <w:szCs w:val="17"/>
          <w:u w:val="single" w:color="auto"/>
          <w:color w:val="auto"/>
        </w:rPr>
        <w:t>Section 2.14(d)</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both"/>
        <w:ind w:firstLine="656"/>
        <w:spacing w:after="0" w:line="288" w:lineRule="auto"/>
        <w:tabs>
          <w:tab w:leader="none" w:pos="1120"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Extensions</w:t>
      </w:r>
      <w:r>
        <w:rPr>
          <w:rFonts w:ascii="Arial" w:cs="Arial" w:eastAsia="Arial" w:hAnsi="Arial"/>
          <w:sz w:val="16"/>
          <w:szCs w:val="16"/>
          <w:color w:val="auto"/>
        </w:rPr>
        <w:t xml:space="preserve">. As a condition precedent to such extension, the Company shall deliver to the Administrative Agent a certificate dated as of the Notice Date signed by a Responsible Officer of the Company (i) certifying and attaching the resolutions adopted by the Company approving or consenting to such extension and (ii) certifying that, before and immediately after giving effect to such extension,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(2) any Loan Party in any other Loan Document are true and correct in all material respects on and as of the Notice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or Event of Default exists. In addition, on the Maturity Date of each Non-Extending Lender, each Borrower shall prepay the Loans made to such Borrower and outstanding on such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outstanding Loans ratable with any revised Applicable Percentages of the Lenders effective as of such date.</w:t>
      </w:r>
    </w:p>
    <w:p>
      <w:pPr>
        <w:spacing w:after="0" w:line="168" w:lineRule="exact"/>
        <w:rPr>
          <w:rFonts w:ascii="Arial" w:cs="Arial" w:eastAsia="Arial" w:hAnsi="Arial"/>
          <w:sz w:val="16"/>
          <w:szCs w:val="16"/>
          <w:color w:val="auto"/>
        </w:rPr>
      </w:pPr>
    </w:p>
    <w:p>
      <w:pPr>
        <w:ind w:left="1140" w:hanging="484"/>
        <w:spacing w:after="0"/>
        <w:tabs>
          <w:tab w:leader="none" w:pos="11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17"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Provided there exists no Default, upon (i) notice to the Administrative Agent (which shall promptly notify the Lenders) and (ii) substantially contemporaneous notice (with copy thereof to the Administrative Agent) to Eligible Assignees not then Lenders (each such Eligible Assignee, a “</w:t>
      </w:r>
      <w:r>
        <w:rPr>
          <w:rFonts w:ascii="Arial" w:cs="Arial" w:eastAsia="Arial" w:hAnsi="Arial"/>
          <w:sz w:val="17"/>
          <w:szCs w:val="17"/>
          <w:u w:val="single" w:color="auto"/>
          <w:color w:val="auto"/>
        </w:rPr>
        <w:t>Proposed Lender</w:t>
      </w:r>
      <w:r>
        <w:rPr>
          <w:rFonts w:ascii="Arial" w:cs="Arial" w:eastAsia="Arial" w:hAnsi="Arial"/>
          <w:sz w:val="17"/>
          <w:szCs w:val="17"/>
          <w:color w:val="auto"/>
        </w:rPr>
        <w:t xml:space="preserve">”), the Company shall have the right promptly to effectuate from time to time and at any time, in accordance with the terms hereof, an increase in the aggregate amount of the then Aggregate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 the aggregate amount of the Aggregate Commitments as so increased shall not at any time exceed $1,900,000,000, and (z) each such increase shall be in a minimum amount of $50,000,000. At the time of sending such notices, the Company (in consultation with the Administrative Agent) shall specify the time period within which each Lender and Proposed Lender is requested to respond (which shall in no event be less than five Business Days from the date of delivery of such notice to the Lenders, and which may be extended upon agreement by the Company and the Administrative Agent).</w:t>
      </w:r>
    </w:p>
    <w:p>
      <w:pPr>
        <w:spacing w:after="0" w:line="178" w:lineRule="exact"/>
        <w:rPr>
          <w:rFonts w:ascii="Arial" w:cs="Arial" w:eastAsia="Arial" w:hAnsi="Arial"/>
          <w:sz w:val="17"/>
          <w:szCs w:val="17"/>
          <w:color w:val="auto"/>
        </w:rPr>
      </w:pPr>
    </w:p>
    <w:p>
      <w:pPr>
        <w:jc w:val="both"/>
        <w:ind w:firstLine="656"/>
        <w:spacing w:after="0" w:line="254" w:lineRule="auto"/>
        <w:tabs>
          <w:tab w:leader="none" w:pos="112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promptly notify the Administrative Agent and the Company within such time period whether or not it agrees to increase the amount of its Commitment and, if so, whether by an amount equal to, greater than, or less than its Applicable Percentage (as it existed immediately prior to such proposed increase) and the amount of such proposed increase. Each Proposed Lender shall promptly notify the Administrative Agent and the Company within such time period whether or not it agrees to participate in such increased amount of the Aggregate Commitments, and at what amount it proposes to participate in such increased amount. Any Lender or Proposed Lender not responding within such time period shall be deemed to have declined to increase its Commitment, or participate in the increase in the aggregate amount of the Aggregate Commitments, as the case may be.</w:t>
      </w:r>
    </w:p>
    <w:p>
      <w:pPr>
        <w:spacing w:after="0" w:line="194" w:lineRule="exact"/>
        <w:rPr>
          <w:rFonts w:ascii="Arial" w:cs="Arial" w:eastAsia="Arial" w:hAnsi="Arial"/>
          <w:sz w:val="18"/>
          <w:szCs w:val="18"/>
          <w:color w:val="auto"/>
        </w:rPr>
      </w:pPr>
    </w:p>
    <w:p>
      <w:pPr>
        <w:jc w:val="both"/>
        <w:ind w:firstLine="656"/>
        <w:spacing w:after="0" w:line="279" w:lineRule="auto"/>
        <w:tabs>
          <w:tab w:leader="none" w:pos="1117"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xml:space="preserve">. If the aggregate amount of Aggregate Commitments are increased in accordance with this </w:t>
      </w:r>
      <w:r>
        <w:rPr>
          <w:rFonts w:ascii="Arial" w:cs="Arial" w:eastAsia="Arial" w:hAnsi="Arial"/>
          <w:sz w:val="17"/>
          <w:szCs w:val="17"/>
          <w:u w:val="single" w:color="auto"/>
          <w:color w:val="auto"/>
        </w:rPr>
        <w:t>Section 2.15</w:t>
      </w:r>
      <w:r>
        <w:rPr>
          <w:rFonts w:ascii="Arial" w:cs="Arial" w:eastAsia="Arial" w:hAnsi="Arial"/>
          <w:sz w:val="17"/>
          <w:szCs w:val="17"/>
          <w:color w:val="auto"/>
        </w:rPr>
        <w:t>, the Administrative Agent and the Company shall promptly thereafter determine the effective date thereof (the “</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and the final allocation of such increase, and the Administrative Agent shall promptly notify the Company and the Lenders (including Proposed Lenders that have agreed to participate in such increase) of the final allocation of such increase and the Increase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jc w:val="both"/>
        <w:ind w:right="20" w:firstLine="656"/>
        <w:spacing w:after="0" w:line="287" w:lineRule="auto"/>
        <w:tabs>
          <w:tab w:leader="none" w:pos="1127"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As conditions precedent to each increase, (i) the Company shall deliver to the Administrative Agent a certificate of the Company dated as of the applicable Increase Effective Date, signed by a Responsible Officer of the Company, (y) certifying and attaching the resolutions adopted by the Company and PMCULC, respectively, authorizing or consenting to such increase, as the case may be, and</w:t>
      </w:r>
    </w:p>
    <w:p>
      <w:pPr>
        <w:spacing w:after="0" w:line="2" w:lineRule="exact"/>
        <w:rPr>
          <w:rFonts w:ascii="Arial" w:cs="Arial" w:eastAsia="Arial" w:hAnsi="Arial"/>
          <w:sz w:val="16"/>
          <w:szCs w:val="16"/>
          <w:color w:val="auto"/>
        </w:rPr>
      </w:pPr>
    </w:p>
    <w:p>
      <w:pPr>
        <w:jc w:val="both"/>
        <w:ind w:firstLine="8"/>
        <w:spacing w:after="0" w:line="281" w:lineRule="auto"/>
        <w:tabs>
          <w:tab w:leader="none" w:pos="26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certifying that, immediately before and after giving effect to such increase, (A) the representations and warranties of (1) the Company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and (2) any Loan Party in any other Loan Document are true and correct in all material respects on and as of such applicable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(B) no Default or Event of Default exists, (ii) (x) upon the reasonable request of any Lender made at least three Business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Business Days prior to the Increase Effective Date and (y) at least three Business Days prior to the Increase Effective Date, any Loan Party that qualifies as a “legal entity customer” under the Beneficial Ownership Regulation shall have delivered, to each Lender that so requests, a Beneficial Ownership Certification in relation to such Loan Party, and (iii) each Proposed Lender that is becoming a Lender shall</w:t>
      </w:r>
    </w:p>
    <w:p>
      <w:pPr>
        <w:spacing w:after="0" w:line="3" w:lineRule="exact"/>
        <w:rPr>
          <w:rFonts w:ascii="Arial" w:cs="Arial" w:eastAsia="Arial" w:hAnsi="Arial"/>
          <w:sz w:val="16"/>
          <w:szCs w:val="16"/>
          <w:color w:val="auto"/>
        </w:rPr>
      </w:pPr>
    </w:p>
    <w:p>
      <w:pPr>
        <w:jc w:val="both"/>
        <w:ind w:firstLine="8"/>
        <w:spacing w:after="0" w:line="270" w:lineRule="auto"/>
        <w:tabs>
          <w:tab w:leader="none" w:pos="29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be subject to the reasonable approval of the Administrative Agent, the L/C Issuers and the Swing Line Lender, which approvals shall not be unreasonably withheld, delayed or conditioned, and (z) execute and deliver a joinder agreement in form and substance reasonably satisfactory to the Administrative Agent, the L/C Issuers, the Swing Line Lender and the Company. Each Borrower, as applicable, shall prepay any Committed Loans made to such Borrower and outstanding on such applicable Increase Effective Date (and pay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to the extent necessary to keep the outstanding Committed Loans ratable with the Applicable Percentages resulting from any non-ratable increase in the amount of the Aggregate Commitments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in effect after giving effect thereto.</w:t>
      </w:r>
    </w:p>
    <w:p>
      <w:pPr>
        <w:spacing w:after="0" w:line="178" w:lineRule="exact"/>
        <w:rPr>
          <w:rFonts w:ascii="Arial" w:cs="Arial" w:eastAsia="Arial" w:hAnsi="Arial"/>
          <w:sz w:val="17"/>
          <w:szCs w:val="17"/>
          <w:color w:val="auto"/>
        </w:rPr>
      </w:pPr>
    </w:p>
    <w:p>
      <w:pPr>
        <w:ind w:left="1120" w:hanging="464"/>
        <w:spacing w:after="0"/>
        <w:tabs>
          <w:tab w:leader="none" w:pos="1120"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ind w:left="660"/>
        <w:spacing w:after="0"/>
        <w:tabs>
          <w:tab w:leader="none" w:pos="11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1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Obligation to Cash Collateralize</w:t>
      </w:r>
      <w:r>
        <w:rPr>
          <w:rFonts w:ascii="Arial" w:cs="Arial" w:eastAsia="Arial" w:hAnsi="Arial"/>
          <w:sz w:val="17"/>
          <w:szCs w:val="17"/>
          <w:color w:val="auto"/>
        </w:rPr>
        <w:t xml:space="preserve">. At any time that there shall exist a Defaulting Lender, within one Business Day following the written request of the Administrative Agent or any L/C Issuer (with a copy to the Administrative Agent), the Company shall Cash Collateralize the L/C Issuers’ Fronting Exposure with respect to such Defaulting Lender (determined after giving effect to </w:t>
      </w:r>
      <w:r>
        <w:rPr>
          <w:rFonts w:ascii="Arial" w:cs="Arial" w:eastAsia="Arial" w:hAnsi="Arial"/>
          <w:sz w:val="17"/>
          <w:szCs w:val="17"/>
          <w:u w:val="single" w:color="auto"/>
          <w:color w:val="auto"/>
        </w:rPr>
        <w:t>Section 2.17(a)(iv)</w:t>
      </w:r>
      <w:r>
        <w:rPr>
          <w:rFonts w:ascii="Arial" w:cs="Arial" w:eastAsia="Arial" w:hAnsi="Arial"/>
          <w:sz w:val="17"/>
          <w:szCs w:val="17"/>
          <w:color w:val="auto"/>
        </w:rPr>
        <w:t xml:space="preserve"> and any Cash Collateral provided by such Defaulting Lender) in an amount not less than the Minimum Collateral Amount. Additionally, if the Administrative Agent notifies the Company at any time that the Outstanding Amount of all L/C Obligations at such time exceeds 105% of the Letter of Credit Sublimit then in effect, then within two (2) Business Days after receipt of such notice, the Company shall provide Cash Collateral for the Outstanding Amount of the L/C Obligations in an amount not less than the amount by which the Outstanding Amount of all L/C Obligations then exceeds the Letter of Credit Sublimit.</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12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Company,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Collateral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(determined in the case of Cash Collateral provided pursuant to clause (a)(iv) above,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71" w:lineRule="exact"/>
        <w:rPr>
          <w:rFonts w:ascii="Arial" w:cs="Arial" w:eastAsia="Arial" w:hAnsi="Arial"/>
          <w:sz w:val="16"/>
          <w:szCs w:val="16"/>
          <w:color w:val="auto"/>
        </w:rPr>
      </w:pPr>
    </w:p>
    <w:p>
      <w:pPr>
        <w:jc w:val="both"/>
        <w:ind w:firstLine="656"/>
        <w:spacing w:after="0" w:line="257" w:lineRule="auto"/>
        <w:tabs>
          <w:tab w:leader="none" w:pos="111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but subject to subsection (d) below,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or Canadian BA’s shall be held and applied to the satisfaction of the specific L/C Obligations, Swing Line Loans and obligations to fund participations therein and Canadian BA’s (including, as to Cash Collateral provided by a Defaulting Lender, any interest accrued on such obligation), prior to any other application of such property as may be provided for herein.</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12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Section </w:t>
      </w:r>
      <w:r>
        <w:rPr>
          <w:rFonts w:ascii="Arial" w:cs="Arial" w:eastAsia="Arial" w:hAnsi="Arial"/>
          <w:sz w:val="16"/>
          <w:szCs w:val="16"/>
          <w:u w:val="single" w:color="auto"/>
          <w:color w:val="auto"/>
        </w:rPr>
        <w:t>11.06(b)(vi)</w:t>
      </w:r>
      <w:r>
        <w:rPr>
          <w:rFonts w:ascii="Arial" w:cs="Arial" w:eastAsia="Arial" w:hAnsi="Arial"/>
          <w:sz w:val="16"/>
          <w:szCs w:val="16"/>
          <w:color w:val="auto"/>
        </w:rPr>
        <w:t>)) or (ii) the reasonable determination by the Administrative Agent and the applicable L/C Issuer that there exists excess Cash Collateral; provided,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left="660"/>
        <w:spacing w:after="0"/>
        <w:tabs>
          <w:tab w:leader="none" w:pos="11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17"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not prohibited by Applicable Law:</w:t>
      </w:r>
    </w:p>
    <w:p>
      <w:pPr>
        <w:spacing w:after="0" w:line="170" w:lineRule="exact"/>
        <w:rPr>
          <w:rFonts w:ascii="Arial" w:cs="Arial" w:eastAsia="Arial" w:hAnsi="Arial"/>
          <w:sz w:val="18"/>
          <w:szCs w:val="18"/>
          <w:color w:val="auto"/>
        </w:rPr>
      </w:pPr>
    </w:p>
    <w:p>
      <w:pPr>
        <w:ind w:left="660" w:firstLine="644"/>
        <w:spacing w:after="0" w:line="277" w:lineRule="auto"/>
        <w:tabs>
          <w:tab w:leader="none" w:pos="1748"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83" w:lineRule="auto"/>
        <w:tabs>
          <w:tab w:leader="none" w:pos="1775"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any L/C Issuer or the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Company or requested by an L/C Issuer or the Swing Line Lender (and after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and any Cash Collateral then held by such L/C Issuer or the Swing Line Lender), to Cash Collateralize the Fronting Exposure with respect to such Defaulting Lender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or, so long as the amount of the Cash Collateral at such time is equal to the actual Fronting Exposure at such time, to substitute for and release to the applicable Borrower on a dollar-for-dollar basis, Cash Collateral previously provided by the applicable Borrower with respect to the applicable Defaulting Lender (subject to documentation in form and substance reasonably satisfactory to the Administrative Agent and the applicable L/C Issuer or the Swing Line Lender, as applicable, and such substituted amounts otherwise satisfying the requirements to constitute Cash Collateral hereunder);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sixth,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seventh,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8.01(g)</w:t>
      </w:r>
      <w:r>
        <w:rPr>
          <w:rFonts w:ascii="Arial" w:cs="Arial" w:eastAsia="Arial" w:hAnsi="Arial"/>
          <w:sz w:val="16"/>
          <w:szCs w:val="16"/>
          <w:color w:val="auto"/>
        </w:rPr>
        <w:t xml:space="preserve"> has occurred and is continuing, to the payment of any amounts owing to any Loan Party hereunder as a result of any judgment of a court of competent jurisdiction obtained by such Loan Party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2.17(a)(ii)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left="700" w:hanging="516"/>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63" w:lineRule="auto"/>
        <w:tabs>
          <w:tab w:leader="none" w:pos="132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33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80" w:firstLine="652"/>
        <w:spacing w:after="0" w:line="272" w:lineRule="auto"/>
        <w:tabs>
          <w:tab w:leader="none" w:pos="1338" w:val="left"/>
        </w:tabs>
        <w:numPr>
          <w:ilvl w:val="1"/>
          <w:numId w:val="279"/>
        </w:numPr>
        <w:rPr>
          <w:rFonts w:ascii="Arial" w:cs="Arial" w:eastAsia="Arial" w:hAnsi="Arial"/>
          <w:sz w:val="17"/>
          <w:szCs w:val="17"/>
          <w:color w:val="auto"/>
        </w:rPr>
      </w:pPr>
      <w:r>
        <w:rPr>
          <w:rFonts w:ascii="Arial" w:cs="Arial" w:eastAsia="Arial" w:hAnsi="Arial"/>
          <w:sz w:val="17"/>
          <w:szCs w:val="17"/>
          <w:color w:val="auto"/>
        </w:rPr>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and any Letter of Credit Fee not required to be paid to any Defaulting Lender pursuant to clause (A) or (B) above, the Company shall (x) pay to the Administrative Agent for the account of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the Swing Line Lender, as applicable, the amount of any such fee otherwise payable to such Defaulting Lender to the extent allocable to such L/C Issuer’s or such Swing Line Lender’s Fronting Exposure to such Defaulting Lender, and (z) not be required to pay to any Person the remaining amount of any such fee.</w:t>
      </w:r>
    </w:p>
    <w:p>
      <w:pPr>
        <w:spacing w:after="0" w:line="177" w:lineRule="exact"/>
        <w:rPr>
          <w:rFonts w:ascii="Arial" w:cs="Arial" w:eastAsia="Arial" w:hAnsi="Arial"/>
          <w:sz w:val="17"/>
          <w:szCs w:val="17"/>
          <w:color w:val="auto"/>
        </w:rPr>
      </w:pPr>
    </w:p>
    <w:p>
      <w:pPr>
        <w:jc w:val="both"/>
        <w:ind w:left="-460" w:firstLine="644"/>
        <w:spacing w:after="0" w:line="289" w:lineRule="auto"/>
        <w:tabs>
          <w:tab w:leader="none" w:pos="673"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Outstanding Amount of the Committed Loans of any Non-Defaulting Lender, plus such Non-Defaulting Lender’s Applicable Percentage of the Outstanding Amount of all L/C Obligations, plus such Non-Defaulting Lender’s Applicable Percentage of the Outstanding Amount of all Swing Line Loans, plus such Non-Defaulting Lender’s Canadian BA’s (or Canadian BA Equivalent Loans) accepted and purchased from PMCULC to exceed such Non-Defaulting Lender’s Commitment. Subject to </w:t>
      </w:r>
      <w:r>
        <w:rPr>
          <w:rFonts w:ascii="Arial" w:cs="Arial" w:eastAsia="Arial" w:hAnsi="Arial"/>
          <w:sz w:val="16"/>
          <w:szCs w:val="16"/>
          <w:u w:val="single" w:color="auto"/>
          <w:color w:val="auto"/>
        </w:rPr>
        <w:t>Section 11.24</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5" w:name="page266"/>
    <w:bookmarkEnd w:id="265"/>
    <w:p>
      <w:pPr>
        <w:jc w:val="both"/>
        <w:ind w:left="660" w:firstLine="644"/>
        <w:spacing w:after="0" w:line="259" w:lineRule="auto"/>
        <w:tabs>
          <w:tab w:leader="none" w:pos="1765"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clause (a)(iv)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12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and reimbursement of costs and expenses to each Loan Party),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any Loan Party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rFonts w:ascii="Arial" w:cs="Arial" w:eastAsia="Arial" w:hAnsi="Arial"/>
          <w:sz w:val="16"/>
          <w:szCs w:val="16"/>
          <w:color w:val="auto"/>
        </w:rPr>
      </w:pPr>
    </w:p>
    <w:p>
      <w:pPr>
        <w:jc w:val="both"/>
        <w:ind w:firstLine="656"/>
        <w:spacing w:after="0" w:line="259" w:lineRule="auto"/>
        <w:tabs>
          <w:tab w:leader="none" w:pos="1117"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Rights and Remedies against a Defaulting Lender</w:t>
      </w:r>
      <w:r>
        <w:rPr>
          <w:rFonts w:ascii="Arial" w:cs="Arial" w:eastAsia="Arial" w:hAnsi="Arial"/>
          <w:sz w:val="18"/>
          <w:szCs w:val="18"/>
          <w:color w:val="auto"/>
        </w:rPr>
        <w:t xml:space="preserve">. The Company may replace any Defaulting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The rights and remedies against, and with respect to, a Defaulting Lender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are in addition to, and cumulative and not in limitation of, all other rights and remedies that each of the Administrative Agent, the L/C Issuers, the Lenders and the Loan Parties may, at any time, have against, or with respect to, such Defaulting Lender.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27"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New Swing Line Loans/Letters of Credit</w:t>
      </w:r>
      <w:r>
        <w:rPr>
          <w:rFonts w:ascii="Arial" w:cs="Arial" w:eastAsia="Arial" w:hAnsi="Arial"/>
          <w:sz w:val="18"/>
          <w:szCs w:val="18"/>
          <w:color w:val="auto"/>
        </w:rPr>
        <w:t xml:space="preserve">.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in each case it is satisfied that it will have no Fronting Exposure after giving effect thereto and after giving effect to clause (b)(iv) of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center"/>
        <w:ind w:right="-19"/>
        <w:spacing w:after="0"/>
        <w:tabs>
          <w:tab w:leader="none" w:pos="260" w:val="left"/>
        </w:tabs>
        <w:rPr>
          <w:sz w:val="20"/>
          <w:szCs w:val="20"/>
          <w:color w:val="auto"/>
        </w:rPr>
      </w:pPr>
      <w:r>
        <w:rPr>
          <w:rFonts w:ascii="Arial" w:cs="Arial" w:eastAsia="Arial" w:hAnsi="Arial"/>
          <w:sz w:val="18"/>
          <w:szCs w:val="18"/>
          <w:b w:val="1"/>
          <w:bCs w:val="1"/>
          <w:color w:val="auto"/>
        </w:rPr>
        <w:t>ARTICLE III.</w:t>
        <w:tab/>
        <w:t>TAXES, YIELD PROTECTION AND ILLEGALITY</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left="1120" w:hanging="464"/>
        <w:spacing w:after="0"/>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3.01, the term “Applicable Law” includes FATCA.</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12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auto"/>
        </w:rPr>
      </w:pPr>
    </w:p>
    <w:p>
      <w:pPr>
        <w:ind w:firstLine="656"/>
        <w:spacing w:after="0" w:line="277" w:lineRule="auto"/>
        <w:tabs>
          <w:tab w:leader="none" w:pos="111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Each of the Borrowers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27"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Borrowers</w:t>
      </w:r>
      <w:r>
        <w:rPr>
          <w:rFonts w:ascii="Arial" w:cs="Arial" w:eastAsia="Arial" w:hAnsi="Arial"/>
          <w:sz w:val="17"/>
          <w:szCs w:val="17"/>
          <w:color w:val="auto"/>
        </w:rPr>
        <w:t xml:space="preserve">. Each of the Loan Parties shall indemnify each Recipient, within 10 Business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auto"/>
        </w:rPr>
      </w:pPr>
    </w:p>
    <w:p>
      <w:pPr>
        <w:ind w:left="1120" w:hanging="464"/>
        <w:spacing w:after="0"/>
        <w:tabs>
          <w:tab w:leader="none" w:pos="1120"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auto"/>
        </w:rPr>
      </w:pPr>
    </w:p>
    <w:p>
      <w:pPr>
        <w:jc w:val="both"/>
        <w:ind w:firstLine="8"/>
        <w:spacing w:after="0" w:line="287" w:lineRule="auto"/>
        <w:tabs>
          <w:tab w:leader="none" w:pos="2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firstLine="656"/>
        <w:spacing w:after="0" w:line="259" w:lineRule="auto"/>
        <w:tabs>
          <w:tab w:leader="none" w:pos="11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Company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4" w:lineRule="auto"/>
        <w:tabs>
          <w:tab w:leader="none" w:pos="174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(ii)</w:t>
      </w:r>
    </w:p>
    <w:p>
      <w:pPr>
        <w:ind w:left="660" w:right="20"/>
        <w:spacing w:after="0" w:line="290" w:lineRule="auto"/>
        <w:rPr>
          <w:rFonts w:ascii="Arial" w:cs="Arial" w:eastAsia="Arial" w:hAnsi="Arial"/>
          <w:sz w:val="16"/>
          <w:szCs w:val="16"/>
          <w:color w:val="auto"/>
        </w:rPr>
      </w:pPr>
      <w:r>
        <w:rPr>
          <w:rFonts w:ascii="Arial" w:cs="Arial" w:eastAsia="Arial" w:hAnsi="Arial"/>
          <w:sz w:val="17"/>
          <w:szCs w:val="17"/>
          <w:color w:val="auto"/>
        </w:rPr>
        <w:t>(D)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6"/>
          <w:szCs w:val="16"/>
          <w:color w:val="auto"/>
        </w:rPr>
      </w:pPr>
    </w:p>
    <w:p>
      <w:pPr>
        <w:ind w:left="1780" w:hanging="476"/>
        <w:spacing w:after="0"/>
        <w:tabs>
          <w:tab w:leader="none" w:pos="17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45" w:val="left"/>
        </w:tabs>
        <w:numPr>
          <w:ilvl w:val="2"/>
          <w:numId w:val="284"/>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both"/>
        <w:ind w:left="180" w:firstLine="652"/>
        <w:spacing w:after="0" w:line="259" w:lineRule="auto"/>
        <w:tabs>
          <w:tab w:leader="none" w:pos="129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ind w:left="1900" w:hanging="420"/>
        <w:spacing w:after="0"/>
        <w:tabs>
          <w:tab w:leader="none" w:pos="19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840"/>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91" w:lineRule="exact"/>
        <w:rPr>
          <w:sz w:val="20"/>
          <w:szCs w:val="20"/>
          <w:color w:val="auto"/>
        </w:rPr>
      </w:pPr>
    </w:p>
    <w:p>
      <w:pPr>
        <w:ind w:left="1940" w:hanging="460"/>
        <w:spacing w:after="0"/>
        <w:tabs>
          <w:tab w:leader="none" w:pos="19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sz w:val="20"/>
          <w:szCs w:val="20"/>
          <w:color w:val="auto"/>
        </w:rPr>
      </w:pPr>
    </w:p>
    <w:p>
      <w:pPr>
        <w:jc w:val="both"/>
        <w:ind w:left="840" w:firstLine="640"/>
        <w:spacing w:after="0" w:line="296" w:lineRule="auto"/>
        <w:tabs>
          <w:tab w:leader="none" w:pos="199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W-8BEN-E (or W-8BEN, as applicable), or</w:t>
      </w:r>
    </w:p>
    <w:p>
      <w:pPr>
        <w:spacing w:after="0" w:line="161" w:lineRule="exact"/>
        <w:rPr>
          <w:sz w:val="20"/>
          <w:szCs w:val="20"/>
          <w:color w:val="auto"/>
        </w:rPr>
      </w:pPr>
    </w:p>
    <w:p>
      <w:pPr>
        <w:jc w:val="both"/>
        <w:ind w:left="840" w:firstLine="648"/>
        <w:spacing w:after="0" w:line="273" w:lineRule="auto"/>
        <w:rPr>
          <w:sz w:val="20"/>
          <w:szCs w:val="20"/>
          <w:color w:val="auto"/>
        </w:rPr>
      </w:pPr>
      <w:r>
        <w:rPr>
          <w:rFonts w:ascii="Arial" w:cs="Arial" w:eastAsia="Arial" w:hAnsi="Arial"/>
          <w:sz w:val="17"/>
          <w:szCs w:val="17"/>
          <w:color w:val="auto"/>
        </w:rPr>
        <w:t>(IV) to the extent a Foreign Lender is not the beneficial owner, executed copies of IRS Form W-8IMY, accompanied by IRS Form W-8ECI, IRS Form W-8BEN-E (or W-8BEN, as applicable),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8" w:lineRule="exact"/>
        <w:rPr>
          <w:sz w:val="20"/>
          <w:szCs w:val="20"/>
          <w:color w:val="auto"/>
        </w:rPr>
      </w:pPr>
    </w:p>
    <w:p>
      <w:pPr>
        <w:jc w:val="both"/>
        <w:ind w:left="180" w:firstLine="652"/>
        <w:spacing w:after="0" w:line="293" w:lineRule="auto"/>
        <w:tabs>
          <w:tab w:leader="none" w:pos="129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69" w:name="page270"/>
    <w:bookmarkEnd w:id="269"/>
    <w:p>
      <w:pPr>
        <w:jc w:val="both"/>
        <w:ind w:left="1300" w:firstLine="652"/>
        <w:spacing w:after="0" w:line="270" w:lineRule="auto"/>
        <w:tabs>
          <w:tab w:leader="none" w:pos="2423" w:val="left"/>
        </w:tabs>
        <w:numPr>
          <w:ilvl w:val="2"/>
          <w:numId w:val="28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803"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083"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indemnified party, agrees to repay to such indemnified party the amount paid over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indemnified party be required to pay any amount to any indemnifying party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the payment of which would place the indemnified party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indemnifying party or any other Person.</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043"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648"/>
        <w:spacing w:after="0" w:line="267"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determines that any Change in Law has made it unlawful, or that any Governmental Authority has asserted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is unlawful, for any Lender or its applicable Lending Office to make, maintain or fund Loans whose interest is determined by reference to the Eurocurrency Rate (whether denominated in Dollars or Canadian Dollars) or to accept Canadian BA’s, or to determine or charge interest rates based upon the Eurocurrency Rate, or any Governmental Authority has imposed material restrictions on the authority of such Lender to purchase or sell, or to take deposits of, Dollars or Canadian Dollars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or to convert Base Rate Committed Loans to Eurocurrency Rate Committed Loans or accept Canadian BA’s, as the case may be,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Eurocurrency Rate Loans of such Lender to Base Rate Loans (with respect to Loans denominated in Dollars) or Canadian Prime Rate Loans (with respect to Committed Loans denominated in Canadian Dollars) (the interest rate on which Base Rate Loans or Canadian Prime Rate Loans of such Lender shall, if necessary to avoid such illegality, be determined by the Administrative Agent without reference to the Eurocurrency Rate or CDOR component of the Base Rate or Canadian Prime Rate, respectively),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84"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5" w:lineRule="auto"/>
        <w:tabs>
          <w:tab w:leader="none" w:pos="107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in connection with any request for a Eurocurrency Rate Loan or a conversion to or continuation thereof, (i) the Administrative Agent determines that (A) deposits (whether in Dollars or Canadian Dollars) are not being offered to banks in the applicable offshore interbank Eurocurrency market for such currency for the applicable amount and Interest Period of such Eurocurrency Rate Loan, or (B) (x) adequate and reasonable means do not exist for determining the Eurocurrency Rate for any requested Interest Period with respect to a proposed Eurocurrency Rate Committed Loan (whether denominated in Dollars or Canadian Dollars) or in connection with an existing or proposed Base Rate Loan and (y) the circumstances described in Section 3.03(c)(i) do not apply (in each case with respect to this clause (i), “Impacted Loans”), or (ii) the Administrative Agent or the Required Lenders determine that for any reason (x) the Eurocurrency Rate for any requested Interest Period with respect to a proposed Eurocurrency Rate Committed Loan does not adequately and fairly reflect the cost to such Lenders of funding such Loan, or (y) with respect to Canadian BA’s that adequate and reasonable means do not exist for determining pricing with respect to such Canadian BA’s, the Administrative Agent will promptly so notify the Company and each Lender. Thereafter, (x) the obligation of the Lenders to make or maintain Eurocurrency Rate Loans in the affected currency or currencies or to issue Canadian BA’s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Upon receipt of such notice, the Company may revoke any pending request for a Borrowing of, conversion to or continuation of Eurocurrency Rate Committed Loans in the affected currency or currencies or for Canadian BA’s, as applicable, or, failing that, will be deemed to have converted such request into a request for a Committed Borrowing of Base Rate Loans in the amount specified therein or, in the case of a request for Eurocurrency Rate Loans denominated in Canadian Dollars or Canadian BA’s, a request for a Committed Borrowing of Canadian Prime Rate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both"/>
        <w:ind w:left="-20" w:firstLine="656"/>
        <w:spacing w:after="0" w:line="289" w:lineRule="auto"/>
        <w:tabs>
          <w:tab w:leader="none" w:pos="108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Administrative Agent has made the determination described in clause (i) of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the Administrative Agent, in consultation with the Company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6"/>
          <w:szCs w:val="16"/>
          <w:u w:val="single" w:color="auto"/>
          <w:color w:val="auto"/>
        </w:rPr>
        <w:t>Section 3.03(a)</w:t>
      </w:r>
      <w:r>
        <w:rPr>
          <w:rFonts w:ascii="Arial" w:cs="Arial" w:eastAsia="Arial" w:hAnsi="Arial"/>
          <w:sz w:val="16"/>
          <w:szCs w:val="16"/>
          <w:color w:val="auto"/>
        </w:rPr>
        <w:t>, (ii) the Administrative Agent or the Required Lenders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66" w:lineRule="exact"/>
        <w:rPr>
          <w:rFonts w:ascii="Arial" w:cs="Arial" w:eastAsia="Arial" w:hAnsi="Arial"/>
          <w:sz w:val="16"/>
          <w:szCs w:val="16"/>
          <w:color w:val="auto"/>
        </w:rPr>
      </w:pPr>
    </w:p>
    <w:p>
      <w:pPr>
        <w:ind w:left="1080" w:hanging="444"/>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w:t>
      </w:r>
    </w:p>
    <w:p>
      <w:pPr>
        <w:spacing w:after="0" w:line="225" w:lineRule="exact"/>
        <w:rPr>
          <w:rFonts w:ascii="Arial" w:cs="Arial" w:eastAsia="Arial" w:hAnsi="Arial"/>
          <w:sz w:val="18"/>
          <w:szCs w:val="18"/>
          <w:color w:val="auto"/>
        </w:rPr>
      </w:pPr>
    </w:p>
    <w:p>
      <w:pPr>
        <w:jc w:val="both"/>
        <w:ind w:left="640" w:firstLine="644"/>
        <w:spacing w:after="0" w:line="253" w:lineRule="auto"/>
        <w:tabs>
          <w:tab w:leader="none" w:pos="168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72" w:name="page273"/>
    <w:bookmarkEnd w:id="272"/>
    <w:p>
      <w:pPr>
        <w:jc w:val="both"/>
        <w:ind w:left="-460" w:firstLine="644"/>
        <w:spacing w:after="0" w:line="289" w:lineRule="auto"/>
        <w:tabs>
          <w:tab w:leader="none" w:pos="63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166" w:lineRule="exact"/>
        <w:rPr>
          <w:rFonts w:ascii="Arial" w:cs="Arial" w:eastAsia="Arial" w:hAnsi="Arial"/>
          <w:sz w:val="16"/>
          <w:szCs w:val="16"/>
          <w:color w:val="auto"/>
        </w:rPr>
      </w:pPr>
    </w:p>
    <w:p>
      <w:pPr>
        <w:jc w:val="both"/>
        <w:ind w:left="180" w:firstLine="652"/>
        <w:spacing w:after="0" w:line="259" w:lineRule="auto"/>
        <w:tabs>
          <w:tab w:leader="none" w:pos="126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7" w:lineRule="exact"/>
        <w:rPr>
          <w:sz w:val="20"/>
          <w:szCs w:val="20"/>
          <w:color w:val="auto"/>
        </w:rPr>
      </w:pPr>
    </w:p>
    <w:p>
      <w:pPr>
        <w:jc w:val="both"/>
        <w:ind w:left="-460" w:firstLine="644"/>
        <w:spacing w:after="0" w:line="290" w:lineRule="auto"/>
        <w:tabs>
          <w:tab w:leader="none" w:pos="683"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Company may revoke any request for a borrowing of, conversion to or continuation of Loans to be made, converted or continued that would bear interest by reference to such Benchmark until the Company’s receipt of notice from the Administrative Agent that a Benchmark Replacement has replaced such Benchmark, and, failing that, the Company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65" w:lineRule="exact"/>
        <w:rPr>
          <w:rFonts w:ascii="Arial" w:cs="Arial" w:eastAsia="Arial" w:hAnsi="Arial"/>
          <w:sz w:val="16"/>
          <w:szCs w:val="16"/>
          <w:color w:val="auto"/>
        </w:rPr>
      </w:pPr>
    </w:p>
    <w:p>
      <w:pPr>
        <w:jc w:val="both"/>
        <w:ind w:left="-460" w:firstLine="644"/>
        <w:spacing w:after="0" w:line="259" w:lineRule="auto"/>
        <w:tabs>
          <w:tab w:leader="none" w:pos="67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3" w:name="page274"/>
    <w:bookmarkEnd w:id="273"/>
    <w:p>
      <w:pPr>
        <w:jc w:val="both"/>
        <w:ind w:left="660" w:firstLine="644"/>
        <w:spacing w:after="0" w:line="255" w:lineRule="auto"/>
        <w:tabs>
          <w:tab w:leader="none" w:pos="174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Company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79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 Reserves on Eurocurrency Rate Loans</w:t>
      </w:r>
      <w:r>
        <w:rPr>
          <w:rFonts w:ascii="Arial" w:cs="Arial" w:eastAsia="Arial" w:hAnsi="Arial"/>
          <w:sz w:val="15"/>
          <w:szCs w:val="15"/>
          <w:color w:val="auto"/>
        </w:rPr>
        <w:t>.</w:t>
      </w:r>
    </w:p>
    <w:p>
      <w:pPr>
        <w:spacing w:after="0" w:line="229" w:lineRule="exact"/>
        <w:rPr>
          <w:sz w:val="20"/>
          <w:szCs w:val="20"/>
          <w:color w:val="auto"/>
        </w:rPr>
      </w:pPr>
    </w:p>
    <w:p>
      <w:pPr>
        <w:ind w:left="1120" w:hanging="464"/>
        <w:spacing w:after="0"/>
        <w:tabs>
          <w:tab w:leader="none" w:pos="112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0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3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308" w:lineRule="auto"/>
        <w:tabs>
          <w:tab w:leader="none" w:pos="1758"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impose on any Lender or L/C Issuer or the London interbank market or the market for Canadian BA’s or any other condition, cost or expense affecting this Agreement or Eurocurrency Rate Loans made by such Lender or any Letter of Credit or participation therein;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Eurocurrency Rate Loan), of accepting any Canadian BA’s or to increase the cost to such Lender or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in each case, by an amount deemed in good faith by such Lender or L/C Issuer to be material, then, within 10 days after written demand therefor by such Lender or L/C Issuer, the Company will pay (or cause PMCULC to pay) to such Lender or L/C Issuer, as the case may be, such additional amount or amounts as will compensate such Lender or L/C Issuer, as the case may be, for such additional costs incurred or reduction suffered.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656"/>
        <w:spacing w:after="0" w:line="288" w:lineRule="auto"/>
        <w:tabs>
          <w:tab w:leader="none" w:pos="1083"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or the acceptance by such Lender of any Canadian BA, by an amount deemed in good faith by such Lender or L/C Issuer to be material based on that which such Lender or such L/C Issuer or such Lender’s or such L/C Issuer’s holding company could have achieved but for such Change in Law (taking into consideration such Lender’s or such L/C Issuer’s policies and the policies of such Lender’s or L/C Issuer’s holding company with respect to capital adequacy), then from time to time within 10 days after written demand therefor, the Company will pay (or cause PMCULC to pay) to such Lender or such L/C Issuer, as the case may be, such additional amount or amounts as will compensate such Lender or such L/C Issuer or such Lender’s or such L/C Issuer’s holding company, if any, for any such reduction suffered.</w:t>
      </w:r>
    </w:p>
    <w:p>
      <w:pPr>
        <w:spacing w:after="0" w:line="168" w:lineRule="exact"/>
        <w:rPr>
          <w:rFonts w:ascii="Arial" w:cs="Arial" w:eastAsia="Arial" w:hAnsi="Arial"/>
          <w:sz w:val="16"/>
          <w:szCs w:val="16"/>
          <w:color w:val="auto"/>
        </w:rPr>
      </w:pPr>
    </w:p>
    <w:p>
      <w:pPr>
        <w:jc w:val="both"/>
        <w:ind w:firstLine="656"/>
        <w:spacing w:after="0" w:line="275" w:lineRule="auto"/>
        <w:tabs>
          <w:tab w:leader="none" w:pos="1072"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or L/C Issuer setting forth the amount or amounts necessary to compensate such Lender or L/C Issuer or its holding company, as the case may be, as specified in subsection (a) or (b) of this Section and delivered to the Company shall be conclusive absent manifest error. The Company shall pay (or cause PMCULC to pay) such Lender or L/C Issuer, as the case may be, the amount shown as due on any such certificate within 10 days after receipt thereof. Upon request by the Company, a Lender or L/C Issuer, as the case may be, shall also provide a certificate that such Lender or L/C Issuer is generally requesting such compensation from its other borrowers.</w:t>
      </w:r>
    </w:p>
    <w:p>
      <w:pPr>
        <w:spacing w:after="0" w:line="176" w:lineRule="exact"/>
        <w:rPr>
          <w:rFonts w:ascii="Arial" w:cs="Arial" w:eastAsia="Arial" w:hAnsi="Arial"/>
          <w:sz w:val="17"/>
          <w:szCs w:val="17"/>
          <w:color w:val="auto"/>
        </w:rPr>
      </w:pPr>
    </w:p>
    <w:p>
      <w:pPr>
        <w:jc w:val="both"/>
        <w:ind w:firstLine="656"/>
        <w:spacing w:after="0" w:line="293" w:lineRule="auto"/>
        <w:tabs>
          <w:tab w:leader="none" w:pos="1083"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L/C Issuer pursuant to the foregoing provisions of this Section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ind w:firstLine="656"/>
        <w:spacing w:after="0" w:line="286" w:lineRule="auto"/>
        <w:tabs>
          <w:tab w:leader="none" w:pos="1072"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Reserves on Eurocurrency Rate Loans</w:t>
      </w:r>
      <w:r>
        <w:rPr>
          <w:rFonts w:ascii="Arial" w:cs="Arial" w:eastAsia="Arial" w:hAnsi="Arial"/>
          <w:sz w:val="16"/>
          <w:szCs w:val="16"/>
          <w:color w:val="auto"/>
        </w:rPr>
        <w:t>. The Company shall pay (or cause PMCULC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absent manifest error), and</w:t>
      </w:r>
    </w:p>
    <w:p>
      <w:pPr>
        <w:spacing w:after="0" w:line="1" w:lineRule="exact"/>
        <w:rPr>
          <w:rFonts w:ascii="Arial" w:cs="Arial" w:eastAsia="Arial" w:hAnsi="Arial"/>
          <w:sz w:val="16"/>
          <w:szCs w:val="16"/>
          <w:color w:val="auto"/>
        </w:rPr>
      </w:pPr>
    </w:p>
    <w:p>
      <w:pPr>
        <w:jc w:val="both"/>
        <w:ind w:firstLine="8"/>
        <w:spacing w:after="0" w:line="288" w:lineRule="auto"/>
        <w:tabs>
          <w:tab w:leader="none" w:pos="29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from time to time,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compensate (or cause PMCULC to compensate) such Lender for and hold such Lender harmless from any loss, cost or expense incurred by it as a result of:</w:t>
      </w:r>
    </w:p>
    <w:p>
      <w:pPr>
        <w:spacing w:after="0" w:line="180" w:lineRule="exact"/>
        <w:rPr>
          <w:sz w:val="20"/>
          <w:szCs w:val="20"/>
          <w:color w:val="auto"/>
        </w:rPr>
      </w:pPr>
    </w:p>
    <w:p>
      <w:pPr>
        <w:ind w:right="20" w:firstLine="656"/>
        <w:spacing w:after="0" w:line="308" w:lineRule="auto"/>
        <w:tabs>
          <w:tab w:leader="none" w:pos="107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or a Canadian Prime Rate Loan on a day other than the last day of the Interest Period for such Loan (whether voluntary, mandatory, automatic, by reason of acceleration, or otherwise);</w:t>
      </w:r>
    </w:p>
    <w:p>
      <w:pPr>
        <w:spacing w:after="0" w:line="146" w:lineRule="exact"/>
        <w:rPr>
          <w:rFonts w:ascii="Arial" w:cs="Arial" w:eastAsia="Arial" w:hAnsi="Arial"/>
          <w:sz w:val="17"/>
          <w:szCs w:val="17"/>
          <w:color w:val="auto"/>
        </w:rPr>
      </w:pPr>
    </w:p>
    <w:p>
      <w:pPr>
        <w:ind w:firstLine="656"/>
        <w:spacing w:after="0" w:line="342" w:lineRule="auto"/>
        <w:tabs>
          <w:tab w:leader="none" w:pos="108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failure by any Borrower (for a reason other than the failure of such Lender to make a Loan) to prepay, borrow, continue or convert any Loan other than a Base Rate Loan or a Canadian Prime Rate Loan on the date or in the amount notified by the Company or PMCULC, as applicable; or</w:t>
      </w:r>
    </w:p>
    <w:p>
      <w:pPr>
        <w:spacing w:after="0" w:line="123" w:lineRule="exact"/>
        <w:rPr>
          <w:rFonts w:ascii="Arial" w:cs="Arial" w:eastAsia="Arial" w:hAnsi="Arial"/>
          <w:sz w:val="16"/>
          <w:szCs w:val="16"/>
          <w:color w:val="auto"/>
        </w:rPr>
      </w:pPr>
    </w:p>
    <w:p>
      <w:pPr>
        <w:ind w:firstLine="656"/>
        <w:spacing w:after="0" w:line="277" w:lineRule="auto"/>
        <w:tabs>
          <w:tab w:leader="none" w:pos="107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Canadian Dollars on its scheduled due date or any payment thereof in a different currency, or</w:t>
      </w:r>
    </w:p>
    <w:p>
      <w:pPr>
        <w:spacing w:after="0" w:line="170" w:lineRule="exact"/>
        <w:rPr>
          <w:rFonts w:ascii="Arial" w:cs="Arial" w:eastAsia="Arial" w:hAnsi="Arial"/>
          <w:sz w:val="18"/>
          <w:szCs w:val="18"/>
          <w:color w:val="auto"/>
        </w:rPr>
      </w:pPr>
    </w:p>
    <w:p>
      <w:pPr>
        <w:ind w:firstLine="656"/>
        <w:spacing w:after="0" w:line="277" w:lineRule="auto"/>
        <w:tabs>
          <w:tab w:leader="none" w:pos="108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Company shall also pay (or cause PMCULC to pay) any customary administrative fees charged by such Lender in connection with the foregoing.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spacing w:after="0" w:line="296" w:lineRule="auto"/>
        <w:rPr>
          <w:sz w:val="20"/>
          <w:szCs w:val="20"/>
          <w:color w:val="auto"/>
        </w:rPr>
      </w:pPr>
      <w:r>
        <w:rPr>
          <w:rFonts w:ascii="Arial" w:cs="Arial" w:eastAsia="Arial" w:hAnsi="Arial"/>
          <w:sz w:val="16"/>
          <w:szCs w:val="16"/>
          <w:color w:val="auto"/>
        </w:rPr>
        <w:t xml:space="preserve">A certificate of such Lender setting forth the amount of any such loss, cost or expense, including reasonably detailed calculations thereof, shall be delivered to the Company and the Administrative Agent and be conclusive absent manifest error. For purposes of calculating amounts payable by the Company (or the applicable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Committed Loan made by it at the Eurocurrency Rate for such Loan by a matching deposit or other borrowing in the offshore interbank eurocurrency market for such currency for a comparable amount and for a comparable period, whether or not such Eurocurrency Rate Committed Loan was in fact so funded.</w:t>
      </w:r>
    </w:p>
    <w:p>
      <w:pPr>
        <w:spacing w:after="0" w:line="15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72"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any Borrower is required to pay any additional amount to any Lender, any L/C Issuer, or any Governmental Authority for the account of any Lender or any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or such L/C Issuer shall, as applicable, use reasonable efforts to designate a different Lending Office for funding or booking its Loans or accepting Canadian BA’s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PMCULC to pay) all reasonable costs and expenses incurred by any Lender or such L/C Issuer in connection with any such designation or assignment.</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083"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(i)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gives a notice pursuant to Section 3.02 and does not subsequently designate a different Lending Office or assign its rights and obligations hereunder to another of its offices, branches or affiliates as provided above, (ii)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any Lender becomes a Defaulting Lender, (iv) other than as set forth in the immediately succeeding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any Lender becomes a Non-Consenting Lender or (v) any Lender becomes a Non-Extending Lender, then in each case, the Company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center"/>
        <w:spacing w:after="0"/>
        <w:tabs>
          <w:tab w:leader="none" w:pos="220" w:val="left"/>
        </w:tabs>
        <w:rPr>
          <w:sz w:val="20"/>
          <w:szCs w:val="20"/>
          <w:color w:val="auto"/>
        </w:rPr>
      </w:pPr>
      <w:r>
        <w:rPr>
          <w:rFonts w:ascii="Arial" w:cs="Arial" w:eastAsia="Arial" w:hAnsi="Arial"/>
          <w:sz w:val="18"/>
          <w:szCs w:val="18"/>
          <w:b w:val="1"/>
          <w:bCs w:val="1"/>
          <w:color w:val="auto"/>
        </w:rPr>
        <w:t>ARTICLE IV.</w:t>
        <w:tab/>
        <w:t>CONDITIONS PRECEDENT TO CREDIT EXTENSIONS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4.01 Conditions Precedent to Initial Credit Extension</w:t>
      </w:r>
      <w:r>
        <w:rPr>
          <w:rFonts w:ascii="Arial" w:cs="Arial" w:eastAsia="Arial" w:hAnsi="Arial"/>
          <w:sz w:val="18"/>
          <w:szCs w:val="18"/>
          <w:color w:val="auto"/>
        </w:rPr>
        <w:t>. The obligation of each L/C Issuer and each Lender to make its initial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is subject to satisfaction of the following conditions precedent:</w:t>
      </w:r>
    </w:p>
    <w:p>
      <w:pPr>
        <w:spacing w:after="0" w:line="166" w:lineRule="exact"/>
        <w:rPr>
          <w:sz w:val="20"/>
          <w:szCs w:val="20"/>
          <w:color w:val="auto"/>
        </w:rPr>
      </w:pPr>
    </w:p>
    <w:p>
      <w:pPr>
        <w:jc w:val="both"/>
        <w:ind w:firstLine="656"/>
        <w:spacing w:after="0" w:line="259" w:lineRule="auto"/>
        <w:tabs>
          <w:tab w:leader="none" w:pos="10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Closing Date (or, in the case of certificates of governmental officials, a recent date before the Closing Date) and each in form and substance reasonably satisfactory to the Administrative Agent:</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executed counterparts of this Agreement, sufficient in number for distribution to the Administrative Agent, each Lender and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660" w:firstLine="644"/>
        <w:spacing w:after="0" w:line="277" w:lineRule="auto"/>
        <w:tabs>
          <w:tab w:leader="none" w:pos="173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if so requested at least three Business Days prior to the Closing Date, Swing Line Notes executed by each Borrower in favor of the Swing Line Lender and a Committed Loan Note executed by each Borrower in favor of each requesting Lender;</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75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 amended and restated security agreement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the Company, covering Financed Hedged Eligible Inventory, and related Swap Contracts, Petroleum Product sales contracts and Receivables therefrom and proceeds thereof as from time to time specified by the Company (and, for the avoidance of doubt, excluding Permian Excluded Inventory), together with financing statements that the Administrative Agent, in its reasonable opinion, may deem necessary to perfect the Liens created under the Security Agreement, covering the Collateral described in the Security Agreement, recent financing statement searches in the State of Texas that name the Company as debtor, and such other Collateral Documents as the Administrative Agent, in its reasonable opinion, may deem necessary to perfect the Liens created thereby;</w:t>
      </w:r>
    </w:p>
    <w:p>
      <w:pPr>
        <w:spacing w:after="0" w:line="194" w:lineRule="exact"/>
        <w:rPr>
          <w:rFonts w:ascii="Arial" w:cs="Arial" w:eastAsia="Arial" w:hAnsi="Arial"/>
          <w:sz w:val="18"/>
          <w:szCs w:val="18"/>
          <w:color w:val="auto"/>
        </w:rPr>
      </w:pPr>
    </w:p>
    <w:p>
      <w:pPr>
        <w:jc w:val="both"/>
        <w:ind w:left="660" w:firstLine="644"/>
        <w:spacing w:after="0" w:line="311" w:lineRule="auto"/>
        <w:tabs>
          <w:tab w:leader="none" w:pos="174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the Company is validly existing and in good standing in its jurisdiction of organization, issued by the appropriate authorities of such jurisdiction;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4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favorable opinions of Richard McGee, Esq., General Counsel for the Company, PAA and PMCULC, Shearman &amp; Sterling, LLP, special New York counsel to the Company, PAA and PMCULC, and Cox Taylor, special Canadian counsel to PMCULC, in each case addressed to the Administrative Agent and each Lender;</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Company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jc w:val="both"/>
        <w:ind w:left="660" w:hanging="4"/>
        <w:spacing w:after="0" w:line="255" w:lineRule="auto"/>
        <w:tabs>
          <w:tab w:leader="none" w:pos="925" w:val="left"/>
        </w:tabs>
        <w:numPr>
          <w:ilvl w:val="0"/>
          <w:numId w:val="303"/>
        </w:numPr>
        <w:rPr>
          <w:rFonts w:ascii="Arial" w:cs="Arial" w:eastAsia="Arial" w:hAnsi="Arial"/>
          <w:sz w:val="18"/>
          <w:szCs w:val="18"/>
          <w:u w:val="single" w:color="auto"/>
          <w:color w:val="auto"/>
        </w:rPr>
      </w:pPr>
      <w:r>
        <w:rPr>
          <w:rFonts w:ascii="Arial" w:cs="Arial" w:eastAsia="Arial" w:hAnsi="Arial"/>
          <w:sz w:val="18"/>
          <w:szCs w:val="18"/>
          <w:color w:val="auto"/>
        </w:rPr>
        <w:t>have been satisfied, (B) that there has been no event or circumstance since the date of the most recent Audited Financial Statements that has had or could be reasonably expected to have, either individually or in the aggregate, a Material Adverse Effect, (C) the current PAA Debt Ratings, and (D) the Borrower’s true and correct U.S. taxpayer identification number;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ind w:left="1780" w:hanging="476"/>
        <w:spacing w:after="0"/>
        <w:tabs>
          <w:tab w:leader="none" w:pos="178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6" w:lineRule="exact"/>
        <w:rPr>
          <w:rFonts w:ascii="Arial" w:cs="Arial" w:eastAsia="Arial" w:hAnsi="Arial"/>
          <w:sz w:val="17"/>
          <w:szCs w:val="17"/>
          <w:color w:val="auto"/>
        </w:rPr>
      </w:pPr>
    </w:p>
    <w:p>
      <w:pPr>
        <w:ind w:firstLine="656"/>
        <w:spacing w:after="0" w:line="308" w:lineRule="auto"/>
        <w:tabs>
          <w:tab w:leader="none" w:pos="108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All consents, licenses and approvals required in connection with the execution, delivery and performance by each Loan Party and the validity against each Loan Party of the Loan Documents to which it is a party shall have been obtained and shall be in full force and effect.</w:t>
      </w:r>
    </w:p>
    <w:p>
      <w:pPr>
        <w:spacing w:after="0" w:line="146" w:lineRule="exact"/>
        <w:rPr>
          <w:rFonts w:ascii="Arial" w:cs="Arial" w:eastAsia="Arial" w:hAnsi="Arial"/>
          <w:sz w:val="17"/>
          <w:szCs w:val="17"/>
          <w:color w:val="auto"/>
        </w:rPr>
      </w:pPr>
    </w:p>
    <w:p>
      <w:pPr>
        <w:jc w:val="both"/>
        <w:ind w:firstLine="656"/>
        <w:spacing w:after="0" w:line="254" w:lineRule="auto"/>
        <w:tabs>
          <w:tab w:leader="none" w:pos="10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 No Default shall have occurred and be continuing as of the Closing Date, or would immediately result from the closing of the transactions hereunder and under the other Loan Documents, and (ii) there shall not have occurred during the period from the date of the most recent Audited Financial Statements through and including the Closing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94" w:lineRule="exact"/>
        <w:rPr>
          <w:rFonts w:ascii="Arial" w:cs="Arial" w:eastAsia="Arial" w:hAnsi="Arial"/>
          <w:sz w:val="18"/>
          <w:szCs w:val="18"/>
          <w:color w:val="auto"/>
        </w:rPr>
      </w:pPr>
    </w:p>
    <w:p>
      <w:pPr>
        <w:ind w:firstLine="656"/>
        <w:spacing w:after="0" w:line="308" w:lineRule="auto"/>
        <w:tabs>
          <w:tab w:leader="none" w:pos="108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fees, including any arrangement fees, agency fees and upfront fees, and any expenses of the Arrangers and Administrative Agent, in each case, as agreed in writing by the Company, required to be paid on or before the Closing Date shall have been paid.</w:t>
      </w:r>
    </w:p>
    <w:p>
      <w:pPr>
        <w:spacing w:after="0" w:line="146" w:lineRule="exact"/>
        <w:rPr>
          <w:rFonts w:ascii="Arial" w:cs="Arial" w:eastAsia="Arial" w:hAnsi="Arial"/>
          <w:sz w:val="17"/>
          <w:szCs w:val="17"/>
          <w:color w:val="auto"/>
        </w:rPr>
      </w:pPr>
    </w:p>
    <w:p>
      <w:pPr>
        <w:ind w:right="20" w:firstLine="656"/>
        <w:spacing w:after="0" w:line="277" w:lineRule="auto"/>
        <w:tabs>
          <w:tab w:leader="none" w:pos="107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or on the Closing Date.</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05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 Upon the reasonable request of any Lender made at least seven days prior to the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Company with a copy of any such notice received by the Administrative Agent.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firstLine="648"/>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Eurocurrency Rate Committed Loans) is subject to the following conditions precedent:</w:t>
      </w:r>
    </w:p>
    <w:p>
      <w:pPr>
        <w:spacing w:after="0" w:line="180" w:lineRule="exact"/>
        <w:rPr>
          <w:sz w:val="20"/>
          <w:szCs w:val="20"/>
          <w:color w:val="auto"/>
        </w:rPr>
      </w:pPr>
    </w:p>
    <w:p>
      <w:pPr>
        <w:jc w:val="both"/>
        <w:ind w:firstLine="656"/>
        <w:spacing w:after="0" w:line="275" w:lineRule="auto"/>
        <w:tabs>
          <w:tab w:leader="none" w:pos="1072"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Company (and PMCULC, solely as to itself)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in any other Loan Document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20" w:firstLine="656"/>
        <w:spacing w:after="0" w:line="277" w:lineRule="auto"/>
        <w:tabs>
          <w:tab w:leader="none" w:pos="10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immediately result from such proposed Credit Extension or from the application of the proceeds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10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Borrower shall represent and warrant in such Request for Credit Extension that the Outstanding Amount of all Loans, all L/C Obligations and all Canadian BA’s of such Borrower does not exceed such Borrower’s Collateral Value at such time, immediately after giving effect to such Credit Extension.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0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Canadian Dollars, there shall not have occurred, and the effect thereof be then continuing, any change in currency controls or exchange regulations, or any change in the national or international financial, political or economic conditions is imposed in Canada, that results in, in the reasonable opinion of the Administrative Agent (in the case of any Committed Loans to be denominated in Canadian Dollars) or any L/C Issuer (in the case of any Letter of Credit to be denominated in Canadian Dollars (i) Canadian Dollars no longer being readily available, freely transferable and convertible into Dollars, (ii) a Dollar Equivalent is no longer readily calculable with respect to Canadian Dollars, (iii) providing Canadian Dollars are impracticable for the Lenders or (iv) no longer a currency in which the Required Lenders are willing to make such Credit Extensions.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PMCULC, solely as to itself) represents and warrants to the Administrative Agent and the Lenders that: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Each Loan Party (a) is duly organized or formed, validly existing and, as applicable,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firstLine="648"/>
        <w:spacing w:after="0" w:line="294" w:lineRule="auto"/>
        <w:rPr>
          <w:sz w:val="20"/>
          <w:szCs w:val="20"/>
          <w:color w:val="auto"/>
        </w:rPr>
      </w:pPr>
      <w:r>
        <w:rPr>
          <w:rFonts w:ascii="Arial" w:cs="Arial" w:eastAsia="Arial" w:hAnsi="Arial"/>
          <w:sz w:val="16"/>
          <w:szCs w:val="16"/>
          <w:b w:val="1"/>
          <w:bCs w:val="1"/>
          <w:color w:val="auto"/>
        </w:rPr>
        <w:t>5.02 Authorization; No Contravention</w:t>
      </w:r>
      <w:r>
        <w:rPr>
          <w:rFonts w:ascii="Arial" w:cs="Arial" w:eastAsia="Arial" w:hAnsi="Arial"/>
          <w:sz w:val="16"/>
          <w:szCs w:val="16"/>
          <w:color w:val="auto"/>
        </w:rPr>
        <w:t>. The execution, delivery and performance by each Loan Party of each Loan Document to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5.03 Governmental Authorization; Other Consents</w:t>
      </w:r>
      <w:r>
        <w:rPr>
          <w:rFonts w:ascii="Arial" w:cs="Arial" w:eastAsia="Arial" w:hAnsi="Arial"/>
          <w:sz w:val="16"/>
          <w:szCs w:val="16"/>
          <w:color w:val="auto"/>
        </w:rPr>
        <w:t>. Except as expressly contemplated in or permitted by the Loan Documents,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or disclosed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no approval, consent, exemption or authorization of, or other action by, or notice to, or filing with, any Governmental Authority or any other Person is required (a) in connection with the execution, delivery or performance by, or enforcement against, any Loan Party of this Agreement or any other Loan Document to which it is a party, (b) the grant by each Borrower of the Liens granted by it pursuant to the Collateral Documents, (c) the perfection or maintenance of the Liens created under the Collateral Documents (including the first priority nature thereof), or</w:t>
      </w:r>
    </w:p>
    <w:p>
      <w:pPr>
        <w:spacing w:after="0" w:line="2" w:lineRule="exact"/>
        <w:rPr>
          <w:sz w:val="20"/>
          <w:szCs w:val="20"/>
          <w:color w:val="auto"/>
        </w:rPr>
      </w:pPr>
    </w:p>
    <w:p>
      <w:pPr>
        <w:ind w:firstLine="8"/>
        <w:spacing w:after="0" w:line="260" w:lineRule="auto"/>
        <w:tabs>
          <w:tab w:leader="none" w:pos="25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exercise by the Administrative Agent or any Lender of its rights under the Collateral Documents or remedies in respect of the Collateral pursuant to the Collateral Documents.</w:t>
      </w:r>
    </w:p>
    <w:p>
      <w:pPr>
        <w:spacing w:after="0" w:line="1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to which a Loan Party is a party, when delivered hereunder, will</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executed and delivered by such Loan Party. This Agreement constitutes, and each other such Loan Document when so executed and delivered will constitute, a legal, valid and binding obligation of the Loan Party a party hereto or thereto, as the case may be, enforceable against such Loan Party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9" w:lineRule="auto"/>
        <w:tabs>
          <w:tab w:leader="none" w:pos="107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the financial condition of PAA and its Subsidiaries on a consolidated basis as of the respective dates thereof and their results of operations for the period covered thereby in accordance with GAAP consistently applied throughout the period covered thereby, except as otherwise expressly noted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firstLine="656"/>
        <w:spacing w:after="0" w:line="286" w:lineRule="auto"/>
        <w:tabs>
          <w:tab w:leader="none" w:pos="1083"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unaudited consolidated balance sheets of PAA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PAA and its Subsidiaries on a consolidated basis as of the date thereof and their results of operations for the period covered thereby, subject, in the case of clauses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and (ii), to the absence of footnotes and to normal year-end audit adjustments.</w:t>
      </w:r>
    </w:p>
    <w:p>
      <w:pPr>
        <w:spacing w:after="0" w:line="210" w:lineRule="exact"/>
        <w:rPr>
          <w:rFonts w:ascii="Arial" w:cs="Arial" w:eastAsia="Arial" w:hAnsi="Arial"/>
          <w:sz w:val="18"/>
          <w:szCs w:val="18"/>
          <w:color w:val="auto"/>
        </w:rPr>
      </w:pPr>
    </w:p>
    <w:p>
      <w:pPr>
        <w:ind w:firstLine="656"/>
        <w:spacing w:after="0" w:line="342" w:lineRule="auto"/>
        <w:tabs>
          <w:tab w:leader="none" w:pos="1072"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As of the Closing Date, for the period from December 31, 2020 through the Closing Date, there exists no event or circumstance with respect to the Company and its Subsidiaries taken as a whole, either individually or in the aggregate, that has then resulted in a Material Adverse Effect.</w:t>
      </w:r>
    </w:p>
    <w:p>
      <w:pPr>
        <w:spacing w:after="0" w:line="1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5.06 Litigation</w:t>
      </w:r>
      <w:r>
        <w:rPr>
          <w:rFonts w:ascii="Arial" w:cs="Arial" w:eastAsia="Arial" w:hAnsi="Arial"/>
          <w:sz w:val="16"/>
          <w:szCs w:val="16"/>
          <w:color w:val="auto"/>
        </w:rPr>
        <w:t>. Except as disclosed in the Audited Financial Statements,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5.06</w:t>
      </w:r>
      <w:r>
        <w:rPr>
          <w:rFonts w:ascii="Arial" w:cs="Arial" w:eastAsia="Arial" w:hAnsi="Arial"/>
          <w:sz w:val="16"/>
          <w:szCs w:val="16"/>
          <w:b w:val="1"/>
          <w:bCs w:val="1"/>
          <w:color w:val="auto"/>
        </w:rPr>
        <w:t xml:space="preserve"> </w:t>
      </w:r>
      <w:r>
        <w:rPr>
          <w:rFonts w:ascii="Arial" w:cs="Arial" w:eastAsia="Arial" w:hAnsi="Arial"/>
          <w:sz w:val="16"/>
          <w:szCs w:val="16"/>
          <w:color w:val="auto"/>
        </w:rPr>
        <w:t>or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there are no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suits, proceedings, claims or disputes pending or, to the knowledge of the Company, overtly threatened in writing, at law, in equity, in arbitration or before any Governmental Authority, (a) adversely affecting or against any Collateral (including, without limitation, any which challenge or otherwise pertain to any Borrower’s title to any Collateral), (b) purport to affect or pertain to the validity or enforceability of, or otherwise seek to invalidate, this Agreement or any other Loan Document, or (c) either individually or in the aggregate could reasonably be expected to have a Material Adverse Effect.</w:t>
      </w:r>
    </w:p>
    <w:p>
      <w:pPr>
        <w:spacing w:after="0" w:line="15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5.07 Ownership of Property; Liens; Receivables</w:t>
      </w:r>
      <w:r>
        <w:rPr>
          <w:rFonts w:ascii="Arial" w:cs="Arial" w:eastAsia="Arial" w:hAnsi="Arial"/>
          <w:sz w:val="16"/>
          <w:szCs w:val="16"/>
          <w:color w:val="auto"/>
        </w:rPr>
        <w:t>. Each Borrower has good and defensible title to all of its material property necessary or used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ordinary conduct of its business, free and clear of any (a) impediments in the use of such property except for such impediments that could not, individually or in the aggregate, reasonably be expected to have a Material Adverse Effect and (b) Liens,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5.08 Environmental Compliance</w:t>
      </w:r>
      <w:r>
        <w:rPr>
          <w:rFonts w:ascii="Arial" w:cs="Arial" w:eastAsia="Arial" w:hAnsi="Arial"/>
          <w:sz w:val="18"/>
          <w:szCs w:val="18"/>
          <w:color w:val="auto"/>
        </w:rPr>
        <w:t>. Except as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5.08</w:t>
      </w:r>
      <w:r>
        <w:rPr>
          <w:rFonts w:ascii="Arial" w:cs="Arial" w:eastAsia="Arial" w:hAnsi="Arial"/>
          <w:sz w:val="18"/>
          <w:szCs w:val="18"/>
          <w:b w:val="1"/>
          <w:bCs w:val="1"/>
          <w:color w:val="auto"/>
        </w:rPr>
        <w:t xml:space="preserve"> </w:t>
      </w:r>
      <w:r>
        <w:rPr>
          <w:rFonts w:ascii="Arial" w:cs="Arial" w:eastAsia="Arial" w:hAnsi="Arial"/>
          <w:sz w:val="18"/>
          <w:szCs w:val="18"/>
          <w:color w:val="auto"/>
        </w:rPr>
        <w:t>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the Company and its Subsidiaries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w:t>
      </w:r>
    </w:p>
    <w:p>
      <w:pPr>
        <w:spacing w:after="0" w:line="18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72"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Company, nothing has occurred with respect to the Company or any ERISA Affiliate that would prevent or cause the loss of such tax-qualified status.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656"/>
        <w:spacing w:after="0" w:line="275" w:lineRule="auto"/>
        <w:tabs>
          <w:tab w:leader="none" w:pos="1083"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there are no pending or, to the knowledge of the Company, overtly threatened in writing, claims, actions or lawsuits, or action by any Governmental Authority, with respect to any Plan that could reasonably be expected to have a Material Adverse Effect. Except as disclosed in the Audited Financial Statements, in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or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there has been no prohibited transaction or violation of the fiduciary responsibility rules with respect to any Plan that has resulted or, actually known to the Company, could reasonably be expected to result in a Material Adverse Effect.</w:t>
      </w:r>
    </w:p>
    <w:p>
      <w:pPr>
        <w:spacing w:after="0" w:line="176" w:lineRule="exact"/>
        <w:rPr>
          <w:rFonts w:ascii="Arial" w:cs="Arial" w:eastAsia="Arial" w:hAnsi="Arial"/>
          <w:sz w:val="17"/>
          <w:szCs w:val="17"/>
          <w:color w:val="auto"/>
        </w:rPr>
      </w:pPr>
    </w:p>
    <w:p>
      <w:pPr>
        <w:jc w:val="both"/>
        <w:ind w:firstLine="656"/>
        <w:spacing w:after="0" w:line="283" w:lineRule="auto"/>
        <w:tabs>
          <w:tab w:leader="none" w:pos="1072"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Except as disclosed in the Audited Financial Statements,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(i) no ERISA Event has occurred, and neither the Company nor any ERISA Affiliate has actual knowledge of any fact, event or circumstance that could reasonably be expected to constitute or result in an ERISA Event with respect to any Pension Plan, (ii) the Company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has actual knowledge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or obligations of immaterial amounts, and there are no premium payments which have become due that are delinquent or are being contested in good faith,</w:t>
      </w:r>
    </w:p>
    <w:p>
      <w:pPr>
        <w:spacing w:after="0" w:line="5" w:lineRule="exact"/>
        <w:rPr>
          <w:rFonts w:ascii="Arial" w:cs="Arial" w:eastAsia="Arial" w:hAnsi="Arial"/>
          <w:sz w:val="16"/>
          <w:szCs w:val="16"/>
          <w:color w:val="auto"/>
        </w:rPr>
      </w:pPr>
    </w:p>
    <w:p>
      <w:pPr>
        <w:jc w:val="both"/>
        <w:ind w:firstLine="8"/>
        <w:spacing w:after="0" w:line="253" w:lineRule="auto"/>
        <w:tabs>
          <w:tab w:leader="none" w:pos="2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neither the Company nor any ERISA Affiliate has, to its actual knowledge, engaged in a transaction that could be subject to Section 4069 or Section 4212(c) of ERISA, and (vi) to the Company’s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except as disclosed in the Audited Financial Statements, in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represents and warrants as of the Closing Date that the Company is not and will not be using “plan assets” (within the meaning of 29 CFR § 2510.3-101, as modified by Section 3(42) of ERISA or otherwise) of one or more Benefit Plans in connection with the Loans, the Letters of Credit or the Commitments.</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308" w:lineRule="auto"/>
        <w:tabs>
          <w:tab w:leader="none" w:pos="1072"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1100" w:hanging="444"/>
        <w:spacing w:after="0"/>
        <w:tabs>
          <w:tab w:leader="none" w:pos="11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Loan Party is required to be registered as an “investment company” under the Investment Company Act of 1940.</w:t>
      </w:r>
    </w:p>
    <w:p>
      <w:pPr>
        <w:spacing w:after="0" w:line="22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Disclosure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90" w:lineRule="auto"/>
        <w:tabs>
          <w:tab w:leader="none" w:pos="107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No report, financial statement, certificate or other information (excluding any projected and forecast financial information and information of a general economic or general industry nature) furnished by or on behalf of any Loan Party to the Administrative Agent or any Lender in connection with the transactions contemplated hereby and the negotiation of this Agreement (including those delivered hereunder or under any other Loan Document (in each case, as modified or supplemented by other information so furnished, when so modified or supplemented)), when taken as a whole, contains any material misstatement of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and forecast financial information, the Company represents only that such projections and forecasts were prepared in good faith based upon assumptions deemed reasonable by the Company or PAA at the time.</w:t>
      </w:r>
    </w:p>
    <w:p>
      <w:pPr>
        <w:spacing w:after="0" w:line="165" w:lineRule="exact"/>
        <w:rPr>
          <w:rFonts w:ascii="Arial" w:cs="Arial" w:eastAsia="Arial" w:hAnsi="Arial"/>
          <w:sz w:val="16"/>
          <w:szCs w:val="16"/>
          <w:color w:val="auto"/>
        </w:rPr>
      </w:pPr>
    </w:p>
    <w:p>
      <w:pPr>
        <w:ind w:left="1100" w:hanging="444"/>
        <w:spacing w:after="0"/>
        <w:tabs>
          <w:tab w:leader="none" w:pos="11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information included in the Beneficial Ownership Certification, if applicable, is true and correct in all respects as of the Closing Date.</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5.12 Compliance with Laws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5.12</w:t>
      </w:r>
      <w:r>
        <w:rPr>
          <w:rFonts w:ascii="Arial" w:cs="Arial" w:eastAsia="Arial" w:hAnsi="Arial"/>
          <w:sz w:val="18"/>
          <w:szCs w:val="18"/>
          <w:b w:val="1"/>
          <w:bCs w:val="1"/>
          <w:color w:val="auto"/>
        </w:rPr>
        <w:t xml:space="preserve"> </w:t>
      </w:r>
      <w:r>
        <w:rPr>
          <w:rFonts w:ascii="Arial" w:cs="Arial" w:eastAsia="Arial" w:hAnsi="Arial"/>
          <w:sz w:val="18"/>
          <w:szCs w:val="18"/>
          <w:color w:val="auto"/>
        </w:rPr>
        <w:t>or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6.03</w:t>
      </w:r>
      <w:r>
        <w:rPr>
          <w:rFonts w:ascii="Arial" w:cs="Arial" w:eastAsia="Arial" w:hAnsi="Arial"/>
          <w:sz w:val="18"/>
          <w:szCs w:val="18"/>
          <w:color w:val="auto"/>
        </w:rPr>
        <w:t>, each Loan Party and each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5.13 Collateral Documents</w:t>
      </w:r>
      <w:r>
        <w:rPr>
          <w:rFonts w:ascii="Arial" w:cs="Arial" w:eastAsia="Arial" w:hAnsi="Arial"/>
          <w:sz w:val="18"/>
          <w:szCs w:val="18"/>
          <w:color w:val="auto"/>
        </w:rPr>
        <w:t>. The provisions of the Collateral Documents are effective to create in favor of the Administrative Agent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of the Secured Parties a legal, valid and enforceable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on all right, title and interest of each Borrower in all of such Borrower’s (i) Petroleum Products inventory (excluding tank bottoms and pipeline linefill of such Borrower and Permian Excluded Inventory), (ii) Swap Contracts covering Petroleum Products inventory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(iii) present and future contracts for the sale of Petroleum Products inventory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Receivables thereunder, and (iv) proceeds and products of the foregoing and all other Collateral described therein. Except for filings completed prior to the Closing Date and as contemplated hereby and by the Collateral Documents, no filing or other action will be necessary to perfect or protect such Liens.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5.14 OFAC. </w:t>
      </w:r>
      <w:r>
        <w:rPr>
          <w:rFonts w:ascii="Arial" w:cs="Arial" w:eastAsia="Arial" w:hAnsi="Arial"/>
          <w:sz w:val="16"/>
          <w:szCs w:val="16"/>
          <w:color w:val="auto"/>
        </w:rPr>
        <w:t>Neither the Company, nor any of its Subsidiaries, nor, to the knowledge of the Company and its Subsidiaries,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agent, affiliate or representative thereof that will act in any capacity in connection with or benefit from the credit facility established hereby, is an individual or entity that is, or is owned or controlled by one or more individuals or entities that are (a) currently the subject or target of any Sanctions,</w:t>
      </w:r>
    </w:p>
    <w:p>
      <w:pPr>
        <w:spacing w:after="0" w:line="2" w:lineRule="exact"/>
        <w:rPr>
          <w:sz w:val="20"/>
          <w:szCs w:val="20"/>
          <w:color w:val="auto"/>
        </w:rPr>
      </w:pPr>
    </w:p>
    <w:p>
      <w:pPr>
        <w:jc w:val="both"/>
        <w:ind w:firstLine="8"/>
        <w:spacing w:after="0" w:line="268" w:lineRule="auto"/>
        <w:tabs>
          <w:tab w:leader="none" w:pos="2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included on OFAC’s List of Specially Designated Nationals or HMT’s Consolidated List of Financial Sanctions Targets, or any similar list enforced by any other relevant sanctions authority of any relevant jurisdiction where any Loan Party or their respective Subsidiaries maintains assets or engages in business, or (c) operating, organized or resident in a Designated Jurisdiction (each Person referred to in any of the preceding clauses (a) - (c), a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The Company and its Subsidiaries have (y) conducted their businesses in compliance in all material respects with all applicable Sanctions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(z) instituted and maintained policies and procedures designed to promote and achieve compliance with such Sanctions.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5.15 Anti-Corruption Laws. </w:t>
      </w:r>
      <w:r>
        <w:rPr>
          <w:rFonts w:ascii="Arial" w:cs="Arial" w:eastAsia="Arial" w:hAnsi="Arial"/>
          <w:sz w:val="18"/>
          <w:szCs w:val="18"/>
          <w:color w:val="auto"/>
        </w:rPr>
        <w:t>The Company and its Subsidiaries have (a) conducted their businesses in compliance in all material respects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Foreign Corrupt Practices Act of 1977, the UK Bribery Act 2010, and other applicable anti-corruption legislation in other jurisdictions and applicable anti-money laundering rules and regulations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other than any failure or failures to comply therewith that are isolated and do not evidence a pervasive or systemic pattern of violations thereof or a significant deficiency in the implementation of the hereinafter referenced policies and procedures to promote and achieve compliance by the Company and its Subsidiaries therewith and are immaterial to the Company and its Subsidiaries taken as a whole and (b) instituted and maintained policies and procedures designed to promote and achieve compliance with such laws.</w:t>
      </w:r>
    </w:p>
    <w:p>
      <w:pPr>
        <w:spacing w:after="0" w:line="189" w:lineRule="exact"/>
        <w:rPr>
          <w:sz w:val="20"/>
          <w:szCs w:val="20"/>
          <w:color w:val="auto"/>
        </w:rPr>
      </w:pPr>
    </w:p>
    <w:p>
      <w:pPr>
        <w:ind w:left="660"/>
        <w:spacing w:after="0"/>
        <w:tabs>
          <w:tab w:leader="none" w:pos="1180" w:val="left"/>
          <w:tab w:leader="none" w:pos="3640" w:val="left"/>
        </w:tabs>
        <w:rPr>
          <w:sz w:val="20"/>
          <w:szCs w:val="20"/>
          <w:color w:val="auto"/>
        </w:rPr>
      </w:pPr>
      <w:r>
        <w:rPr>
          <w:rFonts w:ascii="Arial" w:cs="Arial" w:eastAsia="Arial" w:hAnsi="Arial"/>
          <w:sz w:val="18"/>
          <w:szCs w:val="18"/>
          <w:b w:val="1"/>
          <w:bCs w:val="1"/>
          <w:color w:val="auto"/>
        </w:rPr>
        <w:t>5.16</w:t>
        <w:tab/>
        <w:t>Affected Financial Institution.</w:t>
      </w:r>
      <w:r>
        <w:rPr>
          <w:sz w:val="20"/>
          <w:szCs w:val="20"/>
          <w:color w:val="auto"/>
        </w:rPr>
        <w:tab/>
      </w:r>
      <w:r>
        <w:rPr>
          <w:rFonts w:ascii="Arial" w:cs="Arial" w:eastAsia="Arial" w:hAnsi="Arial"/>
          <w:sz w:val="16"/>
          <w:szCs w:val="16"/>
          <w:color w:val="auto"/>
        </w:rPr>
        <w:t>No Loan Party is an Affected Financial Institution.</w:t>
      </w:r>
    </w:p>
    <w:p>
      <w:pPr>
        <w:spacing w:after="0" w:line="22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ARTICLE VI.</w:t>
        <w:tab/>
        <w:t>AFFIRMATIVE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(unless a collateral arrangement satisfactory to the applicable L/C Issuers has been entered into) any Letter of Credit shall remain outstanding, the Company shall (and PMCULC, solely as to itself, shall):</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7"/>
          <w:szCs w:val="17"/>
          <w:b w:val="1"/>
          <w:bCs w:val="1"/>
          <w:color w:val="auto"/>
        </w:rPr>
        <w:t>Financial Statements</w:t>
      </w:r>
      <w:r>
        <w:rPr>
          <w:rFonts w:ascii="Arial" w:cs="Arial" w:eastAsia="Arial" w:hAnsi="Arial"/>
          <w:sz w:val="17"/>
          <w:szCs w:val="17"/>
          <w:color w:val="auto"/>
        </w:rPr>
        <w:t>. Deliver to the Administrative Agent and each Lender the following statements and reports, at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jc w:val="both"/>
        <w:ind w:firstLine="656"/>
        <w:spacing w:after="0" w:line="290" w:lineRule="auto"/>
        <w:tabs>
          <w:tab w:leader="none" w:pos="107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promptly upon the filing thereof, and in any event within ninety (90) days after the end of each fiscal year, a copy of PAA’s Form 10-K, which report shall include PAA’s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the general partner of PAA,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 following the termination or release of the PAA Guaranty and within the time periods specified herein, the Company’s complete audited annual consolidated financial statements, prepared in reasonable detail in accordance with GAAP);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jc w:val="both"/>
        <w:ind w:firstLine="656"/>
        <w:spacing w:after="0" w:line="273" w:lineRule="auto"/>
        <w:tabs>
          <w:tab w:leader="none" w:pos="108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PAA’s Form 10-Q, which report shall include PAA’s unaudited consolidated balance sheet as of the end of such fiscal quarter and consolidated statements of PAA’s earnings and cash flows for such fiscal quarter and for the period from the beginning of the then current fiscal year to the end of such fiscal quarter (and, following the termination or release of the PAA Guaranty and within the time periods specified herein, the Company’s unaudited consolidated balance sheet as of the end of such fiscal quarter and consolidated statements of the Company’s earnings and cash flows for such fiscal quarter and for the period from the beginning of the then current fiscal year to the end of such fiscal quarter).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any of the foregoing information is contained in materials filed by PAA with the SEC,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8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color w:val="auto"/>
        </w:rPr>
        <w:t>Certificates; Other Information</w:t>
      </w:r>
      <w:r>
        <w:rPr>
          <w:rFonts w:ascii="Arial" w:cs="Arial" w:eastAsia="Arial" w:hAnsi="Arial"/>
          <w:sz w:val="17"/>
          <w:szCs w:val="17"/>
          <w:color w:val="auto"/>
        </w:rPr>
        <w:t>. Deliver to the Administrative Agent and each Lender (except as otherwise provided in subsection</w:t>
      </w:r>
    </w:p>
    <w:p>
      <w:pPr>
        <w:spacing w:after="0" w:line="27" w:lineRule="exact"/>
        <w:rPr>
          <w:sz w:val="20"/>
          <w:szCs w:val="20"/>
          <w:color w:val="auto"/>
        </w:rPr>
      </w:pPr>
    </w:p>
    <w:p>
      <w:pPr>
        <w:ind w:left="260" w:hanging="252"/>
        <w:spacing w:after="0"/>
        <w:tabs>
          <w:tab w:leader="none" w:pos="2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below), in form and detail reasonably satisfactory to the Administrative Agent:</w:t>
      </w:r>
    </w:p>
    <w:p>
      <w:pPr>
        <w:spacing w:after="0" w:line="210" w:lineRule="exact"/>
        <w:rPr>
          <w:rFonts w:ascii="Arial" w:cs="Arial" w:eastAsia="Arial" w:hAnsi="Arial"/>
          <w:sz w:val="18"/>
          <w:szCs w:val="18"/>
          <w:color w:val="auto"/>
        </w:rPr>
      </w:pPr>
    </w:p>
    <w:p>
      <w:pPr>
        <w:ind w:firstLine="656"/>
        <w:spacing w:after="0" w:line="277"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copy of the certificate delivered to the administrative agent and the lenders under the PAA Credit Agreement pursuant to Section 6.02(a) thereof;</w:t>
      </w:r>
    </w:p>
    <w:p>
      <w:pPr>
        <w:spacing w:after="0" w:line="173" w:lineRule="exact"/>
        <w:rPr>
          <w:rFonts w:ascii="Arial" w:cs="Arial" w:eastAsia="Arial" w:hAnsi="Arial"/>
          <w:sz w:val="18"/>
          <w:szCs w:val="18"/>
          <w:color w:val="auto"/>
        </w:rPr>
      </w:pPr>
    </w:p>
    <w:p>
      <w:pPr>
        <w:ind w:firstLine="656"/>
        <w:spacing w:after="0" w:line="224" w:lineRule="auto"/>
        <w:tabs>
          <w:tab w:leader="none" w:pos="1083" w:val="left"/>
        </w:tabs>
        <w:numPr>
          <w:ilvl w:val="1"/>
          <w:numId w:val="320"/>
        </w:numPr>
        <w:rPr>
          <w:rFonts w:ascii="Arial" w:cs="Arial" w:eastAsia="Arial" w:hAnsi="Arial"/>
          <w:sz w:val="17"/>
          <w:szCs w:val="17"/>
          <w:color w:val="auto"/>
        </w:rPr>
      </w:pPr>
      <w:r>
        <w:rPr>
          <w:rFonts w:ascii="Arial" w:cs="Arial" w:eastAsia="Arial" w:hAnsi="Arial"/>
          <w:sz w:val="17"/>
          <w:szCs w:val="17"/>
          <w:color w:val="auto"/>
        </w:rPr>
        <w:t>on or about (but not later than) the seventeenth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month (or the next succeeding Business Day, if the 17th is not a Business Day), a certificate from a Responsible Officer of the Company with respect to the representation and warranty set forth in </w:t>
      </w:r>
      <w:r>
        <w:rPr>
          <w:rFonts w:ascii="Arial" w:cs="Arial" w:eastAsia="Arial" w:hAnsi="Arial"/>
          <w:sz w:val="17"/>
          <w:szCs w:val="17"/>
          <w:u w:val="single" w:color="auto"/>
          <w:color w:val="auto"/>
        </w:rPr>
        <w:t>Section 4.02(d)</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jc w:val="both"/>
        <w:ind w:firstLine="656"/>
        <w:spacing w:after="0" w:line="259"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promptly, to the Administrative Agent, upon written request, such additional information regarding the business, financial, legal or corporate affairs of the Company or any Subsidiary, or compliance with the terms of the Loan Documents (including supporting information with respect to Collateral Value and the calculation thereof), in each case which are reasonably requested by the Administrative Agent or any Lender and not subject to confidentiality restrictions or attorney-client privilege;</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notice of any public announcement by Moody’s or S&amp;P of any downgrade in a PAA Debt Rating;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7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jc w:val="both"/>
        <w:ind w:firstLine="648"/>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Company or PAA posts such documents, or provides a link thereto on PAA’s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70" w:lineRule="auto"/>
        <w:tabs>
          <w:tab w:leader="none" w:pos="28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on which such documents are delivered to the Administrative Agent for posting to the Platform or (iii) on which such documents are posted on the Company’s or PAA’s behalf on any other Internet or intranet website, if any, to which each Lender and the Administrative Agent have access (whether a commercial, third-party website or whether sponsored by the Administrative Agent), and in either case, the Company or PAA notifies the Administrative Agent of such posting or link.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Borrower and PAA hereby acknowledges that (a) the Administrative Agent or its authorized Affiliates will make available to the Lenders and the L/C Issuers materials and/or information provided by or on behalf of such Borrower and PAA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Syndtrak, ClearPar or another substantially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any of the Borrowers, PAA or their respective Affiliates, or the respective securities of any of the foregoing, and who may be engaged in investment and other market-related activities with respect to such Persons’ securities. Each Borrower and PAA hereby agrees that (w) all Borrower Materials that it instructs to be made available to Public Lenders shall be clearly and conspicuously marked “PUBLIC” which, at a minimum, shall mean that the word “PUBLIC” shall appear prominently on the first page thereof; (x) by marking Borrower Materials “PUBLIC,” each Borrower and PAA shall be deemed to have authorized the Administrative Agent or its authorized Affiliates, the L/C Issuers and the Lenders to treat such Borrower Materials as not containing any material non-public information with respect to any Borrower or PAA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so marked “PUBLIC” are permitted to be made available through a portion of the Platform designated “Public Side Information;” and (z) the Administrative Agent or its authorized Affiliates shall be entitled to treat any Borrower Materials that are not marked “PUBLIC” as being suitable only for posting on a portion of the Platform not designated “Public Side Information.” Notwithstanding the foregoing, Borrowers shall be under no obligation to mark any Borrower Materials “PUBLIC”.</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ind w:left="660"/>
        <w:spacing w:after="0"/>
        <w:tabs>
          <w:tab w:leader="none" w:pos="118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Promptly notify the Administrative Agent and each Lender not later than five Business Days after any executive officer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has knowledge:</w:t>
      </w:r>
    </w:p>
    <w:p>
      <w:pPr>
        <w:spacing w:after="0" w:line="211" w:lineRule="exact"/>
        <w:rPr>
          <w:sz w:val="20"/>
          <w:szCs w:val="20"/>
          <w:color w:val="auto"/>
        </w:rPr>
      </w:pPr>
    </w:p>
    <w:p>
      <w:pPr>
        <w:ind w:left="1180" w:hanging="524"/>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and</w:t>
      </w:r>
    </w:p>
    <w:p>
      <w:pPr>
        <w:spacing w:after="0" w:line="225" w:lineRule="exact"/>
        <w:rPr>
          <w:rFonts w:ascii="Arial" w:cs="Arial" w:eastAsia="Arial" w:hAnsi="Arial"/>
          <w:sz w:val="18"/>
          <w:szCs w:val="18"/>
          <w:color w:val="auto"/>
        </w:rPr>
      </w:pPr>
    </w:p>
    <w:p>
      <w:pPr>
        <w:ind w:firstLine="656"/>
        <w:spacing w:after="0" w:line="277" w:lineRule="auto"/>
        <w:tabs>
          <w:tab w:leader="none" w:pos="116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6.04 Payment of Taxes, Etc</w:t>
      </w:r>
      <w:r>
        <w:rPr>
          <w:rFonts w:ascii="Arial" w:cs="Arial" w:eastAsia="Arial" w:hAnsi="Arial"/>
          <w:sz w:val="17"/>
          <w:szCs w:val="17"/>
          <w:color w:val="auto"/>
        </w:rPr>
        <w:t>. Pay and discharge (and cause PMCULC to pay and discharge) as the same shall become due and payable, all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assessments and governmental charges or levies imposed upon it or its properties or assets, unless (i) the same are being contested in good faith by appropriate proceedings diligently conducted and adequate reserves in accordance with GAAP are being maintained by the Company or such Subsidiary, or (ii) such failure would not reasonably be expected to result in a Material Adverse Effect.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6.05 Preservation of Existence, Etc</w:t>
      </w:r>
      <w:r>
        <w:rPr>
          <w:rFonts w:ascii="Arial" w:cs="Arial" w:eastAsia="Arial" w:hAnsi="Arial"/>
          <w:sz w:val="18"/>
          <w:szCs w:val="18"/>
          <w:color w:val="auto"/>
        </w:rPr>
        <w:t>. (a) Preserve, renew and maintain (and cause PMCULC to preserve, renew and maintain)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its legal existence and good standing under the Laws of the jurisdiction of its organization, (b) take (and cause PMCULC to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as a result of statutory conversions, continuances or similar statutorily-permitted arrangements, and (c) PAA will preserve and maintain its legal existence and good standing under the Laws of the jurisdiction of its organization; except (i) where the failure so to maintain or preserve (as the case may be) would not reasonably be expected to cause a Material Adverse Effect (as defined in the PAA Credit Agreement) or (ii) as a result of statutory conversions.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6.06 Maintenance of Properties</w:t>
      </w:r>
      <w:r>
        <w:rPr>
          <w:rFonts w:ascii="Arial" w:cs="Arial" w:eastAsia="Arial" w:hAnsi="Arial"/>
          <w:sz w:val="18"/>
          <w:szCs w:val="18"/>
          <w:color w:val="auto"/>
        </w:rPr>
        <w:t>. Maintain, preserve and protect (and cause PMCULC to maintain, preserve and protect) all Collateral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maintain all of its other material properties and equipment that are necessary in the operation of its business in good working order and condition, ordinary wear and tear and casualty or condemnation excepted, (i) except where the failure to do so could not reasonably be expected to have a Material Adverse Effect or (ii) as permitted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as a result of statutory conversions.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6.07 Maintenance of Insurance</w:t>
      </w:r>
      <w:r>
        <w:rPr>
          <w:rFonts w:ascii="Arial" w:cs="Arial" w:eastAsia="Arial" w:hAnsi="Arial"/>
          <w:sz w:val="17"/>
          <w:szCs w:val="17"/>
          <w:color w:val="auto"/>
        </w:rPr>
        <w:t>. Maintain (and cause PMCULC to maintain), with financially sound and reputable insurance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insurance or, at its option, self-insure in such amounts (after giving effect to any self-insurance compatible with the following standards) and against such risks as are customarily insured by other Persons engaged in the same or similar businesses and owning similar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provisions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the Company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Company, based on coverages carried by prudent owners of similar property, and may be maintained by PAA.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jc w:val="both"/>
        <w:ind w:firstLine="648"/>
        <w:spacing w:after="0" w:line="254" w:lineRule="auto"/>
        <w:rPr>
          <w:sz w:val="20"/>
          <w:szCs w:val="20"/>
          <w:color w:val="auto"/>
        </w:rPr>
      </w:pPr>
      <w:r>
        <w:rPr>
          <w:rFonts w:ascii="Arial" w:cs="Arial" w:eastAsia="Arial" w:hAnsi="Arial"/>
          <w:sz w:val="18"/>
          <w:szCs w:val="18"/>
          <w:b w:val="1"/>
          <w:bCs w:val="1"/>
          <w:color w:val="auto"/>
        </w:rPr>
        <w:t>6.08 Compliance with Laws; Compliance with Contracts for Sale of Hedged Eligible Inventory</w:t>
      </w:r>
      <w:r>
        <w:rPr>
          <w:rFonts w:ascii="Arial" w:cs="Arial" w:eastAsia="Arial" w:hAnsi="Arial"/>
          <w:sz w:val="18"/>
          <w:szCs w:val="18"/>
          <w:color w:val="auto"/>
        </w:rPr>
        <w:t>. Comply (and cause PMCULC to comply)</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the requirements of all Laws (including Anti-Corruption Laws and applicable Sanctions)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Each Borrower will perform and observe in all material respects all terms and provisions of each contract for the sale of Hedged Eligible Inventory to be performed or observed by it. The Company and its Subsidiaries will institute and maintain commercially reasonably policies and procedures which they reasonably believe are designed to promote and achieve their respective compliance with Anti-Corruption Laws and applicable Sanctions.</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6.09 Books and Records</w:t>
      </w:r>
      <w:r>
        <w:rPr>
          <w:rFonts w:ascii="Arial" w:cs="Arial" w:eastAsia="Arial" w:hAnsi="Arial"/>
          <w:sz w:val="18"/>
          <w:szCs w:val="18"/>
          <w:color w:val="auto"/>
        </w:rPr>
        <w:t>. Maintain (and cause PMCULC to maintain) proper books of record and account in which full, true and correct</w:t>
      </w:r>
      <w:r>
        <w:rPr>
          <w:rFonts w:ascii="Arial" w:cs="Arial" w:eastAsia="Arial" w:hAnsi="Arial"/>
          <w:sz w:val="18"/>
          <w:szCs w:val="18"/>
          <w:b w:val="1"/>
          <w:bCs w:val="1"/>
          <w:color w:val="auto"/>
        </w:rPr>
        <w:t xml:space="preserve"> </w:t>
      </w:r>
      <w:r>
        <w:rPr>
          <w:rFonts w:ascii="Arial" w:cs="Arial" w:eastAsia="Arial" w:hAnsi="Arial"/>
          <w:sz w:val="18"/>
          <w:szCs w:val="18"/>
          <w:color w:val="auto"/>
        </w:rPr>
        <w:t>entries in conformity with GAAP consistently applied shall be made of all financial transactions and matters involving the assets and business of the Company or such Subsidiary, as the case may be.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6.10 Inspection Rights</w:t>
      </w:r>
      <w:r>
        <w:rPr>
          <w:rFonts w:ascii="Arial" w:cs="Arial" w:eastAsia="Arial" w:hAnsi="Arial"/>
          <w:sz w:val="17"/>
          <w:szCs w:val="17"/>
          <w:color w:val="auto"/>
        </w:rPr>
        <w:t>. Permit (and cause PMCULC to permit) representatives and independent contractors of the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during the continuance of an Event of Default, representatives and independent contractors of any Lender) to visit and inspect any of its properties, to examine its corporate, financial and operating records, and to make copies thereof or abstracts therefrom, and to discuss its affairs, finances and accounts with its officers and independent public accountants, all at such reasonable times during normal business hours, upon reasonable advance notice to the Company; provided, (i) all such visits and inspections during the continuance of an Event of Default shall be coordinated through the Administrative Agent and (ii) unless an Event of Default has occurred and is continuing, such visits and inspections can occur no more frequently than once per year. Each of the foregoing inspections and examinations shall be made subject to compliance with applicable safety standards and the same conditions applicable to any Borrower in respect of property of such Borrower on the premises of Persons other than such Borrower or an Affiliate of the Company, and all information, books and records furnished or requested to be made, all information to be investigated or verified, all copies and abstracts of all information, books and records and all discussion conducted with any officer, employee or representative of any Borrower, in each case, shall be subject to any applicable attorney-client privilege exceptions which the Company determines is reasonably necessary and compliance with conditions to disclosures under non-disclosure agreements between such Borrower and Persons other than such Borrower or an Affiliate of the Company and the express undertaking of each Person acting at the direction of or on behalf of any Lender Party to be bound by the confidentiality provisions of </w:t>
      </w:r>
      <w:r>
        <w:rPr>
          <w:rFonts w:ascii="Arial" w:cs="Arial" w:eastAsia="Arial" w:hAnsi="Arial"/>
          <w:sz w:val="17"/>
          <w:szCs w:val="17"/>
          <w:u w:val="single" w:color="auto"/>
          <w:color w:val="auto"/>
        </w:rPr>
        <w:t>Section 11.07</w:t>
      </w:r>
      <w:r>
        <w:rPr>
          <w:rFonts w:ascii="Arial" w:cs="Arial" w:eastAsia="Arial" w:hAnsi="Arial"/>
          <w:sz w:val="17"/>
          <w:szCs w:val="17"/>
          <w:color w:val="auto"/>
        </w:rPr>
        <w:t xml:space="preserve"> of this Agreement. The Administrative Agent and the Lenders shall give the Company the opportunity to participate in any discussions with the Company’s independent public accountants.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9" w:name="page290"/>
    <w:bookmarkEnd w:id="289"/>
    <w:p>
      <w:pPr>
        <w:jc w:val="both"/>
        <w:ind w:firstLine="648"/>
        <w:spacing w:after="0" w:line="261"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(and cause PMCULC to use) the proceeds of the Borrowings to refinance outstanding Indebtedness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Credit Agreement, finance purchases and storage of Hedged Eligible Inventory and refinance Unreimbursed Amounts, and use (and cause PMCULC to use) all Letters of Credit and Canadian BA’s solely to secure purchases of Hedged Eligible Inventory and other general corporate purposes not in violation of any Law applicable to it and not resulting in a Default or Event of Default.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6.12 Covenant to Give Security</w:t>
      </w:r>
      <w:r>
        <w:rPr>
          <w:rFonts w:ascii="Arial" w:cs="Arial" w:eastAsia="Arial" w:hAnsi="Arial"/>
          <w:sz w:val="16"/>
          <w:szCs w:val="16"/>
          <w:color w:val="auto"/>
        </w:rPr>
        <w:t>. Each Borrower, at its expense, will deliver, to further secure its Obligations whenever requested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in its sole and absolute discretion, chattel mortgages, security agreements, financing statements and other Collateral Documents in form and substance satisfactory to Administrative Agent for the purpose of granting, confirming, and perfecting first and prior liens or security interests in favor of the Administrative Agent for the benefit of the Lender Parties, subject to applicable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all of such Borrower’s (i) Petroleum Products inventory (excluding tank bottoms, pipeline linefill of such Borrower, Permian Excluded Inventory and Commodity Intermediary Subject Inventory), (ii) Swap Contracts covering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(iii) present and future contracts for the sale of Petroleum Products inventory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Receivables thereunder, and (iv) proceeds and products of the foregoing.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6.13 Further Assurances</w:t>
      </w:r>
      <w:r>
        <w:rPr>
          <w:rFonts w:ascii="Arial" w:cs="Arial" w:eastAsia="Arial" w:hAnsi="Arial"/>
          <w:sz w:val="16"/>
          <w:szCs w:val="16"/>
          <w:color w:val="auto"/>
        </w:rPr>
        <w:t>. Promptly upon request by the Administrative Agent, deliver (and cause PMCULC to deliver) such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in form and substance reasonably satisfactory to the Administrative Agent, as the Administrative Agent may reasonably request from time to time, to (i) the fullest extent permitted by Applicable Law, subject all Collateral of any Borrower to the Liens now or hereafter intended to be covered by any of the Collateral Documents to secure the Obligations of such Borrower, (ii) perfect and maintain the validity, effectiveness and priority of any of the Collateral Documents and any of the Liens intended to be created thereunder, subject to applicable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and</w:t>
      </w:r>
    </w:p>
    <w:p>
      <w:pPr>
        <w:spacing w:after="0" w:line="2" w:lineRule="exact"/>
        <w:rPr>
          <w:sz w:val="20"/>
          <w:szCs w:val="20"/>
          <w:color w:val="auto"/>
        </w:rPr>
      </w:pPr>
    </w:p>
    <w:p>
      <w:pPr>
        <w:ind w:right="20" w:firstLine="8"/>
        <w:spacing w:after="0" w:line="260" w:lineRule="auto"/>
        <w:tabs>
          <w:tab w:leader="none" w:pos="33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assure, convey, grant, assign, transfer, preserve, protect and confirm unto the Secured Parties the rights granted or now or hereafter intended to be granted to the Secured Parties under any Collateral Document.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NEGATIVE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(unless collateral arrangements satisfactory to the applicable L/C Issuers have been entered into) any Letter of Credit shall remain outstanding, no Borrower shall:</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color w:val="auto"/>
        </w:rPr>
        <w:t>Liens</w:t>
      </w:r>
      <w:r>
        <w:rPr>
          <w:rFonts w:ascii="Arial" w:cs="Arial" w:eastAsia="Arial" w:hAnsi="Arial"/>
          <w:sz w:val="16"/>
          <w:szCs w:val="16"/>
          <w:color w:val="auto"/>
        </w:rPr>
        <w:t>. Create, incur, assume or permit to exist any Lien upon</w:t>
      </w:r>
    </w:p>
    <w:p>
      <w:pPr>
        <w:spacing w:after="0" w:line="229" w:lineRule="exact"/>
        <w:rPr>
          <w:sz w:val="20"/>
          <w:szCs w:val="20"/>
          <w:color w:val="auto"/>
        </w:rPr>
      </w:pPr>
    </w:p>
    <w:p>
      <w:pPr>
        <w:jc w:val="both"/>
        <w:ind w:firstLine="656"/>
        <w:spacing w:after="0" w:line="263" w:lineRule="auto"/>
        <w:tabs>
          <w:tab w:leader="none" w:pos="111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Collateral except (i) Liens created pursuant to the Collateral Documents, (ii) Permitted Inventory Liens, (iii) statutory Liens in respect of First Purchase Crude Payables, (iv) Broker Liens on margin deposits with respect to Swap Contracts, and (v) any other Liens expressly permitted to encumber such Collateral under any Collateral Document;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0" w:name="page291"/>
    <w:bookmarkEnd w:id="290"/>
    <w:p>
      <w:pPr>
        <w:ind w:left="1140" w:hanging="484"/>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tank bottoms or pipeline linefill commingled with Petroleum Product inventory constituting Collateral; or</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Liens granted in connection with Commodity Intermediary Transactions permitted pursuant to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7.02 Fundamental Changes; Dispositions</w:t>
      </w:r>
      <w:r>
        <w:rPr>
          <w:rFonts w:ascii="Arial" w:cs="Arial" w:eastAsia="Arial" w:hAnsi="Arial"/>
          <w:sz w:val="18"/>
          <w:szCs w:val="18"/>
          <w:color w:val="auto"/>
        </w:rPr>
        <w:t>. Merge, dissolve, liquidate, consolidate with or into another Person, or Dispose of (whether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in a series of related transactions) all or substantially all of its assets (whether now owned or hereafter acquired) to or in favor of any Person (including, in each case, pursuant to a Division), except that:</w:t>
      </w:r>
    </w:p>
    <w:p>
      <w:pPr>
        <w:spacing w:after="0" w:line="180" w:lineRule="exact"/>
        <w:rPr>
          <w:sz w:val="20"/>
          <w:szCs w:val="20"/>
          <w:color w:val="auto"/>
        </w:rPr>
      </w:pPr>
    </w:p>
    <w:p>
      <w:pPr>
        <w:jc w:val="both"/>
        <w:ind w:right="20" w:firstLine="656"/>
        <w:spacing w:after="0" w:line="263" w:lineRule="auto"/>
        <w:tabs>
          <w:tab w:leader="none" w:pos="111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so long as no Default exists or, upon giving pro forma effect thereto, would immediately result therefrom, a Borrower may merge or consolidate with another Subsidiary of PAA,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Borrower is the acquiring or surviving entity and immediately after giving effect thereto, no Default exists, and</w:t>
      </w:r>
    </w:p>
    <w:p>
      <w:pPr>
        <w:spacing w:after="0" w:line="183" w:lineRule="exact"/>
        <w:rPr>
          <w:rFonts w:ascii="Arial" w:cs="Arial" w:eastAsia="Arial" w:hAnsi="Arial"/>
          <w:sz w:val="18"/>
          <w:szCs w:val="18"/>
          <w:color w:val="auto"/>
        </w:rPr>
      </w:pPr>
    </w:p>
    <w:p>
      <w:pPr>
        <w:ind w:left="660" w:hanging="4"/>
        <w:spacing w:after="0" w:line="277" w:lineRule="auto"/>
        <w:tabs>
          <w:tab w:leader="none" w:pos="113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 the Company and POPB Marketing, and Plains Pipeline and POPB Pipeline, may undertake the divisive mergers pursuant to the “Divisive Merger Agreements” (as such term is defined in the Permian JV Merger Agreement);</w:t>
      </w:r>
    </w:p>
    <w:p>
      <w:pPr>
        <w:spacing w:after="0" w:line="170" w:lineRule="exact"/>
        <w:rPr>
          <w:rFonts w:ascii="Arial" w:cs="Arial" w:eastAsia="Arial" w:hAnsi="Arial"/>
          <w:sz w:val="18"/>
          <w:szCs w:val="18"/>
          <w:color w:val="auto"/>
        </w:rPr>
      </w:pPr>
    </w:p>
    <w:p>
      <w:pPr>
        <w:jc w:val="both"/>
        <w:ind w:left="340" w:firstLine="964"/>
        <w:spacing w:after="0" w:line="263" w:lineRule="auto"/>
        <w:tabs>
          <w:tab w:leader="none" w:pos="175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POPB Marketing and POPB Pipeline may convert to Delaware limited liability companies pursuant to the “Marketing Conversion Certificates” and the “Pipeline Conversion Certificates” (as such terms are defined in the Permian JV Merger Agreement) for the purpose of domesticating POPB Marketing and POPB Pipeline in Delaware;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POPB Marketing and POPB Pipeline may enter into the “Marketing Sub Merger” and the “Pipeline Sub Merger” respectively (as such terms are defined in the Permian JV Merger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7.03 Dispositions of Collateral</w:t>
      </w:r>
      <w:r>
        <w:rPr>
          <w:rFonts w:ascii="Arial" w:cs="Arial" w:eastAsia="Arial" w:hAnsi="Arial"/>
          <w:sz w:val="18"/>
          <w:szCs w:val="18"/>
          <w:color w:val="auto"/>
        </w:rPr>
        <w:t>. Make any sale, transfer, lease, exchange or disposition of any Collateral except (i)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on ordinary trade terms, (ii) in connection with Commodity Intermediary Transactions permitted pursuant to </w:t>
      </w:r>
      <w:r>
        <w:rPr>
          <w:rFonts w:ascii="Arial" w:cs="Arial" w:eastAsia="Arial" w:hAnsi="Arial"/>
          <w:sz w:val="18"/>
          <w:szCs w:val="18"/>
          <w:u w:val="single" w:color="auto"/>
          <w:color w:val="auto"/>
        </w:rPr>
        <w:t>Section 7.08</w:t>
      </w:r>
      <w:r>
        <w:rPr>
          <w:rFonts w:ascii="Arial" w:cs="Arial" w:eastAsia="Arial" w:hAnsi="Arial"/>
          <w:sz w:val="18"/>
          <w:szCs w:val="18"/>
          <w:color w:val="auto"/>
        </w:rPr>
        <w:t>, and (iii) sales of Permian Excluded Inventory to Permian JV pursuant to Permian JV Inventory Transactions.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7.04 Transactions with Affiliates</w:t>
      </w:r>
      <w:r>
        <w:rPr>
          <w:rFonts w:ascii="Arial" w:cs="Arial" w:eastAsia="Arial" w:hAnsi="Arial"/>
          <w:sz w:val="16"/>
          <w:szCs w:val="16"/>
          <w:color w:val="auto"/>
        </w:rPr>
        <w:t>. Enter into any material transaction of any kind with any Affiliate of the Company, whether or not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ordinary course of business, other than on terms that are no less favorable to such Borrower as would be obtainable by such Borrower at the time in an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any of the following transactions:</w:t>
      </w:r>
    </w:p>
    <w:p>
      <w:pPr>
        <w:spacing w:after="0" w:line="2" w:lineRule="exact"/>
        <w:rPr>
          <w:sz w:val="20"/>
          <w:szCs w:val="20"/>
          <w:color w:val="auto"/>
        </w:rPr>
      </w:pPr>
    </w:p>
    <w:p>
      <w:pPr>
        <w:jc w:val="both"/>
        <w:ind w:firstLine="8"/>
        <w:spacing w:after="0" w:line="269" w:lineRule="auto"/>
        <w:tabs>
          <w:tab w:leader="none" w:pos="27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transactions between or among the Company and any of its Subsidiaries; (b) any employment, equity award, equity option or equity appreciation agreement or plan entered into by a Borrower in the ordinary course of business of such Borrower; (c) transactions effected in accordance with the terms of tax sharing, management services, indemnification, omnibus and other agreements with PAA and its Affiliates; (d) customary compensation, indemnification and other benefits made available to officers, directors or employees of a Borrower, any of its Subsidiaries or the General Partner, including reimbursement or advancement of out-of-pocket expenses and provisions of officers’ and directors’ liability insurance; (e) transactions as contemplated by the Company’s agreement of limited partnership or PMCULC’s articles of amalgamation; and (f) if and to the extent constituting transactions with Affiliates, transactions governed by the Permian JV Transaction Documents as in effect on the Closing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jc w:val="both"/>
        <w:ind w:firstLine="648"/>
        <w:spacing w:after="0" w:line="289" w:lineRule="auto"/>
        <w:rPr>
          <w:sz w:val="20"/>
          <w:szCs w:val="20"/>
          <w:color w:val="auto"/>
        </w:rPr>
      </w:pPr>
      <w:r>
        <w:rPr>
          <w:rFonts w:ascii="Arial" w:cs="Arial" w:eastAsia="Arial" w:hAnsi="Arial"/>
          <w:sz w:val="17"/>
          <w:szCs w:val="17"/>
          <w:b w:val="1"/>
          <w:bCs w:val="1"/>
          <w:color w:val="auto"/>
        </w:rPr>
        <w:t>7.05 Burdensome Agreements</w:t>
      </w:r>
      <w:r>
        <w:rPr>
          <w:rFonts w:ascii="Arial" w:cs="Arial" w:eastAsia="Arial" w:hAnsi="Arial"/>
          <w:sz w:val="17"/>
          <w:szCs w:val="17"/>
          <w:color w:val="auto"/>
        </w:rPr>
        <w:t>. Except as expressly provided for in the Loan Documents, as described in any Schedule hereto or pursuant to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Exception, the substance of which, in detail reasonably satisfactory to the Administrative Agent, is promptly reported to Administrative Agent, enter into any Contractual Obligation that limits the ability of any Borrower to create, incur, assume or permit to exist Liens on any Collateral.</w:t>
      </w:r>
    </w:p>
    <w:p>
      <w:pPr>
        <w:spacing w:after="0" w:line="1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7.06 Use of Proceeds</w:t>
      </w:r>
      <w:r>
        <w:rPr>
          <w:rFonts w:ascii="Arial" w:cs="Arial" w:eastAsia="Arial" w:hAnsi="Arial"/>
          <w:sz w:val="17"/>
          <w:szCs w:val="17"/>
          <w:color w:val="auto"/>
        </w:rPr>
        <w:t>. Use the proceeds of any Loans, whether directly or indirectly, and whether immediately, incidentally or ultimately, (a)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7.07 PAA Consolidated Leverage Ratio</w:t>
      </w:r>
      <w:r>
        <w:rPr>
          <w:rFonts w:ascii="Arial" w:cs="Arial" w:eastAsia="Arial" w:hAnsi="Arial"/>
          <w:sz w:val="18"/>
          <w:szCs w:val="18"/>
          <w:color w:val="auto"/>
        </w:rPr>
        <w:t>. Permit the PAA Consolidated Leverage Ratio as of the end of any fiscal quarter of PAA to be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ratio set forth below opposite such period, calculated, with respect to Consolidated EBITDA (as defined in the PAA Credit Agreement and after giving effect to the provisos set forth therein), on a trailing four-quarter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Consolidated</w:t>
            </w:r>
          </w:p>
        </w:tc>
      </w:tr>
      <w:tr>
        <w:trPr>
          <w:trHeight w:val="234"/>
        </w:trPr>
        <w:tc>
          <w:tcPr>
            <w:tcW w:w="9000" w:type="dxa"/>
            <w:vAlign w:val="bottom"/>
            <w:gridSpan w:val="2"/>
          </w:tcPr>
          <w:p>
            <w:pPr>
              <w:ind w:left="3700"/>
              <w:spacing w:after="0"/>
              <w:rPr>
                <w:sz w:val="20"/>
                <w:szCs w:val="20"/>
                <w:color w:val="auto"/>
              </w:rPr>
            </w:pPr>
            <w:r>
              <w:rPr>
                <w:rFonts w:ascii="Arial" w:cs="Arial" w:eastAsia="Arial" w:hAnsi="Arial"/>
                <w:sz w:val="18"/>
                <w:szCs w:val="18"/>
                <w:b w:val="1"/>
                <w:bCs w:val="1"/>
                <w:color w:val="auto"/>
              </w:rPr>
              <w:t>Applicable Period</w:t>
            </w:r>
          </w:p>
        </w:tc>
        <w:tc>
          <w:tcPr>
            <w:tcW w:w="22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Leverage Ratio</w:t>
            </w:r>
          </w:p>
        </w:tc>
      </w:tr>
      <w:tr>
        <w:trPr>
          <w:trHeight w:val="210"/>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   During an Acquisition Period</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5.50:1.0</w:t>
            </w: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   Other than during an Acquisition Period</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5.00:1.0</w:t>
            </w:r>
          </w:p>
        </w:tc>
      </w:tr>
      <w:tr>
        <w:trPr>
          <w:trHeight w:val="432"/>
        </w:trPr>
        <w:tc>
          <w:tcPr>
            <w:tcW w:w="9000" w:type="dxa"/>
            <w:vAlign w:val="bottom"/>
            <w:gridSpan w:val="2"/>
          </w:tcPr>
          <w:p>
            <w:pPr>
              <w:ind w:left="660"/>
              <w:spacing w:after="0"/>
              <w:rPr>
                <w:sz w:val="20"/>
                <w:szCs w:val="20"/>
                <w:color w:val="auto"/>
              </w:rPr>
            </w:pPr>
            <w:r>
              <w:rPr>
                <w:rFonts w:ascii="Arial" w:cs="Arial" w:eastAsia="Arial" w:hAnsi="Arial"/>
                <w:sz w:val="18"/>
                <w:szCs w:val="18"/>
                <w:b w:val="1"/>
                <w:bCs w:val="1"/>
                <w:color w:val="auto"/>
                <w:w w:val="96"/>
              </w:rPr>
              <w:t>7.08  Commodity Intermediary Transactions</w:t>
            </w:r>
            <w:r>
              <w:rPr>
                <w:rFonts w:ascii="Arial" w:cs="Arial" w:eastAsia="Arial" w:hAnsi="Arial"/>
                <w:sz w:val="18"/>
                <w:szCs w:val="18"/>
                <w:color w:val="auto"/>
                <w:w w:val="96"/>
              </w:rPr>
              <w:t>. Enter into any Commodity Intermediary Transaction, unless:</w:t>
            </w:r>
          </w:p>
        </w:tc>
        <w:tc>
          <w:tcPr>
            <w:tcW w:w="2240" w:type="dxa"/>
            <w:vAlign w:val="bottom"/>
          </w:tcPr>
          <w:p>
            <w:pPr>
              <w:spacing w:after="0"/>
              <w:rPr>
                <w:sz w:val="24"/>
                <w:szCs w:val="24"/>
                <w:color w:val="auto"/>
              </w:rPr>
            </w:pPr>
          </w:p>
        </w:tc>
      </w:tr>
    </w:tbl>
    <w:p>
      <w:pPr>
        <w:spacing w:after="0" w:line="202" w:lineRule="exact"/>
        <w:rPr>
          <w:sz w:val="20"/>
          <w:szCs w:val="20"/>
          <w:color w:val="auto"/>
        </w:rPr>
      </w:pPr>
    </w:p>
    <w:p>
      <w:pPr>
        <w:jc w:val="both"/>
        <w:ind w:firstLine="656"/>
        <w:spacing w:after="0" w:line="255" w:lineRule="auto"/>
        <w:tabs>
          <w:tab w:leader="none" w:pos="111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aggregate value of the maximum volume of Commodity Intermediary Subject Inventory and Commodity Intermediary Subject Receivables shall not exceed an amount equal to the lesser of (i) $500 million and (ii) 20% of the value of all of the Company’s Petroleum Product inventory and all of the Company’s Receivables therefrom at such time; provided that, in the case of a Commodity Intermediary Transaction that is documented under a master or framework agreement and contemplates an ongoing series of transactions, such calculation shall be made only at the commencement of a Commodity Intermediary Transaction and each time thereafter that the maximum volume of Commodity Intermediary Subject Inventory is increased by the Company and the applicable Commodity Intermediary;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jc w:val="both"/>
        <w:ind w:firstLine="656"/>
        <w:spacing w:after="0" w:line="284" w:lineRule="auto"/>
        <w:tabs>
          <w:tab w:leader="none" w:pos="1127"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The Company shall (i) notify the Administrative Agent of the specific locations of Commodity Intermediary Subject Inventory, certifying that no Petroleum Product inventory constituting Collateral is stored or located at any such location, and any corresponding Swap Contracts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Commodity Intermediary Transaction that is documented under a master or framework agreement and contemplates an ongoing series of transactions, the foregoing requirement shall be satisfied by the Company providing such notice to the Administrative Agent at the inception of such Commodity Intermediary Transaction and upon (A) the addition of any new locations at which Commodity Intermediary Subject Inventory is stored or located or (B) any such location at which Commodity Intermediary Subject Inventory ceases to be stored or located, and</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expressly identify any Commodity Intermediary Subject Receivables as such in the Company’s records;</w:t>
      </w:r>
    </w:p>
    <w:p>
      <w:pPr>
        <w:spacing w:after="0" w:line="210" w:lineRule="exact"/>
        <w:rPr>
          <w:rFonts w:ascii="Arial" w:cs="Arial" w:eastAsia="Arial" w:hAnsi="Arial"/>
          <w:sz w:val="18"/>
          <w:szCs w:val="18"/>
          <w:color w:val="auto"/>
        </w:rPr>
      </w:pPr>
    </w:p>
    <w:p>
      <w:pPr>
        <w:jc w:val="both"/>
        <w:ind w:firstLine="656"/>
        <w:spacing w:after="0" w:line="263" w:lineRule="auto"/>
        <w:tabs>
          <w:tab w:leader="none" w:pos="111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connection with any requested release of Collateral with respect to Commodity Intermediary Subject Inventory, any corresponding Swap Contracts with respect thereto and any Commodity Intermediary Subject Receivables, the Company shall certify that after giving effect to such release, the Collateral Value shall exceed Total Outstandings;</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With respect to any release of Petroleum Product inventory constituting Collateral in connection with a Commodity Intermediary Transaction, such release shall be effective with respect to such Petroleum Product inventory provided that, subject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such Petroleum Product inventory is stored or located at a specified location where either (A) only Commodity Intermediary Subject Inventory is stored or located or (B) only such Petroleum Product inventory (and no other Petroleum Product inventory constituting Collateral) is stored or located. Immediately upon the termination of (A) the Commodity Intermediary Transaction regarding such Commodity Intermediary Subject Inventory or (B) the Borrower’s relationship with the applicable Commodity Intermediary, all Petroleum Product inventory stored or located at such location shall thereafter constitute Collateral;</w:t>
      </w:r>
    </w:p>
    <w:p>
      <w:pPr>
        <w:spacing w:after="0" w:line="194" w:lineRule="exact"/>
        <w:rPr>
          <w:rFonts w:ascii="Arial" w:cs="Arial" w:eastAsia="Arial" w:hAnsi="Arial"/>
          <w:sz w:val="18"/>
          <w:szCs w:val="18"/>
          <w:color w:val="auto"/>
        </w:rPr>
      </w:pPr>
    </w:p>
    <w:p>
      <w:pPr>
        <w:ind w:left="1120" w:hanging="464"/>
        <w:spacing w:after="0"/>
        <w:tabs>
          <w:tab w:leader="none" w:pos="11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Commodity Intermediary Subject Inventory shall not be commingled with any Collateral at any time;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No corresponding Swap Contract with respect to Commodity Intermediary Subject Inventory shall be (i) pursuant to or governed by any ISDA Master Agreement governing any Swap Contracts with respect to any Collateral, (ii) subject to netting with respect to any Swap Contract with respect to any Collateral, or (iii) secured by any Collateral;</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Upon the sale to any third party (other than a Commodity Intermediary) of any Commodity Intermediary Subject Inventory (or corresponding Commodity Intermediary Subject Receivable (if any)), the Company shall promptly pay to the applicable Commodity Intermediary the corresponding account payable with respect thereto;</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2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Following the occurrence and during the continuance of any Event of Default, all proceeds of the sale of Commodity Intermediary Subject Inventory or any Commodity Intermediary Subject Receivables shall be segregated by the Company from its other funds, held in a segregated deposit account and not commingled with any other funds of the Company;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ind w:firstLine="656"/>
        <w:spacing w:after="0" w:line="277" w:lineRule="auto"/>
        <w:tabs>
          <w:tab w:leader="none" w:pos="108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Company shall enter into an intercreditor agreement in form and substance satisfactory to the Administrative Agent in all respects with any Commodity Intermediary party to any Commodity Intermediary Transaction.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Lender hereby authorizes the Administrative Agent to enter into amendments to the Collateral Documents, in form and substance satisfactory to the Administrative Agent, to evidence the foregoing and consents to each such amendment.</w:t>
      </w:r>
    </w:p>
    <w:p>
      <w:pPr>
        <w:spacing w:after="0" w:line="1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ind w:left="1120" w:hanging="464"/>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(i) Any Borrower fails to pay (A) when due and payable, any amount of principal of any Loan or any L/C Obligation,</w:t>
      </w:r>
    </w:p>
    <w:p>
      <w:pPr>
        <w:spacing w:after="0" w:line="34" w:lineRule="exact"/>
        <w:rPr>
          <w:rFonts w:ascii="Arial" w:cs="Arial" w:eastAsia="Arial" w:hAnsi="Arial"/>
          <w:sz w:val="17"/>
          <w:szCs w:val="17"/>
          <w:color w:val="auto"/>
        </w:rPr>
      </w:pPr>
    </w:p>
    <w:p>
      <w:pPr>
        <w:jc w:val="both"/>
        <w:ind w:firstLine="8"/>
        <w:spacing w:after="0" w:line="253" w:lineRule="auto"/>
        <w:tabs>
          <w:tab w:leader="none" w:pos="30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within three Business Days after the same becomes due and payable, any interest on any Loan or on any L/C Obligation, or any fee due hereunder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or (C) within five Business Days after the same becomes due, any other amount payable hereunder or under any other Loan Document, or (ii) PAA fails to pay within three Business Days after the same becomes due and payable, any amount payable under the PAA Guaranty or any other Loan Document; or</w:t>
      </w:r>
    </w:p>
    <w:p>
      <w:pPr>
        <w:spacing w:after="0" w:line="192" w:lineRule="exact"/>
        <w:rPr>
          <w:rFonts w:ascii="Arial" w:cs="Arial" w:eastAsia="Arial" w:hAnsi="Arial"/>
          <w:sz w:val="18"/>
          <w:szCs w:val="18"/>
          <w:color w:val="auto"/>
        </w:rPr>
      </w:pPr>
    </w:p>
    <w:p>
      <w:pPr>
        <w:ind w:left="1140" w:hanging="484"/>
        <w:spacing w:after="0"/>
        <w:tabs>
          <w:tab w:leader="none" w:pos="1140"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Any Borrower fails to perform or observe any term, covenant or agreement contained in any of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10" w:lineRule="exact"/>
        <w:rPr>
          <w:rFonts w:ascii="Arial" w:cs="Arial" w:eastAsia="Arial" w:hAnsi="Arial"/>
          <w:sz w:val="17"/>
          <w:szCs w:val="17"/>
          <w:color w:val="auto"/>
        </w:rPr>
      </w:pPr>
    </w:p>
    <w:p>
      <w:pPr>
        <w:jc w:val="both"/>
        <w:ind w:firstLine="656"/>
        <w:spacing w:after="0" w:line="263" w:lineRule="auto"/>
        <w:tabs>
          <w:tab w:leader="none" w:pos="1117"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Company; or</w:t>
      </w:r>
    </w:p>
    <w:p>
      <w:pPr>
        <w:spacing w:after="0" w:line="183" w:lineRule="exact"/>
        <w:rPr>
          <w:rFonts w:ascii="Arial" w:cs="Arial" w:eastAsia="Arial" w:hAnsi="Arial"/>
          <w:sz w:val="18"/>
          <w:szCs w:val="18"/>
          <w:color w:val="auto"/>
        </w:rPr>
      </w:pPr>
    </w:p>
    <w:p>
      <w:pPr>
        <w:ind w:firstLine="656"/>
        <w:spacing w:after="0" w:line="308" w:lineRule="auto"/>
        <w:tabs>
          <w:tab w:leader="none" w:pos="1127"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made or deemed made by or on behalf of the Company or PMCULC or by any other Loan Party herein or in any other Loan Document shall be incorrect when made or deemed made in any material respect; or</w:t>
      </w:r>
    </w:p>
    <w:p>
      <w:pPr>
        <w:spacing w:after="0" w:line="146" w:lineRule="exact"/>
        <w:rPr>
          <w:rFonts w:ascii="Arial" w:cs="Arial" w:eastAsia="Arial" w:hAnsi="Arial"/>
          <w:sz w:val="17"/>
          <w:szCs w:val="17"/>
          <w:color w:val="auto"/>
        </w:rPr>
      </w:pPr>
    </w:p>
    <w:p>
      <w:pPr>
        <w:jc w:val="both"/>
        <w:ind w:firstLine="656"/>
        <w:spacing w:after="0" w:line="285" w:lineRule="auto"/>
        <w:tabs>
          <w:tab w:leader="none" w:pos="1117"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PMCULC or any other Subsidiary of the Company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the Dollar Equivalent of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the Company, PMCULC or such Subsidiary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(1) the Swap Termination Value owed by the Company, PMCULC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the Company, PMCULC or such Subsidiary as required by GAAP), (2) the effect of such Early Termination Date is to cause such Swap Termination Value to be demanded or to become due, and (3) such Swap Termination Value has not been paid when due;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both"/>
        <w:ind w:firstLine="656"/>
        <w:spacing w:after="0" w:line="270" w:lineRule="auto"/>
        <w:tabs>
          <w:tab w:leader="none" w:pos="112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The Company, PMCULC, any other Subsidiary of the Company, the operations, properties or financial condition of which is significant to the Company as of the most recently ended fiscal quarter of the Company, PAA, any other Significant Restricted Person (as such term is defined in the PAA Credit Agreement), Plains All American GP LLC, Plains AAP, L.P., PAA GP LLC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any Collateral 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0" w:lineRule="exact"/>
        <w:rPr>
          <w:rFonts w:ascii="Arial" w:cs="Arial" w:eastAsia="Arial" w:hAnsi="Arial"/>
          <w:sz w:val="17"/>
          <w:szCs w:val="17"/>
          <w:color w:val="auto"/>
        </w:rPr>
      </w:pPr>
    </w:p>
    <w:p>
      <w:pPr>
        <w:jc w:val="both"/>
        <w:ind w:firstLine="656"/>
        <w:spacing w:after="0" w:line="259" w:lineRule="auto"/>
        <w:tabs>
          <w:tab w:leader="none" w:pos="112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Borrower or PAA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2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Borrower a final judgment for the payment of money in an aggregate amount (as to all such judgments or orders) the Dollar Equivalent of which exceeds the Threshold Amount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60 consecutive days after the entry of such judgment during which a discharge, stay of enforcement of such judgment, by reason of a pending appeal or otherwise, is not in effect;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ind w:firstLine="656"/>
        <w:spacing w:after="0" w:line="257"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or satisfaction in full of all the payment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1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 or</w:t>
      </w:r>
    </w:p>
    <w:p>
      <w:pPr>
        <w:spacing w:after="0" w:line="183" w:lineRule="exact"/>
        <w:rPr>
          <w:rFonts w:ascii="Arial" w:cs="Arial" w:eastAsia="Arial" w:hAnsi="Arial"/>
          <w:sz w:val="18"/>
          <w:szCs w:val="18"/>
          <w:color w:val="auto"/>
        </w:rPr>
      </w:pPr>
    </w:p>
    <w:p>
      <w:pPr>
        <w:ind w:left="1160" w:hanging="504"/>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PAA Event of Default</w:t>
      </w:r>
      <w:r>
        <w:rPr>
          <w:rFonts w:ascii="Arial" w:cs="Arial" w:eastAsia="Arial" w:hAnsi="Arial"/>
          <w:sz w:val="18"/>
          <w:szCs w:val="18"/>
          <w:color w:val="auto"/>
        </w:rPr>
        <w:t>. Any “Event of Default” shall occur, as such term is defined in the PAA Credit Agreement.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firstLine="656"/>
        <w:spacing w:after="0" w:line="342" w:lineRule="auto"/>
        <w:tabs>
          <w:tab w:leader="none" w:pos="111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and any obligation of the L/C Issuers to make L/C Credit Extensions to be terminated or suspended (as the case may be), whereupon such commitments and obligation shall be terminated or suspended (as the case may be);</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12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3" w:lineRule="exact"/>
        <w:rPr>
          <w:rFonts w:ascii="Arial" w:cs="Arial" w:eastAsia="Arial" w:hAnsi="Arial"/>
          <w:sz w:val="18"/>
          <w:szCs w:val="18"/>
          <w:color w:val="auto"/>
        </w:rPr>
      </w:pPr>
    </w:p>
    <w:p>
      <w:pPr>
        <w:ind w:left="1120" w:hanging="464"/>
        <w:spacing w:after="0"/>
        <w:tabs>
          <w:tab w:leader="none" w:pos="11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and Canadian BA’s (in an amount equal to the then Outstanding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firstLine="656"/>
        <w:spacing w:after="0" w:line="293" w:lineRule="auto"/>
        <w:tabs>
          <w:tab w:leader="none" w:pos="112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exercise on behalf of itself, the Lenders and the L/C Issuers all rights and remedies available to it, the Lenders and the L/C Issuers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that have accrued and are owing as aforesaid shall automatically become due and payable, and the obligation of the Company to Cash Collateralize the L/C Obligations and Canadian BA’s as aforesaid shall automatically become effective, in each case without further act of the Administrative Agent or any Lender.</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8.03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L/C Obligations and Canadian BA’s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 and 2.17</w:t>
      </w:r>
      <w:r>
        <w:rPr>
          <w:rFonts w:ascii="Arial" w:cs="Arial" w:eastAsia="Arial" w:hAnsi="Arial"/>
          <w:sz w:val="18"/>
          <w:szCs w:val="18"/>
          <w:color w:val="auto"/>
        </w:rPr>
        <w:t>, be applied by the Administrative Agent in the following order: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Administrative Agent for the account of the L/C Issuers, to Cash Collateralize that portion of L/C Obligations comprised of the aggregate undrawn amount of Letters of Credit and Canadian BA’s to the extent not otherwise Cash Collateralized by the Company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 and 2.16</w:t>
      </w:r>
      <w:r>
        <w:rPr>
          <w:rFonts w:ascii="Arial" w:cs="Arial" w:eastAsia="Arial" w:hAnsi="Arial"/>
          <w:sz w:val="17"/>
          <w:szCs w:val="17"/>
          <w:color w:val="auto"/>
        </w:rPr>
        <w:t>, ratably among the L/C Issuers in proportion to the respective amounts described in this clause Fifth held by them; and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payment Obligations have been indefeasibly paid in full, to the Company or as otherwise required by Law.</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 and 2.16</w:t>
      </w:r>
      <w:r>
        <w:rPr>
          <w:rFonts w:ascii="Arial" w:cs="Arial" w:eastAsia="Arial" w:hAnsi="Arial"/>
          <w:sz w:val="18"/>
          <w:szCs w:val="18"/>
          <w:color w:val="auto"/>
        </w:rPr>
        <w:t xml:space="preserve">, (x)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as they occur, and (y) if any amount remains on deposit as Cash Collateral after all Letters of Credit have either been fully drawn or expired, such remaining amount shall be applied to the other payment Obligations, if any, in the order set forth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color w:val="auto"/>
        </w:rPr>
        <w:t xml:space="preserve">ARTICLE IX. </w:t>
      </w:r>
      <w:r>
        <w:rPr>
          <w:rFonts w:ascii="Arial" w:cs="Arial" w:eastAsia="Arial" w:hAnsi="Arial"/>
          <w:sz w:val="18"/>
          <w:szCs w:val="18"/>
          <w:b w:val="1"/>
          <w:bCs w:val="1"/>
          <w:color w:val="auto"/>
        </w:rPr>
        <w:t>ADMINISTRATIVE AGENT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color w:val="auto"/>
        </w:rPr>
        <w:t>Appointment and Authority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3" w:lineRule="auto"/>
        <w:tabs>
          <w:tab w:leader="none" w:pos="98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no Borrower shall have rights as a third party beneficiary of any of such provisions (other than the right to reasonably approve a successor Administrative Agent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6" w:lineRule="exact"/>
        <w:rPr>
          <w:rFonts w:ascii="Arial" w:cs="Arial" w:eastAsia="Arial" w:hAnsi="Arial"/>
          <w:sz w:val="18"/>
          <w:szCs w:val="18"/>
          <w:color w:val="auto"/>
        </w:rPr>
      </w:pPr>
    </w:p>
    <w:p>
      <w:pPr>
        <w:jc w:val="both"/>
        <w:ind w:firstLine="656"/>
        <w:spacing w:after="0" w:line="271" w:lineRule="auto"/>
        <w:tabs>
          <w:tab w:leader="none" w:pos="112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and the L/C Issuers hereby irrevocably appoints and authorizes the Administrative Agent to act as the agent of such Lender and such L/C Issuer for purposes of acquiring, holding and enforcing any and all Liens on Collateral granted by any Borrower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11.04(c)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 underwriting or other of business with any Loan Party or any Subsidiary or other Affiliate thereof as if such Person were not the Administrative Agent hereunder and without any duty to account therefor to the Lenders or to provide notice or consent of the Lenders with respect thereto.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both"/>
        <w:ind w:firstLine="648"/>
        <w:spacing w:after="0" w:line="266"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or any Arranger, as applicable, shall not have any duties or obligations except those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80" w:lineRule="exact"/>
        <w:rPr>
          <w:sz w:val="20"/>
          <w:szCs w:val="20"/>
          <w:color w:val="auto"/>
        </w:rPr>
      </w:pPr>
    </w:p>
    <w:p>
      <w:pPr>
        <w:ind w:left="1120" w:hanging="464"/>
        <w:spacing w:after="0"/>
        <w:tabs>
          <w:tab w:leader="none" w:pos="1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54" w:lineRule="auto"/>
        <w:tabs>
          <w:tab w:leader="none" w:pos="112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Arial" w:cs="Arial" w:eastAsia="Arial" w:hAnsi="Arial"/>
          <w:sz w:val="18"/>
          <w:szCs w:val="18"/>
          <w:color w:val="auto"/>
        </w:rPr>
      </w:pPr>
    </w:p>
    <w:p>
      <w:pPr>
        <w:jc w:val="both"/>
        <w:ind w:firstLine="656"/>
        <w:spacing w:after="0" w:line="275" w:lineRule="auto"/>
        <w:tabs>
          <w:tab w:leader="none" w:pos="111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shall not, except as expressly set forth herein and in the other Loan Documents, have any duty or responsibility to disclose, and shall not be liable for the failure to disclose to any Lender or any L/C Issuer, any credit or other information concerning the business, prospects, operations, property, financial and other condition or creditworthiness of any Borrower or any of their respective Affiliates that is communicated to or obtained by the Person serving as the Administrative Agent or an Arranger or any of their Related Parties in any capacity, except for notices, reports and other documents expressly required to be furnished to the Lenders by the Administrative Agent herein;</w:t>
      </w:r>
    </w:p>
    <w:p>
      <w:pPr>
        <w:spacing w:after="0" w:line="176" w:lineRule="exact"/>
        <w:rPr>
          <w:rFonts w:ascii="Arial" w:cs="Arial" w:eastAsia="Arial" w:hAnsi="Arial"/>
          <w:sz w:val="17"/>
          <w:szCs w:val="17"/>
          <w:color w:val="auto"/>
        </w:rPr>
      </w:pPr>
    </w:p>
    <w:p>
      <w:pPr>
        <w:jc w:val="both"/>
        <w:ind w:firstLine="656"/>
        <w:spacing w:after="0" w:line="273" w:lineRule="auto"/>
        <w:tabs>
          <w:tab w:leader="none" w:pos="112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11.01 and 8.02)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the Company, a Lender or an L/C Issuer;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ind w:left="1120" w:hanging="464"/>
        <w:spacing w:after="0"/>
        <w:tabs>
          <w:tab w:leader="none" w:pos="1120" w:val="left"/>
        </w:tabs>
        <w:numPr>
          <w:ilvl w:val="1"/>
          <w:numId w:val="340"/>
        </w:numPr>
        <w:rPr>
          <w:rFonts w:ascii="Arial" w:cs="Arial" w:eastAsia="Arial" w:hAnsi="Arial"/>
          <w:sz w:val="17"/>
          <w:szCs w:val="17"/>
          <w:color w:val="auto"/>
        </w:rPr>
      </w:pPr>
      <w:r>
        <w:rPr>
          <w:rFonts w:ascii="Arial" w:cs="Arial" w:eastAsia="Arial" w:hAnsi="Arial"/>
          <w:sz w:val="17"/>
          <w:szCs w:val="17"/>
          <w:color w:val="auto"/>
        </w:rPr>
        <w:t>shall not be responsible for or have any duty or obligation to any Lender or participant or any other Person to ascertain or inquire into</w:t>
      </w:r>
    </w:p>
    <w:p>
      <w:pPr>
        <w:spacing w:after="0" w:line="34" w:lineRule="exact"/>
        <w:rPr>
          <w:rFonts w:ascii="Arial" w:cs="Arial" w:eastAsia="Arial" w:hAnsi="Arial"/>
          <w:sz w:val="17"/>
          <w:szCs w:val="17"/>
          <w:color w:val="auto"/>
        </w:rPr>
      </w:pPr>
    </w:p>
    <w:p>
      <w:pPr>
        <w:jc w:val="both"/>
        <w:ind w:firstLine="8"/>
        <w:spacing w:after="0" w:line="290" w:lineRule="auto"/>
        <w:tabs>
          <w:tab w:leader="none" w:pos="21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9.04 Reliance by Administrative Agent</w:t>
      </w:r>
      <w:r>
        <w:rPr>
          <w:rFonts w:ascii="Arial" w:cs="Arial" w:eastAsia="Arial" w:hAnsi="Arial"/>
          <w:sz w:val="16"/>
          <w:szCs w:val="16"/>
          <w:color w:val="auto"/>
        </w:rPr>
        <w:t>. 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9.05 Delegation of Duties</w:t>
      </w:r>
      <w:r>
        <w:rPr>
          <w:rFonts w:ascii="Arial" w:cs="Arial" w:eastAsia="Arial" w:hAnsi="Arial"/>
          <w:sz w:val="17"/>
          <w:szCs w:val="17"/>
          <w:color w:val="auto"/>
        </w:rPr>
        <w:t>. The Administrative Agent may perform any and all of its duties and exercise its rights and powers 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other Loan Document by or through any one or more sub-agents appointed by the Administrative Agent. In furtherance but not in limitation of the foregoing, certain Canadian administrative operations and duties, including with respect to Borrowings by PMCULC and Canadian collateral, may be performed by Bank of America, N.A., Canada Branch, an affiliate of Administrative Agent, on behalf of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left="660"/>
        <w:spacing w:after="0"/>
        <w:tabs>
          <w:tab w:leader="none" w:pos="114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color w:val="auto"/>
        </w:rPr>
        <w:t>Resignation or Removal of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4" w:lineRule="auto"/>
        <w:tabs>
          <w:tab w:leader="none" w:pos="111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The Administrative Agent may at any time give notice of its resignation to the Lenders, the L/C Issuers and the Company,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Company and such Person, remove such Person as Administrative Agent. Upon receipt of any such notice of resignation or issuance of notice of removal, the Required Lenders shall have the right to appoint a successor (subject to consultation with the Company, unless an Event of Default has occurred and is continuing),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then the retiring or removed Administrative Agent may on behalf of the Lenders and the L/C Issuers, appoint a successor Administrative Agent meeting the qualifications set forth above (subject to consultation with the Company, unless an Event of Default has occurred and is continuing); provided that if the Administrative Agent shall notify the Company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date or removal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656"/>
        <w:spacing w:after="0" w:line="283" w:lineRule="auto"/>
        <w:tabs>
          <w:tab w:leader="none" w:pos="1127" w:val="left"/>
        </w:tabs>
        <w:numPr>
          <w:ilvl w:val="1"/>
          <w:numId w:val="343"/>
        </w:numPr>
        <w:rPr>
          <w:rFonts w:ascii="Arial" w:cs="Arial" w:eastAsia="Arial" w:hAnsi="Arial"/>
          <w:sz w:val="16"/>
          <w:szCs w:val="16"/>
          <w:color w:val="auto"/>
        </w:rPr>
      </w:pPr>
      <w:r>
        <w:rPr>
          <w:rFonts w:ascii="Arial" w:cs="Arial" w:eastAsia="Arial" w:hAnsi="Arial"/>
          <w:sz w:val="16"/>
          <w:szCs w:val="16"/>
          <w:color w:val="auto"/>
        </w:rPr>
        <w:t xml:space="preserve">Any resignation by, or removal of, Bank of America as Administrative Agent pursuant to this Section shall also constitute its resignation or removal as an L/C Issuer and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Canadian Prime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Canadian Prime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acceptance of a successor’s appointment as Administrative Agent hereunder, (a) such successor may succeed to and become vested with all of the rights, powers, privileges and duties of the retiring or removed L/C Issuer and Swing Line Lender, (b) the retiring or removed L/C Issuer and Swing Line Lender shall be discharged from all of their respective duties and obligations hereunder or under the other Loan Documents, and</w:t>
      </w:r>
    </w:p>
    <w:p>
      <w:pPr>
        <w:spacing w:after="0" w:line="4" w:lineRule="exact"/>
        <w:rPr>
          <w:rFonts w:ascii="Arial" w:cs="Arial" w:eastAsia="Arial" w:hAnsi="Arial"/>
          <w:sz w:val="16"/>
          <w:szCs w:val="16"/>
          <w:color w:val="auto"/>
        </w:rPr>
      </w:pPr>
    </w:p>
    <w:p>
      <w:pPr>
        <w:jc w:val="both"/>
        <w:ind w:firstLine="8"/>
        <w:spacing w:after="0" w:line="255" w:lineRule="auto"/>
        <w:tabs>
          <w:tab w:leader="none" w:pos="26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successor L/C Issuer shall issue letters of credit in substitution for or in support of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9.07 Non-Reliance on Administrative Agent, the Arrangers and Other Lenders</w:t>
      </w:r>
      <w:r>
        <w:rPr>
          <w:rFonts w:ascii="Arial" w:cs="Arial" w:eastAsia="Arial" w:hAnsi="Arial"/>
          <w:sz w:val="16"/>
          <w:szCs w:val="16"/>
          <w:color w:val="auto"/>
        </w:rPr>
        <w:t>. Each Lender and each L/C Issuer expressly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such Arranger have disclosed material information in their (or their Related Parties’) possession. Each Lender and each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2" w:name="page303"/>
    <w:bookmarkEnd w:id="302"/>
    <w:p>
      <w:pPr>
        <w:jc w:val="both"/>
        <w:ind w:firstLine="648"/>
        <w:spacing w:after="0" w:line="266" w:lineRule="auto"/>
        <w:rPr>
          <w:sz w:val="20"/>
          <w:szCs w:val="20"/>
          <w:color w:val="auto"/>
        </w:rPr>
      </w:pPr>
      <w:r>
        <w:rPr>
          <w:rFonts w:ascii="Arial" w:cs="Arial" w:eastAsia="Arial" w:hAnsi="Arial"/>
          <w:sz w:val="18"/>
          <w:szCs w:val="18"/>
          <w:b w:val="1"/>
          <w:bCs w:val="1"/>
          <w:color w:val="auto"/>
        </w:rPr>
        <w:t>9.08 No Other Duties, Etc</w:t>
      </w:r>
      <w:r>
        <w:rPr>
          <w:rFonts w:ascii="Arial" w:cs="Arial" w:eastAsia="Arial" w:hAnsi="Arial"/>
          <w:sz w:val="18"/>
          <w:szCs w:val="18"/>
          <w:color w:val="auto"/>
        </w:rPr>
        <w:t>. Anything herein to the contrary notwithstanding, none of the Arrangers or Syndication Agents shall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powers, duties or responsibilities under this Agreement or any of the other Loan Documents, except in its capacity, as applicable, as the Administrative Agent, a Lender or an L/C Issuer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9.09 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firstLine="656"/>
        <w:spacing w:after="0" w:line="275" w:lineRule="auto"/>
        <w:tabs>
          <w:tab w:leader="none" w:pos="111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7"/>
          <w:szCs w:val="17"/>
          <w:u w:val="single" w:color="auto"/>
          <w:color w:val="auto"/>
        </w:rPr>
        <w:t>Sections 2.03(h)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auto"/>
        </w:rPr>
      </w:pPr>
    </w:p>
    <w:p>
      <w:pPr>
        <w:ind w:left="1140" w:hanging="484"/>
        <w:spacing w:after="0"/>
        <w:tabs>
          <w:tab w:leader="none" w:pos="11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Lender or any L/C Issuer any plan of reorganization, arrangement, adjustment or composition affecting the Obligations or the rights of any Lender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 Issuer to authorize the Administrative Agent to vote in respect of the claim of any Lender or any L/C Issuer in any such proceeding.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firstLine="648"/>
        <w:spacing w:after="0" w:line="269" w:lineRule="auto"/>
        <w:rPr>
          <w:sz w:val="20"/>
          <w:szCs w:val="20"/>
          <w:color w:val="auto"/>
        </w:rPr>
      </w:pPr>
      <w:r>
        <w:rPr>
          <w:rFonts w:ascii="Arial" w:cs="Arial" w:eastAsia="Arial" w:hAnsi="Arial"/>
          <w:sz w:val="17"/>
          <w:szCs w:val="17"/>
          <w:b w:val="1"/>
          <w:bCs w:val="1"/>
          <w:color w:val="auto"/>
        </w:rPr>
        <w:t>9.10 Collateral Matters</w:t>
      </w:r>
      <w:r>
        <w:rPr>
          <w:rFonts w:ascii="Arial" w:cs="Arial" w:eastAsia="Arial" w:hAnsi="Arial"/>
          <w:sz w:val="17"/>
          <w:szCs w:val="17"/>
          <w:color w:val="auto"/>
        </w:rPr>
        <w:t>. The Lenders and the L/C Issuers irrevocably authorize the Administrative Agent, at its option and in its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release any Lien on any property granted to or held by the Administrative Agent under any Loan Document (i) upon termination of the Aggregate Commitments and payment in full of all payment Obligations (other than contingent indemnification obligations) and the expiration or termination of all Letters of Credit (other than Letters of Credit as to which other arrangements satisfactory to the Administrative Agent and the applicable L/C Issuers shall have been made), (ii) that constitutes Permian Excluded Inventory, (iii) that is sold or to be sold as part of or in connection with any sale not prohibited hereunder or under any other Loan Document, or (iv) subject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the Administrative Agent will, at the Company’s expense, execute and deliver to the Company such documents as the Company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color w:val="auto"/>
        </w:rPr>
        <w:t>Certain ERISA Matters.</w:t>
      </w:r>
    </w:p>
    <w:p>
      <w:pPr>
        <w:spacing w:after="0" w:line="229" w:lineRule="exact"/>
        <w:rPr>
          <w:sz w:val="20"/>
          <w:szCs w:val="20"/>
          <w:color w:val="auto"/>
        </w:rPr>
      </w:pPr>
    </w:p>
    <w:p>
      <w:pPr>
        <w:jc w:val="both"/>
        <w:ind w:firstLine="656"/>
        <w:spacing w:after="0" w:line="311" w:lineRule="auto"/>
        <w:tabs>
          <w:tab w:leader="none" w:pos="111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2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753"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jc w:val="both"/>
        <w:ind w:left="660" w:firstLine="644"/>
        <w:spacing w:after="0" w:line="254" w:lineRule="auto"/>
        <w:tabs>
          <w:tab w:leader="none" w:pos="17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ind w:left="660" w:firstLine="644"/>
        <w:spacing w:after="0" w:line="277" w:lineRule="auto"/>
        <w:tabs>
          <w:tab w:leader="none" w:pos="177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27"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In addition, unless either (1) sub-clause (i)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sub-clause (iv)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jc w:val="both"/>
        <w:ind w:firstLine="8"/>
        <w:spacing w:after="0" w:line="252" w:lineRule="auto"/>
        <w:tabs>
          <w:tab w:leader="none" w:pos="26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9.12 Recovery of Erroneous Payments</w:t>
      </w:r>
      <w:r>
        <w:rPr>
          <w:rFonts w:ascii="Arial" w:cs="Arial" w:eastAsia="Arial" w:hAnsi="Arial"/>
          <w:sz w:val="16"/>
          <w:szCs w:val="16"/>
          <w:color w:val="auto"/>
        </w:rPr>
        <w:t>. 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ARTICLE X. CONTINUING GUARANTY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10.01 PAA Guaranty</w:t>
      </w:r>
      <w:r>
        <w:rPr>
          <w:rFonts w:ascii="Arial" w:cs="Arial" w:eastAsia="Arial" w:hAnsi="Arial"/>
          <w:sz w:val="17"/>
          <w:szCs w:val="17"/>
          <w:color w:val="auto"/>
        </w:rPr>
        <w:t>. PAA hereby absolutely and unconditionally guarantees, as a guaranty of payment and not merely as a guaranty of</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prompt payment when due, whether at stated maturity, by required prepayment, upon acceleration, demand or otherwise, and at all times thereafter, of any and all of the payment Obligations, whether for principal, interest, premiums, fees, indemnities, damages, costs, expenses or otherwise, of each Borrower to the Lender Parties, and whether arising hereunder or under any other Loan Document (including all renewals, extensions, amendments, refinancings and other modifications thereof and all costs, attorneys’ fees and expenses incurred by the Lender Parties in connection with the collection or enforcement thereof). The Administrative Agent’s books and records showing the amount of the payment Obligations of each Borrower shall be admissible in evidence in any action or proceeding, and shall be binding upon PAA, and conclusive absent manifest error for the purpose of establishing the amount of the payment Obligations of each Borrower. This PAA Guaranty shall not be affected by the genuineness, validity, regularity or enforceability of the Obligations of any Borrower or any instrument or agreement evidencing any Obligations of any Borrower, or by the existence, validity, enforceability, perfection, non-perfection or extent of any collateral therefor, or by any fact or circumstance relating to the Obligations which might otherwise constitute a defense to the obligations of PAA under this PAA Guaranty, and PAA hereby irrevocably waives any defenses it may now have or hereafter acquire in any way relating to any or all of the foregoing.</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10.02 Rights of Lenders</w:t>
      </w:r>
      <w:r>
        <w:rPr>
          <w:rFonts w:ascii="Arial" w:cs="Arial" w:eastAsia="Arial" w:hAnsi="Arial"/>
          <w:sz w:val="18"/>
          <w:szCs w:val="18"/>
          <w:color w:val="auto"/>
        </w:rPr>
        <w:t>. PAA consents and agrees that the Lender Parties may, at any time and from time to time, without notice or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without affecting the enforceability or continuing effectiveness hereof, in each case, unless otherwise set forth herein, including in respect of </w:t>
      </w:r>
      <w:r>
        <w:rPr>
          <w:rFonts w:ascii="Arial" w:cs="Arial" w:eastAsia="Arial" w:hAnsi="Arial"/>
          <w:sz w:val="18"/>
          <w:szCs w:val="18"/>
          <w:u w:val="single" w:color="auto"/>
          <w:color w:val="auto"/>
        </w:rPr>
        <w:t>Section 11.01</w:t>
      </w:r>
      <w:r>
        <w:rPr>
          <w:rFonts w:ascii="Arial" w:cs="Arial" w:eastAsia="Arial" w:hAnsi="Arial"/>
          <w:sz w:val="18"/>
          <w:szCs w:val="18"/>
          <w:color w:val="auto"/>
        </w:rPr>
        <w:t>: (a) amend, extend, renew, compromise, discharge, accelerate or otherwise change the time for payment or the terms of the Obligations of any Borrower or any part thereof; (b) take, hold, exchange, enforce, waive, release, fail to perfect, sell, or otherwise dispose of any security for the payment of this PAA Guaranty or any Obligations of any Borrower; (c) apply such security and direct the order or manner of sale thereof as the Administrative Agent, the L/C Issuers and the Lenders in their sole discretion may determine; and (d) release or substitute one or more of any endorsers or other guarantors of any of the Obligations of any Borrower. Without limiting the generality of the foregoing, PAA consents to the taking of, or failure to take, any action by the Lender Parties which might in any manner or to any extent vary the risks of PAA under this PAA Guaranty or which, but for this provision, might operate as a discharge of PAA.</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10.03 Collateral Matters</w:t>
      </w:r>
      <w:r>
        <w:rPr>
          <w:rFonts w:ascii="Arial" w:cs="Arial" w:eastAsia="Arial" w:hAnsi="Arial"/>
          <w:sz w:val="16"/>
          <w:szCs w:val="16"/>
          <w:color w:val="auto"/>
        </w:rPr>
        <w:t>. PAA waives (a) any defense arising by reason of any disability or other defense of any Borrower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or the cessation from any cause whatsoever (including any act or omission of any Lender Party) of the liability of any Borrower (other than a defense of payment or performance); (b) any defense based on any claim that PAA’s obligations exceed or are more burdensome than those of any Borrower; (c) the benefit of any statute of limitations affecting PAA’s liability hereunder; (d) any right to proceed against any Borrower, proceed against or exhaust any security for the Obligations of any Borrower, or pursue any other remedy in the power of any Lender Party whatsoever; (e) any benefit of and any right to participate in any security now or hereafter held by any Lender Party; and (f) to the fullest extent permitted by law, any and all other defenses or benefits that may be derived from or afforded by Applicable Law limiting the liability of or exonerating guarantors or sureties. PAA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of any Borrower, and all notices of acceptance of this PAA Guaranty or of the existence, creation or incurrence of new or additional Obligations of any Borrower.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648"/>
        <w:spacing w:after="0" w:line="266" w:lineRule="auto"/>
        <w:rPr>
          <w:sz w:val="20"/>
          <w:szCs w:val="20"/>
          <w:color w:val="auto"/>
        </w:rPr>
      </w:pPr>
      <w:r>
        <w:rPr>
          <w:rFonts w:ascii="Arial" w:cs="Arial" w:eastAsia="Arial" w:hAnsi="Arial"/>
          <w:sz w:val="18"/>
          <w:szCs w:val="18"/>
          <w:b w:val="1"/>
          <w:bCs w:val="1"/>
          <w:color w:val="auto"/>
        </w:rPr>
        <w:t>10.04 Obligations Independent</w:t>
      </w:r>
      <w:r>
        <w:rPr>
          <w:rFonts w:ascii="Arial" w:cs="Arial" w:eastAsia="Arial" w:hAnsi="Arial"/>
          <w:sz w:val="18"/>
          <w:szCs w:val="18"/>
          <w:color w:val="auto"/>
        </w:rPr>
        <w:t>. The obligations of PAA hereunder are those of primary obligor, and not merely as surety, and are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Obligations of each Borrower and the obligations of any other guarantor, and a separate action may be brought against PAA to enforce this PAA Guaranty whether or not any Borrower or any other person or entity is joined as a party.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10.05 Subrogation</w:t>
      </w:r>
      <w:r>
        <w:rPr>
          <w:rFonts w:ascii="Arial" w:cs="Arial" w:eastAsia="Arial" w:hAnsi="Arial"/>
          <w:sz w:val="18"/>
          <w:szCs w:val="18"/>
          <w:color w:val="auto"/>
        </w:rPr>
        <w:t>. PAA shall not exercise any right of subrogation, contribution, indemnity, reimbursement or similar rights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it makes under this PAA Guaranty until all of the Obligations of the Borrowers and any amounts payable under this PAA Guaranty have been indefeasibly paid in full and the Commitments are terminated. If any amounts are paid to PAA in violation of the foregoing limitation, then such amounts shall be held in trust for the benefit of the Lender Parties and shall forthwith be paid to the Lender Parties to reduce the amount of the Obligations of the Borrowers, whether matured or unmatured.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10.06 Termination; Reinstatement</w:t>
      </w:r>
      <w:r>
        <w:rPr>
          <w:rFonts w:ascii="Arial" w:cs="Arial" w:eastAsia="Arial" w:hAnsi="Arial"/>
          <w:sz w:val="17"/>
          <w:szCs w:val="17"/>
          <w:color w:val="auto"/>
        </w:rPr>
        <w:t>. This PAA Guaranty is a continuing and irrevocable guaranty of all payment Obligations of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now or hereafter existing and shall remain in full force and effect until all payment Obligations of each Borrower are indefeasibly paid in full in cash and the Commitments with respect to each Borrower are terminated. Notwithstanding the foregoing, this PAA Guaranty shall continue in full force and effect or be revived, as the case may be, if any payment by or on behalf of any Borrower or PAA is made, or any of the Lender Parties exercises its right of setoff, in respect of the payment Obligations of any Borrower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PAA Guaranty and regardless of any prior revocation, rescission, termination or reduction. The obligations of PAA under this paragraph shall survive termination of this PAA Guaranty.</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10.07 Subordination</w:t>
      </w:r>
      <w:r>
        <w:rPr>
          <w:rFonts w:ascii="Arial" w:cs="Arial" w:eastAsia="Arial" w:hAnsi="Arial"/>
          <w:sz w:val="18"/>
          <w:szCs w:val="18"/>
          <w:color w:val="auto"/>
        </w:rPr>
        <w:t>. PAA agrees that, upon the occurrence and during the continuation of an Event of Default, the payment of all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Borrower owing to PAA, whether now existing or hereafter arising, including but not limited to any obligation of any Borrower to PAA as subrogee of the Lender Parties or resulting from PAA’s performance under this PAA Guaranty, shall be subordinated to the indefeasible payment in full in cash of all payment Obligations of the Borrowers. Upon the occurrence and during the continuation of an Event of Default, any such obligation or indebtedness of any Borrower to PAA shall be enforced and performance received by PAA as trustee for the Lender Parties and, upon the written request of the Required Lenders, the proceeds thereof shall be paid over to the Administrative Agent, for the benefit of the Lender Parties, on account of the payment Obligations of the Borrowers, to be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but without reducing or affecting in any manner the liability of PAA under this PAA Guaranty.</w:t>
      </w:r>
    </w:p>
    <w:p>
      <w:pPr>
        <w:spacing w:after="0" w:line="19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10.08 Stay of Acceleration</w:t>
      </w:r>
      <w:r>
        <w:rPr>
          <w:rFonts w:ascii="Arial" w:cs="Arial" w:eastAsia="Arial" w:hAnsi="Arial"/>
          <w:sz w:val="18"/>
          <w:szCs w:val="18"/>
          <w:color w:val="auto"/>
        </w:rPr>
        <w:t>. If acceleration of the time for payment of any of the Obligations of any Borrower is stayed,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case commenced by or against PAA or any Borrower under any Debtor Relief Laws, or otherwise, all such amounts shall nonetheless be payable by PAA upon demand by the Lender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648"/>
        <w:spacing w:after="0" w:line="258" w:lineRule="auto"/>
        <w:rPr>
          <w:sz w:val="20"/>
          <w:szCs w:val="20"/>
          <w:color w:val="auto"/>
        </w:rPr>
      </w:pPr>
      <w:r>
        <w:rPr>
          <w:rFonts w:ascii="Arial" w:cs="Arial" w:eastAsia="Arial" w:hAnsi="Arial"/>
          <w:sz w:val="18"/>
          <w:szCs w:val="18"/>
          <w:b w:val="1"/>
          <w:bCs w:val="1"/>
          <w:color w:val="auto"/>
        </w:rPr>
        <w:t>10.09 Condition of Borrowers</w:t>
      </w:r>
      <w:r>
        <w:rPr>
          <w:rFonts w:ascii="Arial" w:cs="Arial" w:eastAsia="Arial" w:hAnsi="Arial"/>
          <w:sz w:val="18"/>
          <w:szCs w:val="18"/>
          <w:color w:val="auto"/>
        </w:rPr>
        <w:t>. PAA acknowledges and agrees that it has the sole responsibility for, and has adequate means of, obtaining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such information concerning the financial condition, business and operations of the Borrowers and any such other guarantor as PAA requires, and that none of the Lender Parties has any duty, and PAA is not relying on the Lender Parties at any time, to disclose to PAA any information relating to the business, operations or financial condition of any Borrower (PAA waiving any duty on the part of the Lender Parties to disclose such information and any defense relating to the failure to provide the same).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MISCELLANEOUS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11.01 Amendments, Etc</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no amendment or waiver of any provision of this Agreement or any other Loan Document,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 consent to any departure by any Borrower or any other Loan Party therefrom, shall be effective unless in writing signed by the Required Lenders and each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155" w:lineRule="exact"/>
        <w:rPr>
          <w:sz w:val="20"/>
          <w:szCs w:val="20"/>
          <w:color w:val="auto"/>
        </w:rPr>
      </w:pPr>
    </w:p>
    <w:p>
      <w:pPr>
        <w:ind w:left="1120" w:hanging="464"/>
        <w:spacing w:after="0"/>
        <w:tabs>
          <w:tab w:leader="none" w:pos="11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firstLine="656"/>
        <w:spacing w:after="0" w:line="277" w:lineRule="auto"/>
        <w:tabs>
          <w:tab w:leader="none" w:pos="112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1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12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(iv)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(i) to amend the definition of “Default Rate” or to waive any obligation of any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L/C Borrowing or to reduce any fee payable hereunder;</w:t>
      </w:r>
    </w:p>
    <w:p>
      <w:pPr>
        <w:spacing w:after="0" w:line="164" w:lineRule="exact"/>
        <w:rPr>
          <w:rFonts w:ascii="Arial" w:cs="Arial" w:eastAsia="Arial" w:hAnsi="Arial"/>
          <w:sz w:val="16"/>
          <w:szCs w:val="16"/>
          <w:color w:val="auto"/>
        </w:rPr>
      </w:pPr>
    </w:p>
    <w:p>
      <w:pPr>
        <w:ind w:firstLine="656"/>
        <w:spacing w:after="0" w:line="342" w:lineRule="auto"/>
        <w:tabs>
          <w:tab w:leader="none" w:pos="111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modify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or any other provision hereof in a manner that would have the effect of altering the ratable reduction of Commitments or the pro rata sharing of payments otherwise required hereunder without the written consent of each Lender directly affected thereby;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656"/>
        <w:spacing w:after="0" w:line="263" w:lineRule="auto"/>
        <w:tabs>
          <w:tab w:leader="none" w:pos="109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12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of any Borrower in any transaction or series of related transactions, or release any Borrower from the negative pledge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(i) without the written consent of each Lender or (ii) unless (x) all Obligations of such Borrower have been paid in full, assumed by the other Borrower or Cash Collateralized (or any combination thereof) and all Commitments in favor of such Borrower have been terminated and (y) the Administrative Agent and Lenders shall have received a certificate from a Responsible Officer of the Company with respect to the representation and warranty set forth in Section 4.02(d)) as it pertains to the non-released Borrower’s Obligations and the non-released Borrower’s Collateral Value; or</w:t>
      </w:r>
    </w:p>
    <w:p>
      <w:pPr>
        <w:spacing w:after="0" w:line="192" w:lineRule="exact"/>
        <w:rPr>
          <w:rFonts w:ascii="Arial" w:cs="Arial" w:eastAsia="Arial" w:hAnsi="Arial"/>
          <w:sz w:val="18"/>
          <w:szCs w:val="18"/>
          <w:color w:val="auto"/>
        </w:rPr>
      </w:pPr>
    </w:p>
    <w:p>
      <w:pPr>
        <w:ind w:left="1140" w:hanging="484"/>
        <w:spacing w:after="0"/>
        <w:tabs>
          <w:tab w:leader="none" w:pos="11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PAA Guaranty, without the written consent of each Lender;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(other than as set forth in the proviso to clause (d) above)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Loan Parties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9" w:name="page310"/>
    <w:bookmarkEnd w:id="309"/>
    <w:p>
      <w:pPr>
        <w:jc w:val="both"/>
        <w:spacing w:after="0" w:line="301" w:lineRule="auto"/>
        <w:rPr>
          <w:sz w:val="20"/>
          <w:szCs w:val="20"/>
          <w:color w:val="auto"/>
        </w:rPr>
      </w:pPr>
      <w:r>
        <w:rPr>
          <w:rFonts w:ascii="Arial" w:cs="Arial" w:eastAsia="Arial" w:hAnsi="Arial"/>
          <w:sz w:val="16"/>
          <w:szCs w:val="16"/>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11.02  Notices; Effectiveness; Electronic Communication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9" w:lineRule="auto"/>
        <w:tabs>
          <w:tab w:leader="none" w:pos="1117"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660" w:firstLine="644"/>
        <w:spacing w:after="0" w:line="277" w:lineRule="auto"/>
        <w:tabs>
          <w:tab w:leader="none" w:pos="174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if to any Borrower, PAA, the Administrative Agent, any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775" w:val="left"/>
        </w:tabs>
        <w:numPr>
          <w:ilvl w:val="1"/>
          <w:numId w:val="352"/>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and its Affiliates), if such questionnaire has been received by the Person sending such notice or communication, or if such questionnaire has not been received by such sending Person, to such address as may be reasonably believed to be correct by such sending Person.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The Company and PMCULC hereby agree that any notice, demand, consent, acknowledgement, direction, certification or other communication delivered to the Company in accordance with the terms of this Agreement shall constitute delivery to, and shall be deemed to have been delivered to PMCULC.</w:t>
      </w:r>
    </w:p>
    <w:p>
      <w:pPr>
        <w:spacing w:after="0" w:line="195" w:lineRule="exact"/>
        <w:rPr>
          <w:sz w:val="20"/>
          <w:szCs w:val="20"/>
          <w:color w:val="auto"/>
        </w:rPr>
      </w:pPr>
    </w:p>
    <w:p>
      <w:pPr>
        <w:jc w:val="both"/>
        <w:ind w:firstLine="656"/>
        <w:spacing w:after="0" w:line="272" w:lineRule="auto"/>
        <w:tabs>
          <w:tab w:leader="none" w:pos="1127"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such L/C Issuer, as applicable, has notified the Administrative Agent and the Company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jc w:val="both"/>
        <w:ind w:firstLine="648"/>
        <w:spacing w:after="0" w:line="25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5" w:lineRule="exact"/>
        <w:rPr>
          <w:sz w:val="20"/>
          <w:szCs w:val="20"/>
          <w:color w:val="auto"/>
        </w:rPr>
      </w:pPr>
    </w:p>
    <w:p>
      <w:pPr>
        <w:jc w:val="both"/>
        <w:ind w:firstLine="656"/>
        <w:spacing w:after="0" w:line="268" w:lineRule="auto"/>
        <w:tabs>
          <w:tab w:leader="none" w:pos="1117"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PAA,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have resulted from such Agent Party’s gross negligence, willful misconduct or material breach of any of its obligations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w:t>
      </w:r>
    </w:p>
    <w:p>
      <w:pPr>
        <w:spacing w:after="0" w:line="186" w:lineRule="exact"/>
        <w:rPr>
          <w:rFonts w:ascii="Arial" w:cs="Arial" w:eastAsia="Arial" w:hAnsi="Arial"/>
          <w:sz w:val="17"/>
          <w:szCs w:val="17"/>
          <w:color w:val="auto"/>
        </w:rPr>
      </w:pPr>
    </w:p>
    <w:p>
      <w:pPr>
        <w:jc w:val="both"/>
        <w:ind w:firstLine="656"/>
        <w:spacing w:after="0" w:line="287" w:lineRule="auto"/>
        <w:tabs>
          <w:tab w:leader="none" w:pos="1127"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PAA, the Administrative Agent, any L/C Issuer and the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Subsidiaries or their respective securities for purposes of United States Federal or state securities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1" w:name="page312"/>
    <w:bookmarkEnd w:id="311"/>
    <w:p>
      <w:pPr>
        <w:jc w:val="both"/>
        <w:ind w:firstLine="656"/>
        <w:spacing w:after="0" w:line="271" w:lineRule="auto"/>
        <w:tabs>
          <w:tab w:leader="none" w:pos="1117"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xml:space="preserve">. The Administrative Agent, the L/C Issuers and the Lenders shall be entitled to 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to the extent provided in </w:t>
      </w:r>
      <w:r>
        <w:rPr>
          <w:rFonts w:ascii="Arial" w:cs="Arial" w:eastAsia="Arial" w:hAnsi="Arial"/>
          <w:sz w:val="17"/>
          <w:szCs w:val="17"/>
          <w:u w:val="single" w:color="auto"/>
          <w:color w:val="auto"/>
        </w:rPr>
        <w:t>Section 11.04(b)</w:t>
      </w:r>
      <w:r>
        <w:rPr>
          <w:rFonts w:ascii="Arial" w:cs="Arial" w:eastAsia="Arial" w:hAnsi="Arial"/>
          <w:sz w:val="17"/>
          <w:szCs w:val="17"/>
          <w:color w:val="auto"/>
        </w:rPr>
        <w:t>. All telephonic notices to and other telephonic communications with the Administrative Agent may be recorded by any person a party hereto, and each of the parties hereto hereby consents to such recording.</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11.03 No Waiver; Cumulative Remedies; Enforcement; Nature of Obligations</w:t>
      </w:r>
      <w:r>
        <w:rPr>
          <w:rFonts w:ascii="Arial" w:cs="Arial" w:eastAsia="Arial" w:hAnsi="Arial"/>
          <w:sz w:val="18"/>
          <w:szCs w:val="18"/>
          <w:color w:val="auto"/>
        </w:rPr>
        <w:t>. No failure by any Lender, any L/C Issuer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2" w:lineRule="exact"/>
        <w:rPr>
          <w:sz w:val="20"/>
          <w:szCs w:val="20"/>
          <w:color w:val="auto"/>
        </w:rPr>
      </w:pPr>
    </w:p>
    <w:p>
      <w:pPr>
        <w:jc w:val="both"/>
        <w:ind w:firstLine="8"/>
        <w:spacing w:after="0" w:line="251" w:lineRule="auto"/>
        <w:tabs>
          <w:tab w:leader="none" w:pos="26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jc w:val="both"/>
        <w:ind w:firstLine="648"/>
        <w:spacing w:after="0" w:line="257" w:lineRule="auto"/>
        <w:rPr>
          <w:sz w:val="20"/>
          <w:szCs w:val="20"/>
          <w:color w:val="auto"/>
        </w:rPr>
      </w:pPr>
      <w:r>
        <w:rPr>
          <w:rFonts w:ascii="Arial" w:cs="Arial" w:eastAsia="Arial" w:hAnsi="Arial"/>
          <w:sz w:val="18"/>
          <w:szCs w:val="18"/>
          <w:color w:val="auto"/>
        </w:rPr>
        <w:t xml:space="preserve">All Obligations which are incurred by two or more Loan Parties shall be their joint and several obligations and liabilities of such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the Lender Parties acknowledge and agree that as of the Closing Date (i) Borrowings and requests for Credit Extensions made or to be made hereunder by any requesting Borrower are to be made by such requesting Borrower severally and not jointly and severally by the Borrowers, and (ii) Loans, L/C Obligations and Canadian BA’s of any Borrower are to be such Borrower’s several Obligations, and not joint and several Obligations among all Borrowers.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11.04  Expenses; Indemnity; Damage Waiver</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7" w:lineRule="auto"/>
        <w:tabs>
          <w:tab w:leader="none" w:pos="1117"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Company shall pay (i) all reasonable out-of-pocket expenses incurred by the Administrative Agent and its Affiliates (including the reasonable fees, charges and disbursements of a single counsel for the Administrative Agent) (and if necessary one local counsel in each applicable jurisdiction) but excluding the allocated cost of internal counsel)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but excluding the allocated cost of internal counsel),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3" w:name="page314"/>
    <w:bookmarkEnd w:id="313"/>
    <w:p>
      <w:pPr>
        <w:jc w:val="both"/>
        <w:ind w:firstLine="656"/>
        <w:spacing w:after="0" w:line="283" w:lineRule="auto"/>
        <w:tabs>
          <w:tab w:leader="none" w:pos="1127"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shall indemnify the Administrative Agent (and any sub-agent thereof), each Lender and each L/C Issuer, and each Related Party of the foregoing Persons (each such Person being called an “Indemnitee”)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(including the enforcement or defense thereof),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officers, directors, employees, controlled Affiliates or controlling Persons, or a material breach of any Loan Document by such Indemnitee or, (y) result from a claim brought by the Company or any other Loan Party against an Indemnitee for a material breach of such Indemnitee’s obligations hereunder or under any other Loan Document, if the Company or such Loan Party has obtained a final and nonappealable judgment in its favor on such claim as determined by a court of competent jurisdiction or (z) result from a claim not involving an act or omission of the Company or any other Loan Party and that is brought by an Indemnitee against another Indemnitee (other than against the arranger or the Administrative Agent in their capacities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 In addition, so long as no Default has occurred and is continuing and the Company is financially solvent, such indemnity shall not, as to any Indemnitee, be available with respect to any settlements effected without the Company’s prior written consent, such consent not to be unreasonably withheld, conditioned or delayed; provided, the Company may not reasonably withhold consent to any settlement that an Indemnitee proposes, if the Company does not have the financial ability to pay all its obligations outstanding and asserted against the Company at that time, including the maximum potential claims against the Indemnitee to be indemnified pursuant to this Section 11.04; provided further, with respect to any such settlement consented to by the Company (which shall not include any statement as to any admission of fault, culpability or a failure to act by or on behalf of any Indemnitee), the Company shall indemnify such Indemnitee from and against any and all losses, claims, damages, liabilities and related expenses by reason of such settlement in accordance with the other provisions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4" w:name="page315"/>
    <w:bookmarkEnd w:id="314"/>
    <w:p>
      <w:pPr>
        <w:ind w:left="1120" w:hanging="464"/>
        <w:spacing w:after="0"/>
        <w:tabs>
          <w:tab w:leader="none" w:pos="1120"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Company for any reason fails to indefeasibly pay any amount required under subsection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5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or (b) of this Section to be paid by it to the Administrative Agent (or any sub-agent thereof), any L/C Issuer, the Swing Line Lender or any Related Party of any of the foregoing, without affecting the Company’s payment obligations with respect thereto,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subsection (d)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656"/>
        <w:spacing w:after="0" w:line="287" w:lineRule="auto"/>
        <w:tabs>
          <w:tab w:leader="none" w:pos="1127"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or Related Party thereof shall assert, and hereby waives, and acknowledges that no other Person shall have, any claim against any other party hereto or any Related Party thereof (including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the foregoing shall not limit Borrowers’ indemnity and reimbursement obligations set forth in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to the extent any such special, indirect, consequential or punitive damages are included in any third party claim against any Indemnitee.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its obligations under any Loan Document as found in a final and nonappealable judgment by a court of competent jurisdiction.</w:t>
      </w:r>
    </w:p>
    <w:p>
      <w:pPr>
        <w:spacing w:after="0" w:line="171" w:lineRule="exact"/>
        <w:rPr>
          <w:rFonts w:ascii="Arial" w:cs="Arial" w:eastAsia="Arial" w:hAnsi="Arial"/>
          <w:sz w:val="16"/>
          <w:szCs w:val="16"/>
          <w:color w:val="auto"/>
        </w:rPr>
      </w:pPr>
    </w:p>
    <w:p>
      <w:pPr>
        <w:ind w:left="1120" w:hanging="464"/>
        <w:spacing w:after="0"/>
        <w:tabs>
          <w:tab w:leader="none" w:pos="1120"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098"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any L/C Issuer and the Swing Line Lender, the replacement of any Lender or L/C Issuer, the termination of the Aggregate Commitments and the repayment, satisfaction or discharge of all the other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firstLine="648"/>
        <w:spacing w:after="0" w:line="269" w:lineRule="auto"/>
        <w:rPr>
          <w:sz w:val="20"/>
          <w:szCs w:val="20"/>
          <w:color w:val="auto"/>
        </w:rPr>
      </w:pPr>
      <w:r>
        <w:rPr>
          <w:rFonts w:ascii="Arial" w:cs="Arial" w:eastAsia="Arial" w:hAnsi="Arial"/>
          <w:sz w:val="17"/>
          <w:szCs w:val="17"/>
          <w:b w:val="1"/>
          <w:bCs w:val="1"/>
          <w:color w:val="auto"/>
        </w:rPr>
        <w:t>11.05 Payments Set Aside</w:t>
      </w:r>
      <w:r>
        <w:rPr>
          <w:rFonts w:ascii="Arial" w:cs="Arial" w:eastAsia="Arial" w:hAnsi="Arial"/>
          <w:sz w:val="17"/>
          <w:szCs w:val="17"/>
          <w:color w:val="auto"/>
        </w:rPr>
        <w:t>. To the extent that any payment by or on behalf of any Borrower is made to the Administrative Agent, any L/C Issuer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11.06  Successors and Assigns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1117"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(other than assignments by PMCULC to, and corresponding assumptions by, the Company)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85" w:lineRule="exact"/>
        <w:rPr>
          <w:rFonts w:ascii="Arial" w:cs="Arial" w:eastAsia="Arial" w:hAnsi="Arial"/>
          <w:sz w:val="17"/>
          <w:szCs w:val="17"/>
          <w:color w:val="auto"/>
        </w:rPr>
      </w:pPr>
    </w:p>
    <w:p>
      <w:pPr>
        <w:jc w:val="both"/>
        <w:ind w:firstLine="656"/>
        <w:spacing w:after="0" w:line="259" w:lineRule="auto"/>
        <w:tabs>
          <w:tab w:leader="none" w:pos="1127"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and the other Loan Documents (including all or a portion of its Commitment and the Loans (including for purposes of this subsection (b), participations in L/C Obligations and in Swing Line Loans, and Canadian BA’s)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ind w:left="660" w:hanging="476"/>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63" w:lineRule="auto"/>
        <w:tabs>
          <w:tab w:leader="none" w:pos="134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80" w:firstLine="652"/>
        <w:spacing w:after="0" w:line="270" w:lineRule="auto"/>
        <w:tabs>
          <w:tab w:leader="none" w:pos="1338"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0" w:lineRule="exact"/>
        <w:rPr>
          <w:rFonts w:ascii="Arial" w:cs="Arial" w:eastAsia="Arial" w:hAnsi="Arial"/>
          <w:sz w:val="17"/>
          <w:szCs w:val="17"/>
          <w:color w:val="auto"/>
        </w:rPr>
      </w:pPr>
    </w:p>
    <w:p>
      <w:pPr>
        <w:jc w:val="both"/>
        <w:ind w:left="-460" w:firstLine="644"/>
        <w:spacing w:after="0" w:line="311" w:lineRule="auto"/>
        <w:tabs>
          <w:tab w:leader="none" w:pos="678"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and the other Loan Documents with respect to the Loans or the Commitment assigned, except that this clause (ii) shall not apply to rights in respect of the Swing Line Lender’s rights and obligations in respect of Swing Line Loans;</w:t>
      </w:r>
    </w:p>
    <w:p>
      <w:pPr>
        <w:spacing w:after="0" w:line="148" w:lineRule="exact"/>
        <w:rPr>
          <w:rFonts w:ascii="Arial" w:cs="Arial" w:eastAsia="Arial" w:hAnsi="Arial"/>
          <w:sz w:val="16"/>
          <w:szCs w:val="16"/>
          <w:color w:val="auto"/>
        </w:rPr>
      </w:pPr>
    </w:p>
    <w:p>
      <w:pPr>
        <w:ind w:left="-460" w:firstLine="644"/>
        <w:spacing w:after="0" w:line="277" w:lineRule="auto"/>
        <w:tabs>
          <w:tab w:leader="none" w:pos="683"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such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jc w:val="both"/>
        <w:ind w:left="180" w:firstLine="652"/>
        <w:spacing w:after="0" w:line="257" w:lineRule="auto"/>
        <w:tabs>
          <w:tab w:leader="none" w:pos="134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consent of the Company (such consent not to be unreasonably withheld or delayed)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has occurred and is continuing at the time of such assignment or (2) such assignment is to a Lender, an Affiliate of a Lender or an Approved Fund; provided that the Company shall be deemed to have consented to any such assignment unless it shall object thereto by written notice to the Administrative Agent within ten (10) Business Days after having received notice thereof;</w:t>
      </w:r>
    </w:p>
    <w:p>
      <w:pPr>
        <w:spacing w:after="0" w:line="187" w:lineRule="exact"/>
        <w:rPr>
          <w:rFonts w:ascii="Arial" w:cs="Arial" w:eastAsia="Arial" w:hAnsi="Arial"/>
          <w:sz w:val="18"/>
          <w:szCs w:val="18"/>
          <w:color w:val="auto"/>
        </w:rPr>
      </w:pPr>
    </w:p>
    <w:p>
      <w:pPr>
        <w:jc w:val="both"/>
        <w:ind w:left="180" w:firstLine="652"/>
        <w:spacing w:after="0" w:line="263" w:lineRule="auto"/>
        <w:tabs>
          <w:tab w:leader="none" w:pos="133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delayed or conditioned) shall be required if such assignment is to a Person that is not a Lender, an Affiliate of such Lender or an Approved Fund with respect to such Lender;</w:t>
      </w:r>
    </w:p>
    <w:p>
      <w:pPr>
        <w:spacing w:after="0" w:line="4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7" w:name="page318"/>
    <w:bookmarkEnd w:id="317"/>
    <w:p>
      <w:pPr>
        <w:ind w:left="180" w:firstLine="652"/>
        <w:spacing w:after="0" w:line="277" w:lineRule="auto"/>
        <w:tabs>
          <w:tab w:leader="none" w:pos="1338"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consent of each L/C Issuer (such consent not to be unreasonably withheld or delayed) shall be required for any assignment so long as any L/C Commitment or L/C Obligations remain outstanding; and</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consent of the Swing Line Lender (such consent not to be unreasonably withheld or delayed) shall be required for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assignment.</w:t>
      </w:r>
    </w:p>
    <w:p>
      <w:pPr>
        <w:spacing w:after="0" w:line="210" w:lineRule="exact"/>
        <w:rPr>
          <w:rFonts w:ascii="Arial" w:cs="Arial" w:eastAsia="Arial" w:hAnsi="Arial"/>
          <w:sz w:val="16"/>
          <w:szCs w:val="16"/>
          <w:color w:val="auto"/>
        </w:rPr>
      </w:pPr>
    </w:p>
    <w:p>
      <w:pPr>
        <w:jc w:val="both"/>
        <w:ind w:left="-460" w:firstLine="644"/>
        <w:spacing w:after="0" w:line="259" w:lineRule="auto"/>
        <w:tabs>
          <w:tab w:leader="none" w:pos="695"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712"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86" w:lineRule="exact"/>
        <w:rPr>
          <w:rFonts w:ascii="Arial" w:cs="Arial" w:eastAsia="Arial" w:hAnsi="Arial"/>
          <w:sz w:val="18"/>
          <w:szCs w:val="18"/>
          <w:color w:val="auto"/>
        </w:rPr>
      </w:pPr>
    </w:p>
    <w:p>
      <w:pPr>
        <w:ind w:left="-460" w:right="20" w:firstLine="644"/>
        <w:spacing w:after="0" w:line="308" w:lineRule="auto"/>
        <w:tabs>
          <w:tab w:leader="none" w:pos="754"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No Assignment Resulting in Additional Indemnified Taxes</w:t>
      </w:r>
      <w:r>
        <w:rPr>
          <w:rFonts w:ascii="Arial" w:cs="Arial" w:eastAsia="Arial" w:hAnsi="Arial"/>
          <w:sz w:val="17"/>
          <w:szCs w:val="17"/>
          <w:color w:val="auto"/>
        </w:rPr>
        <w:t>. No such assignment shall be made to any Person that, through its Lending Offices, is not capable of lending Canadian Dollars to each Borrower without the imposition of any additional Indemnified Taxes.</w:t>
      </w:r>
    </w:p>
    <w:p>
      <w:pPr>
        <w:spacing w:after="0" w:line="146" w:lineRule="exact"/>
        <w:rPr>
          <w:rFonts w:ascii="Arial" w:cs="Arial" w:eastAsia="Arial" w:hAnsi="Arial"/>
          <w:sz w:val="17"/>
          <w:szCs w:val="17"/>
          <w:color w:val="auto"/>
        </w:rPr>
      </w:pPr>
    </w:p>
    <w:p>
      <w:pPr>
        <w:jc w:val="both"/>
        <w:ind w:left="-460" w:firstLine="644"/>
        <w:spacing w:after="0" w:line="269" w:lineRule="auto"/>
        <w:tabs>
          <w:tab w:leader="none" w:pos="74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Committed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9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8" w:name="page319"/>
    <w:bookmarkEnd w:id="318"/>
    <w:p>
      <w:pPr>
        <w:jc w:val="both"/>
        <w:spacing w:after="0" w:line="28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and in connection therewith the assignor Lender shall (i) if its entire Commitment was assigned, return its Note (if any) to the Company for cancellation (or submit to the Company an affidavit regarding the loss thereof) or (ii) if only a portion of its Commitment was assigned, provide evidence that such assignor’s Note (if any), has been marked to reflect such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4" w:lineRule="exact"/>
        <w:rPr>
          <w:sz w:val="20"/>
          <w:szCs w:val="20"/>
          <w:color w:val="auto"/>
        </w:rPr>
      </w:pPr>
    </w:p>
    <w:p>
      <w:pPr>
        <w:jc w:val="both"/>
        <w:ind w:firstLine="656"/>
        <w:spacing w:after="0" w:line="272" w:lineRule="auto"/>
        <w:tabs>
          <w:tab w:leader="none" w:pos="1117"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127"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and Canadian BA’s));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jc w:val="both"/>
        <w:ind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Company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(subject to the requirements and limitations therein and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the obligations imposed by such Sections to the same extent as if it were a Lender and had acquired its interest by assignment pursuant to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provided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clause (b)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provided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jc w:val="both"/>
        <w:ind w:firstLine="656"/>
        <w:spacing w:after="0" w:line="259" w:lineRule="auto"/>
        <w:tabs>
          <w:tab w:leader="none" w:pos="1117"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jc w:val="both"/>
        <w:ind w:firstLine="656"/>
        <w:spacing w:after="0" w:line="285" w:lineRule="auto"/>
        <w:tabs>
          <w:tab w:leader="none" w:pos="1098"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any L/C Issuer or the Swing Line Lender assigns all of its Commitment and Loans pursuant to clause (b) above, such L/C Issuer or the Swing Line Lender, as applicable, may, (i) upon 30 days’ notice to the Administrative Agent, the Company and the Lenders, resign as an L/C Issuer and/or (ii) upon 30 days’ notice to the Company, resign as Swing Line Lender. In the event of any such resignation as an L/C Issuer or Swing Line Lender, the Company shall be entitled to appoint from among the Lenders a successor L/C Issuer (subject to such successor’s acceptance) or Swing Line Lender (subject to such successor’s acceptance) hereunder; provided, however, that no failure by the Company to appoint any such successor shall affect the resignation of the applicable L/C Issuer or Swing Line Lender, as the case may be. If the applicable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Canadian Prime Rate Committed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Canadian Prime Rate Committed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spacing w:after="0" w:line="173" w:lineRule="exact"/>
        <w:rPr>
          <w:rFonts w:ascii="Arial" w:cs="Arial" w:eastAsia="Arial" w:hAnsi="Arial"/>
          <w:sz w:val="16"/>
          <w:szCs w:val="16"/>
          <w:color w:val="auto"/>
        </w:rPr>
      </w:pPr>
    </w:p>
    <w:p>
      <w:pPr>
        <w:jc w:val="both"/>
        <w:ind w:firstLine="656"/>
        <w:spacing w:after="0" w:line="279" w:lineRule="auto"/>
        <w:tabs>
          <w:tab w:leader="none" w:pos="1127"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Lost Notes</w:t>
      </w:r>
      <w:r>
        <w:rPr>
          <w:rFonts w:ascii="Arial" w:cs="Arial" w:eastAsia="Arial" w:hAnsi="Arial"/>
          <w:sz w:val="17"/>
          <w:szCs w:val="17"/>
          <w:color w:val="auto"/>
        </w:rPr>
        <w:t>. Upon receipt of an affidavit reasonably satisfactory to the Company of an officer of any Lender as to the loss, theft, destruction or mutilation of its Note which is not of public record, and, in the case of any such loss, theft, destruction or mutilation, upon cancellation of such Note, the applicable Borrower will execute and deliver, in lieu thereof, a replacement Note in the principal amount of such Lender’s then Commitment or if no Commitment is in effect, the outstanding principal amount owed to such Lender and otherwise of like tenor.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jc w:val="both"/>
        <w:ind w:firstLine="648"/>
        <w:spacing w:after="0" w:line="284" w:lineRule="auto"/>
        <w:rPr>
          <w:sz w:val="20"/>
          <w:szCs w:val="20"/>
          <w:color w:val="auto"/>
        </w:rPr>
      </w:pPr>
      <w:r>
        <w:rPr>
          <w:rFonts w:ascii="Arial" w:cs="Arial" w:eastAsia="Arial" w:hAnsi="Arial"/>
          <w:sz w:val="16"/>
          <w:szCs w:val="16"/>
          <w:b w:val="1"/>
          <w:bCs w:val="1"/>
          <w:color w:val="auto"/>
        </w:rPr>
        <w:t>11.07 Treatment of Certain Information; Confidentiality</w:t>
      </w:r>
      <w:r>
        <w:rPr>
          <w:rFonts w:ascii="Arial" w:cs="Arial" w:eastAsia="Arial" w:hAnsi="Arial"/>
          <w:sz w:val="16"/>
          <w:szCs w:val="16"/>
          <w:color w:val="auto"/>
        </w:rPr>
        <w:t>. Each of the Administrative Agent, the Lenders and the L/C Issuers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to</w:t>
      </w:r>
    </w:p>
    <w:p>
      <w:pPr>
        <w:spacing w:after="0" w:line="5" w:lineRule="exact"/>
        <w:rPr>
          <w:sz w:val="20"/>
          <w:szCs w:val="20"/>
          <w:color w:val="auto"/>
        </w:rPr>
      </w:pPr>
    </w:p>
    <w:p>
      <w:pPr>
        <w:jc w:val="both"/>
        <w:ind w:firstLine="8"/>
        <w:spacing w:after="0" w:line="285" w:lineRule="auto"/>
        <w:tabs>
          <w:tab w:leader="none" w:pos="22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any assignee of or Participant in, or any prospective assignee of or Participant in, any of its rights and obligations under this Agreement or any Eligible Assignee invited to be a Lender pursuant to Section </w:t>
      </w:r>
      <w:r>
        <w:rPr>
          <w:rFonts w:ascii="Arial" w:cs="Arial" w:eastAsia="Arial" w:hAnsi="Arial"/>
          <w:sz w:val="16"/>
          <w:szCs w:val="16"/>
          <w:u w:val="single" w:color="auto"/>
          <w:color w:val="auto"/>
        </w:rPr>
        <w:t>2.15(c)</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any of the Borrowers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Arial" w:cs="Arial" w:eastAsia="Arial" w:hAnsi="Arial"/>
          <w:sz w:val="16"/>
          <w:szCs w:val="16"/>
          <w:u w:val="single" w:color="auto"/>
          <w:color w:val="auto"/>
        </w:rPr>
        <w:t>Section 11.07</w:t>
      </w:r>
      <w:r>
        <w:rPr>
          <w:rFonts w:ascii="Arial" w:cs="Arial" w:eastAsia="Arial" w:hAnsi="Arial"/>
          <w:sz w:val="16"/>
          <w:szCs w:val="16"/>
          <w:color w:val="auto"/>
        </w:rPr>
        <w:t>. In addition, the Administrative Agent and the Lenders may disclose the existence of this Agreement and public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“Information” means all information received from the Company, PAA or any Subsidiary relating to the Company, PAA or any Subsidiary, or any Affiliate of any of them, or any of their respective businesses, other than any such information that is available to the Administrative Agent, any Lender or any L/C Issuer on a nonconfidential basis prior to disclosure by the Company or any Subsidiary, provided that, in the case of information received from the Company or any Subsidiary after the date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11.08 Right of Setoff. </w:t>
      </w:r>
      <w:r>
        <w:rPr>
          <w:rFonts w:ascii="Arial" w:cs="Arial" w:eastAsia="Arial" w:hAnsi="Arial"/>
          <w:sz w:val="16"/>
          <w:szCs w:val="16"/>
          <w:color w:val="auto"/>
        </w:rPr>
        <w:t>At any time and from time to time during the continuance of any Event of Default, each Lender and each L/C Issuer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of their respective Affiliates is hereby authorized at any time and from time to time, to the fullest extent permitted by Applicable Law, to set off and apply against the Obligations,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11.09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appropriate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jc w:val="both"/>
        <w:ind w:firstLine="8"/>
        <w:spacing w:after="0" w:line="286" w:lineRule="auto"/>
        <w:tabs>
          <w:tab w:leader="none" w:pos="25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In no event shall the aggregate “interest” (as defined in section 347 of the Criminal Code (Canada)) payable by PMCULC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PMCULC, Administrative Agent and Lenders and the amount of such excess payment or collection shall be refunded to PMCULC. For purposes of any Notes made by PMCULC,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Administrative Agent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for the purposes of such determination.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11.10 Counterparts; Integration; Effectiveness. </w:t>
      </w:r>
      <w:r>
        <w:rPr>
          <w:rFonts w:ascii="Arial" w:cs="Arial" w:eastAsia="Arial" w:hAnsi="Arial"/>
          <w:sz w:val="17"/>
          <w:szCs w:val="17"/>
          <w:color w:val="auto"/>
        </w:rPr>
        <w:t>This Agreement, the other Loan Documents, and any separate letter agreements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11.11 Survival of Representations and Warranties. </w:t>
      </w:r>
      <w:r>
        <w:rPr>
          <w:rFonts w:ascii="Arial" w:cs="Arial" w:eastAsia="Arial" w:hAnsi="Arial"/>
          <w:sz w:val="17"/>
          <w:szCs w:val="17"/>
          <w:color w:val="auto"/>
        </w:rPr>
        <w:t>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11.12 Severability</w:t>
      </w:r>
      <w:r>
        <w:rPr>
          <w:rFonts w:ascii="Arial" w:cs="Arial" w:eastAsia="Arial" w:hAnsi="Arial"/>
          <w:sz w:val="18"/>
          <w:szCs w:val="18"/>
          <w:color w:val="auto"/>
        </w:rPr>
        <w:t>. 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11.13 Replacement of Lenders</w:t>
      </w:r>
      <w:r>
        <w:rPr>
          <w:rFonts w:ascii="Arial" w:cs="Arial" w:eastAsia="Arial" w:hAnsi="Arial"/>
          <w:sz w:val="16"/>
          <w:szCs w:val="16"/>
          <w:color w:val="auto"/>
        </w:rPr>
        <w:t>. If the Company is entitled to replace a Lender pursuant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3.06</w:t>
      </w:r>
      <w:r>
        <w:rPr>
          <w:rFonts w:ascii="Arial" w:cs="Arial" w:eastAsia="Arial" w:hAnsi="Arial"/>
          <w:sz w:val="16"/>
          <w:szCs w:val="16"/>
          <w:color w:val="auto"/>
        </w:rPr>
        <w:t>, or if any Lender is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and obligations under this Agreement and the related Loan Documents to an Eligible Assignee that shall assume such obligations (which assignee may be another Lender, if a Lender accepts such assignment), provided that:</w:t>
      </w:r>
    </w:p>
    <w:p>
      <w:pPr>
        <w:spacing w:after="0" w:line="164" w:lineRule="exact"/>
        <w:rPr>
          <w:sz w:val="20"/>
          <w:szCs w:val="20"/>
          <w:color w:val="auto"/>
        </w:rPr>
      </w:pPr>
    </w:p>
    <w:p>
      <w:pPr>
        <w:ind w:right="20" w:firstLine="656"/>
        <w:spacing w:after="0" w:line="277" w:lineRule="auto"/>
        <w:tabs>
          <w:tab w:leader="none" w:pos="111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unless paid by the assignee or waived by the Administrative Agent in its sole discretion, the Company shall have paid (or caused PMCULC to pay)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656"/>
        <w:spacing w:after="0" w:line="259" w:lineRule="auto"/>
        <w:tabs>
          <w:tab w:leader="none" w:pos="11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from the assignee (to the extent of such outstanding principal and accrued interest and fees) or the applicable Borrower (in the case of all other amounts);</w:t>
      </w:r>
    </w:p>
    <w:p>
      <w:pPr>
        <w:spacing w:after="0" w:line="186" w:lineRule="exact"/>
        <w:rPr>
          <w:rFonts w:ascii="Arial" w:cs="Arial" w:eastAsia="Arial" w:hAnsi="Arial"/>
          <w:sz w:val="18"/>
          <w:szCs w:val="18"/>
          <w:color w:val="auto"/>
        </w:rPr>
      </w:pPr>
    </w:p>
    <w:p>
      <w:pPr>
        <w:ind w:firstLine="656"/>
        <w:spacing w:after="0" w:line="277" w:lineRule="auto"/>
        <w:tabs>
          <w:tab w:leader="none" w:pos="111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20" w:firstLine="656"/>
        <w:spacing w:after="0" w:line="277" w:lineRule="auto"/>
        <w:tabs>
          <w:tab w:leader="none" w:pos="111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party hereto agrees that (a) an assignment required pursuant to this Section 11.13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11.14  Governing Law; Jurisdiction; Etc</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7" w:lineRule="auto"/>
        <w:tabs>
          <w:tab w:leader="none" w:pos="111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5" w:name="page326"/>
    <w:bookmarkEnd w:id="325"/>
    <w:p>
      <w:pPr>
        <w:jc w:val="both"/>
        <w:ind w:firstLine="656"/>
        <w:spacing w:after="0" w:line="252" w:lineRule="auto"/>
        <w:tabs>
          <w:tab w:leader="none" w:pos="112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PARTY HERETO IRREVOCABLY AND UNCONDITIONALLY agrees that with respect to any action, litigation or proceeding of any kind or description, whether in law or equity, whether in contract or in tort or otherwise, against the Administrative Agent, any Lender, any L/C Issuer, any Loan Party or any Related Party of the foregoing in any way relating to this Agreement or any other Loan Document or the transactions related hereto or thereto, SUCH PARTY SUBMITS ITSELF TO THE NON-EXCLUSIVE JURISDICTION OF THE COURTS OF THE STATE OF NEW YORK SITTING IN NEW YORK COUNTY AND OF THE UNITED STATES DISTRICT COURT OF THE SOUTHERN DISTRICT OF NEW YORK, AND ANY APPELLATE COURT FROM ANY THEREOF, AND IRREVOCABLY AND UNCONDITIONALLY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L/C ISSUER OR ANY LOAN PARTY MAY OTHERWISE HAVE TO BRING ANY ACTION OR PROCEEDING RELATING TO THIS AGREEMENT OR ANY OTHER LOAN DOCUMENT AGAINST ANY OTHER PARTY HERETO OR ITS PROPERTIES IN THE COURTS OF ANY JURISDICTION.</w:t>
      </w:r>
    </w:p>
    <w:p>
      <w:pPr>
        <w:spacing w:after="0" w:line="197" w:lineRule="exact"/>
        <w:rPr>
          <w:rFonts w:ascii="Arial" w:cs="Arial" w:eastAsia="Arial" w:hAnsi="Arial"/>
          <w:sz w:val="18"/>
          <w:szCs w:val="18"/>
          <w:color w:val="auto"/>
        </w:rPr>
      </w:pPr>
    </w:p>
    <w:p>
      <w:pPr>
        <w:jc w:val="both"/>
        <w:ind w:firstLine="656"/>
        <w:spacing w:after="0" w:line="255" w:lineRule="auto"/>
        <w:tabs>
          <w:tab w:leader="none" w:pos="111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27"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11.15 Waiver of Jury Trial. </w:t>
      </w:r>
      <w:r>
        <w:rPr>
          <w:rFonts w:ascii="Arial" w:cs="Arial" w:eastAsia="Arial" w:hAnsi="Arial"/>
          <w:sz w:val="17"/>
          <w:szCs w:val="17"/>
          <w:color w:val="auto"/>
        </w:rPr>
        <w:t>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27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6" w:name="page327"/>
    <w:bookmarkEnd w:id="326"/>
    <w:p>
      <w:pPr>
        <w:jc w:val="both"/>
        <w:ind w:firstLine="648"/>
        <w:spacing w:after="0" w:line="285" w:lineRule="auto"/>
        <w:rPr>
          <w:sz w:val="20"/>
          <w:szCs w:val="20"/>
          <w:color w:val="auto"/>
        </w:rPr>
      </w:pPr>
      <w:r>
        <w:rPr>
          <w:rFonts w:ascii="Arial" w:cs="Arial" w:eastAsia="Arial" w:hAnsi="Arial"/>
          <w:sz w:val="16"/>
          <w:szCs w:val="16"/>
          <w:b w:val="1"/>
          <w:bCs w:val="1"/>
          <w:color w:val="auto"/>
        </w:rPr>
        <w:t>11.16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each Borrower and PAA acknowledges and agrees, and acknowledges its Affiliates’ understanding, that: (a) (i) the arranging and other services regarding this Agreement provided by the Administrative Agent, the Arrangers, the Syndication Agent and the Lenders are arm’s-length commercial transactions between the Borrowers, PAA and their respective Affiliates, on the one hand, and the Administrative Agent, the Arrangers, the Syndication Agent and the Lenders, on the other hand, (ii) each of the Borrowers and PAA has consulted its own legal, accounting, regulatory and tax advisors to the extent it has deemed appropriate, and (iii) each of the Borrowers and PAA is capable of evaluating, and understands and accepts, the terms, risks and conditions of the transactions contemplated hereby and by the other Loan Documents; (b) (i) the Administrative Agent, the Syndication Agent and the Arrangers each is and has been acting solely as a principal and, except as expressly agreed in writing by the relevant parties, has not been, is not, and will not be acting as an advisor, agent or fiduciary for any Borrower, PAA or any of their respective Affiliates, or any other Person and (ii) none of the Administrative Agent, any Arranger, the Syndication Agent nor any Lender has any obligation to any Borrower or any of its Affiliates with respect to the transactions contemplated hereby except those obligations expressly set forth herein and in the other Loan Documents; and (c) the Administrative Agent, the Arrangers, the Syndication Agent, the Lenders and their respective Affiliates may be engaged in a broad range of transactions that involve interests that differ from those of the Borrowers, PAA and their respective Affiliates, and none of the Administrative Agent, any Arranger, the Syndication Agent nor any Lender has any obligation to disclose any of such interests to any Borrower, PAA or any of their respective Affiliates. To the fullest extent permitted by law, each of the Borrowers and PAA hereby waives and releases any claims that it may have against the Administrative Agent, the Syndication Agent and the Arrangers with respect to any breach or alleged breach of agency or fiduciary duty in connection with any aspect of any transaction contemplated hereby.</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11.17 No Recourse to Other Persons</w:t>
      </w:r>
      <w:r>
        <w:rPr>
          <w:rFonts w:ascii="Arial" w:cs="Arial" w:eastAsia="Arial" w:hAnsi="Arial"/>
          <w:sz w:val="18"/>
          <w:szCs w:val="18"/>
          <w:color w:val="auto"/>
        </w:rPr>
        <w:t>. No past, present or future director, officer, partner, employee, incorporator, manager,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 or member of any Borrower, General Partner, PAA, PAA GP LLC, a Delaware limited liability company, Plains AAP, L.P., a Delaware limited partnership, or Plains All American GP LLC, a Delaware limited liability company, as such, and no past, present or future director, officer, partner, employee, incorporator, manager, stockholder, unitholder or member of any Subsidiary of the Company, as such, shall have any liability for any Obligations or for any claim based on, in respect of, or by reason of, the Obligations or their creation. Each party hereto, for itself and each of its Related Parties, waives and releases all such liability. The waiver and release are part of the consideration for the incurrence of Indebtedness by each Borrower hereunder and, as applicable, the making of the Notes.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11.18 Electronic Execution; Electronic Records. </w:t>
      </w:r>
      <w:r>
        <w:rPr>
          <w:rFonts w:ascii="Arial" w:cs="Arial" w:eastAsia="Arial" w:hAnsi="Arial"/>
          <w:sz w:val="16"/>
          <w:szCs w:val="16"/>
          <w:color w:val="auto"/>
        </w:rPr>
        <w:t>This Agreement, any Loan Document and any other Communication,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required to be in writing, may be in the form of an Electronic Record and may be executed using Electronic Signatures. Each of the Loan Parties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such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regardless of the appearance or form of such Electronic Signature, and (b) upon the request of the Administrative Agent or any Lender Party, any Communication executed using an Electronic Signature shall be promptly followed by a manually executed counterpart.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None of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648"/>
        <w:spacing w:after="0" w:line="308" w:lineRule="auto"/>
        <w:rPr>
          <w:sz w:val="20"/>
          <w:szCs w:val="20"/>
          <w:color w:val="auto"/>
        </w:rPr>
      </w:pPr>
      <w:r>
        <w:rPr>
          <w:rFonts w:ascii="Arial" w:cs="Arial" w:eastAsia="Arial" w:hAnsi="Arial"/>
          <w:sz w:val="17"/>
          <w:szCs w:val="17"/>
          <w:color w:val="auto"/>
        </w:rPr>
        <w:t>Each of the parties represents and warrants to the other parties that it has the corporate capacity and authority to execute this Agreement and any other Communication through electronic means and there are no restrictions on doing so in that party’s constitutive documents.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11.19 USA PATRIOT Act. </w:t>
      </w:r>
      <w:r>
        <w:rPr>
          <w:rFonts w:ascii="Arial" w:cs="Arial" w:eastAsia="Arial" w:hAnsi="Arial"/>
          <w:sz w:val="18"/>
          <w:szCs w:val="18"/>
          <w:color w:val="auto"/>
        </w:rPr>
        <w:t>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Administrative Agent, as applicable, to identify the Borrowers in accordance with the Act. Each Borrower shall, promptly following a request by the Administrative Agent or any Lender, provide all information that the Administrative Agent or such Lender requests to comply with its ongoing obligations under applicable “know your customer” and anti-money laundering rules and regulations, including the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11.20  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11.21 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9" w:name="page330"/>
    <w:bookmarkEnd w:id="329"/>
    <w:p>
      <w:pPr>
        <w:jc w:val="both"/>
        <w:ind w:firstLine="648"/>
        <w:spacing w:after="0" w:line="266" w:lineRule="auto"/>
        <w:rPr>
          <w:sz w:val="20"/>
          <w:szCs w:val="20"/>
          <w:color w:val="auto"/>
        </w:rPr>
      </w:pPr>
      <w:r>
        <w:rPr>
          <w:rFonts w:ascii="Arial" w:cs="Arial" w:eastAsia="Arial" w:hAnsi="Arial"/>
          <w:sz w:val="18"/>
          <w:szCs w:val="18"/>
          <w:b w:val="1"/>
          <w:bCs w:val="1"/>
          <w:color w:val="auto"/>
        </w:rPr>
        <w:t>11.22 ENTIRE AGREEMENT</w:t>
      </w:r>
      <w:r>
        <w:rPr>
          <w:rFonts w:ascii="Arial" w:cs="Arial" w:eastAsia="Arial" w:hAnsi="Arial"/>
          <w:sz w:val="18"/>
          <w:szCs w:val="18"/>
          <w:color w:val="auto"/>
        </w:rPr>
        <w:t>. THIS AGREEMENT AND THE OTHER LOAN DOCUMENTS REPRESENT THE FINAL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11.23 Restated Agreement</w:t>
      </w:r>
      <w:r>
        <w:rPr>
          <w:rFonts w:ascii="Arial" w:cs="Arial" w:eastAsia="Arial" w:hAnsi="Arial"/>
          <w:sz w:val="16"/>
          <w:szCs w:val="16"/>
          <w:color w:val="auto"/>
        </w:rPr>
        <w:t>. In connection with the amendment and restatement of the Existing Credit Agreement pursuant hereto,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applicable Lenders made, as of the Closing Date, adjustments to the outstanding principal amount of “Loans” under the Existing Credit Agreement (as such term is defined therein) (but not any interest accrued thereon prior to the Closing Date), including the borrowing of additional Loans hereunder and the repayment of loans thereunder plus all applicable accrued interest, fees and expenses as was necessary to provide for Loans hereunder by each such Lender in the amount of its Applicable Percentage of all Loans as of the Closing Date, but no such adjustment of any “Eurocurrency Rate Loans” (as such term is defined therein) (i) constituted a payment or prepayment of all or a portion of any such Eurocurrency Rate Loans or (ii) entitled any Lender to any reimbursement under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hereof, and each such Lender was deemed to have made an assignment of its outstanding Loans under the Existing Credit Agreement, and assumed outstanding Loans of other Lenders under the Existing Credit Agreement as were necessary to effect the foregoing. The Company states and acknowledges that this Agreement is entered into by it in amendment and restatement of the Existing Credit Agreement. The Company further states, acknowledges and agrees that the preceding sentence does not and shall not alter or otherwise modify in any regard, directly or indirectly, expressly or impliedly or otherwise, the terms, provisions and conditions expressly set forth in, and contemplated by, this Agreement, or the transactions contemplated hereby, which in each case shall be governed solely by the terms, provisions and conditions of this Agreement and the other Loan Documents without regard to this Section 11.23.</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11.24 Acknowledgement and Consent to Bail-In of Affected Financial Institutions</w:t>
      </w:r>
      <w:r>
        <w:rPr>
          <w:rFonts w:ascii="Arial" w:cs="Arial" w:eastAsia="Arial" w:hAnsi="Arial"/>
          <w:sz w:val="17"/>
          <w:szCs w:val="17"/>
          <w:color w:val="auto"/>
        </w:rPr>
        <w:t>. Solely to the extent any Lender or L/C Issuer that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656"/>
        <w:spacing w:after="0" w:line="277" w:lineRule="auto"/>
        <w:tabs>
          <w:tab w:leader="none" w:pos="111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jc w:val="both"/>
        <w:ind w:left="660" w:firstLine="644"/>
        <w:spacing w:after="0" w:line="259" w:lineRule="auto"/>
        <w:tabs>
          <w:tab w:leader="none" w:pos="17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firstLine="644"/>
        <w:spacing w:after="0" w:line="277" w:lineRule="auto"/>
        <w:tabs>
          <w:tab w:leader="none" w:pos="182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11.25  Acknowledgement Regarding Any Supported QFCs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3" w:lineRule="auto"/>
        <w:tabs>
          <w:tab w:leader="none" w:pos="111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To the extent that the Loan Documents provide support, through a guarantee or otherwise, for any Swap Contract or any other agreement or instrument that is a QFC (such support, “</w:t>
      </w:r>
      <w:r>
        <w:rPr>
          <w:rFonts w:ascii="Arial" w:cs="Arial" w:eastAsia="Arial" w:hAnsi="Arial"/>
          <w:sz w:val="16"/>
          <w:szCs w:val="16"/>
          <w:u w:val="single" w:color="auto"/>
          <w:color w:val="auto"/>
        </w:rPr>
        <w:t>QFC Credit Suppor</w:t>
      </w:r>
      <w:r>
        <w:rPr>
          <w:rFonts w:ascii="Arial" w:cs="Arial" w:eastAsia="Arial" w:hAnsi="Arial"/>
          <w:sz w:val="16"/>
          <w:szCs w:val="16"/>
          <w:color w:val="auto"/>
        </w:rPr>
        <w:t>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4" w:lineRule="exact"/>
        <w:rPr>
          <w:rFonts w:ascii="Arial" w:cs="Arial" w:eastAsia="Arial" w:hAnsi="Arial"/>
          <w:sz w:val="16"/>
          <w:szCs w:val="16"/>
          <w:color w:val="auto"/>
        </w:rPr>
      </w:pPr>
    </w:p>
    <w:p>
      <w:pPr>
        <w:jc w:val="both"/>
        <w:ind w:firstLine="656"/>
        <w:spacing w:after="0" w:line="269" w:lineRule="auto"/>
        <w:tabs>
          <w:tab w:leader="none" w:pos="112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1" w:lineRule="exact"/>
        <w:rPr>
          <w:rFonts w:ascii="Arial" w:cs="Arial" w:eastAsia="Arial" w:hAnsi="Arial"/>
          <w:sz w:val="17"/>
          <w:szCs w:val="17"/>
          <w:color w:val="auto"/>
        </w:rPr>
      </w:pPr>
    </w:p>
    <w:p>
      <w:pPr>
        <w:ind w:left="1120" w:hanging="464"/>
        <w:spacing w:after="0"/>
        <w:tabs>
          <w:tab w:leader="none" w:pos="11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As used in this Section 11.25,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2" w:name="page333"/>
    <w:bookmarkEnd w:id="332"/>
    <w:p>
      <w:pPr>
        <w:ind w:left="66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By: PLAINS GP LLC,</w:t>
      </w:r>
    </w:p>
    <w:p>
      <w:pPr>
        <w:spacing w:after="0" w:line="2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MIDSTREAM CANADA ULC,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33" w:name="page334"/>
    <w:bookmarkEnd w:id="333"/>
    <w:p>
      <w:pPr>
        <w:ind w:left="5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Anthea Del Bianco</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Anthea Del Bianco</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ind w:left="56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 Lender, an L/C Issuer and Swing Line Lender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Robert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5" w:name="page336"/>
    <w:bookmarkEnd w:id="335"/>
    <w:p>
      <w:pPr>
        <w:ind w:left="56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Maureen P. Maroney</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ind w:left="562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 and an L/C Issuer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7" w:name="page338"/>
    <w:bookmarkEnd w:id="337"/>
    <w:p>
      <w:pPr>
        <w:ind w:left="56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 Lender and</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L/C Issuer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38" w:name="page339"/>
    <w:bookmarkEnd w:id="338"/>
    <w:p>
      <w:pPr>
        <w:ind w:left="5620"/>
        <w:spacing w:after="0"/>
        <w:rPr>
          <w:sz w:val="20"/>
          <w:szCs w:val="20"/>
          <w:color w:val="auto"/>
        </w:rPr>
      </w:pPr>
      <w:r>
        <w:rPr>
          <w:rFonts w:ascii="Arial" w:cs="Arial" w:eastAsia="Arial" w:hAnsi="Arial"/>
          <w:sz w:val="17"/>
          <w:szCs w:val="17"/>
          <w:b w:val="1"/>
          <w:bCs w:val="1"/>
          <w:color w:val="auto"/>
        </w:rPr>
        <w:t>BANCO BILBAO VIZCAYA ARGENTARIA, S.A. NEW YORK</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BRANCH, </w:t>
      </w: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39" w:name="page340"/>
    <w:bookmarkEnd w:id="339"/>
    <w:p>
      <w:pPr>
        <w:ind w:left="56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Matthew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Donovan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Donovan Crandall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0"/>
          </w:cols>
          <w:pgMar w:left="320" w:top="904" w:right="1119" w:bottom="1440" w:gutter="0" w:footer="0" w:header="0"/>
        </w:sectPr>
      </w:pPr>
    </w:p>
    <w:bookmarkStart w:id="341" w:name="page342"/>
    <w:bookmarkEnd w:id="341"/>
    <w:p>
      <w:pPr>
        <w:ind w:left="562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Sydney G. Dennis</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Trudy Nelson</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W. Danvers</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ind w:left="56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Jared A Greene</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4" w:name="page345"/>
    <w:bookmarkEnd w:id="344"/>
    <w:p>
      <w:pPr>
        <w:ind w:left="5620"/>
        <w:spacing w:after="0"/>
        <w:rPr>
          <w:sz w:val="20"/>
          <w:szCs w:val="20"/>
          <w:color w:val="auto"/>
        </w:rPr>
      </w:pPr>
      <w:r>
        <w:rPr>
          <w:rFonts w:ascii="Arial" w:cs="Arial" w:eastAsia="Arial" w:hAnsi="Arial"/>
          <w:sz w:val="17"/>
          <w:szCs w:val="17"/>
          <w:b w:val="1"/>
          <w:bCs w:val="1"/>
          <w:color w:val="auto"/>
        </w:rPr>
        <w:t>ING CAPITAL LLC</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5" w:name="page346"/>
    <w:bookmarkEnd w:id="345"/>
    <w:p>
      <w:pPr>
        <w:ind w:left="5620"/>
        <w:spacing w:after="0"/>
        <w:rPr>
          <w:sz w:val="20"/>
          <w:szCs w:val="20"/>
          <w:color w:val="auto"/>
        </w:rPr>
      </w:pPr>
      <w:r>
        <w:rPr>
          <w:rFonts w:ascii="Arial" w:cs="Arial" w:eastAsia="Arial" w:hAnsi="Arial"/>
          <w:sz w:val="17"/>
          <w:szCs w:val="17"/>
          <w:b w:val="1"/>
          <w:bCs w:val="1"/>
          <w:color w:val="auto"/>
        </w:rPr>
        <w:t xml:space="preserve">MIZUHO BANK, LTD., </w:t>
      </w:r>
      <w:r>
        <w:rPr>
          <w:rFonts w:ascii="Arial" w:cs="Arial" w:eastAsia="Arial" w:hAnsi="Arial"/>
          <w:sz w:val="17"/>
          <w:szCs w:val="17"/>
          <w:color w:val="auto"/>
        </w:rPr>
        <w:t>as a Lender</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6" w:name="page347"/>
    <w:bookmarkEnd w:id="346"/>
    <w:p>
      <w:pPr>
        <w:ind w:left="5620"/>
        <w:spacing w:after="0"/>
        <w:rPr>
          <w:sz w:val="20"/>
          <w:szCs w:val="20"/>
          <w:color w:val="auto"/>
        </w:rPr>
      </w:pPr>
      <w:r>
        <w:rPr>
          <w:rFonts w:ascii="Arial" w:cs="Arial" w:eastAsia="Arial" w:hAnsi="Arial"/>
          <w:sz w:val="18"/>
          <w:szCs w:val="18"/>
          <w:b w:val="1"/>
          <w:bCs w:val="1"/>
          <w:color w:val="auto"/>
        </w:rPr>
        <w:t xml:space="preserve">MUFG BANK, LTD.,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Warfel</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W. Warfel</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ind w:left="5640"/>
        <w:spacing w:after="0"/>
        <w:rPr>
          <w:sz w:val="20"/>
          <w:szCs w:val="20"/>
          <w:color w:val="auto"/>
        </w:rPr>
      </w:pPr>
      <w:r>
        <w:rPr>
          <w:rFonts w:ascii="Arial" w:cs="Arial" w:eastAsia="Arial" w:hAnsi="Arial"/>
          <w:sz w:val="18"/>
          <w:szCs w:val="18"/>
          <w:b w:val="1"/>
          <w:bCs w:val="1"/>
          <w:color w:val="auto"/>
        </w:rPr>
        <w:t xml:space="preserve">PNC BANK, NATIONAL ASSOCIATION,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Kyle T. Helfrich</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8" w:name="page349"/>
    <w:bookmarkEnd w:id="348"/>
    <w:p>
      <w:pPr>
        <w:ind w:left="5620"/>
        <w:spacing w:after="0"/>
        <w:rPr>
          <w:sz w:val="20"/>
          <w:szCs w:val="20"/>
          <w:color w:val="auto"/>
        </w:rPr>
      </w:pPr>
      <w:r>
        <w:rPr>
          <w:rFonts w:ascii="Arial" w:cs="Arial" w:eastAsia="Arial" w:hAnsi="Arial"/>
          <w:sz w:val="17"/>
          <w:szCs w:val="17"/>
          <w:b w:val="1"/>
          <w:bCs w:val="1"/>
          <w:color w:val="auto"/>
        </w:rPr>
        <w:t>REGIONS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9" w:name="page350"/>
    <w:bookmarkEnd w:id="349"/>
    <w:p>
      <w:pPr>
        <w:ind w:left="5620"/>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0" w:name="page351"/>
    <w:bookmarkEnd w:id="350"/>
    <w:p>
      <w:pPr>
        <w:ind w:left="5620"/>
        <w:spacing w:after="0"/>
        <w:rPr>
          <w:sz w:val="20"/>
          <w:szCs w:val="20"/>
          <w:color w:val="auto"/>
        </w:rPr>
      </w:pPr>
      <w:r>
        <w:rPr>
          <w:rFonts w:ascii="Arial" w:cs="Arial" w:eastAsia="Arial" w:hAnsi="Arial"/>
          <w:sz w:val="17"/>
          <w:szCs w:val="17"/>
          <w:b w:val="1"/>
          <w:bCs w:val="1"/>
          <w:color w:val="auto"/>
        </w:rPr>
        <w:t>SUMITOMO MITSUI BANKING CORPORATION</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51" w:name="page352"/>
    <w:bookmarkEnd w:id="351"/>
    <w:p>
      <w:pPr>
        <w:ind w:left="5620"/>
        <w:spacing w:after="0"/>
        <w:rPr>
          <w:sz w:val="20"/>
          <w:szCs w:val="20"/>
          <w:color w:val="auto"/>
        </w:rPr>
      </w:pPr>
      <w:r>
        <w:rPr>
          <w:rFonts w:ascii="Arial" w:cs="Arial" w:eastAsia="Arial" w:hAnsi="Arial"/>
          <w:sz w:val="18"/>
          <w:szCs w:val="18"/>
          <w:b w:val="1"/>
          <w:bCs w:val="1"/>
          <w:color w:val="auto"/>
        </w:rPr>
        <w:t>THE TORONTO-DOMINION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YORK BRANCH</w:t>
      </w:r>
      <w:r>
        <w:rPr>
          <w:rFonts w:ascii="Arial" w:cs="Arial" w:eastAsia="Arial" w:hAnsi="Arial"/>
          <w:sz w:val="18"/>
          <w:szCs w:val="18"/>
          <w:color w:val="auto"/>
        </w:rPr>
        <w:t>, as a Lender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Borowiecki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2" w:name="page353"/>
    <w:bookmarkEnd w:id="352"/>
    <w:p>
      <w:pPr>
        <w:ind w:left="5620"/>
        <w:spacing w:after="0"/>
        <w:rPr>
          <w:sz w:val="20"/>
          <w:szCs w:val="20"/>
          <w:color w:val="auto"/>
        </w:rPr>
      </w:pPr>
      <w:r>
        <w:rPr>
          <w:rFonts w:ascii="Arial" w:cs="Arial" w:eastAsia="Arial" w:hAnsi="Arial"/>
          <w:sz w:val="17"/>
          <w:szCs w:val="17"/>
          <w:b w:val="1"/>
          <w:bCs w:val="1"/>
          <w:color w:val="auto"/>
        </w:rPr>
        <w:t>TRUIST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3" w:name="page354"/>
    <w:bookmarkEnd w:id="353"/>
    <w:p>
      <w:pPr>
        <w:ind w:left="5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4" w:name="page355"/>
    <w:bookmarkEnd w:id="354"/>
    <w:p>
      <w:pPr>
        <w:ind w:left="5620"/>
        <w:spacing w:after="0"/>
        <w:rPr>
          <w:sz w:val="20"/>
          <w:szCs w:val="20"/>
          <w:color w:val="auto"/>
        </w:rPr>
      </w:pPr>
      <w:r>
        <w:rPr>
          <w:rFonts w:ascii="Arial" w:cs="Arial" w:eastAsia="Arial" w:hAnsi="Arial"/>
          <w:sz w:val="17"/>
          <w:szCs w:val="17"/>
          <w:b w:val="1"/>
          <w:bCs w:val="1"/>
          <w:color w:val="auto"/>
        </w:rPr>
        <w:t>ZB N.A. DBA AMEGY BANK</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5" w:name="page356"/>
    <w:bookmarkEnd w:id="355"/>
    <w:p>
      <w:pPr>
        <w:ind w:left="5620"/>
        <w:spacing w:after="0"/>
        <w:rPr>
          <w:sz w:val="20"/>
          <w:szCs w:val="20"/>
          <w:color w:val="auto"/>
        </w:rPr>
      </w:pPr>
      <w:r>
        <w:rPr>
          <w:rFonts w:ascii="Arial" w:cs="Arial" w:eastAsia="Arial" w:hAnsi="Arial"/>
          <w:sz w:val="17"/>
          <w:szCs w:val="17"/>
          <w:b w:val="1"/>
          <w:bCs w:val="1"/>
          <w:color w:val="auto"/>
        </w:rPr>
        <w:t>MORGAN STANLEY BANK, N.A.</w:t>
      </w:r>
      <w:r>
        <w:rPr>
          <w:rFonts w:ascii="Arial" w:cs="Arial" w:eastAsia="Arial" w:hAnsi="Arial"/>
          <w:sz w:val="17"/>
          <w:szCs w:val="17"/>
          <w:color w:val="auto"/>
        </w:rPr>
        <w:t>, as a Lender</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2.01</w:t>
            </w:r>
          </w:p>
        </w:tc>
      </w:tr>
      <w:tr>
        <w:trPr>
          <w:trHeight w:val="414"/>
        </w:trPr>
        <w:tc>
          <w:tcPr>
            <w:tcW w:w="7300" w:type="dxa"/>
            <w:vAlign w:val="bottom"/>
            <w:gridSpan w:val="2"/>
          </w:tcPr>
          <w:p>
            <w:pPr>
              <w:ind w:left="4900"/>
              <w:spacing w:after="0"/>
              <w:rPr>
                <w:sz w:val="20"/>
                <w:szCs w:val="20"/>
                <w:color w:val="auto"/>
              </w:rPr>
            </w:pPr>
            <w:r>
              <w:rPr>
                <w:rFonts w:ascii="Arial" w:cs="Arial" w:eastAsia="Arial" w:hAnsi="Arial"/>
                <w:sz w:val="18"/>
                <w:szCs w:val="18"/>
                <w:b w:val="1"/>
                <w:bCs w:val="1"/>
                <w:color w:val="auto"/>
              </w:rPr>
              <w:t>COMMITMENTS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300" w:type="dxa"/>
            <w:vAlign w:val="bottom"/>
            <w:gridSpan w:val="2"/>
          </w:tcPr>
          <w:p>
            <w:pPr>
              <w:ind w:left="4140"/>
              <w:spacing w:after="0"/>
              <w:rPr>
                <w:sz w:val="20"/>
                <w:szCs w:val="20"/>
                <w:color w:val="auto"/>
              </w:rPr>
            </w:pPr>
            <w:r>
              <w:rPr>
                <w:rFonts w:ascii="Arial" w:cs="Arial" w:eastAsia="Arial" w:hAnsi="Arial"/>
                <w:sz w:val="18"/>
                <w:szCs w:val="18"/>
                <w:b w:val="1"/>
                <w:bCs w:val="1"/>
                <w:color w:val="auto"/>
              </w:rPr>
              <w:t>AND APPLICABLE PERCENTAGES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24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Commitment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Applicable Percentage</w:t>
            </w: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4.7407407407%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Bank of Montreal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Nova Scotia, Houston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CoBank, ACB</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Mizuho Bank, Ltd.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Bank,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The Toronto-Dominion Bank, New York Branch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64,000,000.00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4.7407407407%</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ZB N.A. DBA Amegy Bank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Morgan Stanley Bank, N.A.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35,000,000.00</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2.5925925926%</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1,350,000,000.00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*Rounded to ten decimal places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7" w:name="page358"/>
    <w:bookmarkEnd w:id="357"/>
    <w:tbl>
      <w:tblPr>
        <w:tblLayout w:type="fixed"/>
        <w:tblInd w:w="660" w:type="dxa"/>
        <w:tblCellMar>
          <w:top w:w="0" w:type="dxa"/>
          <w:left w:w="0" w:type="dxa"/>
          <w:bottom w:w="0" w:type="dxa"/>
          <w:right w:w="0" w:type="dxa"/>
        </w:tblCellMar>
      </w:tblPr>
      <w:tr>
        <w:trPr>
          <w:trHeight w:val="234"/>
        </w:trPr>
        <w:tc>
          <w:tcPr>
            <w:tcW w:w="7820" w:type="dxa"/>
            <w:vAlign w:val="bottom"/>
          </w:tcPr>
          <w:p>
            <w:pPr>
              <w:ind w:left="3340"/>
              <w:spacing w:after="0"/>
              <w:rPr>
                <w:sz w:val="20"/>
                <w:szCs w:val="20"/>
                <w:color w:val="auto"/>
              </w:rPr>
            </w:pPr>
            <w:r>
              <w:rPr>
                <w:rFonts w:ascii="Arial" w:cs="Arial" w:eastAsia="Arial" w:hAnsi="Arial"/>
                <w:sz w:val="18"/>
                <w:szCs w:val="18"/>
                <w:b w:val="1"/>
                <w:bCs w:val="1"/>
                <w:color w:val="auto"/>
              </w:rPr>
              <w:t>LETTER OF CREDIT COMMITMENTS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820" w:type="dxa"/>
            <w:vAlign w:val="bottom"/>
          </w:tcPr>
          <w:p>
            <w:pPr>
              <w:ind w:left="3620"/>
              <w:spacing w:after="0"/>
              <w:rPr>
                <w:sz w:val="20"/>
                <w:szCs w:val="20"/>
                <w:color w:val="auto"/>
              </w:rPr>
            </w:pPr>
            <w:r>
              <w:rPr>
                <w:rFonts w:ascii="Arial" w:cs="Arial" w:eastAsia="Arial" w:hAnsi="Arial"/>
                <w:sz w:val="18"/>
                <w:szCs w:val="18"/>
                <w:b w:val="1"/>
                <w:bCs w:val="1"/>
                <w:color w:val="auto"/>
              </w:rPr>
              <w:t>Lender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Commitment</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Citibank, N.A.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50,000,000.00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400,000,000.00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i w:val="1"/>
          <w:iCs w:val="1"/>
          <w:color w:val="auto"/>
        </w:rPr>
        <w:t>SCHEDULE 2.01A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BANKERS’ ACCEPTANCES</w:t>
      </w:r>
    </w:p>
    <w:p>
      <w:pPr>
        <w:spacing w:after="0" w:line="229" w:lineRule="exact"/>
        <w:rPr>
          <w:sz w:val="20"/>
          <w:szCs w:val="20"/>
          <w:color w:val="auto"/>
        </w:rPr>
      </w:pPr>
    </w:p>
    <w:p>
      <w:pPr>
        <w:jc w:val="both"/>
        <w:ind w:firstLine="656"/>
        <w:spacing w:after="0" w:line="263" w:lineRule="auto"/>
        <w:tabs>
          <w:tab w:leader="none" w:pos="1053"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Execution of Canadian BA’s</w:t>
      </w:r>
      <w:r>
        <w:rPr>
          <w:rFonts w:ascii="Arial" w:cs="Arial" w:eastAsia="Arial" w:hAnsi="Arial"/>
          <w:sz w:val="18"/>
          <w:szCs w:val="18"/>
          <w:color w:val="auto"/>
        </w:rPr>
        <w:t>. (a) To facilitate the acceptance of Canadian BA’s hereunder, PMCULC hereby appoints each Lender as its attorney to sign and endorse on its behalf, as and when considered necessary by such Lender, an appropriate number of Canadian BA’s in the form prescribed by such Lender.</w:t>
      </w:r>
    </w:p>
    <w:p>
      <w:pPr>
        <w:spacing w:after="0" w:line="184" w:lineRule="exact"/>
        <w:rPr>
          <w:sz w:val="20"/>
          <w:szCs w:val="20"/>
          <w:color w:val="auto"/>
        </w:rPr>
      </w:pPr>
    </w:p>
    <w:p>
      <w:pPr>
        <w:jc w:val="both"/>
        <w:ind w:firstLine="656"/>
        <w:spacing w:after="0" w:line="259" w:lineRule="auto"/>
        <w:tabs>
          <w:tab w:leader="none" w:pos="10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Lender may, at its option, execute any Canadian BA in handwriting or by the facsimile or mechanical signature of any of its authorized officers, and each Lender is hereby authorized to accept or pay, as the case may be, any Canadian BA of PMCULC that purports to bear such a signature, notwithstanding that any such individual has ceased to be an authorized officer of such Lender. Any such Canadian BA shall be as valid as if such individual were an authorized officer at the date of issue of the Canadian BA.</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Canadian BA signed by a Lender as attorney for PMCULC, whether signed in handwriting or by the facsimile or mechanical signature of an authorized officer of a Lender, may be dealt with by such Lender for all intents and purposes, and shall bind PMCULC, as if duly signed and issued by PMCULC.</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receipt by a Lender of a request for a Borrowing by way of Canadian BA’s shall be such Lender’s sufficient authority to execute, and each Lender shall, subject to the terms and conditions of this Agreement, execute Canadian BA’s in accordance with such request and the advice of the Administrative Agent given pursuant to Section 4 of this Schedule, and the Canadian BA’s so executed shall thereupon be deemed to have been presented for acceptance.</w:t>
      </w:r>
    </w:p>
    <w:p>
      <w:pPr>
        <w:spacing w:after="0" w:line="187" w:lineRule="exact"/>
        <w:rPr>
          <w:sz w:val="20"/>
          <w:szCs w:val="20"/>
          <w:color w:val="auto"/>
        </w:rPr>
      </w:pPr>
    </w:p>
    <w:p>
      <w:pPr>
        <w:ind w:firstLine="656"/>
        <w:spacing w:after="0" w:line="308" w:lineRule="auto"/>
        <w:tabs>
          <w:tab w:leader="none" w:pos="1053"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Sale of Canadian BA’s</w:t>
      </w:r>
      <w:r>
        <w:rPr>
          <w:rFonts w:ascii="Arial" w:cs="Arial" w:eastAsia="Arial" w:hAnsi="Arial"/>
          <w:sz w:val="17"/>
          <w:szCs w:val="17"/>
          <w:color w:val="auto"/>
        </w:rPr>
        <w:t>. (a) It shall be the responsibility of each Lender to arrange, in accordance with normal market practice, for the sale on each funding date of a Canadian BA to be accepted by such Lender, failing which such Lender shall purchase such Canadian BA.</w:t>
      </w:r>
    </w:p>
    <w:p>
      <w:pPr>
        <w:spacing w:after="0" w:line="146" w:lineRule="exact"/>
        <w:rPr>
          <w:sz w:val="20"/>
          <w:szCs w:val="20"/>
          <w:color w:val="auto"/>
        </w:rPr>
      </w:pPr>
    </w:p>
    <w:p>
      <w:pPr>
        <w:ind w:right="20" w:firstLine="656"/>
        <w:spacing w:after="0" w:line="277" w:lineRule="auto"/>
        <w:tabs>
          <w:tab w:leader="none" w:pos="108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accordance with the procedures set forth in Section 4 of this Schedule, each Lender will make the net proceeds of the applicable Borrowing by way of Canadian BA’s available to PMCULC on the funding date.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parties agree that in the administering of Canadian BA’s, each Lender may avail itself of the debt clearing services offered by a clearing house for depository notes pursuant to the Depository Bills and Notes Act (Canada) and that the procedures set forth in Article II of the Credit Agreement be deemed amended to the extent necessary to comply with the requirements of such debt clearing services.</w:t>
      </w:r>
    </w:p>
    <w:p>
      <w:pPr>
        <w:spacing w:after="0" w:line="184" w:lineRule="exact"/>
        <w:rPr>
          <w:sz w:val="20"/>
          <w:szCs w:val="20"/>
          <w:color w:val="auto"/>
        </w:rPr>
      </w:pPr>
    </w:p>
    <w:p>
      <w:pPr>
        <w:jc w:val="both"/>
        <w:ind w:firstLine="656"/>
        <w:spacing w:after="0" w:line="257" w:lineRule="auto"/>
        <w:tabs>
          <w:tab w:leader="none" w:pos="1053"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Size and Maturity of Canadian BA’s and Rollovers</w:t>
      </w:r>
      <w:r>
        <w:rPr>
          <w:rFonts w:ascii="Arial" w:cs="Arial" w:eastAsia="Arial" w:hAnsi="Arial"/>
          <w:sz w:val="18"/>
          <w:szCs w:val="18"/>
          <w:color w:val="auto"/>
        </w:rPr>
        <w:t>. Each Borrowing by means of Canadian BA’s shall be in a minimum amount of CDN$1,000,000, and no more than seven Borrowings of Canadian BA’s shall be outstanding at any time. Each Canadian BA shall have a term of 30, 60 or 90 days (or such other period as may be agreed to by PMCULC and the Lenders) after the date of acceptance of the Canadian BA by a Lender, but no Canadian BA may mature on a date which is not a Business Day or after the Maturity Date. The face amount at maturity of a Canadian BA may be rolled over as a Canadian BA (by repayment and reissue) or repaid.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9" w:name="page360"/>
    <w:bookmarkEnd w:id="359"/>
    <w:p>
      <w:pPr>
        <w:ind w:firstLine="656"/>
        <w:spacing w:after="0" w:line="277" w:lineRule="auto"/>
        <w:tabs>
          <w:tab w:leader="none" w:pos="1053"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Coordination of Canadian BA Advances</w:t>
      </w:r>
      <w:r>
        <w:rPr>
          <w:rFonts w:ascii="Arial" w:cs="Arial" w:eastAsia="Arial" w:hAnsi="Arial"/>
          <w:sz w:val="18"/>
          <w:szCs w:val="18"/>
          <w:color w:val="auto"/>
        </w:rPr>
        <w:t xml:space="preserve">. Each Lender shall advance its Applicable Percentage of each Borrowing by way of Canadian BA’s in accordance with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the provisions set forth below.</w:t>
      </w:r>
    </w:p>
    <w:p>
      <w:pPr>
        <w:spacing w:after="0" w:line="170" w:lineRule="exact"/>
        <w:rPr>
          <w:sz w:val="20"/>
          <w:szCs w:val="20"/>
          <w:color w:val="auto"/>
        </w:rPr>
      </w:pPr>
    </w:p>
    <w:p>
      <w:pPr>
        <w:jc w:val="both"/>
        <w:ind w:firstLine="656"/>
        <w:spacing w:after="0" w:line="287" w:lineRule="auto"/>
        <w:tabs>
          <w:tab w:leader="none" w:pos="107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The Administrative Agent, promptly following receipt of a notice from PMCULC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requesting a Borrowing by way of Canadian BA’s, shall advise each Lender of the aggregate face amount and term(s) of the Canadian BA’s to be accepted by it, which term(s) shall, subject to the provisions hereof, be identical for all Lenders. The aggregate face amount of Canadian BA’s to be accepted by a Lender shall be determined by the Administrative Agent by reference to the respective Commitments of the Lenders. In the event it is not practicable to allocate Canadian BA’s to each Lender such that the aggregate amount of Canadian BA’s required to be purchased by such Lender hereunder is in a whole multiple of C$100,000, Administrative Agent is authorized by PMCULC and each Lender to make such allocation as Administrative Agent determines in its sole and unfettered discretion may be equitable in the circumstances and, if the aggregate amount of such Canadian BA’s is not a whole multiple of C$100,000, then the Administrative Agent may allocate (on a basis considered by it to be equitable) the excess of such amount over the next lowest whole multiple of C$100,000 to one Lender, which shall purchase a Canadian BA with a face amount equal to the excess and having the same term as the corresponding Canadian BA’s. In no event shall the portion of the outstanding Borrowings by way of Canadian BA’s of a Lender exceed such Lender’s Percentage Share of the aggregate Borrowings by way of Canadian BA’s by more than C$100,000 as a result of such exercise of discretion by Administrative Agent.</w:t>
      </w:r>
    </w:p>
    <w:p>
      <w:pPr>
        <w:spacing w:after="0" w:line="171" w:lineRule="exact"/>
        <w:rPr>
          <w:rFonts w:ascii="Arial" w:cs="Arial" w:eastAsia="Arial" w:hAnsi="Arial"/>
          <w:sz w:val="16"/>
          <w:szCs w:val="16"/>
          <w:color w:val="auto"/>
        </w:rPr>
      </w:pPr>
    </w:p>
    <w:p>
      <w:pPr>
        <w:jc w:val="both"/>
        <w:ind w:firstLine="656"/>
        <w:spacing w:after="0" w:line="288" w:lineRule="auto"/>
        <w:tabs>
          <w:tab w:leader="none" w:pos="1083"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Each Lender shall transfer to the Administrative Agent by not later than 2:00 p.m. (Toronto time) on each funding date for Canadian BA’s, immediately available Canadian Dollars in an aggregate amount equal to the Canadian BA Discount Proceeds of all Canadian BA’s accepted and sold or purchased by such Lender on such funding date net of the applicable Canadian BA Fee and net of the amount required to pay any of its previously accepted Canadian BA’s that are maturing on the funding date or any of its other Borrowing that are being converted to Canadian BA’s on the funding date. In the case of a conversion from a Borrowing of Canadian Prime Rate Loans to PMCULC into a Borrowing by way of Bankers’ Acceptances to be accepted by a Lender pursuant hereto, such Lender, in order to satisfy the continuing liability of PMCULC to it for the principal amount of the Canadian Prime Rate Loans being converted, shall retain for its own account the Canadian BA Discount Proceeds of each new Canadian BA issued by it in connection with such conversion; and PMCULC shall, on the date of issuance of the Canadian BA’s, pay to the Administrative Agent for the benefit of Lenders an amount equal to the difference between the aggregate principal amount of the Canadian Prime Rate Loans being converted owing to the Lenders and the aggregate Canadian BA Discount Proceeds of such Canadian BA’s net of the applicable Canadian BA Fee.</w:t>
      </w:r>
    </w:p>
    <w:p>
      <w:pPr>
        <w:spacing w:after="0" w:line="168" w:lineRule="exact"/>
        <w:rPr>
          <w:rFonts w:ascii="Arial" w:cs="Arial" w:eastAsia="Arial" w:hAnsi="Arial"/>
          <w:sz w:val="16"/>
          <w:szCs w:val="16"/>
          <w:color w:val="auto"/>
        </w:rPr>
      </w:pPr>
    </w:p>
    <w:p>
      <w:pPr>
        <w:jc w:val="both"/>
        <w:ind w:firstLine="656"/>
        <w:spacing w:after="0" w:line="254" w:lineRule="auto"/>
        <w:tabs>
          <w:tab w:leader="none" w:pos="107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Notwithstanding any other provision hereof, for the purpose of determining the amount to be transferred by a Lender to PMCULC in respect of the sale of any Canadian BA accepted by such Lender and sold or purchased by it, the proceeds of sale thereof shall be deemed to be an amount equal to the Canadian BA Discount Proceeds calculated with respect thereto. Accordingly, in respect of any particular Canadian BA accepted by it, a Lender (in addition to its entitlement to retain the applicable Canadian BA Fee for its own account) (i) shall be entitled to retain for its own account the amount, if any, by which the actual proceeds of sale thereof exceed the Canadian BA Discount Proceeds calculated with respect thereto; and (ii) shall be required to pay out of its own funds the amount, if any, by which the actual proceeds of sale thereof are less than the Canadian BA Discount Proceeds calculated with respect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p>
      <w:pPr>
        <w:jc w:val="both"/>
        <w:ind w:firstLine="656"/>
        <w:spacing w:after="0" w:line="269" w:lineRule="auto"/>
        <w:tabs>
          <w:tab w:leader="none" w:pos="108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Whenever PMCULC requests a Borrowing that includes Canadian BA’s, each Lender that is not permitted by Applicable Law, by its internal policies to accept Canadian BA’s or by customary market practice to accept a Canadian BA (a “</w:t>
      </w:r>
      <w:r>
        <w:rPr>
          <w:rFonts w:ascii="Arial" w:cs="Arial" w:eastAsia="Arial" w:hAnsi="Arial"/>
          <w:sz w:val="17"/>
          <w:szCs w:val="17"/>
          <w:u w:val="single" w:color="auto"/>
          <w:color w:val="auto"/>
        </w:rPr>
        <w:t>Non BA Lender</w:t>
      </w:r>
      <w:r>
        <w:rPr>
          <w:rFonts w:ascii="Arial" w:cs="Arial" w:eastAsia="Arial" w:hAnsi="Arial"/>
          <w:sz w:val="17"/>
          <w:szCs w:val="17"/>
          <w:color w:val="auto"/>
        </w:rPr>
        <w:t xml:space="preserve">”) shall, in lieu of accepting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such Canadian BA’s, make available to PMCULC on the funding date a non-interest bearing loan (a “</w:t>
      </w:r>
      <w:r>
        <w:rPr>
          <w:rFonts w:ascii="Arial" w:cs="Arial" w:eastAsia="Arial" w:hAnsi="Arial"/>
          <w:sz w:val="17"/>
          <w:szCs w:val="17"/>
          <w:u w:val="single" w:color="auto"/>
          <w:color w:val="auto"/>
        </w:rPr>
        <w:t>Canadian BA Equivalent Loan</w:t>
      </w:r>
      <w:r>
        <w:rPr>
          <w:rFonts w:ascii="Arial" w:cs="Arial" w:eastAsia="Arial" w:hAnsi="Arial"/>
          <w:sz w:val="17"/>
          <w:szCs w:val="17"/>
          <w:color w:val="auto"/>
        </w:rPr>
        <w:t xml:space="preserve">”) in Canadian Dollars in an amount equal to the amount of Canadian BA Discount Proceeds that would constitute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applicable Canadian BA’s based on the Canadian BA Discount Rate set forth in c</w:t>
      </w:r>
      <w:r>
        <w:rPr>
          <w:rFonts w:ascii="Arial" w:cs="Arial" w:eastAsia="Arial" w:hAnsi="Arial"/>
          <w:sz w:val="17"/>
          <w:szCs w:val="17"/>
          <w:u w:val="single" w:color="auto"/>
          <w:color w:val="auto"/>
        </w:rPr>
        <w:t>lause (b)</w:t>
      </w:r>
      <w:r>
        <w:rPr>
          <w:rFonts w:ascii="Arial" w:cs="Arial" w:eastAsia="Arial" w:hAnsi="Arial"/>
          <w:sz w:val="17"/>
          <w:szCs w:val="17"/>
          <w:color w:val="auto"/>
        </w:rPr>
        <w:t xml:space="preserve"> of the definition of “Canadian BA Discount Rate”. Each Non BA Lender also shall be entitled to deduct from each Canadian BA Equivalent Loan an amount equal to the Canadian BA Fee that would have been applicable had it been able to accept Canadian BA’s. Each Canadian BA Equivalent Loan shall have a term equal to the term of the Canadian BA’s that the Non BA Lender would otherwise have accepted and PMCULC shall, at the end of that term, be obligated to pay the Non BA Lender an amount equal to the aggregate face amount of the Canadian BA’s that it would otherwise have accepted. All provisions of this Agreement applicable to Canadian BA’s and Lenders that accept Canadian BA’s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Canadian BA Equivalent Loans and Non BA Lenders and, without limiting the foregoing, Borrowings shall include Canadian BA Equivalent Loans.</w:t>
      </w:r>
    </w:p>
    <w:p>
      <w:pPr>
        <w:spacing w:after="0" w:line="182" w:lineRule="exact"/>
        <w:rPr>
          <w:sz w:val="20"/>
          <w:szCs w:val="20"/>
          <w:color w:val="auto"/>
        </w:rPr>
      </w:pPr>
    </w:p>
    <w:p>
      <w:pPr>
        <w:jc w:val="both"/>
        <w:ind w:firstLine="656"/>
        <w:spacing w:after="0" w:line="272" w:lineRule="auto"/>
        <w:tabs>
          <w:tab w:leader="none" w:pos="1053"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Payment of Canadian BA’s; Cash Collateral; Prepayments; Taxes, Yield Protection and Illegality</w:t>
      </w:r>
      <w:r>
        <w:rPr>
          <w:rFonts w:ascii="Arial" w:cs="Arial" w:eastAsia="Arial" w:hAnsi="Arial"/>
          <w:sz w:val="17"/>
          <w:szCs w:val="17"/>
          <w:color w:val="auto"/>
        </w:rPr>
        <w:t xml:space="preserve">. (a) PMCULC shall provide for the payment to each Lender of the full face amount of each Canadian BA accepted for its account on the earlier of (i) the date of maturity of such Canadian BA; and (ii) the date on which any Obligations become due and payable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Any amount owing by PMCULC in respect of any Canadian BA which is not paid in accordance with the foregoing, shall, as and from the date on which such Canadian BA matures, be deemed to be outstanding hereunder as a Canadian Prime Rate Loan. Each Lender shall be entitled to recover interest from PMCULC, at the Default Rate, on any amount that is not paid when due by PMCULC, from the date of maturity of each applicable Canadian BA to the date such payment, and all interest thereon, is provided for by PMCULC, both before and after demand, default and judgment.</w:t>
      </w:r>
    </w:p>
    <w:p>
      <w:pPr>
        <w:spacing w:after="0" w:line="177" w:lineRule="exact"/>
        <w:rPr>
          <w:sz w:val="20"/>
          <w:szCs w:val="20"/>
          <w:color w:val="auto"/>
        </w:rPr>
      </w:pPr>
    </w:p>
    <w:p>
      <w:pPr>
        <w:jc w:val="both"/>
        <w:ind w:firstLine="656"/>
        <w:spacing w:after="0" w:line="255" w:lineRule="auto"/>
        <w:tabs>
          <w:tab w:leader="none" w:pos="108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8.02(c)</w:t>
      </w:r>
      <w:r>
        <w:rPr>
          <w:rFonts w:ascii="Arial" w:cs="Arial" w:eastAsia="Arial" w:hAnsi="Arial"/>
          <w:sz w:val="18"/>
          <w:szCs w:val="18"/>
          <w:color w:val="auto"/>
        </w:rPr>
        <w:t>, “Cash Collateralize” means to pledge and deposit with or deliver to the Administrative Agent, for the benefit of the Lenders, as collateral for the Obligations in respect of Canadian BA’s, cash or deposit account balances pursuant to documentation in form and substance satisfactory to the Administrative Agent and the Lenders (which documents are hereby consented to by the Lenders). Derivatives of such term have corresponding meanings. PMCULC hereby grants to the Administrative Agent, for the benefit of the Lenders, a security interest in all such cash and deposit account balances and all proceeds of the foregoing. Cash Collateral shall be maintained in blocked accounts at Bank of America.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jc w:val="both"/>
        <w:ind w:firstLine="656"/>
        <w:spacing w:after="0" w:line="291" w:lineRule="auto"/>
        <w:tabs>
          <w:tab w:leader="none" w:pos="107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Any amounts received by the Administrative Agent to be applied to outstanding Canadian BA’s, whether pursuant to an Event of Default and acceleration of the Obligations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 prepayment as permitted or required under </w:t>
      </w:r>
      <w:r>
        <w:rPr>
          <w:rFonts w:ascii="Arial" w:cs="Arial" w:eastAsia="Arial" w:hAnsi="Arial"/>
          <w:sz w:val="16"/>
          <w:szCs w:val="16"/>
          <w:u w:val="single" w:color="auto"/>
          <w:color w:val="auto"/>
        </w:rPr>
        <w:t>Section 2.05</w:t>
      </w:r>
      <w:r>
        <w:rPr>
          <w:rFonts w:ascii="Arial" w:cs="Arial" w:eastAsia="Arial" w:hAnsi="Arial"/>
          <w:sz w:val="16"/>
          <w:szCs w:val="16"/>
          <w:color w:val="auto"/>
        </w:rPr>
        <w:t>, shall be deposited into an escrow account maintained by and in the name of the Administrative Agent for the benefit of Lenders for set-off against such outstanding Canadian BA’s as they mature, and pending such application shall bear interest at the rate declared by the Administrative Agent from time to time as that customarily paid by it in respect of similar deposits for such amount and for such period relative to the maturity date of such Canadian BA’s, as applicable. Upon the repayment of all such outstanding Canadian BA’s, any amounts remaining (including accrued interest) will (i) during the continuance of an Event of Default, be subject to such remedies as each Lender Party may have hereunder or under Applicable Law, or (ii) otherwise, be released to PMCULC.</w:t>
      </w:r>
    </w:p>
    <w:p>
      <w:pPr>
        <w:spacing w:after="0" w:line="166" w:lineRule="exact"/>
        <w:rPr>
          <w:rFonts w:ascii="Arial" w:cs="Arial" w:eastAsia="Arial" w:hAnsi="Arial"/>
          <w:sz w:val="16"/>
          <w:szCs w:val="16"/>
          <w:color w:val="auto"/>
        </w:rPr>
      </w:pPr>
    </w:p>
    <w:p>
      <w:pPr>
        <w:ind w:firstLine="656"/>
        <w:spacing w:after="0" w:line="277" w:lineRule="auto"/>
        <w:tabs>
          <w:tab w:leader="none" w:pos="108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applicable to Loans, Letters of Credit and the Commitments and Obligations in respect thereof apply to Canadian BA’s and the Commitments and Obligations in respect thereof,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55" w:lineRule="auto"/>
        <w:tabs>
          <w:tab w:leader="none" w:pos="1053"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Deemed Advance — Canadian BA’s</w:t>
      </w:r>
      <w:r>
        <w:rPr>
          <w:rFonts w:ascii="Arial" w:cs="Arial" w:eastAsia="Arial" w:hAnsi="Arial"/>
          <w:sz w:val="18"/>
          <w:szCs w:val="18"/>
          <w:color w:val="auto"/>
        </w:rPr>
        <w:t>. Except for amounts that are paid from the proceeds of a rollover of a Canadian BA or for which payment has otherwise been funded by PMCULC, any amount that a Lender pays to any third party on or after the date of maturity of a Canadian BA in satisfaction thereof, or that is owing to a Lender in respect of a Canadian BA on or after the date of maturity of such a Canadian BA, shall be deemed to be a Canadian Prime Rate Loan to PMCULC under this Agreement. Each Lender shall forthwith give notice of the making of such a Loan to PMCULC, the Administrative Agent and the other Lenders. Interest shall be payable on such Loans in accordance with the terms applicable to Canadian Prime Rate Loans.</w:t>
      </w:r>
    </w:p>
    <w:p>
      <w:pPr>
        <w:spacing w:after="0" w:line="192" w:lineRule="exact"/>
        <w:rPr>
          <w:rFonts w:ascii="Arial" w:cs="Arial" w:eastAsia="Arial" w:hAnsi="Arial"/>
          <w:sz w:val="18"/>
          <w:szCs w:val="18"/>
          <w:color w:val="auto"/>
        </w:rPr>
      </w:pPr>
    </w:p>
    <w:p>
      <w:pPr>
        <w:jc w:val="both"/>
        <w:ind w:firstLine="656"/>
        <w:spacing w:after="0" w:line="279" w:lineRule="auto"/>
        <w:tabs>
          <w:tab w:leader="none" w:pos="1053"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PMCULC waives presentment for payment of Canadian BA’s by Lenders. PMCULC shall not claim from a Lender any days of grace for the payment at maturity of any Canadian BA presented and accepted by such Lender pursuant to this Agreement. PMCULC waives any defence to payment that might otherwise exist if for any reason a Canadian BA shall be held by a Lender in its own right at the maturity thereof, and the doctrine of merger shall not apply to any Canadian BA that is at any time held by a Lender in its own right.</w:t>
      </w:r>
    </w:p>
    <w:p>
      <w:pPr>
        <w:spacing w:after="0" w:line="171" w:lineRule="exact"/>
        <w:rPr>
          <w:rFonts w:ascii="Arial" w:cs="Arial" w:eastAsia="Arial" w:hAnsi="Arial"/>
          <w:sz w:val="17"/>
          <w:szCs w:val="17"/>
          <w:color w:val="auto"/>
        </w:rPr>
      </w:pPr>
    </w:p>
    <w:p>
      <w:pPr>
        <w:jc w:val="both"/>
        <w:ind w:right="20" w:firstLine="656"/>
        <w:spacing w:after="0" w:line="257" w:lineRule="auto"/>
        <w:tabs>
          <w:tab w:leader="none" w:pos="1053"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Degree of Care</w:t>
      </w:r>
      <w:r>
        <w:rPr>
          <w:rFonts w:ascii="Arial" w:cs="Arial" w:eastAsia="Arial" w:hAnsi="Arial"/>
          <w:sz w:val="18"/>
          <w:szCs w:val="18"/>
          <w:color w:val="auto"/>
        </w:rPr>
        <w:t>. Any executed Canadian BA’s shall be held in safekeeping with the same degree of care as if they were the applicable Lender’s own property, and shall be kept at the place at which such Canadian BA’s are ordinarily held by such Lender. The Administrative Agent and Lenders shall not be liable for any damage, loss or improper use of any bankers’ acceptance draft endorsed in blank except for any loss arising by reason of the Administrative Agent or a Lender failing to use the same standard of care in the custody of such bankers’ acceptance drafts as the Administrative Agent or such Lender use in the custody of their own property of a similar nature.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2" w:name="page363"/>
    <w:bookmarkEnd w:id="362"/>
    <w:p>
      <w:pPr>
        <w:ind w:right="20" w:firstLine="656"/>
        <w:spacing w:after="0" w:line="308" w:lineRule="auto"/>
        <w:tabs>
          <w:tab w:leader="none" w:pos="1075"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PMCULC with respect to Canadian BA’s under this Agreement shall be unconditional and irrevocable, and shall be paid strictly in accordance with the terms of this Agreement under all circumstances, including the following circumstances:</w:t>
      </w:r>
    </w:p>
    <w:p>
      <w:pPr>
        <w:spacing w:after="0" w:line="146" w:lineRule="exact"/>
        <w:rPr>
          <w:rFonts w:ascii="Arial" w:cs="Arial" w:eastAsia="Arial" w:hAnsi="Arial"/>
          <w:sz w:val="17"/>
          <w:szCs w:val="17"/>
          <w:color w:val="auto"/>
        </w:rPr>
      </w:pPr>
    </w:p>
    <w:p>
      <w:pPr>
        <w:ind w:left="1740" w:hanging="436"/>
        <w:spacing w:after="0"/>
        <w:tabs>
          <w:tab w:leader="none" w:pos="174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any lack of validity or enforceability of any bankers’ acceptance, bill or note accepted by a Lender as a Canadian BA; 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existence of any claim, set off, defense or other right that PMCULC may have at any time against the holder of a Canadian BA, a Lender or any other Person, whether in connection with this Agreement or otherwise.</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Shortfall on Drawdowns, Rollovers and Conversions</w:t>
      </w:r>
      <w:r>
        <w:rPr>
          <w:rFonts w:ascii="Arial" w:cs="Arial" w:eastAsia="Arial" w:hAnsi="Arial"/>
          <w:sz w:val="18"/>
          <w:szCs w:val="18"/>
          <w:color w:val="auto"/>
        </w:rPr>
        <w:t>. PMCULC agrees that: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8"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amount of a Borrowing requested by PMCULC by way of Canadian BA’s and the actual proceeds of the Canadian BA’s;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75"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pay a maturing Canadian BA, if a Canadian BA is being rolled over;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03"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difference between the actual proceeds of a Canadian BA and the amount required to repay any Borrowing that is being converted to a Canadian BA;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be funded and paid by PMCULC from its own resources, by 12:00 p.m. (Toronto time) on the day of the applicable Borrowing or may be advanced as a Canadian Prime Rate Loan under the Commitments if PMCULC is otherwise entitled to a Borrowing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i w:val="1"/>
          <w:iCs w:val="1"/>
          <w:color w:val="auto"/>
        </w:rPr>
        <w:t>SCHEDULE 5.03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AUTHORIZATION; OTHER CONSENTS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i w:val="1"/>
          <w:iCs w:val="1"/>
          <w:color w:val="auto"/>
        </w:rPr>
        <w:t>SCHEDULE 5.06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its Subsidiaries are subject to actions, suits, proceedings, claims an disputes related to the Line 901 Incident as publicly disclosed in the Company’s Form 10-Q for the fiscal quarter ended June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i w:val="1"/>
          <w:iCs w:val="1"/>
          <w:color w:val="auto"/>
        </w:rPr>
        <w:t>SCHEDULE 5.08</w:t>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i w:val="1"/>
          <w:iCs w:val="1"/>
          <w:color w:val="auto"/>
        </w:rPr>
        <w:t>SCHEDULE 5.09</w:t>
      </w: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ERISA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i w:val="1"/>
          <w:iCs w:val="1"/>
          <w:color w:val="auto"/>
        </w:rPr>
        <w:t>SCHEDULE 5.12</w:t>
      </w:r>
    </w:p>
    <w:p>
      <w:pPr>
        <w:spacing w:after="0" w:line="2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i w:val="1"/>
          <w:iCs w:val="1"/>
          <w:color w:val="auto"/>
        </w:rPr>
        <w:t>SCHEDULE 11.02</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Access Identification Number: 2015780733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713-646-4100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 646-4313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76-0582150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color w:val="auto"/>
        </w:rPr>
        <w:t>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payments and Requests for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Mail Code: </w:t>
      </w:r>
      <w:r>
        <w:rPr>
          <w:rFonts w:ascii="Arial" w:cs="Arial" w:eastAsia="Arial" w:hAnsi="Arial"/>
          <w:sz w:val="18"/>
          <w:szCs w:val="18"/>
          <w:u w:val="single" w:color="auto"/>
          <w:color w:val="auto"/>
        </w:rPr>
        <w:t>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Karen Puente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469.201.8912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214.290.8378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karen.r.puente@bofa.com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ind w:right="3959"/>
        <w:spacing w:after="0" w:line="257" w:lineRule="auto"/>
        <w:rPr>
          <w:sz w:val="20"/>
          <w:szCs w:val="20"/>
          <w:color w:val="auto"/>
        </w:rPr>
      </w:pPr>
      <w:r>
        <w:rPr>
          <w:rFonts w:ascii="Arial" w:cs="Arial" w:eastAsia="Arial" w:hAnsi="Arial"/>
          <w:sz w:val="18"/>
          <w:szCs w:val="18"/>
          <w:b w:val="1"/>
          <w:bCs w:val="1"/>
          <w:color w:val="auto"/>
        </w:rPr>
        <w:t xml:space="preserve">CAD Payment Instructions; Bank of America, Canada Office Wire Instructions: </w:t>
      </w:r>
      <w:r>
        <w:rPr>
          <w:rFonts w:ascii="Arial" w:cs="Arial" w:eastAsia="Arial" w:hAnsi="Arial"/>
          <w:sz w:val="18"/>
          <w:szCs w:val="18"/>
          <w:color w:val="auto"/>
        </w:rPr>
        <w:t>Beneficiary Bank: Bank of America NA, Canada Branch (SWIFT ID: BOFACATT) A/C #: 90083255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#0241 Transit #56792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 Canada Branch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Administrative Agent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CA5-705-04-09</w:t>
      </w:r>
    </w:p>
    <w:p>
      <w:pPr>
        <w:spacing w:after="0" w:line="192"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San Francisco, CA 94104</w:t>
      </w:r>
    </w:p>
    <w:p>
      <w:pPr>
        <w:spacing w:after="0" w:line="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Anthea Del Bianco</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415-436-2776</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Facsimile:</w:t>
        <w:tab/>
        <w:t>415-503-5101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anthea.del_bianco@bofa.com</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color w:val="auto"/>
        </w:rPr>
        <w:t>L/C ISSUERS: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Mike Grizzanti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570-496-9621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michael.a.grizzanti@bofa.com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201-472-4024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212-994-0847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global.loans.LCRecon@citi.com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South Dearborn L2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855-609-9959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214-307-6874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chicago.lc.agency.closing.team@jpmchase.com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Louisiana St.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T0002-120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Nathan Starr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713-319-1977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713-319-1053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Nathan.Starr@wellsfargo.com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color w:val="auto"/>
        </w:rPr>
        <w:t>SWING LINE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Mail Code: </w:t>
      </w:r>
      <w:r>
        <w:rPr>
          <w:rFonts w:ascii="Arial" w:cs="Arial" w:eastAsia="Arial" w:hAnsi="Arial"/>
          <w:sz w:val="18"/>
          <w:szCs w:val="18"/>
          <w:u w:val="single" w:color="auto"/>
          <w:color w:val="auto"/>
        </w:rPr>
        <w:t>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Karen Puente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469.201.8912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214.290.8378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1366072250600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Wire Clearing Acct for Syn Loans - LIQ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Plains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 Payment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Bank of America Canada (SWIFT ID: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711465090227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of America, NA</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2" w:name="page373"/>
    <w:bookmarkEnd w:id="37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165100</wp:posOffset>
            </wp:positionV>
            <wp:extent cx="5306060" cy="8489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3060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Renews and Extends Credit Facilities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HOUSTON, August 26, 2021 – Plains All American Pipeline and Plains GP Holdings (Nasdaq: </w:t>
      </w:r>
      <w:r>
        <w:rPr>
          <w:rFonts w:ascii="Arial" w:cs="Arial" w:eastAsia="Arial" w:hAnsi="Arial"/>
          <w:sz w:val="18"/>
          <w:szCs w:val="18"/>
          <w:u w:val="single" w:color="auto"/>
          <w:color w:val="auto"/>
        </w:rPr>
        <w:t>PAA</w:t>
      </w:r>
      <w:r>
        <w:rPr>
          <w:rFonts w:ascii="Arial" w:cs="Arial" w:eastAsia="Arial" w:hAnsi="Arial"/>
          <w:sz w:val="18"/>
          <w:szCs w:val="18"/>
          <w:color w:val="auto"/>
        </w:rPr>
        <w:t xml:space="preserve"> &amp; </w:t>
      </w:r>
      <w:r>
        <w:rPr>
          <w:rFonts w:ascii="Arial" w:cs="Arial" w:eastAsia="Arial" w:hAnsi="Arial"/>
          <w:sz w:val="18"/>
          <w:szCs w:val="18"/>
          <w:u w:val="single" w:color="auto"/>
          <w:color w:val="auto"/>
        </w:rPr>
        <w:t>PAGP</w:t>
      </w:r>
      <w:r>
        <w:rPr>
          <w:rFonts w:ascii="Arial" w:cs="Arial" w:eastAsia="Arial" w:hAnsi="Arial"/>
          <w:sz w:val="18"/>
          <w:szCs w:val="18"/>
          <w:color w:val="auto"/>
        </w:rPr>
        <w:t>) (collectively, “Plains”) today announced that PAA has renewed and extended its two credit facilities (the “Facilities”). The renewed and extended Facilities have an aggregate initial borrowing capacity of $2.7 billion and initial maturities in 2024 and 2026, replacing the previous facilities that were scheduled to mature in 2022 and 2024, respectively.</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“Renewal and extension of these credit facilities aligns with our financial strategy, which includes ensuring ample credit capacity for our operating and commercial activities” stated Sharon Spurlin, Senior Vice President and Treasurer of Plains. “Notably, the new commitment levels reflect the reduced capital requirements of our business and the sizeable multi-year free cash flow after distributions Plains is positioned to generate. We sincerely value our long-term banking relationships and very much appreciate the continued trust and support of our lenders.”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new Facilities consist of a $1.35 billion Senior Unsecured Revolving Credit Facility with an initial maturity in August 2026 and a $1.35 billion Senior Secured Hedged Inventory Facility with an initial maturity in August 2024. The Facilities provide for one or more one-year extensions and have accordion features which, subject to receipt of incremental lender approval and other terms and conditions, permit PAA to increase borrowing capacity to $2.1 billion and $1.9 billion, respectively. The Facilities will be used for general corporate purposes and replace PAA’s previous credit facilities that had aggregate borrowing capacities of $1.6 billion and $1.4 billion and maturity dates in August 2024 and August 2022, respectively.</w:t>
      </w:r>
    </w:p>
    <w:p>
      <w:pPr>
        <w:spacing w:after="0" w:line="1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Funding for the Facilities was led by Bank of America, N.A. as Administrative Agent, with Citibank, N.A., JPMorgan Chase Bank, N.A. and Wells Fargo Bank, National Association also serving as Co-Syndication Agents. Shearman &amp; Sterling LLP acted as legal counsel to Plains, and Holland &amp; Knight LLP acted as legal counsel to the bank syndication.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A"/>
      <w:numFmt w:val="bullet"/>
      <w:start w:val="1"/>
    </w:lvl>
  </w:abstractNum>
  <w:abstractNum w:abstractNumId="4">
    <w:nsid w:val="697D2D2"/>
    <w:multiLevelType w:val="hybridMultilevel"/>
    <w:lvl w:ilvl="0">
      <w:lvlJc w:val="left"/>
      <w:lvlText w:val="(%1)"/>
      <w:numFmt w:val="decimal"/>
      <w:start w:val="1"/>
    </w:lvl>
    <w:lvl w:ilvl="1">
      <w:lvlJc w:val="left"/>
      <w:lvlText w:val="(%2)"/>
      <w:numFmt w:val="lowerLetter"/>
      <w:start w:val="1"/>
    </w:lvl>
  </w:abstractNum>
  <w:abstractNum w:abstractNumId="5">
    <w:nsid w:val="6D68AB2"/>
    <w:multiLevelType w:val="hybridMultilevel"/>
    <w:lvl w:ilvl="0">
      <w:lvlJc w:val="left"/>
      <w:lvlText w:val="(%1)"/>
      <w:numFmt w:val="decimal"/>
      <w:start w:val="2"/>
    </w:lvl>
  </w:abstractNum>
  <w:abstractNum w:abstractNumId="6">
    <w:nsid w:val="3A966CD0"/>
    <w:multiLevelType w:val="hybridMultilevel"/>
    <w:lvl w:ilvl="0">
      <w:lvlJc w:val="left"/>
      <w:lvlText w:val="(%1)"/>
      <w:numFmt w:val="lowerLetter"/>
      <w:start w:val="1"/>
    </w:lvl>
  </w:abstractNum>
  <w:abstractNum w:abstractNumId="7">
    <w:nsid w:val="63F37E85"/>
    <w:multiLevelType w:val="hybridMultilevel"/>
    <w:lvl w:ilvl="0">
      <w:lvlJc w:val="left"/>
      <w:lvlText w:val="(%1)"/>
      <w:numFmt w:val="lowerLetter"/>
      <w:start w:val="2"/>
    </w:lvl>
  </w:abstractNum>
  <w:abstractNum w:abstractNumId="8">
    <w:nsid w:val="5895F5FA"/>
    <w:multiLevelType w:val="hybridMultilevel"/>
    <w:lvl w:ilvl="0">
      <w:lvlJc w:val="left"/>
      <w:lvlText w:val="%1"/>
      <w:numFmt w:val="lowerRoman"/>
      <w:start w:val="1"/>
    </w:lvl>
    <w:lvl w:ilvl="1">
      <w:lvlJc w:val="left"/>
      <w:lvlText w:val="(%2)"/>
      <w:numFmt w:val="lowerRoman"/>
      <w:start w:val="1"/>
    </w:lvl>
  </w:abstractNum>
  <w:abstractNum w:abstractNumId="9">
    <w:nsid w:val="38A5D054"/>
    <w:multiLevelType w:val="hybridMultilevel"/>
    <w:lvl w:ilvl="0">
      <w:lvlJc w:val="left"/>
      <w:lvlText w:val="(%1)"/>
      <w:numFmt w:val="lowerRoman"/>
      <w:start w:val="10"/>
    </w:lvl>
    <w:lvl w:ilvl="1">
      <w:lvlJc w:val="left"/>
      <w:lvlText w:val="(%2)"/>
      <w:numFmt w:val="lowerRoman"/>
      <w:start w:val="2"/>
    </w:lvl>
  </w:abstractNum>
  <w:abstractNum w:abstractNumId="10">
    <w:nsid w:val="F3F09D8"/>
    <w:multiLevelType w:val="hybridMultilevel"/>
    <w:lvl w:ilvl="0">
      <w:lvlJc w:val="left"/>
      <w:lvlText w:val="(%1)"/>
      <w:numFmt w:val="lowerLetter"/>
      <w:start w:val="3"/>
    </w:lvl>
  </w:abstractNum>
  <w:abstractNum w:abstractNumId="11">
    <w:nsid w:val="4B793735"/>
    <w:multiLevelType w:val="hybridMultilevel"/>
    <w:lvl w:ilvl="0">
      <w:lvlJc w:val="left"/>
      <w:lvlText w:val="(%1)"/>
      <w:numFmt w:val="lowerRoman"/>
      <w:start w:val="6"/>
    </w:lvl>
  </w:abstractNum>
  <w:abstractNum w:abstractNumId="12">
    <w:nsid w:val="4A10B4E8"/>
    <w:multiLevelType w:val="hybridMultilevel"/>
    <w:lvl w:ilvl="0">
      <w:lvlJc w:val="left"/>
      <w:lvlText w:val="(%1)"/>
      <w:numFmt w:val="lowerLetter"/>
      <w:start w:val="3"/>
    </w:lvl>
  </w:abstractNum>
  <w:abstractNum w:abstractNumId="13">
    <w:nsid w:val="43D3BCD4"/>
    <w:multiLevelType w:val="hybridMultilevel"/>
    <w:lvl w:ilvl="0">
      <w:lvlJc w:val="left"/>
      <w:lvlText w:val="(%1)"/>
      <w:numFmt w:val="decimal"/>
      <w:start w:val="1"/>
    </w:lvl>
  </w:abstractNum>
  <w:abstractNum w:abstractNumId="14">
    <w:nsid w:val="4C2A7166"/>
    <w:multiLevelType w:val="hybridMultilevel"/>
    <w:lvl w:ilvl="0">
      <w:lvlJc w:val="left"/>
      <w:lvlText w:val="(%1)"/>
      <w:numFmt w:val="lowerLetter"/>
      <w:start w:val="1"/>
    </w:lvl>
  </w:abstractNum>
  <w:abstractNum w:abstractNumId="15">
    <w:nsid w:val="2E534A82"/>
    <w:multiLevelType w:val="hybridMultilevel"/>
    <w:lvl w:ilvl="0">
      <w:lvlJc w:val="left"/>
      <w:lvlText w:val="(%1)"/>
      <w:numFmt w:val="lowerLetter"/>
      <w:start w:val="1"/>
    </w:lvl>
  </w:abstractNum>
  <w:abstractNum w:abstractNumId="16">
    <w:nsid w:val="26F2D364"/>
    <w:multiLevelType w:val="hybridMultilevel"/>
    <w:lvl w:ilvl="0">
      <w:lvlJc w:val="left"/>
      <w:lvlText w:val="(%1)"/>
      <w:numFmt w:val="lowerLetter"/>
      <w:start w:val="1"/>
    </w:lvl>
    <w:lvl w:ilvl="1">
      <w:lvlJc w:val="left"/>
      <w:lvlText w:val="(%2)"/>
      <w:numFmt w:val="lowerRoman"/>
      <w:start w:val="1"/>
    </w:lvl>
  </w:abstractNum>
  <w:abstractNum w:abstractNumId="17">
    <w:nsid w:val="71C1AF98"/>
    <w:multiLevelType w:val="hybridMultilevel"/>
    <w:lvl w:ilvl="0">
      <w:lvlJc w:val="left"/>
      <w:lvlText w:val="(%1)"/>
      <w:numFmt w:val="lowerLetter"/>
      <w:start w:val="9"/>
    </w:lvl>
  </w:abstractNum>
  <w:abstractNum w:abstractNumId="18">
    <w:nsid w:val="3D00B9D9"/>
    <w:multiLevelType w:val="hybridMultilevel"/>
    <w:lvl w:ilvl="0">
      <w:lvlJc w:val="left"/>
      <w:lvlText w:val="(%1)"/>
      <w:numFmt w:val="lowerLetter"/>
      <w:start w:val="4"/>
    </w:lvl>
  </w:abstractNum>
  <w:abstractNum w:abstractNumId="19">
    <w:nsid w:val="15BCABA8"/>
    <w:multiLevelType w:val="hybridMultilevel"/>
    <w:lvl w:ilvl="0">
      <w:lvlJc w:val="left"/>
      <w:lvlText w:val="(%1)"/>
      <w:numFmt w:val="lowerLetter"/>
      <w:start w:val="3"/>
    </w:lvl>
  </w:abstractNum>
  <w:abstractNum w:abstractNumId="20">
    <w:nsid w:val="4E0B9A87"/>
    <w:multiLevelType w:val="hybridMultilevel"/>
    <w:lvl w:ilvl="0">
      <w:lvlJc w:val="left"/>
      <w:lvlText w:val="(%1)"/>
      <w:numFmt w:val="lowerLetter"/>
      <w:start w:val="1"/>
    </w:lvl>
  </w:abstractNum>
  <w:abstractNum w:abstractNumId="21">
    <w:nsid w:val="434BAE75"/>
    <w:multiLevelType w:val="hybridMultilevel"/>
    <w:lvl w:ilvl="0">
      <w:lvlJc w:val="left"/>
      <w:lvlText w:val="(%1)"/>
      <w:numFmt w:val="lowerLetter"/>
      <w:start w:val="5"/>
    </w:lvl>
  </w:abstractNum>
  <w:abstractNum w:abstractNumId="22">
    <w:nsid w:val="4F38F265"/>
    <w:multiLevelType w:val="hybridMultilevel"/>
    <w:lvl w:ilvl="0">
      <w:lvlJc w:val="left"/>
      <w:lvlText w:val="(%1)"/>
      <w:numFmt w:val="lowerRoman"/>
      <w:start w:val="1"/>
    </w:lvl>
  </w:abstractNum>
  <w:abstractNum w:abstractNumId="23">
    <w:nsid w:val="4C502870"/>
    <w:multiLevelType w:val="hybridMultilevel"/>
    <w:lvl w:ilvl="0">
      <w:lvlJc w:val="left"/>
      <w:lvlText w:val="(%1)"/>
      <w:numFmt w:val="lowerRoman"/>
      <w:start w:val="2"/>
    </w:lvl>
  </w:abstractNum>
  <w:abstractNum w:abstractNumId="24">
    <w:nsid w:val="1DE8725A"/>
    <w:multiLevelType w:val="hybridMultilevel"/>
    <w:lvl w:ilvl="0">
      <w:lvlJc w:val="left"/>
      <w:lvlText w:val="(%1)"/>
      <w:numFmt w:val="lowerRoman"/>
      <w:start w:val="1"/>
    </w:lvl>
  </w:abstractNum>
  <w:abstractNum w:abstractNumId="25">
    <w:nsid w:val="6A37288A"/>
    <w:multiLevelType w:val="hybridMultilevel"/>
    <w:lvl w:ilvl="0">
      <w:lvlJc w:val="left"/>
      <w:lvlText w:val="(%1)"/>
      <w:numFmt w:val="lowerRoman"/>
      <w:start w:val="3"/>
    </w:lvl>
  </w:abstractNum>
  <w:abstractNum w:abstractNumId="26">
    <w:nsid w:val="8F8B73F"/>
    <w:multiLevelType w:val="hybridMultilevel"/>
    <w:lvl w:ilvl="0">
      <w:lvlJc w:val="left"/>
      <w:lvlText w:val="(%1)"/>
      <w:numFmt w:val="lowerLetter"/>
      <w:start w:val="1"/>
    </w:lvl>
  </w:abstractNum>
  <w:abstractNum w:abstractNumId="27">
    <w:nsid w:val="CA6B462"/>
    <w:multiLevelType w:val="hybridMultilevel"/>
    <w:lvl w:ilvl="0">
      <w:lvlJc w:val="left"/>
      <w:lvlText w:val="(%1)"/>
      <w:numFmt w:val="lowerLetter"/>
      <w:start w:val="2"/>
    </w:lvl>
  </w:abstractNum>
  <w:abstractNum w:abstractNumId="28">
    <w:nsid w:val="763CB680"/>
    <w:multiLevelType w:val="hybridMultilevel"/>
    <w:lvl w:ilvl="0">
      <w:lvlJc w:val="left"/>
      <w:lvlText w:val="%1"/>
      <w:numFmt w:val="lowerRoman"/>
      <w:start w:val="1"/>
    </w:lvl>
    <w:lvl w:ilvl="1">
      <w:lvlJc w:val="left"/>
      <w:lvlText w:val="(%2)"/>
      <w:numFmt w:val="lowerLetter"/>
      <w:start w:val="1"/>
    </w:lvl>
  </w:abstractNum>
  <w:abstractNum w:abstractNumId="29">
    <w:nsid w:val="15B71329"/>
    <w:multiLevelType w:val="hybridMultilevel"/>
    <w:lvl w:ilvl="0">
      <w:lvlJc w:val="left"/>
      <w:lvlText w:val="(%1)"/>
      <w:numFmt w:val="lowerRoman"/>
      <w:start w:val="2"/>
    </w:lvl>
    <w:lvl w:ilvl="1">
      <w:lvlJc w:val="left"/>
      <w:lvlText w:val="%2"/>
      <w:numFmt w:val="lowerLetter"/>
      <w:start w:val="1"/>
    </w:lvl>
  </w:abstractNum>
  <w:abstractNum w:abstractNumId="30">
    <w:nsid w:val="3DA97044"/>
    <w:multiLevelType w:val="hybridMultilevel"/>
    <w:lvl w:ilvl="0">
      <w:lvlJc w:val="left"/>
      <w:lvlText w:val="(%1)"/>
      <w:numFmt w:val="lowerRoman"/>
      <w:start w:val="6"/>
    </w:lvl>
    <w:lvl w:ilvl="1">
      <w:lvlJc w:val="left"/>
      <w:lvlText w:val="(%2)"/>
      <w:numFmt w:val="lowerLetter"/>
      <w:start w:val="2"/>
    </w:lvl>
  </w:abstractNum>
  <w:abstractNum w:abstractNumId="31">
    <w:nsid w:val="1CDCE2DE"/>
    <w:multiLevelType w:val="hybridMultilevel"/>
    <w:lvl w:ilvl="0">
      <w:lvlJc w:val="left"/>
      <w:lvlText w:val="(%1)"/>
      <w:numFmt w:val="lowerLetter"/>
      <w:start w:val="4"/>
    </w:lvl>
  </w:abstractNum>
  <w:abstractNum w:abstractNumId="32">
    <w:nsid w:val="69D3947C"/>
    <w:multiLevelType w:val="hybridMultilevel"/>
    <w:lvl w:ilvl="0">
      <w:lvlJc w:val="left"/>
      <w:lvlText w:val="(%1)"/>
      <w:numFmt w:val="lowerLetter"/>
      <w:start w:val="1"/>
    </w:lvl>
  </w:abstractNum>
  <w:abstractNum w:abstractNumId="33">
    <w:nsid w:val="2539DFA5"/>
    <w:multiLevelType w:val="hybridMultilevel"/>
    <w:lvl w:ilvl="0">
      <w:lvlJc w:val="left"/>
      <w:lvlText w:val="(%1)"/>
      <w:numFmt w:val="lowerLetter"/>
      <w:start w:val="1"/>
    </w:lvl>
  </w:abstractNum>
  <w:abstractNum w:abstractNumId="34">
    <w:nsid w:val="2DB88089"/>
    <w:multiLevelType w:val="hybridMultilevel"/>
    <w:lvl w:ilvl="0">
      <w:lvlJc w:val="left"/>
      <w:lvlText w:val="%1"/>
      <w:numFmt w:val="upperLetter"/>
      <w:start w:val="1"/>
    </w:lvl>
    <w:lvl w:ilvl="1">
      <w:lvlJc w:val="left"/>
      <w:lvlText w:val="(%2)"/>
      <w:numFmt w:val="lowerLetter"/>
      <w:start w:val="1"/>
    </w:lvl>
  </w:abstractNum>
  <w:abstractNum w:abstractNumId="35">
    <w:nsid w:val="706B674E"/>
    <w:multiLevelType w:val="hybridMultilevel"/>
    <w:lvl w:ilvl="0">
      <w:lvlJc w:val="left"/>
      <w:lvlText w:val="(%1)"/>
      <w:numFmt w:val="upperLetter"/>
      <w:start w:val="1"/>
    </w:lvl>
    <w:lvl w:ilvl="1">
      <w:lvlJc w:val="left"/>
      <w:lvlText w:val="%2"/>
      <w:numFmt w:val="lowerLetter"/>
      <w:start w:val="1"/>
    </w:lvl>
  </w:abstractNum>
  <w:abstractNum w:abstractNumId="36">
    <w:nsid w:val="2C106A57"/>
    <w:multiLevelType w:val="hybridMultilevel"/>
    <w:lvl w:ilvl="0">
      <w:lvlJc w:val="left"/>
      <w:lvlText w:val="(%1)"/>
      <w:numFmt w:val="lowerLetter"/>
      <w:start w:val="2"/>
    </w:lvl>
  </w:abstractNum>
  <w:abstractNum w:abstractNumId="37">
    <w:nsid w:val="684EED59"/>
    <w:multiLevelType w:val="hybridMultilevel"/>
    <w:lvl w:ilvl="0">
      <w:lvlJc w:val="left"/>
      <w:lvlText w:val="(%1)"/>
      <w:numFmt w:val="lowerLetter"/>
      <w:start w:val="4"/>
    </w:lvl>
  </w:abstractNum>
  <w:abstractNum w:abstractNumId="38">
    <w:nsid w:val="545EE5D3"/>
    <w:multiLevelType w:val="hybridMultilevel"/>
    <w:lvl w:ilvl="0">
      <w:lvlJc w:val="left"/>
      <w:lvlText w:val="(%1)"/>
      <w:numFmt w:val="lowerLetter"/>
      <w:start w:val="1"/>
    </w:lvl>
  </w:abstractNum>
  <w:abstractNum w:abstractNumId="39">
    <w:nsid w:val="4A6605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0">
    <w:nsid w:val="20F4BD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1">
    <w:nsid w:val="639DEFA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2">
    <w:nsid w:val="501F978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3">
    <w:nsid w:val="6B057295"/>
    <w:multiLevelType w:val="hybridMultilevel"/>
    <w:lvl w:ilvl="0">
      <w:lvlJc w:val="left"/>
      <w:lvlText w:val="(%1)"/>
      <w:numFmt w:val="lowerLetter"/>
      <w:start w:val="5"/>
    </w:lvl>
  </w:abstractNum>
  <w:abstractNum w:abstractNumId="44">
    <w:nsid w:val="2771AC80"/>
    <w:multiLevelType w:val="hybridMultilevel"/>
    <w:lvl w:ilvl="0">
      <w:lvlJc w:val="left"/>
      <w:lvlText w:val="(%1)"/>
      <w:numFmt w:val="lowerLetter"/>
      <w:start w:val="6"/>
    </w:lvl>
  </w:abstractNum>
  <w:abstractNum w:abstractNumId="45">
    <w:nsid w:val="1C4A08EC"/>
    <w:multiLevelType w:val="hybridMultilevel"/>
    <w:lvl w:ilvl="0">
      <w:lvlJc w:val="left"/>
      <w:lvlText w:val="(%1)"/>
      <w:numFmt w:val="lowerLetter"/>
      <w:start w:val="7"/>
    </w:lvl>
    <w:lvl w:ilvl="1">
      <w:lvlJc w:val="left"/>
      <w:lvlText w:val="(%2)"/>
      <w:numFmt w:val="lowerRoman"/>
      <w:start w:val="1"/>
    </w:lvl>
  </w:abstractNum>
  <w:abstractNum w:abstractNumId="46">
    <w:nsid w:val="1958BD17"/>
    <w:multiLevelType w:val="hybridMultilevel"/>
    <w:lvl w:ilvl="0">
      <w:lvlJc w:val="left"/>
      <w:lvlText w:val="(%1)"/>
      <w:numFmt w:val="lowerRoman"/>
      <w:start w:val="1"/>
    </w:lvl>
  </w:abstractNum>
  <w:abstractNum w:abstractNumId="47">
    <w:nsid w:val="4E647FE4"/>
    <w:multiLevelType w:val="hybridMultilevel"/>
    <w:lvl w:ilvl="0">
      <w:lvlJc w:val="left"/>
      <w:lvlText w:val="(%1)"/>
      <w:numFmt w:val="lowerLetter"/>
      <w:start w:val="8"/>
    </w:lvl>
  </w:abstractNum>
  <w:abstractNum w:abstractNumId="48">
    <w:nsid w:val="E0BB885"/>
    <w:multiLevelType w:val="hybridMultilevel"/>
    <w:lvl w:ilvl="0">
      <w:lvlJc w:val="left"/>
      <w:lvlText w:val="(%1)"/>
      <w:numFmt w:val="lowerLetter"/>
      <w:start w:val="10"/>
    </w:lvl>
  </w:abstractNum>
  <w:abstractNum w:abstractNumId="49">
    <w:nsid w:val="565976F1"/>
    <w:multiLevelType w:val="hybridMultilevel"/>
    <w:lvl w:ilvl="0">
      <w:lvlJc w:val="left"/>
      <w:lvlText w:val="(%1)"/>
      <w:numFmt w:val="lowerLetter"/>
      <w:start w:val="13"/>
    </w:lvl>
  </w:abstractNum>
  <w:abstractNum w:abstractNumId="50">
    <w:nsid w:val="64212B8C"/>
    <w:multiLevelType w:val="hybridMultilevel"/>
    <w:lvl w:ilvl="0">
      <w:lvlJc w:val="left"/>
      <w:lvlText w:val="(%1)"/>
      <w:numFmt w:val="lowerLetter"/>
      <w:start w:val="16"/>
    </w:lvl>
    <w:lvl w:ilvl="1">
      <w:lvlJc w:val="left"/>
      <w:lvlText w:val="(%2)"/>
      <w:numFmt w:val="lowerRoman"/>
      <w:start w:val="1"/>
    </w:lvl>
  </w:abstractNum>
  <w:abstractNum w:abstractNumId="51">
    <w:nsid w:val="5C17530C"/>
    <w:multiLevelType w:val="hybridMultilevel"/>
    <w:lvl w:ilvl="0">
      <w:lvlJc w:val="left"/>
      <w:lvlText w:val="(%1)"/>
      <w:numFmt w:val="upperLetter"/>
      <w:start w:val="1"/>
    </w:lvl>
  </w:abstractNum>
  <w:abstractNum w:abstractNumId="52">
    <w:nsid w:val="19A52566"/>
    <w:multiLevelType w:val="hybridMultilevel"/>
    <w:lvl w:ilvl="0">
      <w:lvlJc w:val="left"/>
      <w:lvlText w:val="(%1)"/>
      <w:numFmt w:val="lowerLetter"/>
      <w:start w:val="17"/>
    </w:lvl>
  </w:abstractNum>
  <w:abstractNum w:abstractNumId="53">
    <w:nsid w:val="335A1DF1"/>
    <w:multiLevelType w:val="hybridMultilevel"/>
    <w:lvl w:ilvl="0">
      <w:lvlJc w:val="left"/>
      <w:lvlText w:val="(%1)"/>
      <w:numFmt w:val="lowerLetter"/>
      <w:start w:val="18"/>
    </w:lvl>
  </w:abstractNum>
  <w:abstractNum w:abstractNumId="54">
    <w:nsid w:val="28677B7C"/>
    <w:multiLevelType w:val="hybridMultilevel"/>
    <w:lvl w:ilvl="0">
      <w:lvlJc w:val="left"/>
      <w:lvlText w:val="(%1)"/>
      <w:numFmt w:val="lowerLetter"/>
      <w:start w:val="1"/>
    </w:lvl>
  </w:abstractNum>
  <w:abstractNum w:abstractNumId="55">
    <w:nsid w:val="378D97C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56">
    <w:nsid w:val="1D91467C"/>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57">
    <w:nsid w:val="316032BB"/>
    <w:multiLevelType w:val="hybridMultilevel"/>
    <w:lvl w:ilvl="0">
      <w:lvlJc w:val="left"/>
      <w:lvlText w:val="%1"/>
      <w:numFmt w:val="lowerRoman"/>
      <w:start w:val="1"/>
    </w:lvl>
    <w:lvl w:ilvl="1">
      <w:lvlJc w:val="left"/>
      <w:lvlText w:val="(%2)"/>
      <w:numFmt w:val="lowerRoman"/>
      <w:start w:val="2"/>
    </w:lvl>
  </w:abstractNum>
  <w:abstractNum w:abstractNumId="58">
    <w:nsid w:val="44344C22"/>
    <w:multiLevelType w:val="hybridMultilevel"/>
    <w:lvl w:ilvl="0">
      <w:lvlJc w:val="left"/>
      <w:lvlText w:val="(%1)"/>
      <w:numFmt w:val="lowerRoman"/>
      <w:start w:val="1"/>
    </w:lvl>
    <w:lvl w:ilvl="1">
      <w:lvlJc w:val="left"/>
      <w:lvlText w:val="(%2)"/>
      <w:numFmt w:val="lowerRoman"/>
      <w:start w:val="3"/>
    </w:lvl>
  </w:abstractNum>
  <w:abstractNum w:abstractNumId="59">
    <w:nsid w:val="13CDFCFC"/>
    <w:multiLevelType w:val="hybridMultilevel"/>
    <w:lvl w:ilvl="0">
      <w:lvlJc w:val="left"/>
      <w:lvlText w:val="(%1)"/>
      <w:numFmt w:val="lowerLetter"/>
      <w:start w:val="4"/>
    </w:lvl>
    <w:lvl w:ilvl="1">
      <w:lvlJc w:val="left"/>
      <w:lvlText w:val="(%2)"/>
      <w:numFmt w:val="lowerRoman"/>
      <w:start w:val="1"/>
    </w:lvl>
  </w:abstractNum>
  <w:abstractNum w:abstractNumId="60">
    <w:nsid w:val="471745E4"/>
    <w:multiLevelType w:val="hybridMultilevel"/>
    <w:lvl w:ilvl="0">
      <w:lvlJc w:val="left"/>
      <w:lvlText w:val="(%1)"/>
      <w:numFmt w:val="lowerLetter"/>
      <w:start w:val="1"/>
    </w:lvl>
  </w:abstractNum>
  <w:abstractNum w:abstractNumId="61">
    <w:nsid w:val="1DDBC66"/>
    <w:multiLevelType w:val="hybridMultilevel"/>
    <w:lvl w:ilvl="0">
      <w:lvlJc w:val="left"/>
      <w:lvlText w:val="(%1)"/>
      <w:numFmt w:val="lowerLetter"/>
      <w:start w:val="2"/>
    </w:lvl>
  </w:abstractNum>
  <w:abstractNum w:abstractNumId="62">
    <w:nsid w:val="30AADFDA"/>
    <w:multiLevelType w:val="hybridMultilevel"/>
    <w:lvl w:ilvl="0">
      <w:lvlJc w:val="left"/>
      <w:lvlText w:val="(%1)"/>
      <w:numFmt w:val="lowerLetter"/>
      <w:start w:val="1"/>
    </w:lvl>
  </w:abstractNum>
  <w:abstractNum w:abstractNumId="63">
    <w:nsid w:val="30EADA61"/>
    <w:multiLevelType w:val="hybridMultilevel"/>
    <w:lvl w:ilvl="0">
      <w:lvlJc w:val="left"/>
      <w:lvlText w:val="%1"/>
      <w:numFmt w:val="lowerLetter"/>
      <w:start w:val="1"/>
    </w:lvl>
    <w:lvl w:ilvl="1">
      <w:lvlJc w:val="left"/>
      <w:lvlText w:val="(%2)"/>
      <w:numFmt w:val="lowerLetter"/>
      <w:start w:val="1"/>
    </w:lvl>
  </w:abstractNum>
  <w:abstractNum w:abstractNumId="64">
    <w:nsid w:val="27179C0B"/>
    <w:multiLevelType w:val="hybridMultilevel"/>
    <w:lvl w:ilvl="0">
      <w:lvlJc w:val="left"/>
      <w:lvlText w:val="(%1)"/>
      <w:numFmt w:val="lowerLetter"/>
      <w:start w:val="35"/>
    </w:lvl>
    <w:lvl w:ilvl="1">
      <w:lvlJc w:val="left"/>
      <w:lvlText w:val="%2"/>
      <w:numFmt w:val="lowerLetter"/>
      <w:start w:val="1"/>
    </w:lvl>
  </w:abstractNum>
  <w:abstractNum w:abstractNumId="65">
    <w:nsid w:val="5E63606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66">
    <w:nsid w:val="215641AF"/>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67">
    <w:nsid w:val="53280662"/>
    <w:multiLevelType w:val="hybridMultilevel"/>
    <w:lvl w:ilvl="0">
      <w:lvlJc w:val="left"/>
      <w:lvlText w:val="(%1)"/>
      <w:numFmt w:val="lowerLetter"/>
      <w:start w:val="1"/>
    </w:lvl>
  </w:abstractNum>
  <w:abstractNum w:abstractNumId="68">
    <w:nsid w:val="46B24DBC"/>
    <w:multiLevelType w:val="hybridMultilevel"/>
    <w:lvl w:ilvl="0">
      <w:lvlJc w:val="left"/>
      <w:lvlText w:val="(%1)"/>
      <w:numFmt w:val="lowerLetter"/>
      <w:start w:val="2"/>
    </w:lvl>
    <w:lvl w:ilvl="1">
      <w:lvlJc w:val="left"/>
      <w:lvlText w:val="(%2)"/>
      <w:numFmt w:val="lowerRoman"/>
      <w:start w:val="1"/>
    </w:lvl>
  </w:abstractNum>
  <w:abstractNum w:abstractNumId="69">
    <w:nsid w:val="75B52783"/>
    <w:multiLevelType w:val="hybridMultilevel"/>
    <w:lvl w:ilvl="0">
      <w:lvlJc w:val="left"/>
      <w:lvlText w:val="(%1)"/>
      <w:numFmt w:val="lowerLetter"/>
      <w:start w:val="1"/>
    </w:lvl>
  </w:abstractNum>
  <w:abstractNum w:abstractNumId="70">
    <w:nsid w:val="57CE66B4"/>
    <w:multiLevelType w:val="hybridMultilevel"/>
    <w:lvl w:ilvl="0">
      <w:lvlJc w:val="left"/>
      <w:lvlText w:val="(%1)"/>
      <w:numFmt w:val="lowerLetter"/>
      <w:start w:val="2"/>
    </w:lvl>
  </w:abstractNum>
  <w:abstractNum w:abstractNumId="71">
    <w:nsid w:val="67A70B69"/>
    <w:multiLevelType w:val="hybridMultilevel"/>
    <w:lvl w:ilvl="0">
      <w:lvlJc w:val="left"/>
      <w:lvlText w:val="(%1)"/>
      <w:numFmt w:val="lowerLetter"/>
      <w:start w:val="1"/>
    </w:lvl>
  </w:abstractNum>
  <w:abstractNum w:abstractNumId="72">
    <w:nsid w:val="5953172F"/>
    <w:multiLevelType w:val="hybridMultilevel"/>
    <w:lvl w:ilvl="0">
      <w:lvlJc w:val="left"/>
      <w:lvlText w:val="(%1)"/>
      <w:numFmt w:val="lowerLetter"/>
      <w:start w:val="2"/>
    </w:lvl>
    <w:lvl w:ilvl="1">
      <w:lvlJc w:val="left"/>
      <w:lvlText w:val="(%2)"/>
      <w:numFmt w:val="lowerLetter"/>
      <w:start w:val="35"/>
    </w:lvl>
  </w:abstractNum>
  <w:abstractNum w:abstractNumId="73">
    <w:nsid w:val="27EDFE3A"/>
    <w:multiLevelType w:val="hybridMultilevel"/>
    <w:lvl w:ilvl="0">
      <w:lvlJc w:val="left"/>
      <w:lvlText w:val="(%1)"/>
      <w:numFmt w:val="lowerLetter"/>
      <w:start w:val="3"/>
    </w:lvl>
  </w:abstractNum>
  <w:abstractNum w:abstractNumId="74">
    <w:nsid w:val="52AC7DFF"/>
    <w:multiLevelType w:val="hybridMultilevel"/>
    <w:lvl w:ilvl="0">
      <w:lvlJc w:val="left"/>
      <w:lvlText w:val="(%1)"/>
      <w:numFmt w:val="lowerRoman"/>
      <w:start w:val="1"/>
    </w:lvl>
  </w:abstractNum>
  <w:abstractNum w:abstractNumId="75">
    <w:nsid w:val="C4C3AF"/>
    <w:multiLevelType w:val="hybridMultilevel"/>
    <w:lvl w:ilvl="0">
      <w:lvlJc w:val="left"/>
      <w:lvlText w:val="%1"/>
      <w:numFmt w:val="lowerLetter"/>
      <w:start w:val="1"/>
    </w:lvl>
    <w:lvl w:ilvl="1">
      <w:lvlJc w:val="left"/>
      <w:lvlText w:val="(%2)"/>
      <w:numFmt w:val="lowerLetter"/>
      <w:start w:val="35"/>
    </w:lvl>
  </w:abstractNum>
  <w:abstractNum w:abstractNumId="76">
    <w:nsid w:val="44380727"/>
    <w:multiLevelType w:val="hybridMultilevel"/>
    <w:lvl w:ilvl="0">
      <w:lvlJc w:val="left"/>
      <w:lvlText w:val="(%1)"/>
      <w:numFmt w:val="lowerLetter"/>
      <w:start w:val="25"/>
    </w:lvl>
    <w:lvl w:ilvl="1">
      <w:lvlJc w:val="left"/>
      <w:lvlText w:val="%2"/>
      <w:numFmt w:val="lowerLetter"/>
      <w:start w:val="1"/>
    </w:lvl>
  </w:abstractNum>
  <w:abstractNum w:abstractNumId="77">
    <w:nsid w:val="6C053B16"/>
    <w:multiLevelType w:val="hybridMultilevel"/>
    <w:lvl w:ilvl="0">
      <w:lvlJc w:val="left"/>
      <w:lvlText w:val="(%1)"/>
      <w:numFmt w:val="lowerLetter"/>
      <w:start w:val="1"/>
    </w:lvl>
  </w:abstractNum>
  <w:abstractNum w:abstractNumId="78">
    <w:nsid w:val="4F294393"/>
    <w:multiLevelType w:val="hybridMultilevel"/>
    <w:lvl w:ilvl="0">
      <w:lvlJc w:val="left"/>
      <w:lvlText w:val="(%1)"/>
      <w:numFmt w:val="lowerLetter"/>
      <w:start w:val="5"/>
    </w:lvl>
  </w:abstractNum>
  <w:abstractNum w:abstractNumId="79">
    <w:nsid w:val="5243BFAC"/>
    <w:multiLevelType w:val="hybridMultilevel"/>
    <w:lvl w:ilvl="0">
      <w:lvlJc w:val="left"/>
      <w:lvlText w:val="%1"/>
      <w:numFmt w:val="lowerLetter"/>
      <w:start w:val="1"/>
    </w:lvl>
    <w:lvl w:ilvl="1">
      <w:lvlJc w:val="left"/>
      <w:lvlText w:val="(%2)"/>
      <w:numFmt w:val="lowerLetter"/>
      <w:start w:val="1"/>
    </w:lvl>
  </w:abstractNum>
  <w:abstractNum w:abstractNumId="80">
    <w:nsid w:val="425EB207"/>
    <w:multiLevelType w:val="hybridMultilevel"/>
    <w:lvl w:ilvl="0">
      <w:lvlJc w:val="left"/>
      <w:lvlText w:val="(%1)"/>
      <w:numFmt w:val="lowerLetter"/>
      <w:start w:val="35"/>
    </w:lvl>
    <w:lvl w:ilvl="1">
      <w:lvlJc w:val="left"/>
      <w:lvlText w:val="%2"/>
      <w:numFmt w:val="lowerLetter"/>
      <w:start w:val="1"/>
    </w:lvl>
  </w:abstractNum>
  <w:abstractNum w:abstractNumId="81">
    <w:nsid w:val="334A6F1F"/>
    <w:multiLevelType w:val="hybridMultilevel"/>
    <w:lvl w:ilvl="0">
      <w:lvlJc w:val="left"/>
      <w:lvlText w:val="(%1)"/>
      <w:numFmt w:val="lowerLetter"/>
      <w:start w:val="3"/>
    </w:lvl>
  </w:abstractNum>
  <w:abstractNum w:abstractNumId="82">
    <w:nsid w:val="2E5B12B8"/>
    <w:multiLevelType w:val="hybridMultilevel"/>
    <w:lvl w:ilvl="0">
      <w:lvlJc w:val="left"/>
      <w:lvlText w:val="(%1)"/>
      <w:numFmt w:val="lowerLetter"/>
      <w:start w:val="1"/>
    </w:lvl>
  </w:abstractNum>
  <w:abstractNum w:abstractNumId="83">
    <w:nsid w:val="5C03D76D"/>
    <w:multiLevelType w:val="hybridMultilevel"/>
    <w:lvl w:ilvl="0">
      <w:lvlJc w:val="left"/>
      <w:lvlText w:val="%1"/>
      <w:numFmt w:val="decimal"/>
      <w:start w:val="1"/>
    </w:lvl>
    <w:lvl w:ilvl="1">
      <w:lvlJc w:val="left"/>
      <w:lvlText w:val="(%2)"/>
      <w:numFmt w:val="lowerLetter"/>
      <w:start w:val="4"/>
    </w:lvl>
  </w:abstractNum>
  <w:abstractNum w:abstractNumId="84">
    <w:nsid w:val="66A48D11"/>
    <w:multiLevelType w:val="hybridMultilevel"/>
    <w:lvl w:ilvl="0">
      <w:lvlJc w:val="left"/>
      <w:lvlText w:val="(%1)"/>
      <w:numFmt w:val="decimal"/>
      <w:start w:val="2"/>
    </w:lvl>
    <w:lvl w:ilvl="1">
      <w:lvlJc w:val="left"/>
      <w:lvlText w:val="(%2)"/>
      <w:numFmt w:val="lowerLetter"/>
      <w:start w:val="5"/>
    </w:lvl>
  </w:abstractNum>
  <w:abstractNum w:abstractNumId="85">
    <w:nsid w:val="56C28E34"/>
    <w:multiLevelType w:val="hybridMultilevel"/>
    <w:lvl w:ilvl="0">
      <w:lvlJc w:val="left"/>
      <w:lvlText w:val="(%1)"/>
      <w:numFmt w:val="lowerLetter"/>
      <w:start w:val="1"/>
    </w:lvl>
  </w:abstractNum>
  <w:abstractNum w:abstractNumId="86">
    <w:nsid w:val="13916F2D"/>
    <w:multiLevelType w:val="hybridMultilevel"/>
    <w:lvl w:ilvl="0">
      <w:lvlJc w:val="left"/>
      <w:lvlText w:val="(%1)"/>
      <w:numFmt w:val="lowerLetter"/>
      <w:start w:val="2"/>
    </w:lvl>
  </w:abstractNum>
  <w:abstractNum w:abstractNumId="87">
    <w:nsid w:val="435D38D"/>
    <w:multiLevelType w:val="hybridMultilevel"/>
    <w:lvl w:ilvl="0">
      <w:lvlJc w:val="left"/>
      <w:lvlText w:val="(%1)"/>
      <w:numFmt w:val="lowerLetter"/>
      <w:start w:val="1"/>
    </w:lvl>
    <w:lvl w:ilvl="1">
      <w:lvlJc w:val="left"/>
      <w:lvlText w:val="(%2)"/>
      <w:numFmt w:val="lowerLetter"/>
      <w:start w:val="9"/>
    </w:lvl>
  </w:abstractNum>
  <w:abstractNum w:abstractNumId="88">
    <w:nsid w:val="822C0EF"/>
    <w:multiLevelType w:val="hybridMultilevel"/>
    <w:lvl w:ilvl="0">
      <w:lvlJc w:val="left"/>
      <w:lvlText w:val="%1"/>
      <w:numFmt w:val="lowerLetter"/>
      <w:start w:val="1"/>
    </w:lvl>
    <w:lvl w:ilvl="1">
      <w:lvlJc w:val="left"/>
      <w:lvlText w:val="(%2)"/>
      <w:numFmt w:val="lowerLetter"/>
      <w:start w:val="35"/>
    </w:lvl>
  </w:abstractNum>
  <w:abstractNum w:abstractNumId="89">
    <w:nsid w:val="57C5BB4F"/>
    <w:multiLevelType w:val="hybridMultilevel"/>
    <w:lvl w:ilvl="0">
      <w:lvlJc w:val="left"/>
      <w:lvlText w:val="(%1)"/>
      <w:numFmt w:val="lowerLetter"/>
      <w:start w:val="25"/>
    </w:lvl>
    <w:lvl w:ilvl="1">
      <w:lvlJc w:val="left"/>
      <w:lvlText w:val="%2"/>
      <w:numFmt w:val="lowerLetter"/>
      <w:start w:val="1"/>
    </w:lvl>
  </w:abstractNum>
  <w:abstractNum w:abstractNumId="90">
    <w:nsid w:val="1803D089"/>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91">
    <w:nsid w:val="4F3A06D4"/>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92">
    <w:nsid w:val="59A377B6"/>
    <w:multiLevelType w:val="hybridMultilevel"/>
    <w:lvl w:ilvl="0">
      <w:lvlJc w:val="left"/>
      <w:lvlText w:val="%1"/>
      <w:numFmt w:val="lowerLetter"/>
      <w:start w:val="1"/>
    </w:lvl>
    <w:lvl w:ilvl="1">
      <w:lvlJc w:val="left"/>
      <w:lvlText w:val="(%2)"/>
      <w:numFmt w:val="lowerLetter"/>
      <w:start w:val="22"/>
    </w:lvl>
  </w:abstractNum>
  <w:abstractNum w:abstractNumId="93">
    <w:nsid w:val="48AEB063"/>
    <w:multiLevelType w:val="hybridMultilevel"/>
    <w:lvl w:ilvl="0">
      <w:lvlJc w:val="left"/>
      <w:lvlText w:val="(%1)"/>
      <w:numFmt w:val="lowerLetter"/>
      <w:start w:val="2"/>
    </w:lvl>
    <w:lvl w:ilvl="1">
      <w:lvlJc w:val="left"/>
      <w:lvlText w:val="%2"/>
      <w:numFmt w:val="lowerLetter"/>
      <w:start w:val="1"/>
    </w:lvl>
  </w:abstractNum>
  <w:abstractNum w:abstractNumId="94">
    <w:nsid w:val="24E135"/>
    <w:multiLevelType w:val="hybridMultilevel"/>
    <w:lvl w:ilvl="0">
      <w:lvlJc w:val="left"/>
      <w:lvlText w:val="(%1)"/>
      <w:numFmt w:val="lowerLetter"/>
      <w:start w:val="1"/>
    </w:lvl>
  </w:abstractNum>
  <w:abstractNum w:abstractNumId="95">
    <w:nsid w:val="BB13C1"/>
    <w:multiLevelType w:val="hybridMultilevel"/>
    <w:lvl w:ilvl="0">
      <w:lvlJc w:val="left"/>
      <w:lvlText w:val="%1"/>
      <w:numFmt w:val="lowerLetter"/>
      <w:start w:val="1"/>
    </w:lvl>
    <w:lvl w:ilvl="1">
      <w:lvlJc w:val="left"/>
      <w:lvlText w:val="(%2)"/>
      <w:numFmt w:val="lowerLetter"/>
      <w:start w:val="2"/>
    </w:lvl>
  </w:abstractNum>
  <w:abstractNum w:abstractNumId="96">
    <w:nsid w:val="271210C7"/>
    <w:multiLevelType w:val="hybridMultilevel"/>
    <w:lvl w:ilvl="0">
      <w:lvlJc w:val="left"/>
      <w:lvlText w:val="(%1)"/>
      <w:numFmt w:val="lowerLetter"/>
      <w:start w:val="9"/>
    </w:lvl>
    <w:lvl w:ilvl="1">
      <w:lvlJc w:val="left"/>
      <w:lvlText w:val="(%2)"/>
      <w:numFmt w:val="lowerLetter"/>
      <w:start w:val="6"/>
    </w:lvl>
  </w:abstractNum>
  <w:abstractNum w:abstractNumId="97">
    <w:nsid w:val="217B22E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98">
    <w:nsid w:val="53E31A24"/>
    <w:multiLevelType w:val="hybridMultilevel"/>
    <w:lvl w:ilvl="0">
      <w:lvlJc w:val="left"/>
      <w:lvlText w:val="(%1)"/>
      <w:numFmt w:val="upperLetter"/>
      <w:start w:val="35"/>
    </w:lvl>
  </w:abstractNum>
  <w:abstractNum w:abstractNumId="99">
    <w:nsid w:val="6DC45E83"/>
    <w:multiLevelType w:val="hybridMultilevel"/>
    <w:lvl w:ilvl="0">
      <w:lvlJc w:val="left"/>
      <w:lvlText w:val="(%1)"/>
      <w:numFmt w:val="upperLetter"/>
      <w:start w:val="61"/>
    </w:lvl>
  </w:abstractNum>
  <w:abstractNum w:abstractNumId="100">
    <w:nsid w:val="17304A67"/>
    <w:multiLevelType w:val="hybridMultilevel"/>
    <w:lvl w:ilvl="0">
      <w:lvlJc w:val="left"/>
      <w:lvlText w:val="(%1)"/>
      <w:numFmt w:val="upperLetter"/>
      <w:start w:val="3"/>
    </w:lvl>
  </w:abstractNum>
  <w:abstractNum w:abstractNumId="101">
    <w:nsid w:val="2BB180D8"/>
    <w:multiLevelType w:val="hybridMultilevel"/>
    <w:lvl w:ilvl="0">
      <w:lvlJc w:val="left"/>
      <w:lvlText w:val="%1"/>
      <w:numFmt w:val="lowerLetter"/>
      <w:start w:val="1"/>
    </w:lvl>
    <w:lvl w:ilvl="1">
      <w:lvlJc w:val="left"/>
      <w:lvlText w:val="(%2)"/>
      <w:numFmt w:val="lowerLetter"/>
      <w:start w:val="61"/>
    </w:lvl>
  </w:abstractNum>
  <w:abstractNum w:abstractNumId="102">
    <w:nsid w:val="556B69ED"/>
    <w:multiLevelType w:val="hybridMultilevel"/>
    <w:lvl w:ilvl="0">
      <w:lvlJc w:val="left"/>
      <w:lvlText w:val="(%1)"/>
      <w:numFmt w:val="lowerLetter"/>
      <w:start w:val="8"/>
    </w:lvl>
    <w:lvl w:ilvl="1">
      <w:lvlJc w:val="left"/>
      <w:lvlText w:val="%2"/>
      <w:numFmt w:val="lowerLetter"/>
      <w:start w:val="1"/>
    </w:lvl>
  </w:abstractNum>
  <w:abstractNum w:abstractNumId="103">
    <w:nsid w:val="70836196"/>
    <w:multiLevelType w:val="hybridMultilevel"/>
    <w:lvl w:ilvl="0">
      <w:lvlJc w:val="left"/>
      <w:lvlText w:val="(%1)"/>
      <w:numFmt w:val="lowerLetter"/>
      <w:start w:val="1"/>
    </w:lvl>
  </w:abstractNum>
  <w:abstractNum w:abstractNumId="104">
    <w:nsid w:val="539F7F12"/>
    <w:multiLevelType w:val="hybridMultilevel"/>
    <w:lvl w:ilvl="0">
      <w:lvlJc w:val="left"/>
      <w:lvlText w:val="(%1)"/>
      <w:numFmt w:val="lowerLetter"/>
      <w:start w:val="2"/>
    </w:lvl>
    <w:lvl w:ilvl="1">
      <w:lvlJc w:val="left"/>
      <w:lvlText w:val="(%2)"/>
      <w:numFmt w:val="lowerRoman"/>
      <w:start w:val="1"/>
    </w:lvl>
  </w:abstractNum>
  <w:abstractNum w:abstractNumId="105">
    <w:nsid w:val="2817E7EC"/>
    <w:multiLevelType w:val="hybridMultilevel"/>
    <w:lvl w:ilvl="0">
      <w:lvlJc w:val="left"/>
      <w:lvlText w:val="%1"/>
      <w:numFmt w:val="lowerRoman"/>
      <w:start w:val="1"/>
    </w:lvl>
    <w:lvl w:ilvl="1">
      <w:lvlJc w:val="left"/>
      <w:lvlText w:val="(%2)"/>
      <w:numFmt w:val="lowerLetter"/>
      <w:start w:val="25"/>
    </w:lvl>
  </w:abstractNum>
  <w:abstractNum w:abstractNumId="106">
    <w:nsid w:val="71482545"/>
    <w:multiLevelType w:val="hybridMultilevel"/>
    <w:lvl w:ilvl="0">
      <w:lvlJc w:val="left"/>
      <w:lvlText w:val="(%1)"/>
      <w:numFmt w:val="lowerRoman"/>
      <w:start w:val="3"/>
    </w:lvl>
    <w:lvl w:ilvl="1">
      <w:lvlJc w:val="left"/>
      <w:lvlText w:val="%2"/>
      <w:numFmt w:val="lowerLetter"/>
      <w:start w:val="1"/>
    </w:lvl>
  </w:abstractNum>
  <w:abstractNum w:abstractNumId="107">
    <w:nsid w:val="17D78639"/>
    <w:multiLevelType w:val="hybridMultilevel"/>
    <w:lvl w:ilvl="0">
      <w:lvlJc w:val="left"/>
      <w:lvlText w:val="(%1)"/>
      <w:numFmt w:val="lowerRoman"/>
      <w:start w:val="6"/>
    </w:lvl>
  </w:abstractNum>
  <w:abstractNum w:abstractNumId="108">
    <w:nsid w:val="141D2302"/>
    <w:multiLevelType w:val="hybridMultilevel"/>
    <w:lvl w:ilvl="0">
      <w:lvlJc w:val="left"/>
      <w:lvlText w:val="(%1)"/>
      <w:numFmt w:val="lowerLetter"/>
      <w:start w:val="1"/>
    </w:lvl>
    <w:lvl w:ilvl="1">
      <w:lvlJc w:val="left"/>
      <w:lvlText w:val="(%2)"/>
      <w:numFmt w:val="lowerRoman"/>
      <w:start w:val="1"/>
    </w:lvl>
  </w:abstractNum>
  <w:abstractNum w:abstractNumId="109">
    <w:nsid w:val="407168D8"/>
    <w:multiLevelType w:val="hybridMultilevel"/>
    <w:lvl w:ilvl="0">
      <w:lvlJc w:val="left"/>
      <w:lvlText w:val="(%1)"/>
      <w:numFmt w:val="lowerLetter"/>
      <w:start w:val="2"/>
    </w:lvl>
  </w:abstractNum>
  <w:abstractNum w:abstractNumId="110">
    <w:nsid w:val="6A1B45E5"/>
    <w:multiLevelType w:val="hybridMultilevel"/>
    <w:lvl w:ilvl="0">
      <w:lvlJc w:val="left"/>
      <w:lvlText w:val="(%1)"/>
      <w:numFmt w:val="lowerLetter"/>
      <w:start w:val="3"/>
    </w:lvl>
  </w:abstractNum>
  <w:abstractNum w:abstractNumId="111">
    <w:nsid w:val="567BD50A"/>
    <w:multiLevelType w:val="hybridMultilevel"/>
    <w:lvl w:ilvl="0">
      <w:lvlJc w:val="left"/>
      <w:lvlText w:val="(%1)"/>
      <w:numFmt w:val="lowerLetter"/>
      <w:start w:val="1"/>
    </w:lvl>
  </w:abstractNum>
  <w:abstractNum w:abstractNumId="112">
    <w:nsid w:val="73BBD7F8"/>
    <w:multiLevelType w:val="hybridMultilevel"/>
    <w:lvl w:ilvl="0">
      <w:lvlJc w:val="left"/>
      <w:lvlText w:val="(%1)"/>
      <w:numFmt w:val="lowerLetter"/>
      <w:start w:val="1"/>
    </w:lvl>
  </w:abstractNum>
  <w:abstractNum w:abstractNumId="113">
    <w:nsid w:val="1876589D"/>
    <w:multiLevelType w:val="hybridMultilevel"/>
    <w:lvl w:ilvl="0">
      <w:lvlJc w:val="left"/>
      <w:lvlText w:val="(%1)"/>
      <w:numFmt w:val="lowerLetter"/>
      <w:start w:val="2"/>
    </w:lvl>
  </w:abstractNum>
  <w:abstractNum w:abstractNumId="114">
    <w:nsid w:val="327FAC77"/>
    <w:multiLevelType w:val="hybridMultilevel"/>
    <w:lvl w:ilvl="0">
      <w:lvlJc w:val="left"/>
      <w:lvlText w:val="(%1)"/>
      <w:numFmt w:val="lowerLetter"/>
      <w:start w:val="1"/>
    </w:lvl>
    <w:lvl w:ilvl="1">
      <w:lvlJc w:val="left"/>
      <w:lvlText w:val="(%2)"/>
      <w:numFmt w:val="lowerRoman"/>
      <w:start w:val="1"/>
    </w:lvl>
  </w:abstractNum>
  <w:abstractNum w:abstractNumId="115">
    <w:nsid w:val="5A606509"/>
    <w:multiLevelType w:val="hybridMultilevel"/>
    <w:lvl w:ilvl="0">
      <w:lvlJc w:val="left"/>
      <w:lvlText w:val="%1"/>
      <w:numFmt w:val="lowerLetter"/>
      <w:start w:val="1"/>
    </w:lvl>
    <w:lvl w:ilvl="1">
      <w:lvlJc w:val="left"/>
      <w:lvlText w:val="(%2)"/>
      <w:numFmt w:val="lowerRoman"/>
      <w:start w:val="4"/>
    </w:lvl>
  </w:abstractNum>
  <w:abstractNum w:abstractNumId="116">
    <w:nsid w:val="6F38E6D1"/>
    <w:multiLevelType w:val="hybridMultilevel"/>
    <w:lvl w:ilvl="0">
      <w:lvlJc w:val="left"/>
      <w:lvlText w:val="(%1)"/>
      <w:numFmt w:val="lowerLetter"/>
      <w:start w:val="2"/>
    </w:lvl>
    <w:lvl w:ilvl="1">
      <w:lvlJc w:val="left"/>
      <w:lvlText w:val="(%2)"/>
      <w:numFmt w:val="lowerRoman"/>
      <w:start w:val="8"/>
    </w:lvl>
  </w:abstractNum>
  <w:abstractNum w:abstractNumId="117">
    <w:nsid w:val="46111BA5"/>
    <w:multiLevelType w:val="hybridMultilevel"/>
    <w:lvl w:ilvl="0">
      <w:lvlJc w:val="left"/>
      <w:lvlText w:val="(%1)"/>
      <w:numFmt w:val="lowerLetter"/>
      <w:start w:val="2"/>
    </w:lvl>
  </w:abstractNum>
  <w:abstractNum w:abstractNumId="118">
    <w:nsid w:val="5E963896"/>
    <w:multiLevelType w:val="hybridMultilevel"/>
    <w:lvl w:ilvl="0">
      <w:lvlJc w:val="left"/>
      <w:lvlText w:val="(%1)"/>
      <w:numFmt w:val="lowerLetter"/>
      <w:start w:val="6"/>
    </w:lvl>
  </w:abstractNum>
  <w:abstractNum w:abstractNumId="119">
    <w:nsid w:val="775BA7C1"/>
    <w:multiLevelType w:val="hybridMultilevel"/>
    <w:lvl w:ilvl="0">
      <w:lvlJc w:val="left"/>
      <w:lvlText w:val="(%1)"/>
      <w:numFmt w:val="lowerLetter"/>
      <w:start w:val="1"/>
    </w:lvl>
  </w:abstractNum>
  <w:abstractNum w:abstractNumId="120">
    <w:nsid w:val="1DD6D6F4"/>
    <w:multiLevelType w:val="hybridMultilevel"/>
    <w:lvl w:ilvl="0">
      <w:lvlJc w:val="left"/>
      <w:lvlText w:val="(%1)"/>
      <w:numFmt w:val="lowerLetter"/>
      <w:start w:val="1"/>
    </w:lvl>
  </w:abstractNum>
  <w:abstractNum w:abstractNumId="121">
    <w:nsid w:val="769A091F"/>
    <w:multiLevelType w:val="hybridMultilevel"/>
    <w:lvl w:ilvl="0">
      <w:lvlJc w:val="left"/>
      <w:lvlText w:val="%1"/>
      <w:numFmt w:val="lowerLetter"/>
      <w:start w:val="1"/>
    </w:lvl>
    <w:lvl w:ilvl="1">
      <w:lvlJc w:val="left"/>
      <w:lvlText w:val="(%2)"/>
      <w:numFmt w:val="lowerLetter"/>
      <w:start w:val="1"/>
    </w:lvl>
  </w:abstractNum>
  <w:abstractNum w:abstractNumId="122">
    <w:nsid w:val="4695AE95"/>
    <w:multiLevelType w:val="hybridMultilevel"/>
    <w:lvl w:ilvl="0">
      <w:lvlJc w:val="left"/>
      <w:lvlText w:val="(%1)"/>
      <w:numFmt w:val="lowerLetter"/>
      <w:start w:val="22"/>
    </w:lvl>
    <w:lvl w:ilvl="1">
      <w:lvlJc w:val="left"/>
      <w:lvlText w:val="%2"/>
      <w:numFmt w:val="lowerLetter"/>
      <w:start w:val="1"/>
    </w:lvl>
  </w:abstractNum>
  <w:abstractNum w:abstractNumId="123">
    <w:nsid w:val="777A4EAA"/>
    <w:multiLevelType w:val="hybridMultilevel"/>
    <w:lvl w:ilvl="0">
      <w:lvlJc w:val="left"/>
      <w:lvlText w:val="(%1)"/>
      <w:numFmt w:val="lowerLetter"/>
      <w:start w:val="1"/>
    </w:lvl>
  </w:abstractNum>
  <w:abstractNum w:abstractNumId="124">
    <w:nsid w:val="3F48B982"/>
    <w:multiLevelType w:val="hybridMultilevel"/>
    <w:lvl w:ilvl="0">
      <w:lvlJc w:val="left"/>
      <w:lvlText w:val="(%1)"/>
      <w:numFmt w:val="lowerLetter"/>
      <w:start w:val="1"/>
    </w:lvl>
  </w:abstractNum>
  <w:abstractNum w:abstractNumId="125">
    <w:nsid w:val="46BA8FCA"/>
    <w:multiLevelType w:val="hybridMultilevel"/>
    <w:lvl w:ilvl="0">
      <w:lvlJc w:val="left"/>
      <w:lvlText w:val="(%1)"/>
      <w:numFmt w:val="lowerLetter"/>
      <w:start w:val="3"/>
    </w:lvl>
  </w:abstractNum>
  <w:abstractNum w:abstractNumId="126">
    <w:nsid w:val="7835626C"/>
    <w:multiLevelType w:val="hybridMultilevel"/>
    <w:lvl w:ilvl="0">
      <w:lvlJc w:val="left"/>
      <w:lvlText w:val="(%1)"/>
      <w:numFmt w:val="lowerLetter"/>
      <w:start w:val="1"/>
    </w:lvl>
  </w:abstractNum>
  <w:abstractNum w:abstractNumId="127">
    <w:nsid w:val="665ACA49"/>
    <w:multiLevelType w:val="hybridMultilevel"/>
    <w:lvl w:ilvl="0">
      <w:lvlJc w:val="left"/>
      <w:lvlText w:val="(%1)"/>
      <w:numFmt w:val="lowerLetter"/>
      <w:start w:val="3"/>
    </w:lvl>
    <w:lvl w:ilvl="1">
      <w:lvlJc w:val="left"/>
      <w:lvlText w:val="(%2)"/>
      <w:numFmt w:val="lowerLetter"/>
      <w:start w:val="1"/>
    </w:lvl>
  </w:abstractNum>
  <w:abstractNum w:abstractNumId="128">
    <w:nsid w:val="6835B2AE"/>
    <w:multiLevelType w:val="hybridMultilevel"/>
    <w:lvl w:ilvl="0">
      <w:lvlJc w:val="left"/>
      <w:lvlText w:val="(%1)"/>
      <w:numFmt w:val="lowerLetter"/>
      <w:start w:val="61"/>
    </w:lvl>
    <w:lvl w:ilvl="1">
      <w:lvlJc w:val="left"/>
      <w:lvlText w:val="(%2)"/>
      <w:numFmt w:val="lowerLetter"/>
      <w:start w:val="2"/>
    </w:lvl>
  </w:abstractNum>
  <w:abstractNum w:abstractNumId="129">
    <w:nsid w:val="4C187C90"/>
    <w:multiLevelType w:val="hybridMultilevel"/>
    <w:lvl w:ilvl="0">
      <w:lvlJc w:val="left"/>
      <w:lvlText w:val="(%1)"/>
      <w:numFmt w:val="lowerRoman"/>
      <w:start w:val="2"/>
    </w:lvl>
  </w:abstractNum>
  <w:abstractNum w:abstractNumId="130">
    <w:nsid w:val="541F28CD"/>
    <w:multiLevelType w:val="hybridMultilevel"/>
    <w:lvl w:ilvl="0">
      <w:lvlJc w:val="left"/>
      <w:lvlText w:val="(%1)"/>
      <w:numFmt w:val="lowerRoman"/>
      <w:start w:val="10"/>
    </w:lvl>
  </w:abstractNum>
  <w:abstractNum w:abstractNumId="131">
    <w:nsid w:val="7F65FD16"/>
    <w:multiLevelType w:val="hybridMultilevel"/>
    <w:lvl w:ilvl="0">
      <w:lvlJc w:val="left"/>
      <w:lvlText w:val="(%1)"/>
      <w:numFmt w:val="lowerLetter"/>
      <w:start w:val="1"/>
    </w:lvl>
  </w:abstractNum>
  <w:abstractNum w:abstractNumId="132">
    <w:nsid w:val="77C9FD68"/>
    <w:multiLevelType w:val="hybridMultilevel"/>
    <w:lvl w:ilvl="0">
      <w:lvlJc w:val="left"/>
      <w:lvlText w:val="(%1)"/>
      <w:numFmt w:val="lowerLetter"/>
      <w:start w:val="3"/>
    </w:lvl>
  </w:abstractNum>
  <w:abstractNum w:abstractNumId="133">
    <w:nsid w:val="298A92BA"/>
    <w:multiLevelType w:val="hybridMultilevel"/>
    <w:lvl w:ilvl="0">
      <w:lvlJc w:val="left"/>
      <w:lvlText w:val="(%1)"/>
      <w:numFmt w:val="lowerLetter"/>
      <w:start w:val="1"/>
    </w:lvl>
  </w:abstractNum>
  <w:abstractNum w:abstractNumId="134">
    <w:nsid w:val="6FE95EAC"/>
    <w:multiLevelType w:val="hybridMultilevel"/>
    <w:lvl w:ilvl="0">
      <w:lvlJc w:val="left"/>
      <w:lvlText w:val="(%1)"/>
      <w:numFmt w:val="lowerLetter"/>
      <w:start w:val="2"/>
    </w:lvl>
  </w:abstractNum>
  <w:abstractNum w:abstractNumId="135">
    <w:nsid w:val="4B697C7A"/>
    <w:multiLevelType w:val="hybridMultilevel"/>
    <w:lvl w:ilvl="0">
      <w:lvlJc w:val="left"/>
      <w:lvlText w:val="(%1)"/>
      <w:numFmt w:val="lowerLetter"/>
      <w:start w:val="10"/>
    </w:lvl>
  </w:abstractNum>
  <w:abstractNum w:abstractNumId="136">
    <w:nsid w:val="51A27AA6"/>
    <w:multiLevelType w:val="hybridMultilevel"/>
    <w:lvl w:ilvl="0">
      <w:lvlJc w:val="left"/>
      <w:lvlText w:val="(%1)"/>
      <w:numFmt w:val="lowerLetter"/>
      <w:start w:val="1"/>
    </w:lvl>
  </w:abstractNum>
  <w:abstractNum w:abstractNumId="137">
    <w:nsid w:val="613183F2"/>
    <w:multiLevelType w:val="hybridMultilevel"/>
    <w:lvl w:ilvl="0">
      <w:lvlJc w:val="left"/>
      <w:lvlText w:val="(%1)"/>
      <w:numFmt w:val="lowerLetter"/>
      <w:start w:val="1"/>
    </w:lvl>
    <w:lvl w:ilvl="1">
      <w:lvlJc w:val="left"/>
      <w:lvlText w:val="(%2)"/>
      <w:numFmt w:val="lowerLetter"/>
      <w:start w:val="35"/>
    </w:lvl>
  </w:abstractNum>
  <w:abstractNum w:abstractNumId="138">
    <w:nsid w:val="634102B4"/>
    <w:multiLevelType w:val="hybridMultilevel"/>
    <w:lvl w:ilvl="0">
      <w:lvlJc w:val="left"/>
      <w:lvlText w:val="(%1)"/>
      <w:numFmt w:val="lowerRoman"/>
      <w:start w:val="3"/>
    </w:lvl>
  </w:abstractNum>
  <w:abstractNum w:abstractNumId="139">
    <w:nsid w:val="65BF9DA8"/>
    <w:multiLevelType w:val="hybridMultilevel"/>
    <w:lvl w:ilvl="0">
      <w:lvlJc w:val="left"/>
      <w:lvlText w:val="(%1)"/>
      <w:numFmt w:val="lowerLetter"/>
      <w:start w:val="3"/>
    </w:lvl>
  </w:abstractNum>
  <w:abstractNum w:abstractNumId="140">
    <w:nsid w:val="21A2ECCA"/>
    <w:multiLevelType w:val="hybridMultilevel"/>
    <w:lvl w:ilvl="0">
      <w:lvlJc w:val="left"/>
      <w:lvlText w:val="(%1)"/>
      <w:numFmt w:val="upperLetter"/>
      <w:start w:val="1"/>
    </w:lvl>
  </w:abstractNum>
  <w:abstractNum w:abstractNumId="141">
    <w:nsid w:val="4D5C4899"/>
    <w:multiLevelType w:val="hybridMultilevel"/>
    <w:lvl w:ilvl="0">
      <w:lvlJc w:val="left"/>
      <w:lvlText w:val="%1"/>
      <w:numFmt w:val="lowerRoman"/>
      <w:start w:val="1"/>
    </w:lvl>
    <w:lvl w:ilvl="1">
      <w:lvlJc w:val="left"/>
      <w:lvlText w:val="(%2)"/>
      <w:numFmt w:val="upperLetter"/>
      <w:start w:val="2"/>
    </w:lvl>
  </w:abstractNum>
  <w:abstractNum w:abstractNumId="142">
    <w:nsid w:val="3C3B72B2"/>
    <w:multiLevelType w:val="hybridMultilevel"/>
    <w:lvl w:ilvl="0">
      <w:lvlJc w:val="left"/>
      <w:lvlText w:val="(%1)"/>
      <w:numFmt w:val="lowerRoman"/>
      <w:start w:val="1"/>
    </w:lvl>
    <w:lvl w:ilvl="1">
      <w:lvlJc w:val="left"/>
      <w:lvlText w:val="%2"/>
      <w:numFmt w:val="upperLetter"/>
      <w:start w:val="1"/>
    </w:lvl>
  </w:abstractNum>
  <w:abstractNum w:abstractNumId="143">
    <w:nsid w:val="155EC4C2"/>
    <w:multiLevelType w:val="hybridMultilevel"/>
    <w:lvl w:ilvl="0">
      <w:lvlJc w:val="left"/>
      <w:lvlText w:val="(%1)"/>
      <w:numFmt w:val="lowerLetter"/>
      <w:start w:val="1"/>
    </w:lvl>
  </w:abstractNum>
  <w:abstractNum w:abstractNumId="144">
    <w:nsid w:val="65D2A137"/>
    <w:multiLevelType w:val="hybridMultilevel"/>
    <w:lvl w:ilvl="0">
      <w:lvlJc w:val="left"/>
      <w:lvlText w:val="(%1)"/>
      <w:numFmt w:val="lowerLetter"/>
      <w:start w:val="2"/>
    </w:lvl>
  </w:abstractNum>
  <w:abstractNum w:abstractNumId="145">
    <w:nsid w:val="6EBB1F2A"/>
    <w:multiLevelType w:val="hybridMultilevel"/>
    <w:lvl w:ilvl="0">
      <w:lvlJc w:val="left"/>
      <w:lvlText w:val="(%1)"/>
      <w:numFmt w:val="lowerLetter"/>
      <w:start w:val="1"/>
    </w:lvl>
  </w:abstractNum>
  <w:abstractNum w:abstractNumId="146">
    <w:nsid w:val="6FBF29CB"/>
    <w:multiLevelType w:val="hybridMultilevel"/>
    <w:lvl w:ilvl="0">
      <w:lvlJc w:val="left"/>
      <w:lvlText w:val="(%1)"/>
      <w:numFmt w:val="lowerLetter"/>
      <w:start w:val="3"/>
    </w:lvl>
  </w:abstractNum>
  <w:abstractNum w:abstractNumId="147">
    <w:nsid w:val="550B8808"/>
    <w:multiLevelType w:val="hybridMultilevel"/>
    <w:lvl w:ilvl="0">
      <w:lvlJc w:val="left"/>
      <w:lvlText w:val="(%1)"/>
      <w:numFmt w:val="lowerLetter"/>
      <w:start w:val="7"/>
    </w:lvl>
  </w:abstractNum>
  <w:abstractNum w:abstractNumId="148">
    <w:nsid w:val="34CC3ACF"/>
    <w:multiLevelType w:val="hybridMultilevel"/>
    <w:lvl w:ilvl="0">
      <w:lvlJc w:val="left"/>
      <w:lvlText w:val="(%1)"/>
      <w:numFmt w:val="lowerLetter"/>
      <w:start w:val="1"/>
    </w:lvl>
  </w:abstractNum>
  <w:abstractNum w:abstractNumId="149">
    <w:nsid w:val="4E556261"/>
    <w:multiLevelType w:val="hybridMultilevel"/>
    <w:lvl w:ilvl="0">
      <w:lvlJc w:val="left"/>
      <w:lvlText w:val="(%1)"/>
      <w:numFmt w:val="lowerLetter"/>
      <w:start w:val="2"/>
    </w:lvl>
  </w:abstractNum>
  <w:abstractNum w:abstractNumId="150">
    <w:nsid w:val="4C672FC9"/>
    <w:multiLevelType w:val="hybridMultilevel"/>
    <w:lvl w:ilvl="0">
      <w:lvlJc w:val="left"/>
      <w:lvlText w:val="(%1)"/>
      <w:numFmt w:val="lowerLetter"/>
      <w:start w:val="1"/>
    </w:lvl>
  </w:abstractNum>
  <w:abstractNum w:abstractNumId="151">
    <w:nsid w:val="52A311C3"/>
    <w:multiLevelType w:val="hybridMultilevel"/>
    <w:lvl w:ilvl="0">
      <w:lvlJc w:val="left"/>
      <w:lvlText w:val="%1"/>
      <w:numFmt w:val="lowerLetter"/>
      <w:start w:val="1"/>
    </w:lvl>
    <w:lvl w:ilvl="1">
      <w:lvlJc w:val="left"/>
      <w:lvlText w:val="(%2)"/>
      <w:numFmt w:val="lowerLetter"/>
      <w:start w:val="2"/>
    </w:lvl>
  </w:abstractNum>
  <w:abstractNum w:abstractNumId="152">
    <w:nsid w:val="44EF6B80"/>
    <w:multiLevelType w:val="hybridMultilevel"/>
    <w:lvl w:ilvl="0">
      <w:lvlJc w:val="left"/>
      <w:lvlText w:val="(%1)"/>
      <w:numFmt w:val="lowerLetter"/>
      <w:start w:val="9"/>
    </w:lvl>
    <w:lvl w:ilvl="1">
      <w:lvlJc w:val="left"/>
      <w:lvlText w:val="%2"/>
      <w:numFmt w:val="lowerLetter"/>
      <w:start w:val="1"/>
    </w:lvl>
  </w:abstractNum>
  <w:abstractNum w:abstractNumId="153">
    <w:nsid w:val="12FCDE5E"/>
    <w:multiLevelType w:val="hybridMultilevel"/>
    <w:lvl w:ilvl="0">
      <w:lvlJc w:val="left"/>
      <w:lvlText w:val="%1"/>
      <w:numFmt w:val="lowerLetter"/>
      <w:start w:val="1"/>
    </w:lvl>
    <w:lvl w:ilvl="1">
      <w:lvlJc w:val="left"/>
      <w:lvlText w:val="(%2)"/>
      <w:numFmt w:val="lowerLetter"/>
      <w:start w:val="1"/>
    </w:lvl>
  </w:abstractNum>
  <w:abstractNum w:abstractNumId="154">
    <w:nsid w:val="4A1D606E"/>
    <w:multiLevelType w:val="hybridMultilevel"/>
    <w:lvl w:ilvl="0">
      <w:lvlJc w:val="left"/>
      <w:lvlText w:val="(%1)"/>
      <w:numFmt w:val="lowerLetter"/>
      <w:start w:val="3"/>
    </w:lvl>
    <w:lvl w:ilvl="1">
      <w:lvlJc w:val="left"/>
      <w:lvlText w:val="%2"/>
      <w:numFmt w:val="lowerLetter"/>
      <w:start w:val="1"/>
    </w:lvl>
  </w:abstractNum>
  <w:abstractNum w:abstractNumId="155">
    <w:nsid w:val="4382503"/>
    <w:multiLevelType w:val="hybridMultilevel"/>
    <w:lvl w:ilvl="0">
      <w:lvlJc w:val="left"/>
      <w:lvlText w:val="(%1)"/>
      <w:numFmt w:val="lowerLetter"/>
      <w:start w:val="1"/>
    </w:lvl>
  </w:abstractNum>
  <w:abstractNum w:abstractNumId="156">
    <w:nsid w:val="59B76E28"/>
    <w:multiLevelType w:val="hybridMultilevel"/>
    <w:lvl w:ilvl="0">
      <w:lvlJc w:val="left"/>
      <w:lvlText w:val="(%1)"/>
      <w:numFmt w:val="lowerRoman"/>
      <w:start w:val="3"/>
    </w:lvl>
  </w:abstractNum>
  <w:abstractNum w:abstractNumId="157">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8">
    <w:nsid w:val="6A92EF4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59">
    <w:nsid w:val="41ED20D7"/>
    <w:multiLevelType w:val="hybridMultilevel"/>
    <w:lvl w:ilvl="0">
      <w:lvlJc w:val="left"/>
      <w:lvlText w:val="(%1)"/>
      <w:numFmt w:val="lowerLetter"/>
      <w:start w:val="1"/>
    </w:lvl>
  </w:abstractNum>
  <w:abstractNum w:abstractNumId="160">
    <w:nsid w:val="E6B3F6A"/>
    <w:multiLevelType w:val="hybridMultilevel"/>
    <w:lvl w:ilvl="0">
      <w:lvlJc w:val="left"/>
      <w:lvlText w:val="(%1)"/>
      <w:numFmt w:val="lowerLetter"/>
      <w:start w:val="1"/>
    </w:lvl>
    <w:lvl w:ilvl="1">
      <w:lvlJc w:val="left"/>
      <w:lvlText w:val="(%2)"/>
      <w:numFmt w:val="lowerLetter"/>
      <w:start w:val="9"/>
    </w:lvl>
  </w:abstractNum>
  <w:abstractNum w:abstractNumId="161">
    <w:nsid w:val="3EB21819"/>
    <w:multiLevelType w:val="hybridMultilevel"/>
    <w:lvl w:ilvl="0">
      <w:lvlJc w:val="left"/>
      <w:lvlText w:val="(%1)"/>
      <w:numFmt w:val="lowerRoman"/>
      <w:start w:val="2"/>
    </w:lvl>
  </w:abstractNum>
  <w:abstractNum w:abstractNumId="162">
    <w:nsid w:val="41531DED"/>
    <w:multiLevelType w:val="hybridMultilevel"/>
    <w:lvl w:ilvl="0">
      <w:lvlJc w:val="left"/>
      <w:lvlText w:val="(%1)"/>
      <w:numFmt w:val="lowerLetter"/>
      <w:start w:val="2"/>
    </w:lvl>
  </w:abstractNum>
  <w:abstractNum w:abstractNumId="163">
    <w:nsid w:val="6353CD2"/>
    <w:multiLevelType w:val="hybridMultilevel"/>
    <w:lvl w:ilvl="0">
      <w:lvlJc w:val="left"/>
      <w:lvlText w:val="(%1)"/>
      <w:numFmt w:val="lowerLetter"/>
      <w:start w:val="3"/>
    </w:lvl>
  </w:abstractNum>
  <w:abstractNum w:abstractNumId="164">
    <w:nsid w:val="683CAAD3"/>
    <w:multiLevelType w:val="hybridMultilevel"/>
    <w:lvl w:ilvl="0">
      <w:lvlJc w:val="left"/>
      <w:lvlText w:val="(%1)"/>
      <w:numFmt w:val="lowerLetter"/>
      <w:start w:val="2"/>
    </w:lvl>
  </w:abstractNum>
  <w:abstractNum w:abstractNumId="165">
    <w:nsid w:val="313C7C99"/>
    <w:multiLevelType w:val="hybridMultilevel"/>
    <w:lvl w:ilvl="0">
      <w:lvlJc w:val="left"/>
      <w:lvlText w:val="(%1)"/>
      <w:numFmt w:val="lowerLetter"/>
      <w:start w:val="1"/>
    </w:lvl>
  </w:abstractNum>
  <w:abstractNum w:abstractNumId="166">
    <w:nsid w:val="519EB94C"/>
    <w:multiLevelType w:val="hybridMultilevel"/>
    <w:lvl w:ilvl="0">
      <w:lvlJc w:val="left"/>
      <w:lvlText w:val="(%1)"/>
      <w:numFmt w:val="lowerLetter"/>
      <w:start w:val="3"/>
    </w:lvl>
  </w:abstractNum>
  <w:abstractNum w:abstractNumId="167">
    <w:nsid w:val="39DF2579"/>
    <w:multiLevelType w:val="hybridMultilevel"/>
    <w:lvl w:ilvl="0">
      <w:lvlJc w:val="left"/>
      <w:lvlText w:val="(%1)"/>
      <w:numFmt w:val="lowerLetter"/>
      <w:start w:val="4"/>
    </w:lvl>
  </w:abstractNum>
  <w:abstractNum w:abstractNumId="168">
    <w:nsid w:val="126E008B"/>
    <w:multiLevelType w:val="hybridMultilevel"/>
    <w:lvl w:ilvl="0">
      <w:lvlJc w:val="left"/>
      <w:lvlText w:val="(%1)"/>
      <w:numFmt w:val="lowerLetter"/>
      <w:start w:val="2"/>
    </w:lvl>
  </w:abstractNum>
  <w:abstractNum w:abstractNumId="169">
    <w:nsid w:val="34DFBC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1F9EC322"/>
    <w:multiLevelType w:val="hybridMultilevel"/>
    <w:lvl w:ilvl="0">
      <w:lvlJc w:val="left"/>
      <w:lvlText w:val="(%1)"/>
      <w:numFmt w:val="lowerRoman"/>
      <w:start w:val="3"/>
    </w:lvl>
    <w:lvl w:ilvl="1">
      <w:lvlJc w:val="left"/>
      <w:lvlText w:val="(%2)"/>
      <w:numFmt w:val="upperLetter"/>
      <w:start w:val="1"/>
    </w:lvl>
  </w:abstractNum>
  <w:abstractNum w:abstractNumId="171">
    <w:nsid w:val="3410ED56"/>
    <w:multiLevelType w:val="hybridMultilevel"/>
    <w:lvl w:ilvl="0">
      <w:lvlJc w:val="left"/>
      <w:lvlText w:val="(%1)"/>
      <w:numFmt w:val="lowerRoman"/>
      <w:start w:val="7"/>
    </w:lvl>
  </w:abstractNum>
  <w:abstractNum w:abstractNumId="172">
    <w:nsid w:val="23C049A"/>
    <w:multiLevelType w:val="hybridMultilevel"/>
    <w:lvl w:ilvl="0">
      <w:lvlJc w:val="left"/>
      <w:lvlText w:val="(%1)"/>
      <w:numFmt w:val="lowerLetter"/>
      <w:start w:val="3"/>
    </w:lvl>
  </w:abstractNum>
  <w:abstractNum w:abstractNumId="173">
    <w:nsid w:val="5BDA35D4"/>
    <w:multiLevelType w:val="hybridMultilevel"/>
    <w:lvl w:ilvl="0">
      <w:lvlJc w:val="left"/>
      <w:lvlText w:val="(%1)"/>
      <w:numFmt w:val="lowerLetter"/>
      <w:start w:val="4"/>
    </w:lvl>
  </w:abstractNum>
  <w:abstractNum w:abstractNumId="174">
    <w:nsid w:val="496FB218"/>
    <w:multiLevelType w:val="hybridMultilevel"/>
    <w:lvl w:ilvl="0">
      <w:lvlJc w:val="left"/>
      <w:lvlText w:val="(%1)"/>
      <w:numFmt w:val="lowerLetter"/>
      <w:start w:val="5"/>
    </w:lvl>
  </w:abstractNum>
  <w:abstractNum w:abstractNumId="175">
    <w:nsid w:val="680EA5D1"/>
    <w:multiLevelType w:val="hybridMultilevel"/>
    <w:lvl w:ilvl="0">
      <w:lvlJc w:val="left"/>
      <w:lvlText w:val="(%1)"/>
      <w:numFmt w:val="lowerRoman"/>
      <w:start w:val="1"/>
    </w:lvl>
  </w:abstractNum>
  <w:abstractNum w:abstractNumId="176">
    <w:nsid w:val="4A9554FE"/>
    <w:multiLevelType w:val="hybridMultilevel"/>
    <w:lvl w:ilvl="0">
      <w:lvlJc w:val="left"/>
      <w:lvlText w:val="(%1)"/>
      <w:numFmt w:val="lowerLetter"/>
      <w:start w:val="3"/>
    </w:lvl>
  </w:abstractNum>
  <w:abstractNum w:abstractNumId="177">
    <w:nsid w:val="392EDBE4"/>
    <w:multiLevelType w:val="hybridMultilevel"/>
    <w:lvl w:ilvl="0">
      <w:lvlJc w:val="left"/>
      <w:lvlText w:val="(%1)"/>
      <w:numFmt w:val="lowerLetter"/>
      <w:start w:val="1"/>
    </w:lvl>
  </w:abstractNum>
  <w:abstractNum w:abstractNumId="178">
    <w:nsid w:val="3D1A2DD9"/>
    <w:multiLevelType w:val="hybridMultilevel"/>
    <w:lvl w:ilvl="0">
      <w:lvlJc w:val="left"/>
      <w:lvlText w:val="(%1)"/>
      <w:numFmt w:val="lowerLetter"/>
      <w:start w:val="1"/>
    </w:lvl>
  </w:abstractNum>
  <w:abstractNum w:abstractNumId="179">
    <w:nsid w:val="7F618FCD"/>
    <w:multiLevelType w:val="hybridMultilevel"/>
    <w:lvl w:ilvl="0">
      <w:lvlJc w:val="left"/>
      <w:lvlText w:val="(%1)"/>
      <w:numFmt w:val="lowerLetter"/>
      <w:start w:val="4"/>
    </w:lvl>
  </w:abstractNum>
  <w:abstractNum w:abstractNumId="180">
    <w:nsid w:val="7843E45"/>
    <w:multiLevelType w:val="hybridMultilevel"/>
    <w:lvl w:ilvl="0">
      <w:lvlJc w:val="left"/>
      <w:lvlText w:val="(%1)"/>
      <w:numFmt w:val="upperLetter"/>
      <w:start w:val="2"/>
    </w:lvl>
  </w:abstractNum>
  <w:abstractNum w:abstractNumId="181">
    <w:nsid w:val="9815DA3"/>
    <w:multiLevelType w:val="hybridMultilevel"/>
    <w:lvl w:ilvl="0">
      <w:lvlJc w:val="left"/>
      <w:lvlText w:val="(%1)"/>
      <w:numFmt w:val="lowerRoman"/>
      <w:start w:val="1"/>
    </w:lvl>
  </w:abstractNum>
  <w:abstractNum w:abstractNumId="182">
    <w:nsid w:val="5204A191"/>
    <w:multiLevelType w:val="hybridMultilevel"/>
    <w:lvl w:ilvl="0">
      <w:lvlJc w:val="left"/>
      <w:lvlText w:val="(%1)"/>
      <w:numFmt w:val="lowerLetter"/>
      <w:start w:val="1"/>
    </w:lvl>
    <w:lvl w:ilvl="1">
      <w:lvlJc w:val="left"/>
      <w:lvlText w:val="(%2)"/>
      <w:numFmt w:val="lowerLetter"/>
      <w:start w:val="9"/>
    </w:lvl>
  </w:abstractNum>
  <w:abstractNum w:abstractNumId="183">
    <w:nsid w:val="4C73A9C6"/>
    <w:multiLevelType w:val="hybridMultilevel"/>
    <w:lvl w:ilvl="0">
      <w:lvlJc w:val="left"/>
      <w:lvlText w:val="(%1)"/>
      <w:numFmt w:val="lowerRoman"/>
      <w:start w:val="2"/>
    </w:lvl>
  </w:abstractNum>
  <w:abstractNum w:abstractNumId="184">
    <w:nsid w:val="1C7E3C01"/>
    <w:multiLevelType w:val="hybridMultilevel"/>
    <w:lvl w:ilvl="0">
      <w:lvlJc w:val="left"/>
      <w:lvlText w:val="%1."/>
      <w:numFmt w:val="decimal"/>
      <w:start w:val="1"/>
    </w:lvl>
  </w:abstractNum>
  <w:abstractNum w:abstractNumId="185">
    <w:nsid w:val="1C2201FF"/>
    <w:multiLevelType w:val="hybridMultilevel"/>
    <w:lvl w:ilvl="0">
      <w:lvlJc w:val="left"/>
      <w:lvlText w:val="(%1)"/>
      <w:numFmt w:val="lowerLetter"/>
      <w:start w:val="2"/>
    </w:lvl>
  </w:abstractNum>
  <w:abstractNum w:abstractNumId="186">
    <w:nsid w:val="50ABCEC9"/>
    <w:multiLevelType w:val="hybridMultilevel"/>
    <w:lvl w:ilvl="0">
      <w:lvlJc w:val="left"/>
      <w:lvlText w:val="%1."/>
      <w:numFmt w:val="decimal"/>
      <w:start w:val="2"/>
    </w:lvl>
  </w:abstractNum>
  <w:abstractNum w:abstractNumId="187">
    <w:nsid w:val="7635AA2A"/>
    <w:multiLevelType w:val="hybridMultilevel"/>
    <w:lvl w:ilvl="0">
      <w:lvlJc w:val="left"/>
      <w:lvlText w:val="(%1)"/>
      <w:numFmt w:val="lowerLetter"/>
      <w:start w:val="2"/>
    </w:lvl>
  </w:abstractNum>
  <w:abstractNum w:abstractNumId="188">
    <w:nsid w:val="5E74C4D9"/>
    <w:multiLevelType w:val="hybridMultilevel"/>
    <w:lvl w:ilvl="0">
      <w:lvlJc w:val="left"/>
      <w:lvlText w:val="%1."/>
      <w:numFmt w:val="decimal"/>
      <w:start w:val="3"/>
    </w:lvl>
  </w:abstractNum>
  <w:abstractNum w:abstractNumId="189">
    <w:nsid w:val="3B3EBE15"/>
    <w:multiLevelType w:val="hybridMultilevel"/>
    <w:lvl w:ilvl="0">
      <w:lvlJc w:val="left"/>
      <w:lvlText w:val="%1."/>
      <w:numFmt w:val="decimal"/>
      <w:start w:val="4"/>
    </w:lvl>
  </w:abstractNum>
  <w:abstractNum w:abstractNumId="190">
    <w:nsid w:val="3822CB01"/>
    <w:multiLevelType w:val="hybridMultilevel"/>
    <w:lvl w:ilvl="0">
      <w:lvlJc w:val="left"/>
      <w:lvlText w:val="(%1)"/>
      <w:numFmt w:val="lowerLetter"/>
      <w:start w:val="1"/>
    </w:lvl>
  </w:abstractNum>
  <w:abstractNum w:abstractNumId="191">
    <w:nsid w:val="6CE00443"/>
    <w:multiLevelType w:val="hybridMultilevel"/>
    <w:lvl w:ilvl="0">
      <w:lvlJc w:val="left"/>
      <w:lvlText w:val="%1"/>
      <w:numFmt w:val="lowerLetter"/>
      <w:start w:val="1"/>
    </w:lvl>
    <w:lvl w:ilvl="1">
      <w:lvlJc w:val="left"/>
      <w:lvlText w:val="(%2)"/>
      <w:numFmt w:val="lowerLetter"/>
      <w:start w:val="3"/>
    </w:lvl>
  </w:abstractNum>
  <w:abstractNum w:abstractNumId="192">
    <w:nsid w:val="79F0D62F"/>
    <w:multiLevelType w:val="hybridMultilevel"/>
    <w:lvl w:ilvl="0">
      <w:lvlJc w:val="left"/>
      <w:lvlText w:val="(%1)"/>
      <w:numFmt w:val="lowerLetter"/>
      <w:start w:val="9"/>
    </w:lvl>
    <w:lvl w:ilvl="1">
      <w:lvlJc w:val="left"/>
      <w:lvlText w:val="(%2)"/>
      <w:numFmt w:val="lowerLetter"/>
      <w:start w:val="4"/>
    </w:lvl>
  </w:abstractNum>
  <w:abstractNum w:abstractNumId="193">
    <w:nsid w:val="7975E8EE"/>
    <w:multiLevelType w:val="hybridMultilevel"/>
    <w:lvl w:ilvl="0">
      <w:lvlJc w:val="left"/>
      <w:lvlText w:val="%1."/>
      <w:numFmt w:val="decimal"/>
      <w:start w:val="5"/>
    </w:lvl>
  </w:abstractNum>
  <w:abstractNum w:abstractNumId="194">
    <w:nsid w:val="73154115"/>
    <w:multiLevelType w:val="hybridMultilevel"/>
    <w:lvl w:ilvl="0">
      <w:lvlJc w:val="left"/>
      <w:lvlText w:val="(%1)"/>
      <w:numFmt w:val="lowerLetter"/>
      <w:start w:val="2"/>
    </w:lvl>
  </w:abstractNum>
  <w:abstractNum w:abstractNumId="195">
    <w:nsid w:val="622D8102"/>
    <w:multiLevelType w:val="hybridMultilevel"/>
    <w:lvl w:ilvl="0">
      <w:lvlJc w:val="left"/>
      <w:lvlText w:val="(%1)"/>
      <w:numFmt w:val="lowerLetter"/>
      <w:start w:val="3"/>
    </w:lvl>
  </w:abstractNum>
  <w:abstractNum w:abstractNumId="196">
    <w:nsid w:val="2AB26587"/>
    <w:multiLevelType w:val="hybridMultilevel"/>
    <w:lvl w:ilvl="0">
      <w:lvlJc w:val="left"/>
      <w:lvlText w:val="%1."/>
      <w:numFmt w:val="decimal"/>
      <w:start w:val="6"/>
    </w:lvl>
  </w:abstractNum>
  <w:abstractNum w:abstractNumId="197">
    <w:nsid w:val="44B3FA61"/>
    <w:multiLevelType w:val="hybridMultilevel"/>
    <w:lvl w:ilvl="0">
      <w:lvlJc w:val="left"/>
      <w:lvlText w:val="%1."/>
      <w:numFmt w:val="decimal"/>
      <w:start w:val="9"/>
    </w:lvl>
    <w:lvl w:ilvl="1">
      <w:lvlJc w:val="left"/>
      <w:lvlText w:val="(%2)"/>
      <w:numFmt w:val="lowerRoman"/>
      <w:start w:val="1"/>
    </w:lvl>
  </w:abstractNum>
  <w:abstractNum w:abstractNumId="198">
    <w:nsid w:val="1C0CA67C"/>
    <w:multiLevelType w:val="hybridMultilevel"/>
    <w:lvl w:ilvl="0">
      <w:lvlJc w:val="left"/>
      <w:lvlText w:val="A"/>
      <w:numFmt w:val="bullet"/>
      <w:start w:val="1"/>
    </w:lvl>
  </w:abstractNum>
  <w:abstractNum w:abstractNumId="199">
    <w:nsid w:val="3D206613"/>
    <w:multiLevelType w:val="hybridMultilevel"/>
    <w:lvl w:ilvl="0">
      <w:lvlJc w:val="left"/>
      <w:lvlText w:val="(%1)"/>
      <w:numFmt w:val="decimal"/>
      <w:start w:val="1"/>
    </w:lvl>
    <w:lvl w:ilvl="1">
      <w:lvlJc w:val="left"/>
      <w:lvlText w:val="(%2)"/>
      <w:numFmt w:val="lowerLetter"/>
      <w:start w:val="1"/>
    </w:lvl>
  </w:abstractNum>
  <w:abstractNum w:abstractNumId="200">
    <w:nsid w:val="7993B662"/>
    <w:multiLevelType w:val="hybridMultilevel"/>
    <w:lvl w:ilvl="0">
      <w:lvlJc w:val="left"/>
      <w:lvlText w:val="(%1)"/>
      <w:numFmt w:val="decimal"/>
      <w:start w:val="2"/>
    </w:lvl>
  </w:abstractNum>
  <w:abstractNum w:abstractNumId="201">
    <w:nsid w:val="3BAB699E"/>
    <w:multiLevelType w:val="hybridMultilevel"/>
    <w:lvl w:ilvl="0">
      <w:lvlJc w:val="left"/>
      <w:lvlText w:val="(%1)"/>
      <w:numFmt w:val="lowerLetter"/>
      <w:start w:val="1"/>
    </w:lvl>
  </w:abstractNum>
  <w:abstractNum w:abstractNumId="202">
    <w:nsid w:val="71315369"/>
    <w:multiLevelType w:val="hybridMultilevel"/>
    <w:lvl w:ilvl="0">
      <w:lvlJc w:val="left"/>
      <w:lvlText w:val="(%1)"/>
      <w:numFmt w:val="lowerLetter"/>
      <w:start w:val="3"/>
    </w:lvl>
  </w:abstractNum>
  <w:abstractNum w:abstractNumId="203">
    <w:nsid w:val="7BCFBAFC"/>
    <w:multiLevelType w:val="hybridMultilevel"/>
    <w:lvl w:ilvl="0">
      <w:lvlJc w:val="left"/>
      <w:lvlText w:val="(%1)"/>
      <w:numFmt w:val="lowerLetter"/>
      <w:start w:val="3"/>
    </w:lvl>
  </w:abstractNum>
  <w:abstractNum w:abstractNumId="204">
    <w:nsid w:val="17859F72"/>
    <w:multiLevelType w:val="hybridMultilevel"/>
    <w:lvl w:ilvl="0">
      <w:lvlJc w:val="left"/>
      <w:lvlText w:val="(%1)"/>
      <w:numFmt w:val="decimal"/>
      <w:start w:val="1"/>
    </w:lvl>
  </w:abstractNum>
  <w:abstractNum w:abstractNumId="205">
    <w:nsid w:val="3AA10581"/>
    <w:multiLevelType w:val="hybridMultilevel"/>
    <w:lvl w:ilvl="0">
      <w:lvlJc w:val="left"/>
      <w:lvlText w:val="(%1)"/>
      <w:numFmt w:val="lowerLetter"/>
      <w:start w:val="1"/>
    </w:lvl>
  </w:abstractNum>
  <w:abstractNum w:abstractNumId="206">
    <w:nsid w:val="63DE60CD"/>
    <w:multiLevelType w:val="hybridMultilevel"/>
    <w:lvl w:ilvl="0">
      <w:lvlJc w:val="left"/>
      <w:lvlText w:val="(%1)"/>
      <w:numFmt w:val="lowerLetter"/>
      <w:start w:val="1"/>
    </w:lvl>
  </w:abstractNum>
  <w:abstractNum w:abstractNumId="207">
    <w:nsid w:val="621AF471"/>
    <w:multiLevelType w:val="hybridMultilevel"/>
    <w:lvl w:ilvl="0">
      <w:lvlJc w:val="left"/>
      <w:lvlText w:val="(%1)"/>
      <w:numFmt w:val="lowerLetter"/>
      <w:start w:val="1"/>
    </w:lvl>
    <w:lvl w:ilvl="1">
      <w:lvlJc w:val="left"/>
      <w:lvlText w:val="(%2)"/>
      <w:numFmt w:val="lowerRoman"/>
      <w:start w:val="1"/>
    </w:lvl>
  </w:abstractNum>
  <w:abstractNum w:abstractNumId="208">
    <w:nsid w:val="73CFE165"/>
    <w:multiLevelType w:val="hybridMultilevel"/>
    <w:lvl w:ilvl="0">
      <w:lvlJc w:val="left"/>
      <w:lvlText w:val="(%1)"/>
      <w:numFmt w:val="lowerLetter"/>
      <w:start w:val="9"/>
    </w:lvl>
  </w:abstractNum>
  <w:abstractNum w:abstractNumId="209">
    <w:nsid w:val="20F88EA6"/>
    <w:multiLevelType w:val="hybridMultilevel"/>
    <w:lvl w:ilvl="0">
      <w:lvlJc w:val="left"/>
      <w:lvlText w:val="(%1)"/>
      <w:numFmt w:val="lowerLetter"/>
      <w:start w:val="4"/>
    </w:lvl>
  </w:abstractNum>
  <w:abstractNum w:abstractNumId="210">
    <w:nsid w:val="617C843E"/>
    <w:multiLevelType w:val="hybridMultilevel"/>
    <w:lvl w:ilvl="0">
      <w:lvlJc w:val="left"/>
      <w:lvlText w:val="(%1)"/>
      <w:numFmt w:val="lowerLetter"/>
      <w:start w:val="3"/>
    </w:lvl>
  </w:abstractNum>
  <w:abstractNum w:abstractNumId="211">
    <w:nsid w:val="7B541FAB"/>
    <w:multiLevelType w:val="hybridMultilevel"/>
    <w:lvl w:ilvl="0">
      <w:lvlJc w:val="left"/>
      <w:lvlText w:val="(%1)"/>
      <w:numFmt w:val="lowerLetter"/>
      <w:start w:val="1"/>
    </w:lvl>
  </w:abstractNum>
  <w:abstractNum w:abstractNumId="212">
    <w:nsid w:val="2A79EC49"/>
    <w:multiLevelType w:val="hybridMultilevel"/>
    <w:lvl w:ilvl="0">
      <w:lvlJc w:val="left"/>
      <w:lvlText w:val="(%1)"/>
      <w:numFmt w:val="lowerRoman"/>
      <w:start w:val="1"/>
    </w:lvl>
  </w:abstractNum>
  <w:abstractNum w:abstractNumId="213">
    <w:nsid w:val="338125CF"/>
    <w:multiLevelType w:val="hybridMultilevel"/>
    <w:lvl w:ilvl="0">
      <w:lvlJc w:val="left"/>
      <w:lvlText w:val="(%1)"/>
      <w:numFmt w:val="lowerRoman"/>
      <w:start w:val="7"/>
    </w:lvl>
  </w:abstractNum>
  <w:abstractNum w:abstractNumId="214">
    <w:nsid w:val="47C7C971"/>
    <w:multiLevelType w:val="hybridMultilevel"/>
    <w:lvl w:ilvl="0">
      <w:lvlJc w:val="left"/>
      <w:lvlText w:val="(%1)"/>
      <w:numFmt w:val="lowerRoman"/>
      <w:start w:val="2"/>
    </w:lvl>
  </w:abstractNum>
  <w:abstractNum w:abstractNumId="215">
    <w:nsid w:val="46F8284B"/>
    <w:multiLevelType w:val="hybridMultilevel"/>
    <w:lvl w:ilvl="0">
      <w:lvlJc w:val="left"/>
      <w:lvlText w:val="(%1)"/>
      <w:numFmt w:val="lowerRoman"/>
      <w:start w:val="1"/>
    </w:lvl>
  </w:abstractNum>
  <w:abstractNum w:abstractNumId="216">
    <w:nsid w:val="4FA327CE"/>
    <w:multiLevelType w:val="hybridMultilevel"/>
    <w:lvl w:ilvl="0">
      <w:lvlJc w:val="left"/>
      <w:lvlText w:val="(%1)"/>
      <w:numFmt w:val="lowerRoman"/>
      <w:start w:val="3"/>
    </w:lvl>
  </w:abstractNum>
  <w:abstractNum w:abstractNumId="217">
    <w:nsid w:val="1873983A"/>
    <w:multiLevelType w:val="hybridMultilevel"/>
    <w:lvl w:ilvl="0">
      <w:lvlJc w:val="left"/>
      <w:lvlText w:val="(%1)"/>
      <w:numFmt w:val="lowerLetter"/>
      <w:start w:val="2"/>
    </w:lvl>
  </w:abstractNum>
  <w:abstractNum w:abstractNumId="218">
    <w:nsid w:val="3D2DD275"/>
    <w:multiLevelType w:val="hybridMultilevel"/>
    <w:lvl w:ilvl="0">
      <w:lvlJc w:val="left"/>
      <w:lvlText w:val="%1"/>
      <w:numFmt w:val="lowerRoman"/>
      <w:start w:val="1"/>
    </w:lvl>
    <w:lvl w:ilvl="1">
      <w:lvlJc w:val="left"/>
      <w:lvlText w:val="(%2)"/>
      <w:numFmt w:val="lowerLetter"/>
      <w:start w:val="1"/>
    </w:lvl>
  </w:abstractNum>
  <w:abstractNum w:abstractNumId="219">
    <w:nsid w:val="2E17ECA7"/>
    <w:multiLevelType w:val="hybridMultilevel"/>
    <w:lvl w:ilvl="0">
      <w:lvlJc w:val="left"/>
      <w:lvlText w:val="(%1)"/>
      <w:numFmt w:val="lowerRoman"/>
      <w:start w:val="2"/>
    </w:lvl>
    <w:lvl w:ilvl="1">
      <w:lvlJc w:val="left"/>
      <w:lvlText w:val="%2"/>
      <w:numFmt w:val="lowerLetter"/>
      <w:start w:val="1"/>
    </w:lvl>
  </w:abstractNum>
  <w:abstractNum w:abstractNumId="220">
    <w:nsid w:val="53B2564F"/>
    <w:multiLevelType w:val="hybridMultilevel"/>
    <w:lvl w:ilvl="0">
      <w:lvlJc w:val="left"/>
      <w:lvlText w:val="(%1)"/>
      <w:numFmt w:val="lowerRoman"/>
      <w:start w:val="6"/>
    </w:lvl>
    <w:lvl w:ilvl="1">
      <w:lvlJc w:val="left"/>
      <w:lvlText w:val="(%2)"/>
      <w:numFmt w:val="lowerLetter"/>
      <w:start w:val="2"/>
    </w:lvl>
  </w:abstractNum>
  <w:abstractNum w:abstractNumId="221">
    <w:nsid w:val="75509D76"/>
    <w:multiLevelType w:val="hybridMultilevel"/>
    <w:lvl w:ilvl="0">
      <w:lvlJc w:val="left"/>
      <w:lvlText w:val="(%1)"/>
      <w:numFmt w:val="lowerLetter"/>
      <w:start w:val="4"/>
    </w:lvl>
  </w:abstractNum>
  <w:abstractNum w:abstractNumId="222">
    <w:nsid w:val="1AF7F0EA"/>
    <w:multiLevelType w:val="hybridMultilevel"/>
    <w:lvl w:ilvl="0">
      <w:lvlJc w:val="left"/>
      <w:lvlText w:val="(%1)"/>
      <w:numFmt w:val="lowerLetter"/>
      <w:start w:val="1"/>
    </w:lvl>
  </w:abstractNum>
  <w:abstractNum w:abstractNumId="223">
    <w:nsid w:val="4DA32C7E"/>
    <w:multiLevelType w:val="hybridMultilevel"/>
    <w:lvl w:ilvl="0">
      <w:lvlJc w:val="left"/>
      <w:lvlText w:val="(%1)"/>
      <w:numFmt w:val="lowerLetter"/>
      <w:start w:val="1"/>
    </w:lvl>
  </w:abstractNum>
  <w:abstractNum w:abstractNumId="224">
    <w:nsid w:val="6EC68664"/>
    <w:multiLevelType w:val="hybridMultilevel"/>
    <w:lvl w:ilvl="0">
      <w:lvlJc w:val="left"/>
      <w:lvlText w:val="%1"/>
      <w:numFmt w:val="upperLetter"/>
      <w:start w:val="1"/>
    </w:lvl>
    <w:lvl w:ilvl="1">
      <w:lvlJc w:val="left"/>
      <w:lvlText w:val="(%2)"/>
      <w:numFmt w:val="lowerLetter"/>
      <w:start w:val="1"/>
    </w:lvl>
  </w:abstractNum>
  <w:abstractNum w:abstractNumId="225">
    <w:nsid w:val="E0D31FF"/>
    <w:multiLevelType w:val="hybridMultilevel"/>
    <w:lvl w:ilvl="0">
      <w:lvlJc w:val="left"/>
      <w:lvlText w:val="(%1)"/>
      <w:numFmt w:val="upperLetter"/>
      <w:start w:val="1"/>
    </w:lvl>
    <w:lvl w:ilvl="1">
      <w:lvlJc w:val="left"/>
      <w:lvlText w:val="%2"/>
      <w:numFmt w:val="lowerLetter"/>
      <w:start w:val="1"/>
    </w:lvl>
  </w:abstractNum>
  <w:abstractNum w:abstractNumId="226">
    <w:nsid w:val="2FD0AD81"/>
    <w:multiLevelType w:val="hybridMultilevel"/>
    <w:lvl w:ilvl="0">
      <w:lvlJc w:val="left"/>
      <w:lvlText w:val="(%1)"/>
      <w:numFmt w:val="lowerLetter"/>
      <w:start w:val="2"/>
    </w:lvl>
  </w:abstractNum>
  <w:abstractNum w:abstractNumId="227">
    <w:nsid w:val="1978EBEB"/>
    <w:multiLevelType w:val="hybridMultilevel"/>
    <w:lvl w:ilvl="0">
      <w:lvlJc w:val="left"/>
      <w:lvlText w:val="(%1)"/>
      <w:numFmt w:val="lowerLetter"/>
      <w:start w:val="4"/>
    </w:lvl>
  </w:abstractNum>
  <w:abstractNum w:abstractNumId="228">
    <w:nsid w:val="52C12C61"/>
    <w:multiLevelType w:val="hybridMultilevel"/>
    <w:lvl w:ilvl="0">
      <w:lvlJc w:val="left"/>
      <w:lvlText w:val="(%1)"/>
      <w:numFmt w:val="lowerLetter"/>
      <w:start w:val="1"/>
    </w:lvl>
  </w:abstractNum>
  <w:abstractNum w:abstractNumId="229">
    <w:nsid w:val="4BDD53FD"/>
    <w:multiLevelType w:val="hybridMultilevel"/>
    <w:lvl w:ilvl="0">
      <w:lvlJc w:val="left"/>
      <w:lvlText w:val="(%1)"/>
      <w:numFmt w:val="lowerLetter"/>
      <w:start w:val="3"/>
    </w:lvl>
  </w:abstractNum>
  <w:abstractNum w:abstractNumId="230">
    <w:nsid w:val="569951FE"/>
    <w:multiLevelType w:val="hybridMultilevel"/>
    <w:lvl w:ilvl="0">
      <w:lvlJc w:val="left"/>
      <w:lvlText w:val="(%1)"/>
      <w:numFmt w:val="lowerRoman"/>
      <w:start w:val="1"/>
    </w:lvl>
    <w:lvl w:ilvl="1">
      <w:lvlJc w:val="left"/>
      <w:lvlText w:val="(%2)"/>
      <w:numFmt w:val="upperLetter"/>
      <w:start w:val="1"/>
    </w:lvl>
  </w:abstractNum>
  <w:abstractNum w:abstractNumId="231">
    <w:nsid w:val="4C54E2C3"/>
    <w:multiLevelType w:val="hybridMultilevel"/>
    <w:lvl w:ilvl="0">
      <w:lvlJc w:val="left"/>
      <w:lvlText w:val="(%1)"/>
      <w:numFmt w:val="lowerLetter"/>
      <w:start w:val="4"/>
    </w:lvl>
  </w:abstractNum>
  <w:abstractNum w:abstractNumId="232">
    <w:nsid w:val="788BD9B"/>
    <w:multiLevelType w:val="hybridMultilevel"/>
    <w:lvl w:ilvl="0">
      <w:lvlJc w:val="left"/>
      <w:lvlText w:val="(%1)"/>
      <w:numFmt w:val="lowerLetter"/>
      <w:start w:val="6"/>
    </w:lvl>
  </w:abstractNum>
  <w:abstractNum w:abstractNumId="233">
    <w:nsid w:val="47CAA567"/>
    <w:multiLevelType w:val="hybridMultilevel"/>
    <w:lvl w:ilvl="0">
      <w:lvlJc w:val="left"/>
      <w:lvlText w:val="(%1)"/>
      <w:numFmt w:val="lowerLetter"/>
      <w:start w:val="7"/>
    </w:lvl>
    <w:lvl w:ilvl="1">
      <w:lvlJc w:val="left"/>
      <w:lvlText w:val="(%2)"/>
      <w:numFmt w:val="lowerRoman"/>
      <w:start w:val="1"/>
    </w:lvl>
  </w:abstractNum>
  <w:abstractNum w:abstractNumId="234">
    <w:nsid w:val="48249DBF"/>
    <w:multiLevelType w:val="hybridMultilevel"/>
    <w:lvl w:ilvl="0">
      <w:lvlJc w:val="left"/>
      <w:lvlText w:val="(%1)"/>
      <w:numFmt w:val="lowerRoman"/>
      <w:start w:val="8"/>
    </w:lvl>
  </w:abstractNum>
  <w:abstractNum w:abstractNumId="235">
    <w:nsid w:val="1F0E5D0D"/>
    <w:multiLevelType w:val="hybridMultilevel"/>
    <w:lvl w:ilvl="0">
      <w:lvlJc w:val="left"/>
      <w:lvlText w:val="(%1)"/>
      <w:numFmt w:val="lowerRoman"/>
      <w:start w:val="1"/>
    </w:lvl>
  </w:abstractNum>
  <w:abstractNum w:abstractNumId="236">
    <w:nsid w:val="26BAAE9"/>
    <w:multiLevelType w:val="hybridMultilevel"/>
    <w:lvl w:ilvl="0">
      <w:lvlJc w:val="left"/>
      <w:lvlText w:val="%1"/>
      <w:numFmt w:val="upperLetter"/>
      <w:start w:val="1"/>
    </w:lvl>
    <w:lvl w:ilvl="1">
      <w:lvlJc w:val="left"/>
      <w:lvlText w:val="(%2)"/>
      <w:numFmt w:val="lowerRoman"/>
      <w:start w:val="3"/>
    </w:lvl>
  </w:abstractNum>
  <w:abstractNum w:abstractNumId="237">
    <w:nsid w:val="2C02FE8C"/>
    <w:multiLevelType w:val="hybridMultilevel"/>
    <w:lvl w:ilvl="0">
      <w:lvlJc w:val="left"/>
      <w:lvlText w:val="(%1)"/>
      <w:numFmt w:val="upperLetter"/>
      <w:start w:val="1"/>
    </w:lvl>
    <w:lvl w:ilvl="1">
      <w:lvlJc w:val="left"/>
      <w:lvlText w:val="%2"/>
      <w:numFmt w:val="lowerRoman"/>
      <w:start w:val="1"/>
    </w:lvl>
  </w:abstractNum>
  <w:abstractNum w:abstractNumId="238">
    <w:nsid w:val="129517E"/>
    <w:multiLevelType w:val="hybridMultilevel"/>
    <w:lvl w:ilvl="0">
      <w:lvlJc w:val="left"/>
      <w:lvlText w:val="(%1)"/>
      <w:numFmt w:val="lowerLetter"/>
      <w:start w:val="8"/>
    </w:lvl>
  </w:abstractNum>
  <w:abstractNum w:abstractNumId="239">
    <w:nsid w:val="763B8C4E"/>
    <w:multiLevelType w:val="hybridMultilevel"/>
    <w:lvl w:ilvl="0">
      <w:lvlJc w:val="left"/>
      <w:lvlText w:val="(%1)"/>
      <w:numFmt w:val="lowerLetter"/>
      <w:start w:val="10"/>
    </w:lvl>
  </w:abstractNum>
  <w:abstractNum w:abstractNumId="240">
    <w:nsid w:val="4CFB8D32"/>
    <w:multiLevelType w:val="hybridMultilevel"/>
    <w:lvl w:ilvl="0">
      <w:lvlJc w:val="left"/>
      <w:lvlText w:val="%1"/>
      <w:numFmt w:val="lowerLetter"/>
      <w:start w:val="1"/>
    </w:lvl>
    <w:lvl w:ilvl="1">
      <w:lvlJc w:val="left"/>
      <w:lvlText w:val="(%2)"/>
      <w:numFmt w:val="lowerLetter"/>
      <w:start w:val="13"/>
    </w:lvl>
  </w:abstractNum>
  <w:abstractNum w:abstractNumId="241">
    <w:nsid w:val="62A5D5BD"/>
    <w:multiLevelType w:val="hybridMultilevel"/>
    <w:lvl w:ilvl="0">
      <w:lvlJc w:val="left"/>
      <w:lvlText w:val="(%1)"/>
      <w:numFmt w:val="lowerLetter"/>
      <w:start w:val="6"/>
    </w:lvl>
    <w:lvl w:ilvl="1">
      <w:lvlJc w:val="left"/>
      <w:lvlText w:val="(%2)"/>
      <w:numFmt w:val="lowerLetter"/>
      <w:start w:val="14"/>
    </w:lvl>
  </w:abstractNum>
  <w:abstractNum w:abstractNumId="242">
    <w:nsid w:val="718FABF9"/>
    <w:multiLevelType w:val="hybridMultilevel"/>
    <w:lvl w:ilvl="0">
      <w:lvlJc w:val="left"/>
      <w:lvlText w:val="(%1)"/>
      <w:numFmt w:val="lowerLetter"/>
      <w:start w:val="16"/>
    </w:lvl>
    <w:lvl w:ilvl="1">
      <w:lvlJc w:val="left"/>
      <w:lvlText w:val="(%2)"/>
      <w:numFmt w:val="lowerRoman"/>
      <w:start w:val="1"/>
    </w:lvl>
  </w:abstractNum>
  <w:abstractNum w:abstractNumId="243">
    <w:nsid w:val="7775797C"/>
    <w:multiLevelType w:val="hybridMultilevel"/>
    <w:lvl w:ilvl="0">
      <w:lvlJc w:val="left"/>
      <w:lvlText w:val="(%1)"/>
      <w:numFmt w:val="upperLetter"/>
      <w:start w:val="1"/>
    </w:lvl>
  </w:abstractNum>
  <w:abstractNum w:abstractNumId="244">
    <w:nsid w:val="1626FB8C"/>
    <w:multiLevelType w:val="hybridMultilevel"/>
    <w:lvl w:ilvl="0">
      <w:lvlJc w:val="left"/>
      <w:lvlText w:val="(%1)"/>
      <w:numFmt w:val="lowerLetter"/>
      <w:start w:val="17"/>
    </w:lvl>
  </w:abstractNum>
  <w:abstractNum w:abstractNumId="245">
    <w:nsid w:val="3957756A"/>
    <w:multiLevelType w:val="hybridMultilevel"/>
    <w:lvl w:ilvl="0">
      <w:lvlJc w:val="left"/>
      <w:lvlText w:val="(%1)"/>
      <w:numFmt w:val="lowerLetter"/>
      <w:start w:val="1"/>
    </w:lvl>
  </w:abstractNum>
  <w:abstractNum w:abstractNumId="246">
    <w:nsid w:val="3E6DA1C7"/>
    <w:multiLevelType w:val="hybridMultilevel"/>
    <w:lvl w:ilvl="0">
      <w:lvlJc w:val="left"/>
      <w:lvlText w:val="%1"/>
      <w:numFmt w:val="upperLetter"/>
      <w:start w:val="1"/>
    </w:lvl>
    <w:lvl w:ilvl="1">
      <w:lvlJc w:val="left"/>
      <w:lvlText w:val="(%2)"/>
      <w:numFmt w:val="lowerLetter"/>
      <w:start w:val="2"/>
    </w:lvl>
  </w:abstractNum>
  <w:abstractNum w:abstractNumId="247">
    <w:nsid w:val="65CA235B"/>
    <w:multiLevelType w:val="hybridMultilevel"/>
    <w:lvl w:ilvl="0">
      <w:lvlJc w:val="left"/>
      <w:lvlText w:val="(%1)"/>
      <w:numFmt w:val="upperLetter"/>
      <w:start w:val="2"/>
    </w:lvl>
    <w:lvl w:ilvl="1">
      <w:lvlJc w:val="left"/>
      <w:lvlText w:val="%2"/>
      <w:numFmt w:val="lowerLetter"/>
      <w:start w:val="1"/>
    </w:lvl>
  </w:abstractNum>
  <w:abstractNum w:abstractNumId="248">
    <w:nsid w:val="51CB0DA4"/>
    <w:multiLevelType w:val="hybridMultilevel"/>
    <w:lvl w:ilvl="0">
      <w:lvlJc w:val="left"/>
      <w:lvlText w:val="(%1)"/>
      <w:numFmt w:val="lowerLetter"/>
      <w:start w:val="3"/>
    </w:lvl>
    <w:lvl w:ilvl="1">
      <w:lvlJc w:val="left"/>
      <w:lvlText w:val="(%2)"/>
      <w:numFmt w:val="lowerRoman"/>
      <w:start w:val="1"/>
    </w:lvl>
  </w:abstractNum>
  <w:abstractNum w:abstractNumId="249">
    <w:nsid w:val="7B9B743C"/>
    <w:multiLevelType w:val="hybridMultilevel"/>
    <w:lvl w:ilvl="0">
      <w:lvlJc w:val="left"/>
      <w:lvlText w:val="(%1)"/>
      <w:numFmt w:val="lowerLetter"/>
      <w:start w:val="9"/>
    </w:lvl>
    <w:lvl w:ilvl="1">
      <w:lvlJc w:val="left"/>
      <w:lvlText w:val="(%2)"/>
      <w:numFmt w:val="lowerRoman"/>
      <w:start w:val="3"/>
    </w:lvl>
  </w:abstractNum>
  <w:abstractNum w:abstractNumId="250">
    <w:nsid w:val="13E21002"/>
    <w:multiLevelType w:val="hybridMultilevel"/>
    <w:lvl w:ilvl="0">
      <w:lvlJc w:val="left"/>
      <w:lvlText w:val="%1"/>
      <w:numFmt w:val="lowerLetter"/>
      <w:start w:val="1"/>
    </w:lvl>
    <w:lvl w:ilvl="1">
      <w:lvlJc w:val="left"/>
      <w:lvlText w:val="(%2)"/>
      <w:numFmt w:val="lowerRoman"/>
      <w:start w:val="4"/>
    </w:lvl>
  </w:abstractNum>
  <w:abstractNum w:abstractNumId="251">
    <w:nsid w:val="257D63F4"/>
    <w:multiLevelType w:val="hybridMultilevel"/>
    <w:lvl w:ilvl="0">
      <w:lvlJc w:val="left"/>
      <w:lvlText w:val="(%1)"/>
      <w:numFmt w:val="lowerLetter"/>
      <w:start w:val="4"/>
    </w:lvl>
    <w:lvl w:ilvl="1">
      <w:lvlJc w:val="left"/>
      <w:lvlText w:val="(%2)"/>
      <w:numFmt w:val="lowerRoman"/>
      <w:start w:val="1"/>
    </w:lvl>
  </w:abstractNum>
  <w:abstractNum w:abstractNumId="252">
    <w:nsid w:val="70EC11B2"/>
    <w:multiLevelType w:val="hybridMultilevel"/>
    <w:lvl w:ilvl="0">
      <w:lvlJc w:val="left"/>
      <w:lvlText w:val="(%1)"/>
      <w:numFmt w:val="lowerLetter"/>
      <w:start w:val="1"/>
    </w:lvl>
  </w:abstractNum>
  <w:abstractNum w:abstractNumId="253">
    <w:nsid w:val="2EDA00ED"/>
    <w:multiLevelType w:val="hybridMultilevel"/>
    <w:lvl w:ilvl="0">
      <w:lvlJc w:val="left"/>
      <w:lvlText w:val="(%1)"/>
      <w:numFmt w:val="lowerLetter"/>
      <w:start w:val="4"/>
    </w:lvl>
  </w:abstractNum>
  <w:abstractNum w:abstractNumId="254">
    <w:nsid w:val="73209072"/>
    <w:multiLevelType w:val="hybridMultilevel"/>
    <w:lvl w:ilvl="0">
      <w:lvlJc w:val="left"/>
      <w:lvlText w:val="(%1)"/>
      <w:numFmt w:val="lowerLetter"/>
      <w:start w:val="1"/>
    </w:lvl>
  </w:abstractNum>
  <w:abstractNum w:abstractNumId="255">
    <w:nsid w:val="5FB298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6">
    <w:nsid w:val="3CE732E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257">
    <w:nsid w:val="22F13DF3"/>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58">
    <w:nsid w:val="792B8401"/>
    <w:multiLevelType w:val="hybridMultilevel"/>
    <w:lvl w:ilvl="0">
      <w:lvlJc w:val="left"/>
      <w:lvlText w:val="(%1)"/>
      <w:numFmt w:val="lowerLetter"/>
      <w:start w:val="1"/>
    </w:lvl>
  </w:abstractNum>
  <w:abstractNum w:abstractNumId="259">
    <w:nsid w:val="FA85F4D"/>
    <w:multiLevelType w:val="hybridMultilevel"/>
    <w:lvl w:ilvl="0">
      <w:lvlJc w:val="left"/>
      <w:lvlText w:val="(%1)"/>
      <w:numFmt w:val="lowerLetter"/>
      <w:start w:val="2"/>
    </w:lvl>
  </w:abstractNum>
  <w:abstractNum w:abstractNumId="260">
    <w:nsid w:val="6ECE91F0"/>
    <w:multiLevelType w:val="hybridMultilevel"/>
    <w:lvl w:ilvl="0">
      <w:lvlJc w:val="left"/>
      <w:lvlText w:val="(%1)"/>
      <w:numFmt w:val="lowerRoman"/>
      <w:start w:val="1"/>
    </w:lvl>
  </w:abstractNum>
  <w:abstractNum w:abstractNumId="261">
    <w:nsid w:val="4FC4D600"/>
    <w:multiLevelType w:val="hybridMultilevel"/>
    <w:lvl w:ilvl="0">
      <w:lvlJc w:val="left"/>
      <w:lvlText w:val="(%1)"/>
      <w:numFmt w:val="lowerLetter"/>
      <w:start w:val="1"/>
    </w:lvl>
  </w:abstractNum>
  <w:abstractNum w:abstractNumId="262">
    <w:nsid w:val="5BFD4210"/>
    <w:multiLevelType w:val="hybridMultilevel"/>
    <w:lvl w:ilvl="0">
      <w:lvlJc w:val="left"/>
      <w:lvlText w:val="(%1)"/>
      <w:numFmt w:val="lowerLetter"/>
      <w:start w:val="1"/>
    </w:lvl>
  </w:abstractNum>
  <w:abstractNum w:abstractNumId="263">
    <w:nsid w:val="76574F8B"/>
    <w:multiLevelType w:val="hybridMultilevel"/>
    <w:lvl w:ilvl="0">
      <w:lvlJc w:val="left"/>
      <w:lvlText w:val="(%1)"/>
      <w:numFmt w:val="lowerLetter"/>
      <w:start w:val="2"/>
    </w:lvl>
  </w:abstractNum>
  <w:abstractNum w:abstractNumId="264">
    <w:nsid w:val="178F7B67"/>
    <w:multiLevelType w:val="hybridMultilevel"/>
    <w:lvl w:ilvl="0">
      <w:lvlJc w:val="left"/>
      <w:lvlText w:val="(%1)"/>
      <w:numFmt w:val="lowerRoman"/>
      <w:start w:val="2"/>
    </w:lvl>
  </w:abstractNum>
  <w:abstractNum w:abstractNumId="265">
    <w:nsid w:val="2421DFCF"/>
    <w:multiLevelType w:val="hybridMultilevel"/>
    <w:lvl w:ilvl="0">
      <w:lvlJc w:val="left"/>
      <w:lvlText w:val="%1"/>
      <w:numFmt w:val="lowerLetter"/>
      <w:start w:val="1"/>
    </w:lvl>
    <w:lvl w:ilvl="1">
      <w:lvlJc w:val="left"/>
      <w:lvlText w:val="(%2)"/>
      <w:numFmt w:val="lowerRoman"/>
      <w:start w:val="3"/>
    </w:lvl>
  </w:abstractNum>
  <w:abstractNum w:abstractNumId="266">
    <w:nsid w:val="1565AC99"/>
    <w:multiLevelType w:val="hybridMultilevel"/>
    <w:lvl w:ilvl="0">
      <w:lvlJc w:val="left"/>
      <w:lvlText w:val="(%1)"/>
      <w:numFmt w:val="lowerLetter"/>
      <w:start w:val="3"/>
    </w:lvl>
    <w:lvl w:ilvl="1">
      <w:lvlJc w:val="left"/>
      <w:lvlText w:val="%2"/>
      <w:numFmt w:val="lowerRoman"/>
      <w:start w:val="1"/>
    </w:lvl>
  </w:abstractNum>
  <w:abstractNum w:abstractNumId="267">
    <w:nsid w:val="19FB2650"/>
    <w:multiLevelType w:val="hybridMultilevel"/>
    <w:lvl w:ilvl="0">
      <w:lvlJc w:val="left"/>
      <w:lvlText w:val="%1"/>
      <w:numFmt w:val="lowerLetter"/>
      <w:start w:val="1"/>
    </w:lvl>
    <w:lvl w:ilvl="1">
      <w:lvlJc w:val="left"/>
      <w:lvlText w:val="(%2)"/>
      <w:numFmt w:val="lowerRoman"/>
      <w:start w:val="1"/>
    </w:lvl>
  </w:abstractNum>
  <w:abstractNum w:abstractNumId="268">
    <w:nsid w:val="5024DE5B"/>
    <w:multiLevelType w:val="hybridMultilevel"/>
    <w:lvl w:ilvl="0">
      <w:lvlJc w:val="left"/>
      <w:lvlText w:val="(%1)"/>
      <w:numFmt w:val="lowerLetter"/>
      <w:start w:val="25"/>
    </w:lvl>
    <w:lvl w:ilvl="1">
      <w:lvlJc w:val="left"/>
      <w:lvlText w:val="%2"/>
      <w:numFmt w:val="lowerRoman"/>
      <w:start w:val="1"/>
    </w:lvl>
  </w:abstractNum>
  <w:abstractNum w:abstractNumId="269">
    <w:nsid w:val="168EFE17"/>
    <w:multiLevelType w:val="hybridMultilevel"/>
    <w:lvl w:ilvl="0">
      <w:lvlJc w:val="left"/>
      <w:lvlText w:val="(%1)"/>
      <w:numFmt w:val="lowerLetter"/>
      <w:start w:val="1"/>
    </w:lvl>
  </w:abstractNum>
  <w:abstractNum w:abstractNumId="270">
    <w:nsid w:val="1036B29F"/>
    <w:multiLevelType w:val="hybridMultilevel"/>
    <w:lvl w:ilvl="0">
      <w:lvlJc w:val="left"/>
      <w:lvlText w:val="(%1)"/>
      <w:numFmt w:val="lowerLetter"/>
      <w:start w:val="3"/>
    </w:lvl>
  </w:abstractNum>
  <w:abstractNum w:abstractNumId="271">
    <w:nsid w:val="1D206B8E"/>
    <w:multiLevelType w:val="hybridMultilevel"/>
    <w:lvl w:ilvl="0">
      <w:lvlJc w:val="left"/>
      <w:lvlText w:val="(%1)"/>
      <w:numFmt w:val="lowerLetter"/>
      <w:start w:val="6"/>
    </w:lvl>
  </w:abstractNum>
  <w:abstractNum w:abstractNumId="272">
    <w:nsid w:val="7934D3D4"/>
    <w:multiLevelType w:val="hybridMultilevel"/>
    <w:lvl w:ilvl="0">
      <w:lvlJc w:val="left"/>
      <w:lvlText w:val="(%1)"/>
      <w:numFmt w:val="lowerLetter"/>
      <w:start w:val="1"/>
    </w:lvl>
  </w:abstractNum>
  <w:abstractNum w:abstractNumId="273">
    <w:nsid w:val="1C65E98"/>
    <w:multiLevelType w:val="hybridMultilevel"/>
    <w:lvl w:ilvl="0">
      <w:lvlJc w:val="left"/>
      <w:lvlText w:val="%1"/>
      <w:numFmt w:val="lowerLetter"/>
      <w:start w:val="1"/>
    </w:lvl>
    <w:lvl w:ilvl="1">
      <w:lvlJc w:val="left"/>
      <w:lvlText w:val="(%2)"/>
      <w:numFmt w:val="lowerLetter"/>
      <w:start w:val="4"/>
    </w:lvl>
  </w:abstractNum>
  <w:abstractNum w:abstractNumId="274">
    <w:nsid w:val="1495E50A"/>
    <w:multiLevelType w:val="hybridMultilevel"/>
    <w:lvl w:ilvl="0">
      <w:lvlJc w:val="left"/>
      <w:lvlText w:val="(%1)"/>
      <w:numFmt w:val="lowerLetter"/>
      <w:start w:val="26"/>
    </w:lvl>
    <w:lvl w:ilvl="1">
      <w:lvlJc w:val="left"/>
      <w:lvlText w:val="%2"/>
      <w:numFmt w:val="lowerLetter"/>
      <w:start w:val="1"/>
    </w:lvl>
  </w:abstractNum>
  <w:abstractNum w:abstractNumId="275">
    <w:nsid w:val="F5BCF61"/>
    <w:multiLevelType w:val="hybridMultilevel"/>
    <w:lvl w:ilvl="0">
      <w:lvlJc w:val="left"/>
      <w:lvlText w:val="(%1)"/>
      <w:numFmt w:val="lowerLetter"/>
      <w:start w:val="25"/>
    </w:lvl>
    <w:lvl w:ilvl="1">
      <w:lvlJc w:val="left"/>
      <w:lvlText w:val="(%2)"/>
      <w:numFmt w:val="lowerLetter"/>
      <w:start w:val="5"/>
    </w:lvl>
  </w:abstractNum>
  <w:abstractNum w:abstractNumId="276">
    <w:nsid w:val="3B1DD403"/>
    <w:multiLevelType w:val="hybridMultilevel"/>
    <w:lvl w:ilvl="0">
      <w:lvlJc w:val="left"/>
      <w:lvlText w:val="(%1)"/>
      <w:numFmt w:val="lowerLetter"/>
      <w:start w:val="1"/>
    </w:lvl>
  </w:abstractNum>
  <w:abstractNum w:abstractNumId="277">
    <w:nsid w:val="530386D1"/>
    <w:multiLevelType w:val="hybridMultilevel"/>
    <w:lvl w:ilvl="0">
      <w:lvlJc w:val="left"/>
      <w:lvlText w:val="(%1)"/>
      <w:numFmt w:val="lowerLetter"/>
      <w:start w:val="1"/>
    </w:lvl>
    <w:lvl w:ilvl="1">
      <w:lvlJc w:val="left"/>
      <w:lvlText w:val="(%2)"/>
      <w:numFmt w:val="lowerRoman"/>
      <w:start w:val="1"/>
    </w:lvl>
  </w:abstractNum>
  <w:abstractNum w:abstractNumId="278">
    <w:nsid w:val="7525F2BC"/>
    <w:multiLevelType w:val="hybridMultilevel"/>
    <w:lvl w:ilvl="0">
      <w:lvlJc w:val="left"/>
      <w:lvlText w:val="(%1)"/>
      <w:numFmt w:val="lowerRoman"/>
      <w:start w:val="3"/>
    </w:lvl>
    <w:lvl w:ilvl="1">
      <w:lvlJc w:val="left"/>
      <w:lvlText w:val="(%2)"/>
      <w:numFmt w:val="upperLetter"/>
      <w:start w:val="1"/>
    </w:lvl>
  </w:abstractNum>
  <w:abstractNum w:abstractNumId="279">
    <w:nsid w:val="CE8E1A7"/>
    <w:multiLevelType w:val="hybridMultilevel"/>
    <w:lvl w:ilvl="0">
      <w:lvlJc w:val="left"/>
      <w:lvlText w:val="%1"/>
      <w:numFmt w:val="lowerLetter"/>
      <w:start w:val="1"/>
    </w:lvl>
    <w:lvl w:ilvl="1">
      <w:lvlJc w:val="left"/>
      <w:lvlText w:val="(%2)"/>
      <w:numFmt w:val="lowerLetter"/>
      <w:start w:val="22"/>
    </w:lvl>
  </w:abstractNum>
  <w:abstractNum w:abstractNumId="280">
    <w:nsid w:val="4E9EFB0D"/>
    <w:multiLevelType w:val="hybridMultilevel"/>
    <w:lvl w:ilvl="0">
      <w:lvlJc w:val="left"/>
      <w:lvlText w:val="(%1)"/>
      <w:numFmt w:val="lowerLetter"/>
      <w:start w:val="2"/>
    </w:lvl>
    <w:lvl w:ilvl="1">
      <w:lvlJc w:val="left"/>
      <w:lvlText w:val="%2"/>
      <w:numFmt w:val="lowerLetter"/>
      <w:start w:val="1"/>
    </w:lvl>
  </w:abstractNum>
  <w:abstractNum w:abstractNumId="281">
    <w:nsid w:val="90802BE"/>
    <w:multiLevelType w:val="hybridMultilevel"/>
    <w:lvl w:ilvl="0">
      <w:lvlJc w:val="left"/>
      <w:lvlText w:val="%1"/>
      <w:numFmt w:val="lowerLetter"/>
      <w:start w:val="1"/>
    </w:lvl>
    <w:lvl w:ilvl="1">
      <w:lvlJc w:val="left"/>
      <w:lvlText w:val="(%2)"/>
      <w:numFmt w:val="lowerLetter"/>
      <w:start w:val="1"/>
    </w:lvl>
  </w:abstractNum>
  <w:abstractNum w:abstractNumId="282">
    <w:nsid w:val="3266459B"/>
    <w:multiLevelType w:val="hybridMultilevel"/>
    <w:lvl w:ilvl="0">
      <w:lvlJc w:val="left"/>
      <w:lvlText w:val="(%1)"/>
      <w:numFmt w:val="lowerLetter"/>
      <w:start w:val="9"/>
    </w:lvl>
    <w:lvl w:ilvl="1">
      <w:lvlJc w:val="left"/>
      <w:lvlText w:val="%2"/>
      <w:numFmt w:val="lowerLetter"/>
      <w:start w:val="1"/>
    </w:lvl>
  </w:abstractNum>
  <w:abstractNum w:abstractNumId="283">
    <w:nsid w:val="3F8B0CB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84">
    <w:nsid w:val="37E203AB"/>
    <w:multiLevelType w:val="hybridMultilevel"/>
    <w:lvl w:ilvl="0">
      <w:lvlJc w:val="left"/>
      <w:lvlText w:val="(%1)"/>
      <w:numFmt w:val="upperLetter"/>
      <w:start w:val="2"/>
    </w:lvl>
    <w:lvl w:ilvl="1">
      <w:lvlJc w:val="left"/>
      <w:lvlText w:val="(%2)"/>
      <w:numFmt w:val="upperLetter"/>
      <w:start w:val="9"/>
    </w:lvl>
  </w:abstractNum>
  <w:abstractNum w:abstractNumId="285">
    <w:nsid w:val="2586D60E"/>
    <w:multiLevelType w:val="hybridMultilevel"/>
    <w:lvl w:ilvl="0">
      <w:lvlJc w:val="left"/>
      <w:lvlText w:val="(%1)"/>
      <w:numFmt w:val="upperLetter"/>
      <w:start w:val="35"/>
    </w:lvl>
  </w:abstractNum>
  <w:abstractNum w:abstractNumId="286">
    <w:nsid w:val="1F3DA4D5"/>
    <w:multiLevelType w:val="hybridMultilevel"/>
    <w:lvl w:ilvl="0">
      <w:lvlJc w:val="left"/>
      <w:lvlText w:val="(%1)"/>
      <w:numFmt w:val="upperLetter"/>
      <w:start w:val="61"/>
    </w:lvl>
  </w:abstractNum>
  <w:abstractNum w:abstractNumId="287">
    <w:nsid w:val="74C93698"/>
    <w:multiLevelType w:val="hybridMultilevel"/>
    <w:lvl w:ilvl="0">
      <w:lvlJc w:val="left"/>
      <w:lvlText w:val="(%1)"/>
      <w:numFmt w:val="upperLetter"/>
      <w:start w:val="3"/>
    </w:lvl>
  </w:abstractNum>
  <w:abstractNum w:abstractNumId="288">
    <w:nsid w:val="4878140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89">
    <w:nsid w:val="186928D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0">
    <w:nsid w:val="47195E5"/>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291">
    <w:nsid w:val="3746A5F2"/>
    <w:multiLevelType w:val="hybridMultilevel"/>
    <w:lvl w:ilvl="0">
      <w:lvlJc w:val="left"/>
      <w:lvlText w:val="(%1)"/>
      <w:numFmt w:val="lowerLetter"/>
      <w:start w:val="1"/>
    </w:lvl>
  </w:abstractNum>
  <w:abstractNum w:abstractNumId="292">
    <w:nsid w:val="682DFED6"/>
    <w:multiLevelType w:val="hybridMultilevel"/>
    <w:lvl w:ilvl="0">
      <w:lvlJc w:val="left"/>
      <w:lvlText w:val="(%1)"/>
      <w:numFmt w:val="lowerLetter"/>
      <w:start w:val="2"/>
    </w:lvl>
    <w:lvl w:ilvl="1">
      <w:lvlJc w:val="left"/>
      <w:lvlText w:val="(%2)"/>
      <w:numFmt w:val="lowerLetter"/>
      <w:start w:val="9"/>
    </w:lvl>
  </w:abstractNum>
  <w:abstractNum w:abstractNumId="293">
    <w:nsid w:val="606ED7F6"/>
    <w:multiLevelType w:val="hybridMultilevel"/>
    <w:lvl w:ilvl="0">
      <w:lvlJc w:val="left"/>
      <w:lvlText w:val="(%1)"/>
      <w:numFmt w:val="lowerLetter"/>
      <w:start w:val="35"/>
    </w:lvl>
    <w:lvl w:ilvl="1">
      <w:lvlJc w:val="left"/>
      <w:lvlText w:val="(%2)"/>
      <w:numFmt w:val="lowerLetter"/>
      <w:start w:val="25"/>
    </w:lvl>
  </w:abstractNum>
  <w:abstractNum w:abstractNumId="294">
    <w:nsid w:val="2D9DF57D"/>
    <w:multiLevelType w:val="hybridMultilevel"/>
    <w:lvl w:ilvl="0">
      <w:lvlJc w:val="left"/>
      <w:lvlText w:val="(%1)"/>
      <w:numFmt w:val="lowerRoman"/>
      <w:start w:val="3"/>
    </w:lvl>
  </w:abstractNum>
  <w:abstractNum w:abstractNumId="295">
    <w:nsid w:val="7FBD7A3E"/>
    <w:multiLevelType w:val="hybridMultilevel"/>
    <w:lvl w:ilvl="0">
      <w:lvlJc w:val="left"/>
      <w:lvlText w:val="(%1)"/>
      <w:numFmt w:val="lowerRoman"/>
      <w:start w:val="5"/>
    </w:lvl>
  </w:abstractNum>
  <w:abstractNum w:abstractNumId="296">
    <w:nsid w:val="490B7C5"/>
    <w:multiLevelType w:val="hybridMultilevel"/>
    <w:lvl w:ilvl="0">
      <w:lvlJc w:val="left"/>
      <w:lvlText w:val="(%1)"/>
      <w:numFmt w:val="lowerLetter"/>
      <w:start w:val="1"/>
    </w:lvl>
    <w:lvl w:ilvl="1">
      <w:lvlJc w:val="left"/>
      <w:lvlText w:val="(%2)"/>
      <w:numFmt w:val="lowerRoman"/>
      <w:start w:val="1"/>
    </w:lvl>
  </w:abstractNum>
  <w:abstractNum w:abstractNumId="297">
    <w:nsid w:val="4303A216"/>
    <w:multiLevelType w:val="hybridMultilevel"/>
    <w:lvl w:ilvl="0">
      <w:lvlJc w:val="left"/>
      <w:lvlText w:val="(%1)"/>
      <w:numFmt w:val="lowerLetter"/>
      <w:start w:val="2"/>
    </w:lvl>
  </w:abstractNum>
  <w:abstractNum w:abstractNumId="298">
    <w:nsid w:val="19B8A08E"/>
    <w:multiLevelType w:val="hybridMultilevel"/>
    <w:lvl w:ilvl="0">
      <w:lvlJc w:val="left"/>
      <w:lvlText w:val="%1"/>
      <w:numFmt w:val="lowerLetter"/>
      <w:start w:val="1"/>
    </w:lvl>
    <w:lvl w:ilvl="1">
      <w:lvlJc w:val="left"/>
      <w:lvlText w:val="(%2)"/>
      <w:numFmt w:val="lowerLetter"/>
      <w:start w:val="5"/>
    </w:lvl>
  </w:abstractNum>
  <w:abstractNum w:abstractNumId="299">
    <w:nsid w:val="54B59621"/>
    <w:multiLevelType w:val="hybridMultilevel"/>
    <w:lvl w:ilvl="0">
      <w:lvlJc w:val="left"/>
      <w:lvlText w:val="(%1)"/>
      <w:numFmt w:val="lowerLetter"/>
      <w:start w:val="35"/>
    </w:lvl>
    <w:lvl w:ilvl="1">
      <w:lvlJc w:val="left"/>
      <w:lvlText w:val="%2"/>
      <w:numFmt w:val="lowerLetter"/>
      <w:start w:val="1"/>
    </w:lvl>
  </w:abstractNum>
  <w:abstractNum w:abstractNumId="300">
    <w:nsid w:val="5992A02E"/>
    <w:multiLevelType w:val="hybridMultilevel"/>
    <w:lvl w:ilvl="0">
      <w:lvlJc w:val="left"/>
      <w:lvlText w:val="(%1)"/>
      <w:numFmt w:val="lowerLetter"/>
      <w:start w:val="1"/>
    </w:lvl>
  </w:abstractNum>
  <w:abstractNum w:abstractNumId="301">
    <w:nsid w:val="29EF532D"/>
    <w:multiLevelType w:val="hybridMultilevel"/>
    <w:lvl w:ilvl="0">
      <w:lvlJc w:val="left"/>
      <w:lvlText w:val="(%1)"/>
      <w:numFmt w:val="lowerLetter"/>
      <w:start w:val="1"/>
    </w:lvl>
  </w:abstractNum>
  <w:abstractNum w:abstractNumId="302">
    <w:nsid w:val="71D601AF"/>
    <w:multiLevelType w:val="hybridMultilevel"/>
    <w:lvl w:ilvl="0">
      <w:lvlJc w:val="left"/>
      <w:lvlText w:val="(%1)"/>
      <w:numFmt w:val="lowerLetter"/>
      <w:start w:val="1"/>
    </w:lvl>
    <w:lvl w:ilvl="1">
      <w:lvlJc w:val="left"/>
      <w:lvlText w:val="(%2)"/>
      <w:numFmt w:val="lowerRoman"/>
      <w:start w:val="1"/>
    </w:lvl>
  </w:abstractNum>
  <w:abstractNum w:abstractNumId="303">
    <w:nsid w:val="52C77402"/>
    <w:multiLevelType w:val="hybridMultilevel"/>
    <w:lvl w:ilvl="0">
      <w:lvlJc w:val="left"/>
      <w:lvlText w:val="%1"/>
      <w:numFmt w:val="lowerLetter"/>
      <w:start w:val="1"/>
    </w:lvl>
    <w:lvl w:ilvl="1">
      <w:lvlJc w:val="left"/>
      <w:lvlText w:val="(%2)"/>
      <w:numFmt w:val="lowerRoman"/>
      <w:start w:val="9"/>
    </w:lvl>
  </w:abstractNum>
  <w:abstractNum w:abstractNumId="304">
    <w:nsid w:val="2BB5B1C6"/>
    <w:multiLevelType w:val="hybridMultilevel"/>
    <w:lvl w:ilvl="0">
      <w:lvlJc w:val="left"/>
      <w:lvlText w:val="(%1)"/>
      <w:numFmt w:val="lowerLetter"/>
      <w:start w:val="2"/>
    </w:lvl>
    <w:lvl w:ilvl="1">
      <w:lvlJc w:val="left"/>
      <w:lvlText w:val="%2"/>
      <w:numFmt w:val="lowerRoman"/>
      <w:start w:val="1"/>
    </w:lvl>
  </w:abstractNum>
  <w:abstractNum w:abstractNumId="305">
    <w:nsid w:val="66BE6B9"/>
    <w:multiLevelType w:val="hybridMultilevel"/>
    <w:lvl w:ilvl="0">
      <w:lvlJc w:val="left"/>
      <w:lvlText w:val="(%1)"/>
      <w:numFmt w:val="lowerLetter"/>
      <w:start w:val="1"/>
    </w:lvl>
  </w:abstractNum>
  <w:abstractNum w:abstractNumId="306">
    <w:nsid w:val="62234363"/>
    <w:multiLevelType w:val="hybridMultilevel"/>
    <w:lvl w:ilvl="0">
      <w:lvlJc w:val="left"/>
      <w:lvlText w:val="(%1)"/>
      <w:numFmt w:val="lowerLetter"/>
      <w:start w:val="4"/>
    </w:lvl>
  </w:abstractNum>
  <w:abstractNum w:abstractNumId="307">
    <w:nsid w:val="66D385C9"/>
    <w:multiLevelType w:val="hybridMultilevel"/>
    <w:lvl w:ilvl="0">
      <w:lvlJc w:val="left"/>
      <w:lvlText w:val="(%1)"/>
      <w:numFmt w:val="lowerLetter"/>
      <w:start w:val="1"/>
    </w:lvl>
  </w:abstractNum>
  <w:abstractNum w:abstractNumId="308">
    <w:nsid w:val="596F6D8A"/>
    <w:multiLevelType w:val="hybridMultilevel"/>
    <w:lvl w:ilvl="0">
      <w:lvlJc w:val="left"/>
      <w:lvlText w:val="%1"/>
      <w:numFmt w:val="lowerLetter"/>
      <w:start w:val="1"/>
    </w:lvl>
    <w:lvl w:ilvl="1">
      <w:lvlJc w:val="left"/>
      <w:lvlText w:val="(%2)"/>
      <w:numFmt w:val="lowerLetter"/>
      <w:start w:val="2"/>
    </w:lvl>
  </w:abstractNum>
  <w:abstractNum w:abstractNumId="309">
    <w:nsid w:val="5749361F"/>
    <w:multiLevelType w:val="hybridMultilevel"/>
    <w:lvl w:ilvl="0">
      <w:lvlJc w:val="left"/>
      <w:lvlText w:val="(%1)"/>
      <w:numFmt w:val="lowerLetter"/>
      <w:start w:val="9"/>
    </w:lvl>
    <w:lvl w:ilvl="1">
      <w:lvlJc w:val="left"/>
      <w:lvlText w:val="(%2)"/>
      <w:numFmt w:val="lowerLetter"/>
      <w:start w:val="3"/>
    </w:lvl>
  </w:abstractNum>
  <w:abstractNum w:abstractNumId="310">
    <w:nsid w:val="73BC6770"/>
    <w:multiLevelType w:val="hybridMultilevel"/>
    <w:lvl w:ilvl="0">
      <w:lvlJc w:val="left"/>
      <w:lvlText w:val="(%1)"/>
      <w:numFmt w:val="lowerLetter"/>
      <w:start w:val="1"/>
    </w:lvl>
  </w:abstractNum>
  <w:abstractNum w:abstractNumId="311">
    <w:nsid w:val="280E6897"/>
    <w:multiLevelType w:val="hybridMultilevel"/>
    <w:lvl w:ilvl="0">
      <w:lvlJc w:val="left"/>
      <w:lvlText w:val="%1"/>
      <w:numFmt w:val="lowerLetter"/>
      <w:start w:val="1"/>
    </w:lvl>
    <w:lvl w:ilvl="1">
      <w:lvlJc w:val="left"/>
      <w:lvlText w:val="(%2)"/>
      <w:numFmt w:val="lowerLetter"/>
      <w:start w:val="2"/>
    </w:lvl>
  </w:abstractNum>
  <w:abstractNum w:abstractNumId="312">
    <w:nsid w:val="605138DE"/>
    <w:multiLevelType w:val="hybridMultilevel"/>
    <w:lvl w:ilvl="0">
      <w:lvlJc w:val="left"/>
      <w:lvlText w:val="(%1)"/>
      <w:numFmt w:val="lowerLetter"/>
      <w:start w:val="22"/>
    </w:lvl>
    <w:lvl w:ilvl="1">
      <w:lvlJc w:val="left"/>
      <w:lvlText w:val="%2"/>
      <w:numFmt w:val="lowerLetter"/>
      <w:start w:val="1"/>
    </w:lvl>
  </w:abstractNum>
  <w:abstractNum w:abstractNumId="313">
    <w:nsid w:val="2622AD0C"/>
    <w:multiLevelType w:val="hybridMultilevel"/>
    <w:lvl w:ilvl="0">
      <w:lvlJc w:val="left"/>
      <w:lvlText w:val="(%1)"/>
      <w:numFmt w:val="lowerLetter"/>
      <w:start w:val="1"/>
    </w:lvl>
  </w:abstractNum>
  <w:abstractNum w:abstractNumId="314">
    <w:nsid w:val="67997556"/>
    <w:multiLevelType w:val="hybridMultilevel"/>
    <w:lvl w:ilvl="0">
      <w:lvlJc w:val="left"/>
      <w:lvlText w:val="(%1)"/>
      <w:numFmt w:val="lowerLetter"/>
      <w:start w:val="2"/>
    </w:lvl>
  </w:abstractNum>
  <w:abstractNum w:abstractNumId="315">
    <w:nsid w:val="18333C89"/>
    <w:multiLevelType w:val="hybridMultilevel"/>
    <w:lvl w:ilvl="0">
      <w:lvlJc w:val="left"/>
      <w:lvlText w:val="(%1)"/>
      <w:numFmt w:val="lowerLetter"/>
      <w:start w:val="1"/>
    </w:lvl>
  </w:abstractNum>
  <w:abstractNum w:abstractNumId="316">
    <w:nsid w:val="4BA9831A"/>
    <w:multiLevelType w:val="hybridMultilevel"/>
    <w:lvl w:ilvl="0">
      <w:lvlJc w:val="left"/>
      <w:lvlText w:val="(%1)"/>
      <w:numFmt w:val="lowerLetter"/>
      <w:start w:val="2"/>
    </w:lvl>
  </w:abstractNum>
  <w:abstractNum w:abstractNumId="317">
    <w:nsid w:val="6D71A2B"/>
    <w:multiLevelType w:val="hybridMultilevel"/>
    <w:lvl w:ilvl="0">
      <w:lvlJc w:val="left"/>
      <w:lvlText w:val="(%1)"/>
      <w:numFmt w:val="lowerLetter"/>
      <w:start w:val="1"/>
    </w:lvl>
  </w:abstractNum>
  <w:abstractNum w:abstractNumId="318">
    <w:nsid w:val="CFC7321"/>
    <w:multiLevelType w:val="hybridMultilevel"/>
    <w:lvl w:ilvl="0">
      <w:lvlJc w:val="left"/>
      <w:lvlText w:val="(%1)"/>
      <w:numFmt w:val="lowerLetter"/>
      <w:start w:val="2"/>
    </w:lvl>
  </w:abstractNum>
  <w:abstractNum w:abstractNumId="319">
    <w:nsid w:val="1421971B"/>
    <w:multiLevelType w:val="hybridMultilevel"/>
    <w:lvl w:ilvl="0">
      <w:lvlJc w:val="left"/>
      <w:lvlText w:val="(%1)"/>
      <w:numFmt w:val="lowerLetter"/>
      <w:start w:val="3"/>
    </w:lvl>
    <w:lvl w:ilvl="1">
      <w:lvlJc w:val="left"/>
      <w:lvlText w:val="(%2)"/>
      <w:numFmt w:val="lowerLetter"/>
      <w:start w:val="1"/>
    </w:lvl>
  </w:abstractNum>
  <w:abstractNum w:abstractNumId="320">
    <w:nsid w:val="1F404301"/>
    <w:multiLevelType w:val="hybridMultilevel"/>
    <w:lvl w:ilvl="0">
      <w:lvlJc w:val="left"/>
      <w:lvlText w:val="(%1)"/>
      <w:numFmt w:val="lowerRoman"/>
      <w:start w:val="2"/>
    </w:lvl>
  </w:abstractNum>
  <w:abstractNum w:abstractNumId="321">
    <w:nsid w:val="116E0907"/>
    <w:multiLevelType w:val="hybridMultilevel"/>
    <w:lvl w:ilvl="0">
      <w:lvlJc w:val="left"/>
      <w:lvlText w:val="(%1)"/>
      <w:numFmt w:val="lowerLetter"/>
      <w:start w:val="1"/>
    </w:lvl>
  </w:abstractNum>
  <w:abstractNum w:abstractNumId="322">
    <w:nsid w:val="4B683D0D"/>
    <w:multiLevelType w:val="hybridMultilevel"/>
    <w:lvl w:ilvl="0">
      <w:lvlJc w:val="left"/>
      <w:lvlText w:val="(%1)"/>
      <w:numFmt w:val="lowerRoman"/>
      <w:start w:val="3"/>
    </w:lvl>
  </w:abstractNum>
  <w:abstractNum w:abstractNumId="323">
    <w:nsid w:val="76E41D8"/>
    <w:multiLevelType w:val="hybridMultilevel"/>
    <w:lvl w:ilvl="0">
      <w:lvlJc w:val="left"/>
      <w:lvlText w:val="(%1)"/>
      <w:numFmt w:val="lowerLetter"/>
      <w:start w:val="1"/>
    </w:lvl>
  </w:abstractNum>
  <w:abstractNum w:abstractNumId="324">
    <w:nsid w:val="71DCE0FD"/>
    <w:multiLevelType w:val="hybridMultilevel"/>
    <w:lvl w:ilvl="0">
      <w:lvlJc w:val="left"/>
      <w:lvlText w:val="(%1)"/>
      <w:numFmt w:val="lowerLetter"/>
      <w:start w:val="2"/>
    </w:lvl>
  </w:abstractNum>
  <w:abstractNum w:abstractNumId="325">
    <w:nsid w:val="7906328B"/>
    <w:multiLevelType w:val="hybridMultilevel"/>
    <w:lvl w:ilvl="0">
      <w:lvlJc w:val="left"/>
      <w:lvlText w:val="(%1)"/>
      <w:numFmt w:val="lowerLetter"/>
      <w:start w:val="1"/>
    </w:lvl>
    <w:lvl w:ilvl="1">
      <w:lvlJc w:val="left"/>
      <w:lvlText w:val="(%2)"/>
      <w:numFmt w:val="lowerRoman"/>
      <w:start w:val="2"/>
    </w:lvl>
  </w:abstractNum>
  <w:abstractNum w:abstractNumId="326">
    <w:nsid w:val="72BBC16"/>
    <w:multiLevelType w:val="hybridMultilevel"/>
    <w:lvl w:ilvl="0">
      <w:lvlJc w:val="left"/>
      <w:lvlText w:val="(%1)"/>
      <w:numFmt w:val="lowerLetter"/>
      <w:start w:val="1"/>
    </w:lvl>
  </w:abstractNum>
  <w:abstractNum w:abstractNumId="327">
    <w:nsid w:val="766D98C2"/>
    <w:multiLevelType w:val="hybridMultilevel"/>
    <w:lvl w:ilvl="0">
      <w:lvlJc w:val="left"/>
      <w:lvlText w:val="(%1)"/>
      <w:numFmt w:val="lowerLetter"/>
      <w:start w:val="1"/>
    </w:lvl>
  </w:abstractNum>
  <w:abstractNum w:abstractNumId="328">
    <w:nsid w:val="3C09D4A1"/>
    <w:multiLevelType w:val="hybridMultilevel"/>
    <w:lvl w:ilvl="0">
      <w:lvlJc w:val="left"/>
      <w:lvlText w:val="%1"/>
      <w:numFmt w:val="lowerLetter"/>
      <w:start w:val="1"/>
    </w:lvl>
    <w:lvl w:ilvl="1">
      <w:lvlJc w:val="left"/>
      <w:lvlText w:val="(%2)"/>
      <w:numFmt w:val="lowerLetter"/>
      <w:start w:val="2"/>
    </w:lvl>
  </w:abstractNum>
  <w:abstractNum w:abstractNumId="329">
    <w:nsid w:val="20E45CA4"/>
    <w:multiLevelType w:val="hybridMultilevel"/>
    <w:lvl w:ilvl="0">
      <w:lvlJc w:val="left"/>
      <w:lvlText w:val="(%1)"/>
      <w:numFmt w:val="lowerLetter"/>
      <w:start w:val="35"/>
    </w:lvl>
    <w:lvl w:ilvl="1">
      <w:lvlJc w:val="left"/>
      <w:lvlText w:val="(%2)"/>
      <w:numFmt w:val="lowerLetter"/>
      <w:start w:val="3"/>
    </w:lvl>
  </w:abstractNum>
  <w:abstractNum w:abstractNumId="330">
    <w:nsid w:val="4B232EE3"/>
    <w:multiLevelType w:val="hybridMultilevel"/>
    <w:lvl w:ilvl="0">
      <w:lvlJc w:val="left"/>
      <w:lvlText w:val="(%1)"/>
      <w:numFmt w:val="lowerRoman"/>
      <w:start w:val="1"/>
    </w:lvl>
  </w:abstractNum>
  <w:abstractNum w:abstractNumId="331">
    <w:nsid w:val="159C74CF"/>
    <w:multiLevelType w:val="hybridMultilevel"/>
    <w:lvl w:ilvl="0">
      <w:lvlJc w:val="left"/>
      <w:lvlText w:val="%1"/>
      <w:numFmt w:val="upperLetter"/>
      <w:start w:val="1"/>
    </w:lvl>
    <w:lvl w:ilvl="1">
      <w:lvlJc w:val="left"/>
      <w:lvlText w:val="(%2)"/>
      <w:numFmt w:val="lowerLetter"/>
      <w:start w:val="1"/>
    </w:lvl>
  </w:abstractNum>
  <w:abstractNum w:abstractNumId="332">
    <w:nsid w:val="4AD3AFD2"/>
    <w:multiLevelType w:val="hybridMultilevel"/>
    <w:lvl w:ilvl="0">
      <w:lvlJc w:val="left"/>
      <w:lvlText w:val="(%1)"/>
      <w:numFmt w:val="upperLetter"/>
      <w:start w:val="2"/>
    </w:lvl>
    <w:lvl w:ilvl="1">
      <w:lvlJc w:val="left"/>
      <w:lvlText w:val="(%2)"/>
      <w:numFmt w:val="lowerLetter"/>
      <w:start w:val="2"/>
    </w:lvl>
  </w:abstractNum>
  <w:abstractNum w:abstractNumId="333">
    <w:nsid w:val="3CF93092"/>
    <w:multiLevelType w:val="hybridMultilevel"/>
    <w:lvl w:ilvl="0">
      <w:lvlJc w:val="left"/>
      <w:lvlText w:val="(%1)"/>
      <w:numFmt w:val="lowerLetter"/>
      <w:start w:val="6"/>
    </w:lvl>
  </w:abstractNum>
  <w:abstractNum w:abstractNumId="334">
    <w:nsid w:val="6863E8D2"/>
    <w:multiLevelType w:val="hybridMultilevel"/>
    <w:lvl w:ilvl="0">
      <w:lvlJc w:val="left"/>
      <w:lvlText w:val="(%1)"/>
      <w:numFmt w:val="lowerLetter"/>
      <w:start w:val="9"/>
    </w:lvl>
  </w:abstractNum>
  <w:abstractNum w:abstractNumId="335">
    <w:nsid w:val="76896198"/>
    <w:multiLevelType w:val="hybridMultilevel"/>
    <w:lvl w:ilvl="0">
      <w:lvlJc w:val="left"/>
      <w:lvlText w:val="(%1)"/>
      <w:numFmt w:val="lowerLetter"/>
      <w:start w:val="1"/>
    </w:lvl>
  </w:abstractNum>
  <w:abstractNum w:abstractNumId="336">
    <w:nsid w:val="4365174B"/>
    <w:multiLevelType w:val="hybridMultilevel"/>
    <w:lvl w:ilvl="0">
      <w:lvlJc w:val="left"/>
      <w:lvlText w:val="(%1)"/>
      <w:numFmt w:val="lowerLetter"/>
      <w:start w:val="4"/>
    </w:lvl>
  </w:abstractNum>
  <w:abstractNum w:abstractNumId="337">
    <w:nsid w:val="4A872C35"/>
    <w:multiLevelType w:val="hybridMultilevel"/>
    <w:lvl w:ilvl="0">
      <w:lvlJc w:val="left"/>
      <w:lvlText w:val="(%1)"/>
      <w:numFmt w:val="lowerLetter"/>
      <w:start w:val="1"/>
    </w:lvl>
  </w:abstractNum>
  <w:abstractNum w:abstractNumId="338">
    <w:nsid w:val="5D5CE761"/>
    <w:multiLevelType w:val="hybridMultilevel"/>
    <w:lvl w:ilvl="0">
      <w:lvlJc w:val="left"/>
      <w:lvlText w:val="(%1)"/>
      <w:numFmt w:val="lowerLetter"/>
      <w:start w:val="1"/>
    </w:lvl>
  </w:abstractNum>
  <w:abstractNum w:abstractNumId="339">
    <w:nsid w:val="1CD484D5"/>
    <w:multiLevelType w:val="hybridMultilevel"/>
    <w:lvl w:ilvl="0">
      <w:lvlJc w:val="left"/>
      <w:lvlText w:val="%1"/>
      <w:numFmt w:val="lowerLetter"/>
      <w:start w:val="1"/>
    </w:lvl>
    <w:lvl w:ilvl="1">
      <w:lvlJc w:val="left"/>
      <w:lvlText w:val="(%2)"/>
      <w:numFmt w:val="lowerLetter"/>
      <w:start w:val="5"/>
    </w:lvl>
  </w:abstractNum>
  <w:abstractNum w:abstractNumId="340">
    <w:nsid w:val="21D06255"/>
    <w:multiLevelType w:val="hybridMultilevel"/>
    <w:lvl w:ilvl="0">
      <w:lvlJc w:val="left"/>
      <w:lvlText w:val="(%1)"/>
      <w:numFmt w:val="lowerLetter"/>
      <w:start w:val="9"/>
    </w:lvl>
    <w:lvl w:ilvl="1">
      <w:lvlJc w:val="left"/>
      <w:lvlText w:val="%2"/>
      <w:numFmt w:val="lowerLetter"/>
      <w:start w:val="1"/>
    </w:lvl>
  </w:abstractNum>
  <w:abstractNum w:abstractNumId="341">
    <w:nsid w:val="51194ED1"/>
    <w:multiLevelType w:val="hybridMultilevel"/>
    <w:lvl w:ilvl="0">
      <w:lvlJc w:val="left"/>
      <w:lvlText w:val="(%1)"/>
      <w:numFmt w:val="lowerLetter"/>
      <w:start w:val="1"/>
    </w:lvl>
  </w:abstractNum>
  <w:abstractNum w:abstractNumId="342">
    <w:nsid w:val="44E2ED6C"/>
    <w:multiLevelType w:val="hybridMultilevel"/>
    <w:lvl w:ilvl="0">
      <w:lvlJc w:val="left"/>
      <w:lvlText w:val="%1"/>
      <w:numFmt w:val="lowerLetter"/>
      <w:start w:val="1"/>
    </w:lvl>
    <w:lvl w:ilvl="1">
      <w:lvlJc w:val="left"/>
      <w:lvlText w:val="(%2)"/>
      <w:numFmt w:val="lowerLetter"/>
      <w:start w:val="2"/>
    </w:lvl>
  </w:abstractNum>
  <w:abstractNum w:abstractNumId="343">
    <w:nsid w:val="2219B33"/>
    <w:multiLevelType w:val="hybridMultilevel"/>
    <w:lvl w:ilvl="0">
      <w:lvlJc w:val="left"/>
      <w:lvlText w:val="(%1)"/>
      <w:numFmt w:val="lowerLetter"/>
      <w:start w:val="3"/>
    </w:lvl>
    <w:lvl w:ilvl="1">
      <w:lvlJc w:val="left"/>
      <w:lvlText w:val="%2"/>
      <w:numFmt w:val="lowerLetter"/>
      <w:start w:val="1"/>
    </w:lvl>
  </w:abstractNum>
  <w:abstractNum w:abstractNumId="344">
    <w:nsid w:val="773BFBDD"/>
    <w:multiLevelType w:val="hybridMultilevel"/>
    <w:lvl w:ilvl="0">
      <w:lvlJc w:val="left"/>
      <w:lvlText w:val="(%1)"/>
      <w:numFmt w:val="lowerLetter"/>
      <w:start w:val="1"/>
    </w:lvl>
  </w:abstractNum>
  <w:abstractNum w:abstractNumId="345">
    <w:nsid w:val="2C7C62C2"/>
    <w:multiLevelType w:val="hybridMultilevel"/>
    <w:lvl w:ilvl="0">
      <w:lvlJc w:val="left"/>
      <w:lvlText w:val="(%1)"/>
      <w:numFmt w:val="lowerLetter"/>
      <w:start w:val="1"/>
    </w:lvl>
    <w:lvl w:ilvl="1">
      <w:lvlJc w:val="left"/>
      <w:lvlText w:val="(%2)"/>
      <w:numFmt w:val="lowerRoman"/>
      <w:start w:val="1"/>
    </w:lvl>
  </w:abstractNum>
  <w:abstractNum w:abstractNumId="346">
    <w:nsid w:val="1A54D7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47">
    <w:nsid w:val="42E57EF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8">
    <w:nsid w:val="33537CED"/>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49">
    <w:nsid w:val="27514ADE"/>
    <w:multiLevelType w:val="hybridMultilevel"/>
    <w:lvl w:ilvl="0">
      <w:lvlJc w:val="left"/>
      <w:lvlText w:val="(%1)"/>
      <w:numFmt w:val="lowerLetter"/>
      <w:start w:val="1"/>
    </w:lvl>
  </w:abstractNum>
  <w:abstractNum w:abstractNumId="350">
    <w:nsid w:val="57071613"/>
    <w:multiLevelType w:val="hybridMultilevel"/>
    <w:lvl w:ilvl="0">
      <w:lvlJc w:val="left"/>
      <w:lvlText w:val="(%1)"/>
      <w:numFmt w:val="lowerLetter"/>
      <w:start w:val="6"/>
    </w:lvl>
  </w:abstractNum>
  <w:abstractNum w:abstractNumId="351">
    <w:nsid w:val="5293BFEF"/>
    <w:multiLevelType w:val="hybridMultilevel"/>
    <w:lvl w:ilvl="0">
      <w:lvlJc w:val="left"/>
      <w:lvlText w:val="(%1)"/>
      <w:numFmt w:val="lowerLetter"/>
      <w:start w:val="1"/>
    </w:lvl>
    <w:lvl w:ilvl="1">
      <w:lvlJc w:val="left"/>
      <w:lvlText w:val="(%2)"/>
      <w:numFmt w:val="lowerRoman"/>
      <w:start w:val="1"/>
    </w:lvl>
  </w:abstractNum>
  <w:abstractNum w:abstractNumId="352">
    <w:nsid w:val="38BF53E5"/>
    <w:multiLevelType w:val="hybridMultilevel"/>
    <w:lvl w:ilvl="0">
      <w:lvlJc w:val="left"/>
      <w:lvlText w:val="(%1)"/>
      <w:numFmt w:val="lowerLetter"/>
      <w:start w:val="2"/>
    </w:lvl>
  </w:abstractNum>
  <w:abstractNum w:abstractNumId="353">
    <w:nsid w:val="226F5320"/>
    <w:multiLevelType w:val="hybridMultilevel"/>
    <w:lvl w:ilvl="0">
      <w:lvlJc w:val="left"/>
      <w:lvlText w:val="(%1)"/>
      <w:numFmt w:val="lowerLetter"/>
      <w:start w:val="3"/>
    </w:lvl>
  </w:abstractNum>
  <w:abstractNum w:abstractNumId="354">
    <w:nsid w:val="5A0201C7"/>
    <w:multiLevelType w:val="hybridMultilevel"/>
    <w:lvl w:ilvl="0">
      <w:lvlJc w:val="left"/>
      <w:lvlText w:val="(%1)"/>
      <w:numFmt w:val="lowerLetter"/>
      <w:start w:val="5"/>
    </w:lvl>
  </w:abstractNum>
  <w:abstractNum w:abstractNumId="355">
    <w:nsid w:val="2A9C34E2"/>
    <w:multiLevelType w:val="hybridMultilevel"/>
    <w:lvl w:ilvl="0">
      <w:lvlJc w:val="left"/>
      <w:lvlText w:val="(%1)"/>
      <w:numFmt w:val="lowerLetter"/>
      <w:start w:val="2"/>
    </w:lvl>
  </w:abstractNum>
  <w:abstractNum w:abstractNumId="356">
    <w:nsid w:val="1B7585AB"/>
    <w:multiLevelType w:val="hybridMultilevel"/>
    <w:lvl w:ilvl="0">
      <w:lvlJc w:val="left"/>
      <w:lvlText w:val="(%1)"/>
      <w:numFmt w:val="lowerLetter"/>
      <w:start w:val="1"/>
    </w:lvl>
  </w:abstractNum>
  <w:abstractNum w:abstractNumId="357">
    <w:nsid w:val="612DBDDD"/>
    <w:multiLevelType w:val="hybridMultilevel"/>
    <w:lvl w:ilvl="0">
      <w:lvlJc w:val="left"/>
      <w:lvlText w:val="(%1)"/>
      <w:numFmt w:val="lowerLetter"/>
      <w:start w:val="2"/>
    </w:lvl>
  </w:abstractNum>
  <w:abstractNum w:abstractNumId="358">
    <w:nsid w:val="2109CDA4"/>
    <w:multiLevelType w:val="hybridMultilevel"/>
    <w:lvl w:ilvl="0">
      <w:lvlJc w:val="left"/>
      <w:lvlText w:val="%1"/>
      <w:numFmt w:val="lowerLetter"/>
      <w:start w:val="1"/>
    </w:lvl>
    <w:lvl w:ilvl="1">
      <w:lvlJc w:val="left"/>
      <w:lvlText w:val="(%2)"/>
      <w:numFmt w:val="lowerLetter"/>
      <w:start w:val="3"/>
    </w:lvl>
  </w:abstractNum>
  <w:abstractNum w:abstractNumId="359">
    <w:nsid w:val="577F5A4D"/>
    <w:multiLevelType w:val="hybridMultilevel"/>
    <w:lvl w:ilvl="0">
      <w:lvlJc w:val="left"/>
      <w:lvlText w:val="(%1)"/>
      <w:numFmt w:val="lowerLetter"/>
      <w:start w:val="1"/>
    </w:lvl>
    <w:lvl w:ilvl="1">
      <w:lvlJc w:val="left"/>
      <w:lvlText w:val="(%2)"/>
      <w:numFmt w:val="lowerLetter"/>
      <w:start w:val="4"/>
    </w:lvl>
  </w:abstractNum>
  <w:abstractNum w:abstractNumId="360">
    <w:nsid w:val="2121A81"/>
    <w:multiLevelType w:val="hybridMultilevel"/>
    <w:lvl w:ilvl="0">
      <w:lvlJc w:val="left"/>
      <w:lvlText w:val="(%1)"/>
      <w:numFmt w:val="lowerLetter"/>
      <w:start w:val="1"/>
    </w:lvl>
  </w:abstractNum>
  <w:abstractNum w:abstractNumId="361">
    <w:nsid w:val="6C2CFC88"/>
    <w:multiLevelType w:val="hybridMultilevel"/>
    <w:lvl w:ilvl="0">
      <w:lvlJc w:val="left"/>
      <w:lvlText w:val="(%1)"/>
      <w:numFmt w:val="lowerRoman"/>
      <w:start w:val="1"/>
    </w:lvl>
    <w:lvl w:ilvl="1">
      <w:lvlJc w:val="left"/>
      <w:lvlText w:val="(%2)"/>
      <w:numFmt w:val="upperLetter"/>
      <w:start w:val="1"/>
    </w:lvl>
  </w:abstractNum>
  <w:abstractNum w:abstractNumId="362">
    <w:nsid w:val="6D1BCF1C"/>
    <w:multiLevelType w:val="hybridMultilevel"/>
    <w:lvl w:ilvl="0">
      <w:lvlJc w:val="left"/>
      <w:lvlText w:val="%1"/>
      <w:numFmt w:val="lowerRoman"/>
      <w:start w:val="1"/>
    </w:lvl>
    <w:lvl w:ilvl="1">
      <w:lvlJc w:val="left"/>
      <w:lvlText w:val="(%2)"/>
      <w:numFmt w:val="upperLetter"/>
      <w:start w:val="3"/>
    </w:lvl>
  </w:abstractNum>
  <w:abstractNum w:abstractNumId="363">
    <w:nsid w:val="4CE5CA53"/>
    <w:multiLevelType w:val="hybridMultilevel"/>
    <w:lvl w:ilvl="0">
      <w:lvlJc w:val="left"/>
      <w:lvlText w:val="(%1)"/>
      <w:numFmt w:val="lowerRoman"/>
      <w:start w:val="4"/>
    </w:lvl>
    <w:lvl w:ilvl="1">
      <w:lvlJc w:val="left"/>
      <w:lvlText w:val="%2"/>
      <w:numFmt w:val="upperLetter"/>
      <w:start w:val="1"/>
    </w:lvl>
  </w:abstractNum>
  <w:abstractNum w:abstractNumId="364">
    <w:nsid w:val="29262D1A"/>
    <w:multiLevelType w:val="hybridMultilevel"/>
    <w:lvl w:ilvl="0">
      <w:lvlJc w:val="left"/>
      <w:lvlText w:val="(%1)"/>
      <w:numFmt w:val="lowerLetter"/>
      <w:start w:val="3"/>
    </w:lvl>
  </w:abstractNum>
  <w:abstractNum w:abstractNumId="365">
    <w:nsid w:val="557FB7EE"/>
    <w:multiLevelType w:val="hybridMultilevel"/>
    <w:lvl w:ilvl="0">
      <w:lvlJc w:val="left"/>
      <w:lvlText w:val="(%1)"/>
      <w:numFmt w:val="lowerLetter"/>
      <w:start w:val="5"/>
    </w:lvl>
  </w:abstractNum>
  <w:abstractNum w:abstractNumId="366">
    <w:nsid w:val="436F2BEB"/>
    <w:multiLevelType w:val="hybridMultilevel"/>
    <w:lvl w:ilvl="0">
      <w:lvlJc w:val="left"/>
      <w:lvlText w:val="(%1)"/>
      <w:numFmt w:val="lowerLetter"/>
      <w:start w:val="6"/>
    </w:lvl>
  </w:abstractNum>
  <w:abstractNum w:abstractNumId="367">
    <w:nsid w:val="6C8B4466"/>
    <w:multiLevelType w:val="hybridMultilevel"/>
    <w:lvl w:ilvl="0">
      <w:lvlJc w:val="left"/>
      <w:lvlText w:val="(%1)"/>
      <w:numFmt w:val="lowerRoman"/>
      <w:start w:val="1"/>
    </w:lvl>
  </w:abstractNum>
  <w:abstractNum w:abstractNumId="368">
    <w:nsid w:val="2006E424"/>
    <w:multiLevelType w:val="hybridMultilevel"/>
    <w:lvl w:ilvl="0">
      <w:lvlJc w:val="left"/>
      <w:lvlText w:val="(%1)"/>
      <w:numFmt w:val="lowerLetter"/>
      <w:start w:val="1"/>
    </w:lvl>
  </w:abstractNum>
  <w:abstractNum w:abstractNumId="369">
    <w:nsid w:val="20CC134C"/>
    <w:multiLevelType w:val="hybridMultilevel"/>
    <w:lvl w:ilvl="0">
      <w:lvlJc w:val="left"/>
      <w:lvlText w:val="(%1)"/>
      <w:numFmt w:val="lowerLetter"/>
      <w:start w:val="1"/>
    </w:lvl>
  </w:abstractNum>
  <w:abstractNum w:abstractNumId="370">
    <w:nsid w:val="95FC93B"/>
    <w:multiLevelType w:val="hybridMultilevel"/>
    <w:lvl w:ilvl="0">
      <w:lvlJc w:val="left"/>
      <w:lvlText w:val="(%1)"/>
      <w:numFmt w:val="lowerLetter"/>
      <w:start w:val="2"/>
    </w:lvl>
  </w:abstractNum>
  <w:abstractNum w:abstractNumId="371">
    <w:nsid w:val="41D74679"/>
    <w:multiLevelType w:val="hybridMultilevel"/>
    <w:lvl w:ilvl="0">
      <w:lvlJc w:val="left"/>
      <w:lvlText w:val="(%1)"/>
      <w:numFmt w:val="lowerLetter"/>
      <w:start w:val="1"/>
    </w:lvl>
  </w:abstractNum>
  <w:abstractNum w:abstractNumId="372">
    <w:nsid w:val="71E5621E"/>
    <w:multiLevelType w:val="hybridMultilevel"/>
    <w:lvl w:ilvl="0">
      <w:lvlJc w:val="left"/>
      <w:lvlText w:val="(%1)"/>
      <w:numFmt w:val="lowerLetter"/>
      <w:start w:val="2"/>
    </w:lvl>
  </w:abstractNum>
  <w:abstractNum w:abstractNumId="373">
    <w:nsid w:val="4E42B6A8"/>
    <w:multiLevelType w:val="hybridMultilevel"/>
    <w:lvl w:ilvl="0">
      <w:lvlJc w:val="left"/>
      <w:lvlText w:val="(%1)"/>
      <w:numFmt w:val="upperLetter"/>
      <w:start w:val="2"/>
    </w:lvl>
  </w:abstractNum>
  <w:abstractNum w:abstractNumId="374">
    <w:nsid w:val="43F8E1AC"/>
    <w:multiLevelType w:val="hybridMultilevel"/>
    <w:lvl w:ilvl="0">
      <w:lvlJc w:val="left"/>
      <w:lvlText w:val="(%1)"/>
      <w:numFmt w:val="lowerLetter"/>
      <w:start w:val="1"/>
    </w:lvl>
    <w:lvl w:ilvl="1">
      <w:lvlJc w:val="left"/>
      <w:lvlText w:val="(%2)"/>
      <w:numFmt w:val="lowerLetter"/>
      <w:start w:val="9"/>
    </w:lvl>
  </w:abstractNum>
  <w:abstractNum w:abstractNumId="375">
    <w:nsid w:val="69215DFB"/>
    <w:multiLevelType w:val="hybridMultilevel"/>
    <w:lvl w:ilvl="0">
      <w:lvlJc w:val="left"/>
      <w:lvlText w:val="(%1)"/>
      <w:numFmt w:val="lowerRoman"/>
      <w:start w:val="2"/>
    </w:lvl>
  </w:abstractNum>
  <w:abstractNum w:abstractNumId="376">
    <w:nsid w:val="7ABF196A"/>
    <w:multiLevelType w:val="hybridMultilevel"/>
    <w:lvl w:ilvl="0">
      <w:lvlJc w:val="left"/>
      <w:lvlText w:val="(%1)"/>
      <w:numFmt w:val="lowerLetter"/>
      <w:start w:val="1"/>
    </w:lvl>
  </w:abstractNum>
  <w:abstractNum w:abstractNumId="377">
    <w:nsid w:val="5E4DB968"/>
    <w:multiLevelType w:val="hybridMultilevel"/>
    <w:lvl w:ilvl="0">
      <w:lvlJc w:val="left"/>
      <w:lvlText w:val="%1."/>
      <w:numFmt w:val="decimal"/>
      <w:start w:val="1"/>
    </w:lvl>
  </w:abstractNum>
  <w:abstractNum w:abstractNumId="378">
    <w:nsid w:val="2C06DCF3"/>
    <w:multiLevelType w:val="hybridMultilevel"/>
    <w:lvl w:ilvl="0">
      <w:lvlJc w:val="left"/>
      <w:lvlText w:val="(%1)"/>
      <w:numFmt w:val="lowerLetter"/>
      <w:start w:val="2"/>
    </w:lvl>
  </w:abstractNum>
  <w:abstractNum w:abstractNumId="379">
    <w:nsid w:val="2E129658"/>
    <w:multiLevelType w:val="hybridMultilevel"/>
    <w:lvl w:ilvl="0">
      <w:lvlJc w:val="left"/>
      <w:lvlText w:val="%1."/>
      <w:numFmt w:val="decimal"/>
      <w:start w:val="2"/>
    </w:lvl>
  </w:abstractNum>
  <w:abstractNum w:abstractNumId="380">
    <w:nsid w:val="59F0446"/>
    <w:multiLevelType w:val="hybridMultilevel"/>
    <w:lvl w:ilvl="0">
      <w:lvlJc w:val="left"/>
      <w:lvlText w:val="(%1)"/>
      <w:numFmt w:val="lowerLetter"/>
      <w:start w:val="2"/>
    </w:lvl>
  </w:abstractNum>
  <w:abstractNum w:abstractNumId="381">
    <w:nsid w:val="30DF306"/>
    <w:multiLevelType w:val="hybridMultilevel"/>
    <w:lvl w:ilvl="0">
      <w:lvlJc w:val="left"/>
      <w:lvlText w:val="%1."/>
      <w:numFmt w:val="decimal"/>
      <w:start w:val="3"/>
    </w:lvl>
  </w:abstractNum>
  <w:abstractNum w:abstractNumId="382">
    <w:nsid w:val="A65647"/>
    <w:multiLevelType w:val="hybridMultilevel"/>
    <w:lvl w:ilvl="0">
      <w:lvlJc w:val="left"/>
      <w:lvlText w:val="%1."/>
      <w:numFmt w:val="decimal"/>
      <w:start w:val="4"/>
    </w:lvl>
  </w:abstractNum>
  <w:abstractNum w:abstractNumId="383">
    <w:nsid w:val="3E5E582B"/>
    <w:multiLevelType w:val="hybridMultilevel"/>
    <w:lvl w:ilvl="0">
      <w:lvlJc w:val="left"/>
      <w:lvlText w:val="(%1)"/>
      <w:numFmt w:val="lowerLetter"/>
      <w:start w:val="1"/>
    </w:lvl>
  </w:abstractNum>
  <w:abstractNum w:abstractNumId="384">
    <w:nsid w:val="257D4626"/>
    <w:multiLevelType w:val="hybridMultilevel"/>
    <w:lvl w:ilvl="0">
      <w:lvlJc w:val="left"/>
      <w:lvlText w:val="(%1)"/>
      <w:numFmt w:val="lowerLetter"/>
      <w:start w:val="4"/>
    </w:lvl>
  </w:abstractNum>
  <w:abstractNum w:abstractNumId="385">
    <w:nsid w:val="5AA8580E"/>
    <w:multiLevelType w:val="hybridMultilevel"/>
    <w:lvl w:ilvl="0">
      <w:lvlJc w:val="left"/>
      <w:lvlText w:val="%1."/>
      <w:numFmt w:val="decimal"/>
      <w:start w:val="5"/>
    </w:lvl>
  </w:abstractNum>
  <w:abstractNum w:abstractNumId="386">
    <w:nsid w:val="68FA8D0D"/>
    <w:multiLevelType w:val="hybridMultilevel"/>
    <w:lvl w:ilvl="0">
      <w:lvlJc w:val="left"/>
      <w:lvlText w:val="(%1)"/>
      <w:numFmt w:val="lowerLetter"/>
      <w:start w:val="2"/>
    </w:lvl>
  </w:abstractNum>
  <w:abstractNum w:abstractNumId="387">
    <w:nsid w:val="40F2CBD2"/>
    <w:multiLevelType w:val="hybridMultilevel"/>
    <w:lvl w:ilvl="0">
      <w:lvlJc w:val="left"/>
      <w:lvlText w:val="(%1)"/>
      <w:numFmt w:val="lowerLetter"/>
      <w:start w:val="3"/>
    </w:lvl>
  </w:abstractNum>
  <w:abstractNum w:abstractNumId="388">
    <w:nsid w:val="3BD615EB"/>
    <w:multiLevelType w:val="hybridMultilevel"/>
    <w:lvl w:ilvl="0">
      <w:lvlJc w:val="left"/>
      <w:lvlText w:val="%1."/>
      <w:numFmt w:val="decimal"/>
      <w:start w:val="6"/>
    </w:lvl>
  </w:abstractNum>
  <w:abstractNum w:abstractNumId="389">
    <w:nsid w:val="A045AB2"/>
    <w:multiLevelType w:val="hybridMultilevel"/>
    <w:lvl w:ilvl="0">
      <w:lvlJc w:val="left"/>
      <w:lvlText w:val="%1."/>
      <w:numFmt w:val="decimal"/>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2021-08-26T16:03:01Z</dcterms:created>
  <dcterms:modified xsi:type="dcterms:W3CDTF">2021-08-26T16:03:01Z</dcterms:modified>
</cp:coreProperties>
</file>