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 </w:t>
      </w:r>
      <w:r>
        <w:rPr>
          <w:rFonts w:ascii="Times New Roman;serif" w:hAnsi="Times New Roman;serif"/>
          <w:b/>
          <w:color w:val="000000"/>
          <w:sz w:val="20"/>
        </w:rPr>
        <w:t>August 7,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All American Pipeline,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02"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845"/>
        <w:gridCol w:w="845"/>
        <w:gridCol w:w="1205"/>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76-0582150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Clay Street, Suite 1600, Houston, Texas 77002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713-646-4100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7792" w:type="dxa"/>
        <w:jc w:val="center"/>
        <w:tblInd w:w="0" w:type="dxa"/>
        <w:tblLayout w:type="fixed"/>
        <w:tblCellMar>
          <w:top w:w="28" w:type="dxa"/>
          <w:left w:w="28" w:type="dxa"/>
          <w:bottom w:w="28" w:type="dxa"/>
          <w:right w:w="28" w:type="dxa"/>
        </w:tblCellMar>
      </w:tblPr>
      <w:tblGrid>
        <w:gridCol w:w="585"/>
        <w:gridCol w:w="514"/>
        <w:gridCol w:w="520"/>
        <w:gridCol w:w="109"/>
        <w:gridCol w:w="109"/>
        <w:gridCol w:w="109"/>
        <w:gridCol w:w="564"/>
        <w:gridCol w:w="564"/>
        <w:gridCol w:w="566"/>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and Item 7.01. Results of Operations and Financial Condition; Regulation FD Disclosure.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August 7, 2026, the Registrant issued a press release reporting its second-quarter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(d) Exhibits.</w:t>
      </w:r>
    </w:p>
    <w:tbl>
      <w:tblPr>
        <w:tblW w:w="8306"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1931"/>
        <w:gridCol w:w="1931"/>
        <w:gridCol w:w="273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paa08072026exhibit991.htm">
              <w:r>
                <w:rPr>
                  <w:rStyle w:val="InternetLink"/>
                  <w:rFonts w:ascii="Times New Roman;serif" w:hAnsi="Times New Roman;serif"/>
                  <w:b w:val="false"/>
                  <w:color w:val="0000FF"/>
                  <w:sz w:val="20"/>
                  <w:u w:val="single"/>
                </w:rPr>
                <w:t>Press Release dated August 7, 2026</w:t>
              </w:r>
            </w:hyperlink>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51" w:type="dxa"/>
        <w:jc w:val="left"/>
        <w:tblInd w:w="0" w:type="dxa"/>
        <w:tblLayout w:type="fixed"/>
        <w:tblCellMar>
          <w:top w:w="28" w:type="dxa"/>
          <w:left w:w="28" w:type="dxa"/>
          <w:bottom w:w="28" w:type="dxa"/>
          <w:right w:w="28" w:type="dxa"/>
        </w:tblCellMar>
      </w:tblPr>
      <w:tblGrid>
        <w:gridCol w:w="667"/>
        <w:gridCol w:w="587"/>
        <w:gridCol w:w="590"/>
        <w:gridCol w:w="377"/>
        <w:gridCol w:w="377"/>
        <w:gridCol w:w="377"/>
        <w:gridCol w:w="619"/>
        <w:gridCol w:w="619"/>
        <w:gridCol w:w="619"/>
        <w:gridCol w:w="893"/>
        <w:gridCol w:w="893"/>
        <w:gridCol w:w="13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PIPELINE, L.P.</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LLC, its general partner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AAP, L.P., its sole member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GP LLC, its general partner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Sharon Spurlin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Spurlin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57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10572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Plains All American Reports Second-Quarter 2026 Results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TX – August 7, 2026 – Plains All American Pipeline, L.P. (Nasdaq: PAA) and Plains GP Holdings (Nasdaq: PAGP) today reported second-quarter 2026 results and provided the following highlights:</w:t>
      </w:r>
    </w:p>
    <w:p>
      <w:pPr>
        <w:pStyle w:val="TextBody"/>
        <w:bidi w:val="0"/>
        <w:spacing w:before="0" w:after="0"/>
        <w:jc w:val="left"/>
        <w:rPr/>
      </w:pPr>
      <w:r>
        <w:rPr/>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Second-Quarter 2026 Results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Second-quarter Net income attributable to PAA of $1.830 billion, including a net gain of approximately $1.6 billion from the Canadian NGL Business divestiture, and Net cash provided by operating activities of $956 million</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Delivered strong second-quarter Adjusted EBITDA attributable to PAA of $738 million</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 xml:space="preserve">Pro forma leverage ratio at quarter-end was 3.3x reflecting approximately $2.9 billion of debt reduction funded with proceeds from the Canadian NGL Business divestiture and toward the low-end of our target range of 3.25 to 3.75x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Paid a quarterly cash distribution of $0.4175 per unit ($1.67 per unit annualized), representing a current distribution yield of ~7%</w:t>
      </w: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Highlights and Recent Announcements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Executing on three key initiatives for the year: closed the NGL sale, captured $50 million of synergies on the Cactus III acquisition and delivering on $50 million of targeted cost reductions through year-end 2026</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Increased 2026 organic growth capital from $350 million to a range of $400 to $450 million including a 75 Mb/d expansion of the Cactus III pipeline, Canadian gathering systems and Permian gathering projects across the Delaware and Midland basins</w:t>
      </w:r>
    </w:p>
    <w:p>
      <w:pPr>
        <w:pStyle w:val="TextBody"/>
        <w:bidi w:val="0"/>
        <w:spacing w:lineRule="auto" w:line="288" w:before="0" w:after="140"/>
        <w:ind w:left="0" w:right="0" w:hanging="360"/>
        <w:jc w:val="left"/>
        <w:rPr/>
      </w:pPr>
      <w:r>
        <w:rPr>
          <w:color w:val="000000"/>
        </w:rPr>
        <w:t>•</w:t>
      </w:r>
      <w:r>
        <w:rPr>
          <w:rFonts w:ascii="Times New Roman;serif" w:hAnsi="Times New Roman;serif"/>
          <w:b w:val="false"/>
          <w:color w:val="000000"/>
          <w:sz w:val="20"/>
        </w:rPr>
        <w:t>Maintenance capital guidance is being reduced by $10 million to $175 million largely based on timing of the NGL divestiture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Strong results in the quarter mark a significant improvement from first quarter levels and place us on-track to deliver on our full-year Adjusted EBITDA guidance. Year-to-date we are on pace to accomplish all three key initiatives outlined for 2026. In May, we successfully closed on the sale of our Canadian NGL business, completing a transition to a premier pure play crude oil midstream provider. Proceeds from the NGL sale were used to bring our leverage ratio back within our established target range. Cactus III synergies have been captured and we are now seeing additional upside potential from expanding the capacity of the pipeline by 75mbbl/d. Finally, we remain on-track to capture streamlining efficiencies throughout the organization this year. The combination of these key initiatives along with contributions from new organic investment opportunities and Permian volume growth provides momentum for the organization heading into 2027. The oil macro environment remains volatile but our well positioned asset footprint, integrated business model, and commercial relationships position us well to capture opportunities across our portfolio,” said Willie Chiang, Chairman, CEO and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20140"/>
                <wp:effectExtent l="0" t="0" r="0" b="0"/>
                <wp:wrapNone/>
                <wp:docPr id="5" name="Frame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Reporting Considerations from Sale of Canadian NGL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we completed the sale of substantially all of our NGL business in Canada (the “Canadian NGL Business”) to Keyera Corp. (“Keyera”), pursuant to a definitive share purchase agreement (as amended to date, the “SPA”) entered into on June 17, 2025. We determined that the operations of the Canadian NGL Business met the criteria for classification as held for sale and for discontinued operations reporting. Results throughout this release specify if they are presented from continuing operations (which exclude results related to the Canadian NGL Business) and/or discontinued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Plains All American Pipeline</w:t>
      </w:r>
      <w:r>
        <w:rPr>
          <w:color w:val="000000"/>
        </w:rPr>
        <w:t xml:space="preserve"> </w:t>
      </w:r>
    </w:p>
    <w:p>
      <w:pPr>
        <w:pStyle w:val="TextBody"/>
        <w:bidi w:val="0"/>
        <w:spacing w:lineRule="auto" w:line="288" w:before="0" w:after="0"/>
        <w:jc w:val="left"/>
        <w:rPr/>
      </w:pPr>
      <w:r>
        <w:rPr>
          <w:rFonts w:ascii="Times New Roman;serif" w:hAnsi="Times New Roman;serif"/>
          <w:b/>
          <w:color w:val="000000"/>
          <w:sz w:val="20"/>
          <w:u w:val="single"/>
        </w:rPr>
        <w:t>Summary Financial Information</w:t>
      </w:r>
      <w:r>
        <w:rPr>
          <w:color w:val="000000"/>
        </w:rPr>
        <w:t xml:space="preserve"> </w:t>
      </w: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841"/>
        <w:gridCol w:w="713"/>
        <w:gridCol w:w="600"/>
        <w:gridCol w:w="109"/>
        <w:gridCol w:w="109"/>
        <w:gridCol w:w="109"/>
        <w:gridCol w:w="211"/>
        <w:gridCol w:w="721"/>
        <w:gridCol w:w="109"/>
        <w:gridCol w:w="109"/>
        <w:gridCol w:w="109"/>
        <w:gridCol w:w="109"/>
        <w:gridCol w:w="211"/>
        <w:gridCol w:w="721"/>
        <w:gridCol w:w="109"/>
        <w:gridCol w:w="109"/>
        <w:gridCol w:w="109"/>
        <w:gridCol w:w="109"/>
        <w:gridCol w:w="203"/>
        <w:gridCol w:w="203"/>
        <w:gridCol w:w="367"/>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03"/>
        <w:gridCol w:w="203"/>
        <w:gridCol w:w="419"/>
      </w:tblGrid>
      <w:tr>
        <w:trPr/>
        <w:tc>
          <w:tcPr>
            <w:tcW w:w="84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 xml:space="preserve">GAAP Results </w:t>
            </w:r>
            <w:r>
              <w:rPr>
                <w:rFonts w:ascii="Times New Roman;serif" w:hAnsi="Times New Roman;serif"/>
                <w:b/>
                <w:i/>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attributable to PAA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per common unit declared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4"/>
        <w:gridCol w:w="835"/>
        <w:gridCol w:w="842"/>
        <w:gridCol w:w="109"/>
        <w:gridCol w:w="109"/>
        <w:gridCol w:w="109"/>
        <w:gridCol w:w="211"/>
        <w:gridCol w:w="616"/>
        <w:gridCol w:w="109"/>
        <w:gridCol w:w="109"/>
        <w:gridCol w:w="109"/>
        <w:gridCol w:w="109"/>
        <w:gridCol w:w="211"/>
        <w:gridCol w:w="511"/>
        <w:gridCol w:w="109"/>
        <w:gridCol w:w="109"/>
        <w:gridCol w:w="109"/>
        <w:gridCol w:w="109"/>
        <w:gridCol w:w="180"/>
        <w:gridCol w:w="181"/>
        <w:gridCol w:w="367"/>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149"/>
        <w:gridCol w:w="149"/>
        <w:gridCol w:w="420"/>
      </w:tblGrid>
      <w:tr>
        <w:trPr/>
        <w:tc>
          <w:tcPr>
            <w:tcW w:w="115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6"/>
              </w:rPr>
              <w:t xml:space="preserve">Non-GAAP Results </w:t>
            </w:r>
            <w:r>
              <w:rPr>
                <w:rFonts w:ascii="Times New Roman;serif" w:hAnsi="Times New Roman;serif"/>
                <w:b/>
                <w:i/>
                <w:color w:val="000000"/>
                <w:sz w:val="10"/>
              </w:rPr>
              <w:t>(1)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attributable to PAA</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adjusted net income per common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 and common unit equivalent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(Excluding Changes in Assets &amp; Liabilities)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after Distributions (Excluding Changes in Assets &amp; Liabilities)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Indicates that variance as a percentage is not meaningful.</w:t>
      </w:r>
    </w:p>
    <w:p>
      <w:pPr>
        <w:pStyle w:val="TextBody"/>
        <w:bidi w:val="0"/>
        <w:spacing w:lineRule="auto" w:line="288" w:before="60" w:after="12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 See the tables attached hereto for additional information.</w:t>
      </w:r>
    </w:p>
    <w:p>
      <w:pPr>
        <w:pStyle w:val="TextBody"/>
        <w:bidi w:val="0"/>
        <w:spacing w:lineRule="auto" w:line="288" w:before="60" w:after="12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Excludes amounts attributable to noncontrolling interests in the Plains Oryx Permian Basin LLC (the “Permian JV”), Cactus II Pipeline LLC and Red River Pipeline LLC joint ventures.</w:t>
      </w:r>
    </w:p>
    <w:p>
      <w:pPr>
        <w:pStyle w:val="TextBody"/>
        <w:bidi w:val="0"/>
        <w:spacing w:lineRule="auto" w:line="288" w:before="60" w:after="12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pStyle w:val="TextBody"/>
        <w:bidi w:val="0"/>
        <w:spacing w:lineRule="auto" w:line="288" w:before="60" w:after="12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For the three and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before="6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20140"/>
                <wp:effectExtent l="0" t="0" r="0" b="0"/>
                <wp:wrapNone/>
                <wp:docPr id="6" name="Frame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Disaggregation of Adjusted EBITDA by Product</w:t>
      </w:r>
      <w:r>
        <w:rPr>
          <w:color w:val="000000"/>
        </w:rPr>
        <w:t xml:space="preserve"> </w:t>
      </w:r>
      <w:r>
        <w:rPr>
          <w:rFonts w:ascii="Times New Roman;serif" w:hAnsi="Times New Roman;serif"/>
          <w:b w:val="false"/>
          <w:color w:val="000000"/>
          <w:sz w:val="13"/>
        </w:rPr>
        <w:t xml:space="preserve">(1) (2) </w:t>
      </w: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tbl>
      <w:tblPr>
        <w:tblW w:w="9559" w:type="dxa"/>
        <w:jc w:val="left"/>
        <w:tblInd w:w="0" w:type="dxa"/>
        <w:tblLayout w:type="fixed"/>
        <w:tblCellMar>
          <w:top w:w="28" w:type="dxa"/>
          <w:left w:w="28" w:type="dxa"/>
          <w:bottom w:w="28" w:type="dxa"/>
          <w:right w:w="28" w:type="dxa"/>
        </w:tblCellMar>
      </w:tblPr>
      <w:tblGrid>
        <w:gridCol w:w="1195"/>
        <w:gridCol w:w="1050"/>
        <w:gridCol w:w="1054"/>
        <w:gridCol w:w="539"/>
        <w:gridCol w:w="1574"/>
        <w:gridCol w:w="692"/>
        <w:gridCol w:w="109"/>
        <w:gridCol w:w="109"/>
        <w:gridCol w:w="109"/>
        <w:gridCol w:w="541"/>
        <w:gridCol w:w="1194"/>
        <w:gridCol w:w="694"/>
        <w:gridCol w:w="109"/>
        <w:gridCol w:w="109"/>
        <w:gridCol w:w="109"/>
        <w:gridCol w:w="109"/>
        <w:gridCol w:w="109"/>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Adjusted EBITDA from 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EBITDA from NGL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5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i/>
                <w:color w:val="000000"/>
                <w:sz w:val="20"/>
              </w:rPr>
            </w:pPr>
            <w:r>
              <w:rPr>
                <w:rFonts w:ascii="Times New Roman;serif" w:hAnsi="Times New Roman;serif"/>
                <w:b/>
                <w:i/>
                <w:color w:val="000000"/>
                <w:sz w:val="20"/>
              </w:rPr>
              <w:t>Percentage change versus 2025 period</w:t>
            </w:r>
          </w:p>
        </w:tc>
        <w:tc>
          <w:tcPr>
            <w:tcW w:w="21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w:t>
            </w:r>
            <w:r>
              <w:rPr>
                <w:color w:val="000000"/>
              </w:rPr>
              <w:t> </w:t>
            </w:r>
          </w:p>
        </w:tc>
        <w:tc>
          <w:tcPr>
            <w:tcW w:w="6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(54)</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Adjusted EBITDA from 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EBITDA from NGL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5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i/>
                <w:color w:val="000000"/>
                <w:sz w:val="20"/>
              </w:rPr>
            </w:pPr>
            <w:r>
              <w:rPr>
                <w:rFonts w:ascii="Times New Roman;serif" w:hAnsi="Times New Roman;serif"/>
                <w:b/>
                <w:i/>
                <w:color w:val="000000"/>
                <w:sz w:val="20"/>
              </w:rPr>
              <w:t>Percentage change versus 2025 period</w:t>
            </w:r>
          </w:p>
        </w:tc>
        <w:tc>
          <w:tcPr>
            <w:tcW w:w="211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12</w:t>
            </w:r>
            <w:r>
              <w:rPr>
                <w:color w:val="000000"/>
              </w:rPr>
              <w:t> </w:t>
            </w:r>
          </w:p>
        </w:tc>
        <w:tc>
          <w:tcPr>
            <w:tcW w:w="69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(33)</w:t>
            </w:r>
          </w:p>
        </w:tc>
        <w:tc>
          <w:tcPr>
            <w:tcW w:w="69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Second-quarter 2026 Adjusted EBITDA from Crude Oil increased 19% versus comparable 2025 results. Favorable results in the 2026 period from (i) contributions from our Cactus III pipeline acquisition, which was completed during the fourth quarter of 2025, (ii) higher volumes on our pipelines and (iii) market opportunities and optimization initiatives were partially offset by the impact of (iv) certain Permian long-haul pipeline contract rate resets.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Second-quarter 2026 Adjusted EBITDA from NGL decreased 54% versus comparable 2025 results primarily due to the sale of the Canadian NGL Business, which closed on May 12, 2026.</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Conference Call and Webcast Instructions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and PAGP will hold a joint conference call at 9:00 a.m. CT on Friday, August 7, 2026 to discuss second-quarter performance and related items.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access the internet webcast, please go to https://edge.media-server.com/mmc/p/d62hd2t2/lan/en.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 and Selected Items Impacting Comparability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20140"/>
                <wp:effectExtent l="0" t="0" r="0" b="0"/>
                <wp:wrapNone/>
                <wp:docPr id="7" name="Frame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4</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20140"/>
                <wp:effectExtent l="0" t="0" r="0" b="0"/>
                <wp:wrapNone/>
                <wp:docPr id="8" name="Frame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Liquidity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Measures and Discontinued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June 17, 2025, the date we entered into the SPA with Keyera to sell the Canadian NGL Business, through the closing of the divestiture on May 12, 2026, management reviewed such business as a component of our overall company performance and ability to fund distributions to our unitholders in the near term. As such, certain Non-GAAP financial performance measures, such as Adjusted EBITDA, Adjusted EBITDA attributable to PAA, Implied DCF, and certain Non-GAAP financial liquidity measures, such as Adjusted Free Cash Flow and Adjusted Free Cash Flow (Excluding Changes in Assets &amp; Liabilities),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20140"/>
                <wp:effectExtent l="0" t="0" r="0" b="0"/>
                <wp:wrapNone/>
                <wp:docPr id="9" name="Frame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1948"/>
        <w:gridCol w:w="1709"/>
        <w:gridCol w:w="171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net </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net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UNIT: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weighted average common units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For each of the three and six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Certain Plains entities have issued promissory notes by and among such entities to facilitate financing. “Interest expense, net” and “Other income, net” each include $18 million and $41 million for the three and six months ended June 30, 2026, respectively, and $23 million and $43 million for the three and six months ended June 30, 2025 related to interest on such related party promissory notes. These amounts offset and do not impact Net Income or Non-GAAP metrics such as Adjusted EBITDA, Implied DCF and Adjusted Free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20140"/>
                <wp:effectExtent l="0" t="0" r="0" b="0"/>
                <wp:wrapNone/>
                <wp:docPr id="10" name="Frame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837" w:type="dxa"/>
        <w:jc w:val="left"/>
        <w:tblInd w:w="0" w:type="dxa"/>
        <w:tblLayout w:type="fixed"/>
        <w:tblCellMar>
          <w:top w:w="28" w:type="dxa"/>
          <w:left w:w="28" w:type="dxa"/>
          <w:bottom w:w="28" w:type="dxa"/>
          <w:right w:w="28" w:type="dxa"/>
        </w:tblCellMar>
      </w:tblPr>
      <w:tblGrid>
        <w:gridCol w:w="2327"/>
        <w:gridCol w:w="2039"/>
        <w:gridCol w:w="2053"/>
        <w:gridCol w:w="196"/>
        <w:gridCol w:w="646"/>
        <w:gridCol w:w="109"/>
        <w:gridCol w:w="109"/>
        <w:gridCol w:w="109"/>
        <w:gridCol w:w="109"/>
        <w:gridCol w:w="224"/>
        <w:gridCol w:w="740"/>
        <w:gridCol w:w="176"/>
      </w:tblGrid>
      <w:tr>
        <w:trPr/>
        <w:tc>
          <w:tcPr>
            <w:tcW w:w="2327"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assets (including Cash and cash equivalents of $1,059 and $328, respectively) </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Linefill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right-of-use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PARTNERS’ CAPITAL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Current liabilities</w:t>
            </w:r>
            <w:r>
              <w:rPr>
                <w:color w:val="000000"/>
              </w:rPr>
              <w:t xml:space="preserve"> </w:t>
            </w: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and deferred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 capital excluding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partners’ capital</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partners’ capital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30,169 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current assets of discontinued operations of $479 million as of December 31, 2025.</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Includes current liabilities of discontinued operations of $154 million and $382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DEBT CAPITALIZATION RATIOS</w:t>
      </w:r>
      <w:r>
        <w:rPr>
          <w:color w:val="000000"/>
        </w:rPr>
        <w:t xml:space="preserve"> </w:t>
      </w:r>
      <w:r>
        <w:rPr>
          <w:rFonts w:ascii="Times New Roman;serif" w:hAnsi="Times New Roman;serif"/>
          <w:b/>
          <w:color w:val="000000"/>
          <w:sz w:val="13"/>
        </w:rPr>
        <w:t>(1)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bl>
      <w:tblPr>
        <w:tblW w:w="8648" w:type="dxa"/>
        <w:jc w:val="left"/>
        <w:tblInd w:w="0" w:type="dxa"/>
        <w:tblLayout w:type="fixed"/>
        <w:tblCellMar>
          <w:top w:w="28" w:type="dxa"/>
          <w:left w:w="28" w:type="dxa"/>
          <w:bottom w:w="28" w:type="dxa"/>
          <w:right w:w="28" w:type="dxa"/>
        </w:tblCellMar>
      </w:tblPr>
      <w:tblGrid>
        <w:gridCol w:w="2291"/>
        <w:gridCol w:w="2014"/>
        <w:gridCol w:w="2024"/>
        <w:gridCol w:w="251"/>
        <w:gridCol w:w="178"/>
        <w:gridCol w:w="423"/>
        <w:gridCol w:w="109"/>
        <w:gridCol w:w="109"/>
        <w:gridCol w:w="109"/>
        <w:gridCol w:w="368"/>
        <w:gridCol w:w="204"/>
        <w:gridCol w:w="568"/>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10,698</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10,698</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 capital excluding noncontrolling interests</w:t>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9,836</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book capitalization excluding noncontrolling interests (“Total book capitalization”)</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20,534</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book capitalization, including short-term debt</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21,098</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debt-to-total book capitalization</w:t>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debt-to-total book capitalization, including short-term debt</w:t>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20140"/>
                <wp:effectExtent l="0" t="0" r="0" b="0"/>
                <wp:wrapNone/>
                <wp:docPr id="11" name="Frame10"/>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COMPUTATION OF BASIC AND DILUTED NET INCOME PER COMMON UNIT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99"/>
        <w:gridCol w:w="1691"/>
        <w:gridCol w:w="1696"/>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313"/>
      </w:tblGrid>
      <w:tr>
        <w:trPr/>
        <w:tc>
          <w:tcPr>
            <w:tcW w:w="209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Income per Common Unit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attributable to PAA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Impact from repurchase of Series A preferred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income from continuing operations allocated to common unitholders - Basic and Diluted</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income from discontinued operations allocated to common unitholders - Basic and Diluted</w:t>
            </w:r>
            <w:r>
              <w:rPr>
                <w:color w:val="000000"/>
              </w:rPr>
              <w:t xml:space="preserve"> </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unitholders - Basic and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weighted average common units outstanding </w:t>
            </w:r>
            <w:r>
              <w:rPr>
                <w:rFonts w:ascii="Times New Roman;serif" w:hAnsi="Times New Roman;serif"/>
                <w:b w:val="false"/>
                <w:color w:val="000000"/>
                <w:sz w:val="13"/>
              </w:rPr>
              <w:t>(3)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Net income from discontinued operations allocated to common unitholders is “Income from discontinued operations, net of tax” as presented on our Condensed Consolidated Statements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The possible conversion of our Series A preferred units was excluded from the calculation of diluted net income per common unit from continuing operations for each of the three and six months ended June 30, 2026 and 2025 as the effect was antidilutive.</w:t>
      </w:r>
    </w:p>
    <w:p>
      <w:pPr>
        <w:pStyle w:val="TextBody"/>
        <w:bidi w:val="0"/>
        <w:spacing w:lineRule="auto" w:line="288" w:before="60" w:after="283"/>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20140"/>
                <wp:effectExtent l="0" t="0" r="0" b="0"/>
                <wp:wrapNone/>
                <wp:docPr id="12" name="Frame11"/>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CONSOLIDATED CASH FLOW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663" w:type="dxa"/>
        <w:jc w:val="left"/>
        <w:tblInd w:w="0" w:type="dxa"/>
        <w:tblLayout w:type="fixed"/>
        <w:tblCellMar>
          <w:top w:w="28" w:type="dxa"/>
          <w:left w:w="28" w:type="dxa"/>
          <w:bottom w:w="28" w:type="dxa"/>
          <w:right w:w="28" w:type="dxa"/>
        </w:tblCellMar>
      </w:tblPr>
      <w:tblGrid>
        <w:gridCol w:w="2218"/>
        <w:gridCol w:w="1949"/>
        <w:gridCol w:w="1953"/>
        <w:gridCol w:w="211"/>
        <w:gridCol w:w="616"/>
        <w:gridCol w:w="109"/>
        <w:gridCol w:w="109"/>
        <w:gridCol w:w="109"/>
        <w:gridCol w:w="109"/>
        <w:gridCol w:w="215"/>
        <w:gridCol w:w="475"/>
        <w:gridCol w:w="109"/>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(benefit)/expense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foreign currency revaluation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earnings from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continuing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 continuing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by/(used in) investing activities -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by/(used in) investing activities </w:t>
            </w:r>
            <w:r>
              <w:rPr>
                <w:rFonts w:ascii="Times New Roman;serif" w:hAnsi="Times New Roman;serif"/>
                <w:b w:val="false"/>
                <w:color w:val="000000"/>
                <w:sz w:val="13"/>
              </w:rPr>
              <w:t>(1) (2)</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by/(used in) financing activities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translation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Certain Plains entities have issued promissory notes by and among such entities to facilitate financing. For the six months ended June 30, 2025, “Net cash provided by/(used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the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20140"/>
                <wp:effectExtent l="0" t="0" r="0" b="0"/>
                <wp:wrapNone/>
                <wp:docPr id="13" name="Frame12"/>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u w:val="single"/>
        </w:rPr>
        <w:t>CAPITAL EXPENDITURES</w:t>
      </w:r>
      <w:r>
        <w:rPr>
          <w:color w:val="000000"/>
        </w:rPr>
        <w:t xml:space="preserve"> </w:t>
      </w:r>
      <w:r>
        <w:rPr>
          <w:rFonts w:ascii="Times New Roman;serif" w:hAnsi="Times New Roman;serif"/>
          <w:b/>
          <w:color w:val="000000"/>
          <w:sz w:val="13"/>
        </w:rPr>
        <w:t>(1)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581"/>
        <w:gridCol w:w="499"/>
        <w:gridCol w:w="50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58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capital expenditures: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NGL </w:t>
            </w:r>
            <w:r>
              <w:rPr>
                <w:rFonts w:ascii="Times New Roman;serif" w:hAnsi="Times New Roman;serif"/>
                <w:b w:val="false"/>
                <w:color w:val="000000"/>
                <w:sz w:val="13"/>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capital expenditures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Maintenance capital expenditures </w:t>
            </w:r>
            <w:r>
              <w:rPr>
                <w:rFonts w:ascii="Times New Roman;serif" w:hAnsi="Times New Roman;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and Maintenance 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Excludes expenditures attributable to noncontrolling interests.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See the “Discontinued Operations Detail” section for amounts attributable to discontinued operations.</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See the “Selected Financial Data by NGL” section for amounts attributable to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20140"/>
                <wp:effectExtent l="0" t="0" r="0" b="0"/>
                <wp:wrapNone/>
                <wp:docPr id="14" name="Frame13"/>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NON-GAAP RECONCILIATIONS</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unit and ratio data)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Computation of Basic and Diluted Adjusted Net Income Per Common Unit</w:t>
      </w:r>
      <w:r>
        <w:rPr>
          <w:color w:val="000000"/>
        </w:rPr>
        <w:t xml:space="preserve"> </w:t>
      </w:r>
      <w:r>
        <w:rPr>
          <w:rFonts w:ascii="Times New Roman;serif" w:hAnsi="Times New Roman;serif"/>
          <w:b/>
          <w:color w:val="000000"/>
          <w:sz w:val="13"/>
        </w:rPr>
        <w:t>(1) (2)</w:t>
      </w:r>
      <w:r>
        <w:rPr>
          <w:rFonts w:ascii="Times New Roman;serif" w:hAnsi="Times New Roman;serif"/>
          <w:b/>
          <w:color w:val="000000"/>
          <w:sz w:val="20"/>
        </w:rPr>
        <w:t>:</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065"/>
        <w:gridCol w:w="1708"/>
        <w:gridCol w:w="171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312"/>
      </w:tblGrid>
      <w:tr>
        <w:trPr/>
        <w:tc>
          <w:tcPr>
            <w:tcW w:w="206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Adjusted Net Income per Common Unit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net income attributable to PAA </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PAA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Impact from repurchase of Series A preferred units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net income allocated to common unitholders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weighted average common units outstanding </w:t>
            </w:r>
            <w:r>
              <w:rPr>
                <w:rFonts w:ascii="Times New Roman;serif" w:hAnsi="Times New Roman;serif"/>
                <w:b w:val="false"/>
                <w:color w:val="000000"/>
                <w:sz w:val="13"/>
              </w:rPr>
              <w:t>(4)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adjusted net income per common unit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54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See the “Selected Items Impacting Comparability”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6"/>
        </w:rPr>
        <w:t>The possible conversion of our Series A preferred units was excluded from the calculation of diluted adjusted net income per common unit for each of the three and six months ended June 30, 2026 and 2025 as the effect was antidilutive.</w:t>
      </w:r>
    </w:p>
    <w:p>
      <w:pPr>
        <w:pStyle w:val="TextBody"/>
        <w:bidi w:val="0"/>
        <w:spacing w:lineRule="auto" w:line="288" w:before="60" w:after="283"/>
        <w:ind w:left="0" w:right="0" w:hanging="360"/>
        <w:jc w:val="left"/>
        <w:rPr/>
      </w:pPr>
      <w:r>
        <w:rPr>
          <w:rFonts w:ascii="Times New Roman;serif" w:hAnsi="Times New Roman;serif"/>
          <w:b w:val="false"/>
          <w:color w:val="000000"/>
          <w:sz w:val="10"/>
        </w:rPr>
        <w:t>(5)</w:t>
      </w:r>
      <w:r>
        <w:rPr>
          <w:rFonts w:ascii="Times New Roman;serif" w:hAnsi="Times New Roman;serif"/>
          <w:b w:val="false"/>
          <w:color w:val="000000"/>
          <w:sz w:val="16"/>
        </w:rPr>
        <w:t xml:space="preserve">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w:t>
      </w:r>
    </w:p>
    <w:p>
      <w:pPr>
        <w:pStyle w:val="TextBody"/>
        <w:bidi w:val="0"/>
        <w:spacing w:before="60" w:after="283"/>
        <w:jc w:val="left"/>
        <w:rPr/>
      </w:pPr>
      <w:r>
        <w:rPr/>
      </w:r>
    </w:p>
    <w:p>
      <w:pPr>
        <w:pStyle w:val="TextBody"/>
        <w:bidi w:val="0"/>
        <w:spacing w:lineRule="auto" w:line="288" w:before="0" w:after="0"/>
        <w:ind w:left="0" w:right="0" w:hanging="180"/>
        <w:jc w:val="left"/>
        <w:rPr/>
      </w:pPr>
      <w:r>
        <w:rPr>
          <w:rFonts w:ascii="Times New Roman;serif" w:hAnsi="Times New Roman;serif"/>
          <w:b/>
          <w:color w:val="000000"/>
          <w:sz w:val="19"/>
        </w:rPr>
        <w:t xml:space="preserve">Net Income Per Common Unit to Adjusted Net Income Per Common Unit Reconciliation </w:t>
      </w:r>
      <w:r>
        <w:rPr>
          <w:rFonts w:ascii="Times New Roman;serif" w:hAnsi="Times New Roman;serif"/>
          <w:b/>
          <w:color w:val="000000"/>
          <w:sz w:val="12"/>
        </w:rPr>
        <w:t>(1)</w:t>
      </w:r>
      <w:r>
        <w:rPr>
          <w:rFonts w:ascii="Times New Roman;serif" w:hAnsi="Times New Roman;serif"/>
          <w:b/>
          <w:color w:val="000000"/>
          <w:sz w:val="19"/>
        </w:rPr>
        <w:t>:</w:t>
      </w:r>
    </w:p>
    <w:p>
      <w:pPr>
        <w:pStyle w:val="TextBody"/>
        <w:bidi w:val="0"/>
        <w:spacing w:before="0" w:after="0"/>
        <w:ind w:left="0" w:right="0" w:hanging="180"/>
        <w:jc w:val="left"/>
        <w:rPr/>
      </w:pPr>
      <w:r>
        <w:rPr/>
      </w:r>
    </w:p>
    <w:tbl>
      <w:tblPr>
        <w:tblW w:w="9330" w:type="dxa"/>
        <w:jc w:val="left"/>
        <w:tblInd w:w="0" w:type="dxa"/>
        <w:tblLayout w:type="fixed"/>
        <w:tblCellMar>
          <w:top w:w="28" w:type="dxa"/>
          <w:left w:w="28" w:type="dxa"/>
          <w:bottom w:w="28" w:type="dxa"/>
          <w:right w:w="28" w:type="dxa"/>
        </w:tblCellMar>
      </w:tblPr>
      <w:tblGrid>
        <w:gridCol w:w="1803"/>
        <w:gridCol w:w="1585"/>
        <w:gridCol w:w="159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Selected items impacting comparability per common unit </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adjusted net income per common unit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Includes results from continuing operations and discontinued operations for all periods presented.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See the “Selected Items Impacting Comparability” and the “Computation of Basic and Diluted Net Income Per Common Unit” tables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20140"/>
                <wp:effectExtent l="0" t="0" r="0" b="0"/>
                <wp:wrapNone/>
                <wp:docPr id="15" name="Frame1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to Adjusted EBITDA attributable to PAA and Implied DCF Reconciliation:</w:t>
      </w:r>
    </w:p>
    <w:tbl>
      <w:tblPr>
        <w:tblW w:w="10205" w:type="dxa"/>
        <w:jc w:val="left"/>
        <w:tblInd w:w="0" w:type="dxa"/>
        <w:tblLayout w:type="fixed"/>
        <w:tblCellMar>
          <w:top w:w="28" w:type="dxa"/>
          <w:left w:w="28" w:type="dxa"/>
          <w:bottom w:w="28" w:type="dxa"/>
          <w:right w:w="28" w:type="dxa"/>
        </w:tblCellMar>
      </w:tblPr>
      <w:tblGrid>
        <w:gridCol w:w="2054"/>
        <w:gridCol w:w="1635"/>
        <w:gridCol w:w="161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223"/>
      </w:tblGrid>
      <w:tr>
        <w:trPr/>
        <w:tc>
          <w:tcPr>
            <w:tcW w:w="20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Net Income</w:t>
            </w:r>
            <w:r>
              <w:rPr>
                <w:color w:val="000000"/>
              </w:rPr>
              <w:t xml:space="preserve"> </w:t>
            </w:r>
            <w:r>
              <w:rPr>
                <w:rFonts w:ascii="Times New Roman;serif" w:hAnsi="Times New Roman;serif"/>
                <w:b w:val="false"/>
                <w:color w:val="000000"/>
                <w:sz w:val="11"/>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Interest expense, net of certain items </w:t>
            </w:r>
            <w:r>
              <w:rPr>
                <w:rFonts w:ascii="Times New Roman;serif" w:hAnsi="Times New Roman;serif"/>
                <w:b w:val="false"/>
                <w:color w:val="000000"/>
                <w:sz w:val="11"/>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7"/>
              </w:rPr>
            </w:pPr>
            <w:r>
              <w:rPr>
                <w:rFonts w:ascii="Times New Roman;serif" w:hAnsi="Times New Roman;serif"/>
                <w:b w:val="false"/>
                <w:color w:val="000000"/>
                <w:sz w:val="17"/>
              </w:rPr>
              <w:t>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Losses on asset sales, asset impairments and other, net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(Gains)/losses on asset sales and other, net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Depreciation and amortization of unconsolidated entities</w:t>
            </w:r>
            <w:r>
              <w:rPr>
                <w:color w:val="000000"/>
              </w:rPr>
              <w:t xml:space="preserve"> </w:t>
            </w:r>
            <w:r>
              <w:rPr>
                <w:rFonts w:ascii="Times New Roman;serif" w:hAnsi="Times New Roman;serif"/>
                <w:b w:val="false"/>
                <w:color w:val="000000"/>
                <w:sz w:val="11"/>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Selected items impacting comparability - Adjusted EBITDA </w:t>
            </w:r>
            <w:r>
              <w:rPr>
                <w:rFonts w:ascii="Times New Roman;serif" w:hAnsi="Times New Roman;serif"/>
                <w:b w:val="false"/>
                <w:color w:val="000000"/>
                <w:sz w:val="11"/>
              </w:rPr>
              <w:t>(1) (4)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1,693 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Adjusted EBITDA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attributable to PAA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1,426 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Adjusted EBITDA </w:t>
            </w:r>
            <w:r>
              <w:rPr>
                <w:rFonts w:ascii="Times New Roman;serif" w:hAnsi="Times New Roman;serif"/>
                <w:b w:val="false"/>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Interest expense, net of certain non-cash and other items </w:t>
            </w:r>
            <w:r>
              <w:rPr>
                <w:rFonts w:ascii="Times New Roman;serif" w:hAnsi="Times New Roman;serif"/>
                <w:b w:val="false"/>
                <w:color w:val="000000"/>
                <w:sz w:val="11"/>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Investment capital of noncontrolling interests </w:t>
            </w:r>
            <w:r>
              <w:rPr>
                <w:rFonts w:ascii="Times New Roman;serif" w:hAnsi="Times New Roman;serif"/>
                <w:b w:val="false"/>
                <w:color w:val="000000"/>
                <w:sz w:val="11"/>
              </w:rPr>
              <w:t>(6)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Current income tax expense, net of certain tax effects related to the Canadian NGL Business divestiture </w:t>
            </w:r>
            <w:r>
              <w:rPr>
                <w:rFonts w:ascii="Times New Roman;serif" w:hAnsi="Times New Roman;serif"/>
                <w:b w:val="false"/>
                <w:color w:val="000000"/>
                <w:sz w:val="11"/>
              </w:rPr>
              <w:t>(1) (7)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Distributions from unconsolidated entities in excess of/(less than) adjusted equity earnings </w:t>
            </w:r>
            <w:r>
              <w:rPr>
                <w:rFonts w:ascii="Times New Roman;serif" w:hAnsi="Times New Roman;serif"/>
                <w:b w:val="false"/>
                <w:color w:val="000000"/>
                <w:sz w:val="11"/>
              </w:rPr>
              <w:t>(8)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Distributions to noncontrolling interests </w:t>
            </w:r>
            <w:r>
              <w:rPr>
                <w:rFonts w:ascii="Times New Roman;serif" w:hAnsi="Times New Roman;serif"/>
                <w:b w:val="false"/>
                <w:color w:val="000000"/>
                <w:sz w:val="11"/>
              </w:rPr>
              <w:t>(9)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1,043 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7"/>
              </w:rPr>
              <w:t xml:space="preserve">Preferred unit cash distributions paid </w:t>
            </w:r>
            <w:r>
              <w:rPr>
                <w:rFonts w:ascii="Times New Roman;serif" w:hAnsi="Times New Roman;serif"/>
                <w:b w:val="false"/>
                <w:color w:val="000000"/>
                <w:sz w:val="11"/>
              </w:rPr>
              <w:t>(9)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Available to Common Unitholders </w:t>
            </w:r>
            <w:r>
              <w:rPr>
                <w:rFonts w:ascii="Times New Roman;serif" w:hAnsi="Times New Roman;serif"/>
                <w:b w:val="false"/>
                <w:color w:val="000000"/>
                <w:sz w:val="11"/>
              </w:rPr>
              <w:t>(1)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Units Outstanding</w:t>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704 </w:t>
            </w:r>
          </w:p>
        </w:tc>
        <w:tc>
          <w:tcPr>
            <w:tcW w:w="2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Units and Common Unit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per Common Unit </w:t>
            </w:r>
            <w:r>
              <w:rPr>
                <w:rFonts w:ascii="Times New Roman;serif" w:hAnsi="Times New Roman;serif"/>
                <w:b w:val="false"/>
                <w:color w:val="000000"/>
                <w:sz w:val="11"/>
              </w:rPr>
              <w:t>(1) (10)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per Common Unit and Common Unit Equivalent </w:t>
            </w:r>
            <w:r>
              <w:rPr>
                <w:rFonts w:ascii="Times New Roman;serif" w:hAnsi="Times New Roman;serif"/>
                <w:b w:val="false"/>
                <w:color w:val="000000"/>
                <w:sz w:val="11"/>
              </w:rPr>
              <w:t>(1) (11)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Distribution Paid per Common Unit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0.7600 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Common Unit Cash Distributions </w:t>
            </w:r>
            <w:r>
              <w:rPr>
                <w:rFonts w:ascii="Times New Roman;serif" w:hAnsi="Times New Roman;serif"/>
                <w:b w:val="false"/>
                <w:color w:val="000000"/>
                <w:sz w:val="11"/>
              </w:rPr>
              <w:t>(9)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Common Unit Distribution Coverage Ratio </w:t>
            </w:r>
            <w:r>
              <w:rPr>
                <w:rFonts w:ascii="Times New Roman;serif" w:hAnsi="Times New Roman;serif"/>
                <w:b w:val="false"/>
                <w:color w:val="000000"/>
                <w:sz w:val="11"/>
              </w:rPr>
              <w:t>(1)</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7"/>
              </w:rPr>
            </w:pPr>
            <w:r>
              <w:rPr>
                <w:rFonts w:ascii="Times New Roman;serif" w:hAnsi="Times New Roman;serif"/>
                <w:b w:val="false"/>
                <w:color w:val="000000"/>
                <w:sz w:val="17"/>
              </w:rPr>
              <w:t>1.73x</w:t>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Implied DCF Excess </w:t>
            </w:r>
            <w:r>
              <w:rPr>
                <w:rFonts w:ascii="Times New Roman;serif" w:hAnsi="Times New Roman;serif"/>
                <w:b w:val="false"/>
                <w:color w:val="000000"/>
                <w:sz w:val="11"/>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5"/>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5"/>
        </w:rPr>
        <w:t>Represents “Interest expense, net” as reported on our Condensed Consolidated Statements of Operations, net of interest income associated with promissory notes by and among certain Plains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5"/>
        </w:rPr>
        <w:t xml:space="preserve">Adjustment to exclude our proportionate share of depreciation and amortization expense (including write-downs related to cancelled projects and impairments) of unconsolidated entities. </w:t>
      </w:r>
    </w:p>
    <w:p>
      <w:pPr>
        <w:pStyle w:val="TextBody"/>
        <w:bidi w:val="0"/>
        <w:spacing w:lineRule="auto" w:line="288" w:before="60" w:after="283"/>
        <w:ind w:left="0" w:right="0" w:hanging="360"/>
        <w:jc w:val="left"/>
        <w:rPr/>
      </w:pPr>
      <w:r>
        <w:rPr>
          <w:rFonts w:ascii="Times New Roman;serif" w:hAnsi="Times New Roman;serif"/>
          <w:b w:val="false"/>
          <w:color w:val="000000"/>
          <w:sz w:val="10"/>
        </w:rPr>
        <w:t>(4)</w:t>
      </w:r>
      <w:r>
        <w:rPr>
          <w:rFonts w:ascii="Times New Roman;serif" w:hAnsi="Times New Roman;serif"/>
          <w:b w:val="false"/>
          <w:color w:val="000000"/>
          <w:sz w:val="15"/>
        </w:rPr>
        <w:t>See the “Selected Items Impacting Comparability”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0"/>
        </w:rPr>
        <w:t>(5)</w:t>
      </w:r>
      <w:r>
        <w:rPr>
          <w:rFonts w:ascii="Times New Roman;serif" w:hAnsi="Times New Roman;serif"/>
          <w:b w:val="false"/>
          <w:color w:val="000000"/>
          <w:sz w:val="15"/>
        </w:rPr>
        <w:t>Amount excludes certain non-cash items impacting interest expense such as amortization of debt issuance costs and terminated interest rate swaps and is net of interest income associated with promissory notes by and among certain Plains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(6)</w:t>
      </w:r>
      <w:r>
        <w:rPr>
          <w:rFonts w:ascii="Times New Roman;serif" w:hAnsi="Times New Roman;serif"/>
          <w:b w:val="false"/>
          <w:color w:val="000000"/>
          <w:sz w:val="15"/>
        </w:rPr>
        <w:t>Investment capital expenditures attributable to noncontrolling interests that reduce Implied DCF available to PAA common unitholders.</w:t>
      </w:r>
    </w:p>
    <w:p>
      <w:pPr>
        <w:pStyle w:val="TextBody"/>
        <w:bidi w:val="0"/>
        <w:spacing w:lineRule="auto" w:line="288" w:before="60" w:after="283"/>
        <w:ind w:left="0" w:right="0" w:hanging="360"/>
        <w:jc w:val="left"/>
        <w:rPr/>
      </w:pPr>
      <w:r>
        <w:rPr>
          <w:rFonts w:ascii="Times New Roman;serif" w:hAnsi="Times New Roman;serif"/>
          <w:b w:val="false"/>
          <w:color w:val="000000"/>
          <w:sz w:val="10"/>
        </w:rPr>
        <w:t>(7)</w:t>
      </w:r>
      <w:r>
        <w:rPr>
          <w:rFonts w:ascii="Times New Roman;serif" w:hAnsi="Times New Roman;serif"/>
          <w:b w:val="false"/>
          <w:color w:val="000000"/>
          <w:sz w:val="15"/>
        </w:rPr>
        <w:t>Includes current income tax expense from continuing operations and discontinued operations, adjusted for current income tax expense associated with certain planning and restructuring activities within our organizational structure in connection with the Canadian NGL Business divestiture that had income tax consequences that required recognition during the first and second quarters of 2026.</w:t>
      </w:r>
    </w:p>
    <w:p>
      <w:pPr>
        <w:pStyle w:val="TextBody"/>
        <w:bidi w:val="0"/>
        <w:spacing w:lineRule="auto" w:line="288" w:before="60" w:after="283"/>
        <w:ind w:left="0" w:right="0" w:hanging="360"/>
        <w:jc w:val="left"/>
        <w:rPr/>
      </w:pPr>
      <w:r>
        <w:rPr>
          <w:rFonts w:ascii="Times New Roman;serif" w:hAnsi="Times New Roman;serif"/>
          <w:b w:val="false"/>
          <w:color w:val="000000"/>
          <w:sz w:val="10"/>
        </w:rPr>
        <w:t>(8)</w:t>
      </w:r>
      <w:r>
        <w:rPr>
          <w:rFonts w:ascii="Times New Roman;serif" w:hAnsi="Times New Roman;serif"/>
          <w:b w:val="false"/>
          <w:color w:val="000000"/>
          <w:sz w:val="15"/>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pStyle w:val="TextBody"/>
        <w:bidi w:val="0"/>
        <w:spacing w:lineRule="auto" w:line="288" w:before="60" w:after="283"/>
        <w:ind w:left="0" w:right="0" w:hanging="360"/>
        <w:jc w:val="left"/>
        <w:rPr/>
      </w:pPr>
      <w:r>
        <w:rPr>
          <w:rFonts w:ascii="Times New Roman;serif" w:hAnsi="Times New Roman;serif"/>
          <w:b w:val="false"/>
          <w:color w:val="000000"/>
          <w:sz w:val="10"/>
        </w:rPr>
        <w:t>(9)</w:t>
      </w:r>
      <w:r>
        <w:rPr>
          <w:rFonts w:ascii="Times New Roman;serif" w:hAnsi="Times New Roman;serif"/>
          <w:b w:val="false"/>
          <w:color w:val="000000"/>
          <w:sz w:val="15"/>
        </w:rPr>
        <w:t>Cash distributions paid during the period presented.</w:t>
      </w:r>
    </w:p>
    <w:p>
      <w:pPr>
        <w:pStyle w:val="TextBody"/>
        <w:bidi w:val="0"/>
        <w:spacing w:lineRule="auto" w:line="288" w:before="60" w:after="283"/>
        <w:ind w:left="0" w:right="0" w:hanging="360"/>
        <w:jc w:val="left"/>
        <w:rPr/>
      </w:pPr>
      <w:r>
        <w:rPr>
          <w:rFonts w:ascii="Times New Roman;serif" w:hAnsi="Times New Roman;serif"/>
          <w:b w:val="false"/>
          <w:color w:val="000000"/>
          <w:sz w:val="10"/>
        </w:rPr>
        <w:t>(10)</w:t>
      </w:r>
      <w:r>
        <w:rPr>
          <w:rFonts w:ascii="Times New Roman;serif" w:hAnsi="Times New Roman;serif"/>
          <w:b w:val="false"/>
          <w:color w:val="000000"/>
          <w:sz w:val="15"/>
        </w:rPr>
        <w:t>Implied DCF Available to Common Unitholders for the period divided by the weighted average common units outstanding for the period.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(11)</w:t>
      </w:r>
      <w:r>
        <w:rPr>
          <w:rFonts w:ascii="Times New Roman;serif" w:hAnsi="Times New Roman;serif"/>
          <w:b w:val="false"/>
          <w:color w:val="000000"/>
          <w:sz w:val="15"/>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20140"/>
                <wp:effectExtent l="0" t="0" r="0" b="0"/>
                <wp:wrapNone/>
                <wp:docPr id="16" name="Frame1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13</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Times New Roman;serif" w:hAnsi="Times New Roman;serif"/>
          <w:b/>
          <w:color w:val="000000"/>
          <w:sz w:val="20"/>
        </w:rPr>
        <w:t xml:space="preserve">Net Income Per Common Unit to Implied DCF Per Common Unit and Common Unit Equivalent Reconciliation </w:t>
      </w:r>
      <w:r>
        <w:rPr>
          <w:rFonts w:ascii="Times New Roman;serif" w:hAnsi="Times New Roman;serif"/>
          <w:b/>
          <w:color w:val="000000"/>
          <w:sz w:val="13"/>
        </w:rPr>
        <w:t>(1)</w:t>
      </w:r>
      <w:r>
        <w:rPr>
          <w:rFonts w:ascii="Times New Roman;serif" w:hAnsi="Times New Roman;serif"/>
          <w:b/>
          <w:color w:val="000000"/>
          <w:sz w:val="20"/>
        </w:rPr>
        <w:t>:</w:t>
      </w:r>
    </w:p>
    <w:p>
      <w:pPr>
        <w:pStyle w:val="TextBody"/>
        <w:bidi w:val="0"/>
        <w:spacing w:before="0" w:after="0"/>
        <w:ind w:left="0" w:right="0" w:hanging="180"/>
        <w:jc w:val="left"/>
        <w:rPr/>
      </w:pPr>
      <w:r>
        <w:rPr/>
      </w:r>
    </w:p>
    <w:tbl>
      <w:tblPr>
        <w:tblW w:w="10170" w:type="dxa"/>
        <w:jc w:val="left"/>
        <w:tblInd w:w="0" w:type="dxa"/>
        <w:tblLayout w:type="fixed"/>
        <w:tblCellMar>
          <w:top w:w="28" w:type="dxa"/>
          <w:left w:w="28" w:type="dxa"/>
          <w:bottom w:w="28" w:type="dxa"/>
          <w:right w:w="28" w:type="dxa"/>
        </w:tblCellMar>
      </w:tblPr>
      <w:tblGrid>
        <w:gridCol w:w="2107"/>
        <w:gridCol w:w="1854"/>
        <w:gridCol w:w="185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210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Reconciling items per common unit </w:t>
            </w:r>
            <w:r>
              <w:rPr>
                <w:rFonts w:ascii="Times New Roman;serif" w:hAnsi="Times New Roman;serif"/>
                <w:b w:val="false"/>
                <w:color w:val="000000"/>
                <w:sz w:val="13"/>
              </w:rPr>
              <w:t>(2) (3)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Reconciling items per common unit and common unit equivalent </w:t>
            </w:r>
            <w:r>
              <w:rPr>
                <w:rFonts w:ascii="Times New Roman;serif" w:hAnsi="Times New Roman;serif"/>
                <w:b w:val="false"/>
                <w:color w:val="000000"/>
                <w:sz w:val="13"/>
              </w:rPr>
              <w:t>(2) (4)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DCF per common unit and common unit equivalent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to Net Income to calculate Implied DCF Available to Common Unitholders. See the “Net Income to Adjusted EBITDA attributable to PAA and Implied DCF Reconciliation” table for additional information.</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Based on weighted average common units outstanding for the periods of 706 million, 703 million, 706 million and 704 million, respectively.</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Based on weighted average common units outstanding for the periods, as well as weighted average Series A preferred units outstanding of 58 million, 58 million, 58 million and 60 million for the periods presented,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20140"/>
                <wp:effectExtent l="0" t="0" r="0" b="0"/>
                <wp:wrapNone/>
                <wp:docPr id="17" name="Frame1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14</w:t>
      </w:r>
    </w:p>
    <w:p>
      <w:pPr>
        <w:pStyle w:val="TextBody"/>
        <w:bidi w:val="0"/>
        <w:spacing w:lineRule="auto" w:line="288" w:before="60" w:after="283"/>
        <w:ind w:left="0" w:right="0" w:hanging="18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Net Cash Provided by Operating Activities to Non-GAAP Financial Liquidity Measures Reconciliation </w:t>
      </w:r>
      <w:r>
        <w:rPr>
          <w:rFonts w:ascii="Times New Roman;serif" w:hAnsi="Times New Roman;serif"/>
          <w:b/>
          <w:color w:val="000000"/>
          <w:sz w:val="13"/>
        </w:rPr>
        <w:t>(1)</w:t>
      </w:r>
      <w:r>
        <w:rPr>
          <w:rFonts w:ascii="Times New Roman;serif" w:hAnsi="Times New Roman;serif"/>
          <w:b/>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2"/>
        <w:gridCol w:w="1729"/>
        <w:gridCol w:w="1733"/>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212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cash provided by operating activities to Adjusted Free Cash Flow:</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 by/(used in) investing activities</w:t>
            </w:r>
            <w:r>
              <w:rPr>
                <w:color w:val="000000"/>
              </w:rPr>
              <w:t xml:space="preserve"> </w:t>
            </w:r>
            <w:r>
              <w:rPr>
                <w:rFonts w:ascii="Times New Roman;serif" w:hAnsi="Times New Roman;serif"/>
                <w:b w:val="false"/>
                <w:color w:val="000000"/>
                <w:sz w:val="13"/>
              </w:rPr>
              <w:t>(2) (3)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paid to noncontrolling interests </w:t>
            </w:r>
            <w:r>
              <w:rPr>
                <w:rFonts w:ascii="Times New Roman;serif" w:hAnsi="Times New Roman;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Proceeds from the issuance of related party notes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(6)</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(5) (7)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Free Cash Flow</w:t>
            </w:r>
            <w:r>
              <w:rPr>
                <w:color w:val="000000"/>
              </w:rPr>
              <w:t xml:space="preserve"> </w:t>
            </w:r>
            <w:r>
              <w:rPr>
                <w:rFonts w:ascii="Times New Roman;serif" w:hAnsi="Times New Roman;serif"/>
                <w:b w:val="false"/>
                <w:color w:val="000000"/>
                <w:sz w:val="13"/>
              </w:rPr>
              <w:t>(5)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Changes in assets and liabilities, net of acquisitions </w:t>
            </w:r>
            <w:r>
              <w:rPr>
                <w:rFonts w:ascii="Times New Roman;serif" w:hAnsi="Times New Roman;serif"/>
                <w:b w:val="false"/>
                <w:color w:val="000000"/>
                <w:sz w:val="13"/>
              </w:rPr>
              <w:t>(8)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(Excluding Changes in Assets &amp; Liabilities) </w:t>
            </w:r>
            <w:r>
              <w:rPr>
                <w:rFonts w:ascii="Times New Roman;serif" w:hAnsi="Times New Roman;serif"/>
                <w:b w:val="false"/>
                <w:color w:val="000000"/>
                <w:sz w:val="13"/>
              </w:rPr>
              <w:t>(9)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(6)</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Free Cash Flow after Distributions (Excluding Changes in Assets &amp; Liabilities) </w:t>
            </w:r>
            <w:r>
              <w:rPr>
                <w:rFonts w:ascii="Times New Roman;serif" w:hAnsi="Times New Roman;serif"/>
                <w:b w:val="false"/>
                <w:color w:val="000000"/>
                <w:sz w:val="13"/>
              </w:rPr>
              <w:t>(9)</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provided by/(used in) investing activities.”</w:t>
      </w:r>
    </w:p>
    <w:p>
      <w:pPr>
        <w:pStyle w:val="TextBody"/>
        <w:bidi w:val="0"/>
        <w:spacing w:lineRule="auto" w:line="288" w:before="60" w:after="283"/>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For the three and six months ended June 30, 2026, includes a net cash inflow of approximately $3.483 billion for proceeds (net of cash divested) from the sale of the Canadian NGL Business. For the six months ended June 30, 2025, includes a net cash outflow of $681 million for bolt-on acquisitions.</w:t>
      </w:r>
    </w:p>
    <w:p>
      <w:pPr>
        <w:pStyle w:val="TextBody"/>
        <w:bidi w:val="0"/>
        <w:spacing w:lineRule="auto" w:line="288" w:before="60" w:after="283"/>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Cash distributions paid during the period presented.</w:t>
      </w:r>
    </w:p>
    <w:p>
      <w:pPr>
        <w:pStyle w:val="TextBody"/>
        <w:bidi w:val="0"/>
        <w:spacing w:lineRule="auto" w:line="288" w:before="60" w:after="283"/>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pStyle w:val="TextBody"/>
        <w:bidi w:val="0"/>
        <w:spacing w:lineRule="auto" w:line="288" w:before="60" w:after="283"/>
        <w:ind w:left="0" w:right="0" w:hanging="360"/>
        <w:jc w:val="left"/>
        <w:rPr/>
      </w:pPr>
      <w:r>
        <w:rPr>
          <w:rFonts w:ascii="Times New Roman;serif" w:hAnsi="Times New Roman;serif"/>
          <w:b w:val="false"/>
          <w:color w:val="000000"/>
          <w:sz w:val="12"/>
        </w:rPr>
        <w:t>(6)</w:t>
      </w:r>
      <w:r>
        <w:rPr>
          <w:rFonts w:ascii="Times New Roman;serif" w:hAnsi="Times New Roman;serif"/>
          <w:b w:val="false"/>
          <w:color w:val="000000"/>
          <w:sz w:val="18"/>
        </w:rPr>
        <w:t>Cash distributions paid to preferred and common unitholders during the period.</w:t>
      </w:r>
    </w:p>
    <w:p>
      <w:pPr>
        <w:pStyle w:val="TextBody"/>
        <w:bidi w:val="0"/>
        <w:spacing w:lineRule="auto" w:line="288" w:before="60" w:after="283"/>
        <w:ind w:left="0" w:right="0" w:hanging="360"/>
        <w:jc w:val="left"/>
        <w:rPr/>
      </w:pPr>
      <w:r>
        <w:rPr>
          <w:rFonts w:ascii="Times New Roman;serif" w:hAnsi="Times New Roman;serif"/>
          <w:b w:val="false"/>
          <w:color w:val="000000"/>
          <w:sz w:val="12"/>
        </w:rPr>
        <w:t>(7)</w:t>
      </w:r>
      <w:r>
        <w:rPr>
          <w:rFonts w:ascii="Times New Roman;serif" w:hAnsi="Times New Roman;serif"/>
          <w:b w:val="false"/>
          <w:color w:val="000000"/>
          <w:sz w:val="18"/>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pStyle w:val="TextBody"/>
        <w:bidi w:val="0"/>
        <w:spacing w:lineRule="auto" w:line="288" w:before="60" w:after="283"/>
        <w:ind w:left="0" w:right="0" w:hanging="360"/>
        <w:jc w:val="left"/>
        <w:rPr/>
      </w:pPr>
      <w:r>
        <w:rPr>
          <w:rFonts w:ascii="Times New Roman;serif" w:hAnsi="Times New Roman;serif"/>
          <w:b w:val="false"/>
          <w:color w:val="000000"/>
          <w:sz w:val="12"/>
        </w:rPr>
        <w:t>(8)</w:t>
      </w:r>
      <w:r>
        <w:rPr>
          <w:rFonts w:ascii="Times New Roman;serif" w:hAnsi="Times New Roman;serif"/>
          <w:b w:val="false"/>
          <w:color w:val="000000"/>
          <w:sz w:val="18"/>
        </w:rPr>
        <w:t>Excludes the income tax impacts related to the Canadian NGL Business divestiture. See the “Condensed Consolidated Cash Flow Data” table for information regarding changes in assets and liabilities.</w:t>
      </w:r>
    </w:p>
    <w:p>
      <w:pPr>
        <w:pStyle w:val="TextBody"/>
        <w:bidi w:val="0"/>
        <w:spacing w:lineRule="auto" w:line="288" w:before="60" w:after="283"/>
        <w:ind w:left="0" w:right="0" w:hanging="360"/>
        <w:jc w:val="left"/>
        <w:rPr/>
      </w:pPr>
      <w:r>
        <w:rPr>
          <w:rFonts w:ascii="Times New Roman;serif" w:hAnsi="Times New Roman;serif"/>
          <w:b w:val="false"/>
          <w:color w:val="000000"/>
          <w:sz w:val="12"/>
        </w:rPr>
        <w:t>(9)</w:t>
      </w:r>
      <w:r>
        <w:rPr>
          <w:rFonts w:ascii="Times New Roman;serif" w:hAnsi="Times New Roman;serif"/>
          <w:b w:val="false"/>
          <w:color w:val="000000"/>
          <w:sz w:val="18"/>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20140"/>
                <wp:effectExtent l="0" t="0" r="0" b="0"/>
                <wp:wrapNone/>
                <wp:docPr id="18" name="Frame1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u w:val="single"/>
        </w:rPr>
        <w:t>SELECTED ITEMS IMPACTING COMPARABILITY</w:t>
      </w:r>
      <w:r>
        <w:rPr>
          <w:color w:val="000000"/>
        </w:rPr>
        <w:t xml:space="preserve"> </w:t>
      </w:r>
      <w:r>
        <w:rPr>
          <w:rFonts w:ascii="Times New Roman;serif" w:hAnsi="Times New Roman;serif"/>
          <w:b w:val="false"/>
          <w:color w:val="000000"/>
          <w:sz w:val="20"/>
        </w:rPr>
        <w:t>(in millions)</w:t>
      </w:r>
    </w:p>
    <w:tbl>
      <w:tblPr>
        <w:tblW w:w="10049" w:type="dxa"/>
        <w:jc w:val="left"/>
        <w:tblInd w:w="0" w:type="dxa"/>
        <w:tblLayout w:type="fixed"/>
        <w:tblCellMar>
          <w:top w:w="28" w:type="dxa"/>
          <w:left w:w="28" w:type="dxa"/>
          <w:bottom w:w="28" w:type="dxa"/>
          <w:right w:w="28" w:type="dxa"/>
        </w:tblCellMar>
      </w:tblPr>
      <w:tblGrid>
        <w:gridCol w:w="2095"/>
        <w:gridCol w:w="1845"/>
        <w:gridCol w:w="1849"/>
        <w:gridCol w:w="196"/>
        <w:gridCol w:w="556"/>
        <w:gridCol w:w="109"/>
        <w:gridCol w:w="109"/>
        <w:gridCol w:w="109"/>
        <w:gridCol w:w="109"/>
        <w:gridCol w:w="196"/>
        <w:gridCol w:w="496"/>
        <w:gridCol w:w="109"/>
        <w:gridCol w:w="109"/>
        <w:gridCol w:w="109"/>
        <w:gridCol w:w="109"/>
        <w:gridCol w:w="196"/>
        <w:gridCol w:w="556"/>
        <w:gridCol w:w="109"/>
        <w:gridCol w:w="109"/>
        <w:gridCol w:w="109"/>
        <w:gridCol w:w="109"/>
        <w:gridCol w:w="196"/>
        <w:gridCol w:w="40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 xml:space="preserve">Selected Items Impacting Comparability: </w:t>
            </w:r>
            <w:r>
              <w:rPr>
                <w:rFonts w:ascii="Times New Roman;serif" w:hAnsi="Times New Roman;serif"/>
                <w:b/>
                <w:color w:val="000000"/>
                <w:sz w:val="11"/>
              </w:rPr>
              <w:t>(1) (2)</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Derivative activities and inventory valuation adjustments </w:t>
            </w:r>
            <w:r>
              <w:rPr>
                <w:rFonts w:ascii="Times New Roman;serif" w:hAnsi="Times New Roman;serif"/>
                <w:b w:val="false"/>
                <w:color w:val="000000"/>
                <w:sz w:val="11"/>
              </w:rPr>
              <w:t>(3)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Long-term inventory costing adjustments </w:t>
            </w:r>
            <w:r>
              <w:rPr>
                <w:rFonts w:ascii="Times New Roman;serif" w:hAnsi="Times New Roman;serif"/>
                <w:b w:val="false"/>
                <w:color w:val="000000"/>
                <w:sz w:val="11"/>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Deficiencies under minimum volume commitments, net </w:t>
            </w:r>
            <w:r>
              <w:rPr>
                <w:rFonts w:ascii="Times New Roman;serif" w:hAnsi="Times New Roman;serif"/>
                <w:b w:val="false"/>
                <w:color w:val="000000"/>
                <w:sz w:val="11"/>
              </w:rPr>
              <w:t>(5)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Rail fleet amortization expense related to discontinued operations </w:t>
            </w:r>
            <w:r>
              <w:rPr>
                <w:rFonts w:ascii="Times New Roman;serif" w:hAnsi="Times New Roman;serif"/>
                <w:b w:val="false"/>
                <w:color w:val="000000"/>
                <w:sz w:val="11"/>
              </w:rPr>
              <w:t>(6)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Equity-indexed compensation expense </w:t>
            </w:r>
            <w:r>
              <w:rPr>
                <w:rFonts w:ascii="Times New Roman;serif" w:hAnsi="Times New Roman;serif"/>
                <w:b w:val="false"/>
                <w:color w:val="000000"/>
                <w:sz w:val="11"/>
              </w:rPr>
              <w:t>(7)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Foreign currency revaluation </w:t>
            </w:r>
            <w:r>
              <w:rPr>
                <w:rFonts w:ascii="Times New Roman;serif" w:hAnsi="Times New Roman;serif"/>
                <w:b w:val="false"/>
                <w:color w:val="000000"/>
                <w:sz w:val="11"/>
              </w:rPr>
              <w:t>(8)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Contingent consideration fair value adjustment </w:t>
            </w:r>
            <w:r>
              <w:rPr>
                <w:rFonts w:ascii="Times New Roman;serif" w:hAnsi="Times New Roman;serif"/>
                <w:b w:val="false"/>
                <w:color w:val="000000"/>
                <w:sz w:val="11"/>
              </w:rPr>
              <w:t>(9)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Impact from exit of Canadian NGL Business </w:t>
            </w:r>
            <w:r>
              <w:rPr>
                <w:rFonts w:ascii="Times New Roman;serif" w:hAnsi="Times New Roman;serif"/>
                <w:b w:val="false"/>
                <w:color w:val="000000"/>
                <w:sz w:val="11"/>
              </w:rPr>
              <w:t>(10)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Transaction-related expenses </w:t>
            </w:r>
            <w:r>
              <w:rPr>
                <w:rFonts w:ascii="Times New Roman;serif" w:hAnsi="Times New Roman;serif"/>
                <w:b w:val="false"/>
                <w:color w:val="000000"/>
                <w:sz w:val="11"/>
              </w:rPr>
              <w:t>(11)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Selected items impacting comparability - 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investments in unconsolidated entities,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Gains/(losses) on asset sales, asset impairments and other, net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Current income tax expense related to Canadian NGL Business divestiture </w:t>
            </w:r>
            <w:r>
              <w:rPr>
                <w:rFonts w:ascii="Times New Roman;serif" w:hAnsi="Times New Roman;serif"/>
                <w:b w:val="false"/>
                <w:color w:val="000000"/>
                <w:sz w:val="11"/>
              </w:rPr>
              <w:t>(12)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Deferred income tax benefit related to Canadian NGL Business divestiture </w:t>
            </w:r>
            <w:r>
              <w:rPr>
                <w:rFonts w:ascii="Times New Roman;serif" w:hAnsi="Times New Roman;serif"/>
                <w:b w:val="false"/>
                <w:color w:val="000000"/>
                <w:sz w:val="11"/>
              </w:rPr>
              <w:t>(12)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effect on selected items impacting comparability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Aggregate selected items impacting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Selected items impacting comparability - Adjusted net income attributable to PAA</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9"/>
        </w:rPr>
        <w:t>(1)</w:t>
      </w:r>
      <w:r>
        <w:rPr>
          <w:rFonts w:ascii="Times New Roman;serif" w:hAnsi="Times New Roman;serif"/>
          <w:b w:val="false"/>
          <w:color w:val="000000"/>
          <w:sz w:val="14"/>
        </w:rPr>
        <w:t>Certain of our non-GAAP financial measures may not be impacted by each of the selected items impacting comparability.</w:t>
      </w:r>
      <w:r>
        <w:rPr>
          <w:color w:val="000000"/>
        </w:rPr>
        <w:t xml:space="preserve"> </w:t>
      </w:r>
      <w:r>
        <w:rPr>
          <w:rFonts w:ascii="Times New Roman;serif" w:hAnsi="Times New Roman;serif"/>
          <w:b w:val="false"/>
          <w:color w:val="000000"/>
          <w:sz w:val="14"/>
        </w:rPr>
        <w:t>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pStyle w:val="TextBody"/>
        <w:bidi w:val="0"/>
        <w:spacing w:lineRule="auto" w:line="288" w:before="60" w:after="283"/>
        <w:ind w:left="0" w:right="0" w:hanging="360"/>
        <w:jc w:val="left"/>
        <w:rPr/>
      </w:pPr>
      <w:r>
        <w:rPr>
          <w:rFonts w:ascii="Times New Roman;serif" w:hAnsi="Times New Roman;serif"/>
          <w:b w:val="false"/>
          <w:color w:val="000000"/>
          <w:sz w:val="9"/>
        </w:rPr>
        <w:t>(2)</w:t>
      </w:r>
      <w:r>
        <w:rPr>
          <w:rFonts w:ascii="Times New Roman;serif" w:hAnsi="Times New Roman;serif"/>
          <w:b w:val="false"/>
          <w:color w:val="000000"/>
          <w:sz w:val="14"/>
        </w:rPr>
        <w:t>Includes results from continuing operations and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9"/>
        </w:rPr>
        <w:t>(3)</w:t>
      </w:r>
      <w:r>
        <w:rPr>
          <w:rFonts w:ascii="Times New Roman;serif" w:hAnsi="Times New Roman;serif"/>
          <w:b w:val="false"/>
          <w:color w:val="000000"/>
          <w:sz w:val="14"/>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60" w:after="283"/>
        <w:ind w:left="0" w:right="0" w:hanging="360"/>
        <w:jc w:val="left"/>
        <w:rPr/>
      </w:pPr>
      <w:r>
        <w:rPr>
          <w:rFonts w:ascii="Times New Roman;serif" w:hAnsi="Times New Roman;serif"/>
          <w:b w:val="false"/>
          <w:color w:val="000000"/>
          <w:sz w:val="9"/>
        </w:rPr>
        <w:t>(4)</w:t>
      </w:r>
      <w:r>
        <w:rPr>
          <w:rFonts w:ascii="Times New Roman;serif" w:hAnsi="Times New Roman;serif"/>
          <w:b w:val="false"/>
          <w:color w:val="000000"/>
          <w:sz w:val="14"/>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(5)</w:t>
      </w:r>
      <w:r>
        <w:rPr>
          <w:rFonts w:ascii="Times New Roman;serif" w:hAnsi="Times New Roman;serif"/>
          <w:b w:val="false"/>
          <w:color w:val="000000"/>
          <w:sz w:val="14"/>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pStyle w:val="TextBody"/>
        <w:bidi w:val="0"/>
        <w:spacing w:lineRule="auto" w:line="288" w:before="60" w:after="283"/>
        <w:ind w:left="0" w:right="0" w:hanging="360"/>
        <w:jc w:val="left"/>
        <w:rPr/>
      </w:pPr>
      <w:r>
        <w:rPr>
          <w:rFonts w:ascii="Times New Roman;serif" w:hAnsi="Times New Roman;serif"/>
          <w:b w:val="false"/>
          <w:color w:val="000000"/>
          <w:sz w:val="9"/>
        </w:rPr>
        <w:t>(6)</w:t>
      </w:r>
      <w:r>
        <w:rPr>
          <w:rFonts w:ascii="Times New Roman;serif" w:hAnsi="Times New Roman;serif"/>
          <w:b w:val="false"/>
          <w:color w:val="000000"/>
          <w:sz w:val="14"/>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9"/>
        </w:rPr>
        <w:t>(7)</w:t>
      </w:r>
      <w:r>
        <w:rPr>
          <w:rFonts w:ascii="Times New Roman;serif" w:hAnsi="Times New Roman;serif"/>
          <w:b w:val="false"/>
          <w:color w:val="000000"/>
          <w:sz w:val="14"/>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(8)</w:t>
      </w:r>
      <w:r>
        <w:rPr>
          <w:rFonts w:ascii="Times New Roman;serif" w:hAnsi="Times New Roman;serif"/>
          <w:b w:val="false"/>
          <w:color w:val="000000"/>
          <w:sz w:val="14"/>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(9)</w:t>
      </w:r>
      <w:r>
        <w:rPr>
          <w:rFonts w:ascii="Times New Roman;serif" w:hAnsi="Times New Roman;serif"/>
          <w:b w:val="false"/>
          <w:color w:val="000000"/>
          <w:sz w:val="14"/>
        </w:rPr>
        <w:t>We agreed to potential earnout payments associated with recently completed acquisitions, primarily our Cactus III acquisition. We consider the non-cash change in the estimated fair value of such earnout payments as a selected item impacting comparability.</w:t>
      </w:r>
    </w:p>
    <w:p>
      <w:pPr>
        <w:pStyle w:val="TextBody"/>
        <w:bidi w:val="0"/>
        <w:spacing w:lineRule="auto" w:line="288" w:before="60" w:after="283"/>
        <w:ind w:left="0" w:right="0" w:hanging="360"/>
        <w:jc w:val="left"/>
        <w:rPr/>
      </w:pPr>
      <w:r>
        <w:rPr>
          <w:rFonts w:ascii="Times New Roman;serif" w:hAnsi="Times New Roman;serif"/>
          <w:b w:val="false"/>
          <w:color w:val="000000"/>
          <w:sz w:val="9"/>
        </w:rPr>
        <w:t>(10)</w:t>
      </w:r>
      <w:r>
        <w:rPr>
          <w:rFonts w:ascii="Times New Roman;serif" w:hAnsi="Times New Roman;serif"/>
          <w:b w:val="false"/>
          <w:color w:val="000000"/>
          <w:sz w:val="14"/>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Segment Adjusted EBITDA.</w:t>
      </w:r>
    </w:p>
    <w:p>
      <w:pPr>
        <w:pStyle w:val="TextBody"/>
        <w:bidi w:val="0"/>
        <w:spacing w:lineRule="auto" w:line="288" w:before="60" w:after="283"/>
        <w:ind w:left="0" w:right="0" w:hanging="360"/>
        <w:jc w:val="left"/>
        <w:rPr/>
      </w:pPr>
      <w:r>
        <w:rPr>
          <w:rFonts w:ascii="Times New Roman;serif" w:hAnsi="Times New Roman;serif"/>
          <w:b w:val="false"/>
          <w:color w:val="000000"/>
          <w:sz w:val="9"/>
        </w:rPr>
        <w:t>(11)</w:t>
      </w:r>
      <w:r>
        <w:rPr>
          <w:rFonts w:ascii="Times New Roman;serif" w:hAnsi="Times New Roman;serif"/>
          <w:b w:val="false"/>
          <w:color w:val="000000"/>
          <w:sz w:val="14"/>
        </w:rPr>
        <w:t>Primarily related to deal-specific costs incurred during the period.</w:t>
      </w:r>
    </w:p>
    <w:p>
      <w:pPr>
        <w:pStyle w:val="TextBody"/>
        <w:bidi w:val="0"/>
        <w:spacing w:lineRule="auto" w:line="288" w:before="60" w:after="283"/>
        <w:ind w:left="0" w:right="0" w:hanging="360"/>
        <w:jc w:val="left"/>
        <w:rPr/>
      </w:pPr>
      <w:r>
        <w:rPr>
          <w:rFonts w:ascii="Times New Roman;serif" w:hAnsi="Times New Roman;serif"/>
          <w:b w:val="false"/>
          <w:color w:val="000000"/>
          <w:sz w:val="9"/>
        </w:rPr>
        <w:t>(12)</w:t>
      </w:r>
      <w:r>
        <w:rPr>
          <w:rFonts w:ascii="Times New Roman;serif" w:hAnsi="Times New Roman;serif"/>
          <w:b w:val="false"/>
          <w:color w:val="000000"/>
          <w:sz w:val="14"/>
        </w:rPr>
        <w:t>In connection with the Canadian NGL Business divestiture, we completed certain planning and restructuring activities within our organizational structure that had income tax consequences that required recognition during the first and second quarters of 2026. We consider the impacts from the Canadian NGL Business divestiture as a selected item impacting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20140"/>
                <wp:effectExtent l="0" t="0" r="0" b="0"/>
                <wp:wrapNone/>
                <wp:docPr id="19" name="Frame1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SELECTED FINANCIAL DATA BY CRUDE OIL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818"/>
        <w:gridCol w:w="1427"/>
        <w:gridCol w:w="1441"/>
        <w:gridCol w:w="211"/>
        <w:gridCol w:w="721"/>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11"/>
        <w:gridCol w:w="721"/>
        <w:gridCol w:w="156"/>
      </w:tblGrid>
      <w:tr>
        <w:trPr/>
        <w:tc>
          <w:tcPr>
            <w:tcW w:w="181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59"/>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 Adjusted EBITDA from Crude Oil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maintenance capital expenditures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intersegment amounts.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equity-indexed compensation expense.</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pStyle w:val="TextBody"/>
        <w:bidi w:val="0"/>
        <w:spacing w:lineRule="auto" w:line="288" w:before="6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Reflects amounts attributable to noncontrolling interests in the Permian JV, Cactus II Pipeline LLC and Red River Pipeline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20140"/>
                <wp:effectExtent l="0" t="0" r="0" b="0"/>
                <wp:wrapNone/>
                <wp:docPr id="20" name="Frame1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17</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SELECTED FINANCIAL DATA BY NGL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151" w:type="dxa"/>
        <w:jc w:val="left"/>
        <w:tblInd w:w="0" w:type="dxa"/>
        <w:tblLayout w:type="fixed"/>
        <w:tblCellMar>
          <w:top w:w="28" w:type="dxa"/>
          <w:left w:w="28" w:type="dxa"/>
          <w:bottom w:w="28" w:type="dxa"/>
          <w:right w:w="28" w:type="dxa"/>
        </w:tblCellMar>
      </w:tblPr>
      <w:tblGrid>
        <w:gridCol w:w="2085"/>
        <w:gridCol w:w="1822"/>
        <w:gridCol w:w="1837"/>
        <w:gridCol w:w="211"/>
        <w:gridCol w:w="406"/>
        <w:gridCol w:w="109"/>
        <w:gridCol w:w="109"/>
        <w:gridCol w:w="109"/>
        <w:gridCol w:w="109"/>
        <w:gridCol w:w="211"/>
        <w:gridCol w:w="436"/>
        <w:gridCol w:w="109"/>
        <w:gridCol w:w="109"/>
        <w:gridCol w:w="109"/>
        <w:gridCol w:w="109"/>
        <w:gridCol w:w="109"/>
        <w:gridCol w:w="109"/>
        <w:gridCol w:w="109"/>
        <w:gridCol w:w="211"/>
        <w:gridCol w:w="466"/>
        <w:gridCol w:w="109"/>
        <w:gridCol w:w="109"/>
        <w:gridCol w:w="109"/>
        <w:gridCol w:w="109"/>
        <w:gridCol w:w="211"/>
        <w:gridCol w:w="466"/>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NGL Segment Adjusted EBITDA </w:t>
            </w:r>
            <w:r>
              <w:rPr>
                <w:rFonts w:ascii="Times New Roman;serif" w:hAnsi="Times New Roman;serif"/>
                <w:b w:val="false"/>
                <w:color w:val="000000"/>
                <w:sz w:val="13"/>
              </w:rPr>
              <w:t>(4)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from NGL Discontinued Operations </w:t>
            </w:r>
            <w:r>
              <w:rPr>
                <w:rFonts w:ascii="Times New Roman;serif" w:hAnsi="Times New Roman;serif"/>
                <w:b w:val="false"/>
                <w:color w:val="000000"/>
                <w:sz w:val="13"/>
              </w:rPr>
              <w:t>(5)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NGL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 from NGL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 from NGL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maintenance capital expenditures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intersegment amounts.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 including information technology, insurance and other shared services costs.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Includes results from continuing operations and excludes amounts related to discontinued operations for all periods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See the “Reconciliation of Adjusted EBITDA from NGL Discontinued Operations” table for a reconciliation to the most directly comparable measure as reported in accordance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20140"/>
                <wp:effectExtent l="0" t="0" r="0" b="0"/>
                <wp:wrapNone/>
                <wp:docPr id="21" name="Frame20"/>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DISCONTINUED OPERATIONS DETAIL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lineRule="auto" w:line="288" w:before="0" w:after="12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Components of Income from Discontinued Operations, Net of Tax: </w:t>
      </w:r>
    </w:p>
    <w:tbl>
      <w:tblPr>
        <w:tblW w:w="8474" w:type="dxa"/>
        <w:jc w:val="left"/>
        <w:tblInd w:w="0" w:type="dxa"/>
        <w:tblLayout w:type="fixed"/>
        <w:tblCellMar>
          <w:top w:w="28" w:type="dxa"/>
          <w:left w:w="28" w:type="dxa"/>
          <w:bottom w:w="28" w:type="dxa"/>
          <w:right w:w="28" w:type="dxa"/>
        </w:tblCellMar>
      </w:tblPr>
      <w:tblGrid>
        <w:gridCol w:w="1452"/>
        <w:gridCol w:w="1271"/>
        <w:gridCol w:w="1281"/>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Reconciliation of Adjusted EBITDA from NGL Discontinued Operations:</w:t>
      </w:r>
    </w:p>
    <w:tbl>
      <w:tblPr>
        <w:tblW w:w="10205" w:type="dxa"/>
        <w:jc w:val="left"/>
        <w:tblInd w:w="0" w:type="dxa"/>
        <w:tblLayout w:type="fixed"/>
        <w:tblCellMar>
          <w:top w:w="28" w:type="dxa"/>
          <w:left w:w="28" w:type="dxa"/>
          <w:bottom w:w="28" w:type="dxa"/>
          <w:right w:w="28" w:type="dxa"/>
        </w:tblCellMar>
      </w:tblPr>
      <w:tblGrid>
        <w:gridCol w:w="2118"/>
        <w:gridCol w:w="1855"/>
        <w:gridCol w:w="1866"/>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211"/>
        <w:gridCol w:w="466"/>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attributable to discontinued operations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Rail fleet amortization expense related to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NGL Discontinued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the “Selected Items Impacting Comparability” table for additional information.</w:t>
      </w:r>
    </w:p>
    <w:p>
      <w:pPr>
        <w:pStyle w:val="TextBody"/>
        <w:bidi w:val="0"/>
        <w:spacing w:before="60" w:after="283"/>
        <w:jc w:val="left"/>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Investment Capital from NGL Discontinued Operations:</w:t>
      </w:r>
    </w:p>
    <w:tbl>
      <w:tblPr>
        <w:tblW w:w="9569" w:type="dxa"/>
        <w:jc w:val="left"/>
        <w:tblInd w:w="0" w:type="dxa"/>
        <w:tblLayout w:type="fixed"/>
        <w:tblCellMar>
          <w:top w:w="28" w:type="dxa"/>
          <w:left w:w="28" w:type="dxa"/>
          <w:bottom w:w="28" w:type="dxa"/>
          <w:right w:w="28" w:type="dxa"/>
        </w:tblCellMar>
      </w:tblPr>
      <w:tblGrid>
        <w:gridCol w:w="2023"/>
        <w:gridCol w:w="1774"/>
        <w:gridCol w:w="1783"/>
        <w:gridCol w:w="109"/>
        <w:gridCol w:w="109"/>
        <w:gridCol w:w="109"/>
        <w:gridCol w:w="213"/>
        <w:gridCol w:w="259"/>
        <w:gridCol w:w="110"/>
        <w:gridCol w:w="110"/>
        <w:gridCol w:w="110"/>
        <w:gridCol w:w="110"/>
        <w:gridCol w:w="213"/>
        <w:gridCol w:w="366"/>
        <w:gridCol w:w="110"/>
        <w:gridCol w:w="109"/>
        <w:gridCol w:w="109"/>
        <w:gridCol w:w="109"/>
        <w:gridCol w:w="211"/>
        <w:gridCol w:w="361"/>
        <w:gridCol w:w="109"/>
        <w:gridCol w:w="109"/>
        <w:gridCol w:w="109"/>
        <w:gridCol w:w="109"/>
        <w:gridCol w:w="211"/>
        <w:gridCol w:w="36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 investment capital expenditures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20140"/>
                <wp:effectExtent l="0" t="0" r="0" b="0"/>
                <wp:wrapNone/>
                <wp:docPr id="22" name="Frame21"/>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19</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OPERATING DATA</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7711" w:type="dxa"/>
        <w:jc w:val="left"/>
        <w:tblInd w:w="0" w:type="dxa"/>
        <w:tblLayout w:type="fixed"/>
        <w:tblCellMar>
          <w:top w:w="28" w:type="dxa"/>
          <w:left w:w="28" w:type="dxa"/>
          <w:bottom w:w="28" w:type="dxa"/>
          <w:right w:w="28" w:type="dxa"/>
        </w:tblCellMar>
      </w:tblPr>
      <w:tblGrid>
        <w:gridCol w:w="1081"/>
        <w:gridCol w:w="949"/>
        <w:gridCol w:w="954"/>
        <w:gridCol w:w="360"/>
        <w:gridCol w:w="361"/>
        <w:gridCol w:w="178"/>
        <w:gridCol w:w="178"/>
        <w:gridCol w:w="178"/>
        <w:gridCol w:w="178"/>
        <w:gridCol w:w="308"/>
        <w:gridCol w:w="308"/>
        <w:gridCol w:w="178"/>
        <w:gridCol w:w="109"/>
        <w:gridCol w:w="109"/>
        <w:gridCol w:w="109"/>
        <w:gridCol w:w="360"/>
        <w:gridCol w:w="361"/>
        <w:gridCol w:w="156"/>
        <w:gridCol w:w="154"/>
        <w:gridCol w:w="154"/>
        <w:gridCol w:w="154"/>
        <w:gridCol w:w="308"/>
        <w:gridCol w:w="308"/>
        <w:gridCol w:w="218"/>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Crude Oil Volumes</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 pipeline tariff (by region)</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Permian Basin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South Texas / Eagle Ford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Mid-Continent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Gulf Coast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erif" w:hAnsi="Times New Roman;serif"/>
                <w:b w:val="false"/>
                <w:color w:val="000000"/>
                <w:sz w:val="20"/>
              </w:rPr>
              <w:t xml:space="preserve">Rocky Mountain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crude oil pipeline tariff </w:t>
            </w:r>
            <w:r>
              <w:rPr>
                <w:rFonts w:ascii="Times New Roman;serif" w:hAnsi="Times New Roman;serif"/>
                <w:b w:val="false"/>
                <w:color w:val="000000"/>
                <w:sz w:val="13"/>
              </w:rPr>
              <w:t>(2)</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NGL Volumes </w:t>
            </w:r>
            <w:r>
              <w:rPr>
                <w:rFonts w:ascii="Times New Roman;serif" w:hAnsi="Times New Roman;serif"/>
                <w:b/>
                <w:color w:val="000000"/>
                <w:sz w:val="13"/>
              </w:rPr>
              <w:t>(3)</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fractionation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 pipeline tariff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Propane and butane sales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 </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volumes (attributable to our interest) from assets owned by unconsolidated entities.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volumes from assets associated with continuing operations and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20140"/>
                <wp:effectExtent l="0" t="0" r="0" b="0"/>
                <wp:wrapNone/>
                <wp:docPr id="23" name="Frame22"/>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20</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NON-GAAP RECONCILIATIONS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ind w:left="0" w:right="0" w:hanging="180"/>
        <w:jc w:val="left"/>
        <w:rPr>
          <w:rFonts w:ascii="Times New Roman;serif" w:hAnsi="Times New Roman;serif"/>
          <w:b/>
          <w:color w:val="000000"/>
          <w:sz w:val="19"/>
        </w:rPr>
      </w:pPr>
      <w:r>
        <w:rPr>
          <w:rFonts w:ascii="Times New Roman;serif" w:hAnsi="Times New Roman;serif"/>
          <w:b/>
          <w:color w:val="000000"/>
          <w:sz w:val="19"/>
        </w:rPr>
        <w:t>Supplemental Adjusted EBITDA attributable to PAA Reconciliation:</w:t>
      </w:r>
    </w:p>
    <w:p>
      <w:pPr>
        <w:pStyle w:val="TextBody"/>
        <w:bidi w:val="0"/>
        <w:spacing w:before="0" w:after="0"/>
        <w:ind w:left="0" w:right="0" w:hanging="180"/>
        <w:jc w:val="left"/>
        <w:rPr/>
      </w:pPr>
      <w:r>
        <w:rPr/>
      </w:r>
    </w:p>
    <w:tbl>
      <w:tblPr>
        <w:tblW w:w="9210" w:type="dxa"/>
        <w:jc w:val="left"/>
        <w:tblInd w:w="0" w:type="dxa"/>
        <w:tblLayout w:type="fixed"/>
        <w:tblCellMar>
          <w:top w:w="28" w:type="dxa"/>
          <w:left w:w="28" w:type="dxa"/>
          <w:bottom w:w="28" w:type="dxa"/>
          <w:right w:w="28" w:type="dxa"/>
        </w:tblCellMar>
      </w:tblPr>
      <w:tblGrid>
        <w:gridCol w:w="1716"/>
        <w:gridCol w:w="1506"/>
        <w:gridCol w:w="151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from NGL Discontinued Operations </w:t>
            </w: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other income, net </w:t>
            </w:r>
            <w:r>
              <w:rPr>
                <w:rFonts w:ascii="Times New Roman;serif" w:hAnsi="Times New Roman;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(3)</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See the “Reconciliation of Adjusted EBITDA from NGL Discontinued Operations” table for a reconciliation to the most directly comparable measure as reported in accordance with GAAP.</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pStyle w:val="TextBody"/>
        <w:bidi w:val="0"/>
        <w:spacing w:lineRule="auto" w:line="288" w:before="60" w:after="12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See the “Net Income to Adjusted EBITDA attributable to PAA and Implied DCF Reconciliation” table for reconciliation to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20140"/>
                <wp:effectExtent l="0" t="0" r="0" b="0"/>
                <wp:wrapNone/>
                <wp:docPr id="24" name="Frame23"/>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014"/>
        <w:gridCol w:w="568"/>
        <w:gridCol w:w="570"/>
        <w:gridCol w:w="196"/>
        <w:gridCol w:w="646"/>
        <w:gridCol w:w="109"/>
        <w:gridCol w:w="109"/>
        <w:gridCol w:w="109"/>
        <w:gridCol w:w="109"/>
        <w:gridCol w:w="250"/>
        <w:gridCol w:w="730"/>
        <w:gridCol w:w="140"/>
        <w:gridCol w:w="109"/>
        <w:gridCol w:w="109"/>
        <w:gridCol w:w="109"/>
        <w:gridCol w:w="196"/>
        <w:gridCol w:w="646"/>
        <w:gridCol w:w="109"/>
        <w:gridCol w:w="109"/>
        <w:gridCol w:w="109"/>
        <w:gridCol w:w="109"/>
        <w:gridCol w:w="109"/>
        <w:gridCol w:w="109"/>
        <w:gridCol w:w="109"/>
        <w:gridCol w:w="196"/>
        <w:gridCol w:w="646"/>
        <w:gridCol w:w="109"/>
        <w:gridCol w:w="109"/>
        <w:gridCol w:w="109"/>
        <w:gridCol w:w="109"/>
        <w:gridCol w:w="295"/>
        <w:gridCol w:w="658"/>
        <w:gridCol w:w="166"/>
        <w:gridCol w:w="109"/>
        <w:gridCol w:w="109"/>
        <w:gridCol w:w="109"/>
        <w:gridCol w:w="196"/>
        <w:gridCol w:w="64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PAGP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Basic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net income per Class 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Diluted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Class 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aggregate consolidating adjustments necessary to produce consolidated financial statements for PAGP.</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For the three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See the “Computation of Basic and Diluted Net Income Per Class A Share” table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20140"/>
                <wp:effectExtent l="0" t="0" r="0" b="0"/>
                <wp:wrapNone/>
                <wp:docPr id="25" name="Frame24"/>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22</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014"/>
        <w:gridCol w:w="568"/>
        <w:gridCol w:w="570"/>
        <w:gridCol w:w="196"/>
        <w:gridCol w:w="646"/>
        <w:gridCol w:w="109"/>
        <w:gridCol w:w="109"/>
        <w:gridCol w:w="109"/>
        <w:gridCol w:w="109"/>
        <w:gridCol w:w="250"/>
        <w:gridCol w:w="730"/>
        <w:gridCol w:w="140"/>
        <w:gridCol w:w="109"/>
        <w:gridCol w:w="109"/>
        <w:gridCol w:w="109"/>
        <w:gridCol w:w="196"/>
        <w:gridCol w:w="646"/>
        <w:gridCol w:w="109"/>
        <w:gridCol w:w="109"/>
        <w:gridCol w:w="109"/>
        <w:gridCol w:w="109"/>
        <w:gridCol w:w="109"/>
        <w:gridCol w:w="109"/>
        <w:gridCol w:w="109"/>
        <w:gridCol w:w="196"/>
        <w:gridCol w:w="646"/>
        <w:gridCol w:w="109"/>
        <w:gridCol w:w="109"/>
        <w:gridCol w:w="109"/>
        <w:gridCol w:w="109"/>
        <w:gridCol w:w="295"/>
        <w:gridCol w:w="658"/>
        <w:gridCol w:w="166"/>
        <w:gridCol w:w="109"/>
        <w:gridCol w:w="109"/>
        <w:gridCol w:w="109"/>
        <w:gridCol w:w="196"/>
        <w:gridCol w:w="64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expenses </w:t>
            </w:r>
            <w:r>
              <w:rPr>
                <w:rFonts w:ascii="Times New Roman;serif" w:hAnsi="Times New Roman;serif"/>
                <w:b w:val="false"/>
                <w:color w:val="000000"/>
                <w:sz w:val="12"/>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45"/>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Deferred income tax benefit/(expense)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PAGP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Basic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net income per Class 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Diluted net income/(loss) per Class A share </w:t>
            </w:r>
            <w:r>
              <w:rPr>
                <w:rFonts w:ascii="Times New Roman;serif" w:hAnsi="Times New Roman;serif"/>
                <w:b w:val="false"/>
                <w:color w:val="000000"/>
                <w:sz w:val="12"/>
              </w:rPr>
              <w:t>(3)</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Class A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215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9"/>
        </w:rPr>
        <w:t>(1)</w:t>
      </w:r>
      <w:r>
        <w:rPr>
          <w:rFonts w:ascii="Times New Roman;serif" w:hAnsi="Times New Roman;serif"/>
          <w:b w:val="false"/>
          <w:color w:val="000000"/>
          <w:sz w:val="14"/>
        </w:rPr>
        <w:t>Represents the aggregate consolidating adjustments necessary to produce consolidated financial statements for PAGP.</w:t>
      </w:r>
      <w:r>
        <w:rPr>
          <w:color w:val="000000"/>
        </w:rPr>
        <w:t xml:space="preserve"> </w:t>
      </w:r>
    </w:p>
    <w:p>
      <w:pPr>
        <w:pStyle w:val="TextBody"/>
        <w:bidi w:val="0"/>
        <w:spacing w:lineRule="auto" w:line="288" w:before="60" w:after="283"/>
        <w:ind w:left="0" w:right="0" w:hanging="360"/>
        <w:jc w:val="left"/>
        <w:rPr/>
      </w:pPr>
      <w:r>
        <w:rPr>
          <w:rFonts w:ascii="Times New Roman;serif" w:hAnsi="Times New Roman;serif"/>
          <w:b w:val="false"/>
          <w:color w:val="000000"/>
          <w:sz w:val="9"/>
        </w:rPr>
        <w:t>(2)</w:t>
      </w:r>
      <w:r>
        <w:rPr>
          <w:rFonts w:ascii="Times New Roman;serif" w:hAnsi="Times New Roman;serif"/>
          <w:b w:val="false"/>
          <w:color w:val="000000"/>
          <w:sz w:val="14"/>
        </w:rPr>
        <w:t>For the six months ended June 30, 2026, General and administrative expenses include approximately $34 million related to the acceleration of certain expenses during the second quarter of 2026 resulting from exit costs associated with the Canadian NGL Business.</w:t>
      </w:r>
    </w:p>
    <w:p>
      <w:pPr>
        <w:pStyle w:val="TextBody"/>
        <w:bidi w:val="0"/>
        <w:spacing w:lineRule="auto" w:line="288" w:before="60" w:after="283"/>
        <w:ind w:left="0" w:right="0" w:hanging="360"/>
        <w:jc w:val="left"/>
        <w:rPr/>
      </w:pPr>
      <w:r>
        <w:rPr>
          <w:rFonts w:ascii="Times New Roman;serif" w:hAnsi="Times New Roman;serif"/>
          <w:b w:val="false"/>
          <w:color w:val="000000"/>
          <w:sz w:val="9"/>
        </w:rPr>
        <w:t>(3)</w:t>
      </w:r>
      <w:r>
        <w:rPr>
          <w:rFonts w:ascii="Times New Roman;serif" w:hAnsi="Times New Roman;serif"/>
          <w:b w:val="false"/>
          <w:color w:val="000000"/>
          <w:sz w:val="14"/>
        </w:rPr>
        <w:t>See the “Computation of Basic and Diluted Net Income Per Class A Share” table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20140"/>
                <wp:effectExtent l="0" t="0" r="0" b="0"/>
                <wp:wrapNone/>
                <wp:docPr id="26" name="Frame25"/>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CONDENSED CONSOLIDATING BALANCE SHEET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910"/>
        <w:gridCol w:w="405"/>
        <w:gridCol w:w="409"/>
        <w:gridCol w:w="211"/>
        <w:gridCol w:w="721"/>
        <w:gridCol w:w="109"/>
        <w:gridCol w:w="109"/>
        <w:gridCol w:w="109"/>
        <w:gridCol w:w="109"/>
        <w:gridCol w:w="252"/>
        <w:gridCol w:w="737"/>
        <w:gridCol w:w="131"/>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52"/>
        <w:gridCol w:w="737"/>
        <w:gridCol w:w="131"/>
        <w:gridCol w:w="109"/>
        <w:gridCol w:w="109"/>
        <w:gridCol w:w="109"/>
        <w:gridCol w:w="211"/>
        <w:gridCol w:w="721"/>
        <w:gridCol w:w="224"/>
      </w:tblGrid>
      <w:tr>
        <w:trPr/>
        <w:tc>
          <w:tcPr>
            <w:tcW w:w="91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assets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liabilities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Partners’ capital excluding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aggregate consolidating adjustments necessary to produce consolidated financial statements for PAGP.</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Includes current assets of discontinued operations of $479 million as of December 31, 2025.</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Includes current liabilities of discontinued operations of $154 million and $382 million as of June 30, 2026 and December 31, 2025, respectively.</w: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20140"/>
                <wp:effectExtent l="0" t="0" r="0" b="0"/>
                <wp:wrapNone/>
                <wp:docPr id="27" name="Frame26"/>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PLAINS GP HOLDINGS AND SUBSIDIARIES</w:t>
      </w:r>
    </w:p>
    <w:p>
      <w:pPr>
        <w:pStyle w:val="TextBody"/>
        <w:bidi w:val="0"/>
        <w:spacing w:lineRule="auto" w:line="288" w:before="0" w:after="0"/>
        <w:jc w:val="left"/>
        <w:rPr/>
      </w:pPr>
      <w:r>
        <w:rPr>
          <w:rFonts w:ascii="Times New Roman;serif" w:hAnsi="Times New Roman;serif"/>
          <w:b/>
          <w:color w:val="000000"/>
          <w:sz w:val="20"/>
        </w:rPr>
        <w:t>FINANCIAL SUMMARY</w:t>
      </w:r>
      <w:r>
        <w:rPr>
          <w:color w:val="000000"/>
        </w:rPr>
        <w:t xml:space="preserve"> </w:t>
      </w:r>
      <w:r>
        <w:rPr>
          <w:rFonts w:ascii="Times New Roman;serif" w:hAnsi="Times New Roman;serif"/>
          <w:b w:val="false"/>
          <w:color w:val="000000"/>
          <w:sz w:val="20"/>
        </w:rPr>
        <w:t>(unaudited)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COMPUTATION OF BASIC AND DILUTED NET INCOME PER CLASS A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64"/>
        <w:gridCol w:w="1751"/>
        <w:gridCol w:w="1758"/>
        <w:gridCol w:w="211"/>
        <w:gridCol w:w="550"/>
        <w:gridCol w:w="109"/>
        <w:gridCol w:w="109"/>
        <w:gridCol w:w="109"/>
        <w:gridCol w:w="109"/>
        <w:gridCol w:w="211"/>
        <w:gridCol w:w="511"/>
        <w:gridCol w:w="109"/>
        <w:gridCol w:w="109"/>
        <w:gridCol w:w="109"/>
        <w:gridCol w:w="109"/>
        <w:gridCol w:w="211"/>
        <w:gridCol w:w="550"/>
        <w:gridCol w:w="109"/>
        <w:gridCol w:w="109"/>
        <w:gridCol w:w="109"/>
        <w:gridCol w:w="109"/>
        <w:gridCol w:w="211"/>
        <w:gridCol w:w="511"/>
        <w:gridCol w:w="158"/>
      </w:tblGrid>
      <w:tr>
        <w:trPr/>
        <w:tc>
          <w:tcPr>
            <w:tcW w:w="226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Class A Share</w:t>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Class A Share</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net income attributable to PAGP resulting from assumed exchange of AAP Management Units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 including incremental net income from assumed exchange of AAP Management Units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resulting from assumed exchange of AAP Management Units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20140"/>
                <wp:effectExtent l="0" t="0" r="0" b="0"/>
                <wp:wrapNone/>
                <wp:docPr id="28" name="Frame27"/>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Forward-Looking Statements </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impacts of global geopolitical events, including conflicts in the Middle East and elsewhere, on commodity price volatility and crude oil supply and demand, as well as broader impacts on financial markets and the global macroeconomic environment;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resulting changes in pricing conditions or transportation throughput requirements;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unanticipated changes in crude oil market structure, grade differentials and volatility (or lack thereof);</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availability of, and our ability to consummate, acquisitions, divestitures, joint ventures or other strategic opportunities and realize benefits therefrom;</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20140"/>
                <wp:effectExtent l="0" t="0" r="0" b="0"/>
                <wp:wrapNone/>
                <wp:docPr id="29" name="Frame28"/>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disruptions to futures markets for crude oil and other petroleum products, which may impair our ability to execute our commercial or hedging strategies;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maintenance of our credit ratings and ability to receive open credit from our suppliers and trade counterparties;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risks related to the development and operation of our assets;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and other petroleum products as discussed in the Partnerships’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20140"/>
                <wp:effectExtent l="0" t="0" r="0" b="0"/>
                <wp:wrapNone/>
                <wp:docPr id="30" name="Frame29"/>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more -</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Page 27</w:t>
      </w:r>
    </w:p>
    <w:p>
      <w:pPr>
        <w:pStyle w:val="TextBody"/>
        <w:bidi w:val="0"/>
        <w:spacing w:lineRule="auto" w:line="288"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Plains:</w:t>
      </w:r>
    </w:p>
    <w:p>
      <w:pPr>
        <w:pStyle w:val="TextBody"/>
        <w:bidi w:val="0"/>
        <w:spacing w:before="6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PAGP is a publicly traded entity that owns an indirect, non-economic controlling general partner interest in PAA and an indirect limited partner interest in PAA, one of the largest energy infrastructure and logistics companies in North America.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and PAGP are headquartered in Houston, Texas. For more information, please visit www.plains.com.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Contacts</w:t>
      </w:r>
      <w:r>
        <w:rPr>
          <w:rFonts w:ascii="Times New Roman;serif" w:hAnsi="Times New Roman;serif"/>
          <w:b w:val="false"/>
          <w:color w:val="000000"/>
          <w:sz w:val="20"/>
        </w:rPr>
        <w:t>:</w:t>
      </w:r>
    </w:p>
    <w:tbl>
      <w:tblPr>
        <w:tblW w:w="2910" w:type="dxa"/>
        <w:jc w:val="left"/>
        <w:tblInd w:w="0" w:type="dxa"/>
        <w:tblLayout w:type="fixed"/>
        <w:tblCellMar>
          <w:top w:w="28" w:type="dxa"/>
          <w:left w:w="28" w:type="dxa"/>
          <w:bottom w:w="28" w:type="dxa"/>
          <w:right w:w="28" w:type="dxa"/>
        </w:tblCellMar>
      </w:tblPr>
      <w:tblGrid>
        <w:gridCol w:w="932"/>
        <w:gridCol w:w="818"/>
        <w:gridCol w:w="1160"/>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Blake Fernandez</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(866) 809-1291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Ross Hovde</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Investor Relations</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(866) 809-1291</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43940"/>
                <wp:effectExtent l="0" t="0" r="0" b="0"/>
                <wp:wrapNone/>
                <wp:docPr id="31" name="Frame30"/>
                <a:graphic xmlns:a="http://schemas.openxmlformats.org/drawingml/2006/main">
                  <a:graphicData uri="http://schemas.microsoft.com/office/word/2010/wordprocessingShape">
                    <wps:wsp>
                      <wps:cNvSpPr txBox="1"/>
                      <wps:spPr>
                        <a:xfrm>
                          <a:off x="0" y="0"/>
                          <a:ext cx="6480175" cy="10439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r>
                              <w:br w:type="page"/>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bl>
                      <w:tblPr>
                        <w:tblW w:w="7019" w:type="dxa"/>
                        <w:jc w:val="center"/>
                        <w:tblInd w:w="0" w:type="dxa"/>
                        <w:tblLayout w:type="fixed"/>
                        <w:tblCellMar>
                          <w:top w:w="28" w:type="dxa"/>
                          <w:left w:w="28" w:type="dxa"/>
                          <w:bottom w:w="28" w:type="dxa"/>
                          <w:right w:w="28" w:type="dxa"/>
                        </w:tblCellMar>
                      </w:tblPr>
                      <w:tblGrid>
                        <w:gridCol w:w="868"/>
                        <w:gridCol w:w="762"/>
                        <w:gridCol w:w="770"/>
                        <w:gridCol w:w="659"/>
                        <w:gridCol w:w="659"/>
                        <w:gridCol w:w="661"/>
                        <w:gridCol w:w="770"/>
                        <w:gridCol w:w="770"/>
                        <w:gridCol w:w="1100"/>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333 Clay Street, Suite 1600</w:t>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Houston, Texas 77002</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713-646-4100 / 866-809-1291</w:t>
                            </w:r>
                          </w:p>
                        </w:tc>
                      </w:tr>
                    </w:tbl>
                    <w:p>
                      <w:pPr>
                        <w:pStyle w:val="TextBody"/>
                        <w:bidi w:val="0"/>
                        <w:spacing w:lineRule="auto" w:line="288" w:before="0" w:after="0"/>
                        <w:jc w:val="center"/>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12547</Words>
  <Characters>69752</Characters>
  <CharactersWithSpaces>81074</CharactersWithSpaces>
  <Paragraphs>2967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