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-606425</wp:posOffset>
            </wp:positionV>
            <wp:extent cx="825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-614680</wp:posOffset>
            </wp:positionV>
            <wp:extent cx="8255"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31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-590550</wp:posOffset>
            </wp:positionV>
            <wp:extent cx="1263650" cy="566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64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616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671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8"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12"/>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5"/>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KAFU Holdings (QP), L.P.</w:t>
              </w:r>
            </w:hyperlink>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380" w:type="dxa"/>
            <w:vAlign w:val="bottom"/>
            <w:gridSpan w:val="9"/>
          </w:tcPr>
          <w:p>
            <w:pPr>
              <w:ind w:left="60"/>
              <w:spacing w:after="0" w:line="104"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PLAINS GP HOLDINGS LP</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PAGP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5"/>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00" w:type="dxa"/>
            <w:vAlign w:val="bottom"/>
          </w:tcPr>
          <w:p>
            <w:pPr>
              <w:spacing w:after="0"/>
              <w:rPr>
                <w:sz w:val="7"/>
                <w:szCs w:val="7"/>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300" w:type="dxa"/>
            <w:vAlign w:val="bottom"/>
            <w:gridSpan w:val="5"/>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3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900" w:type="dxa"/>
            <w:vAlign w:val="bottom"/>
            <w:gridSpan w:val="8"/>
            <w:vMerge w:val="continue"/>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1800 AVENUE OF THE STARS, 3RD FLOOR</w:t>
            </w: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12/31/2020</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See remarks</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gridSpan w:val="2"/>
          </w:tcPr>
          <w:p>
            <w:pPr>
              <w:spacing w:after="0"/>
              <w:rPr>
                <w:sz w:val="17"/>
                <w:szCs w:val="17"/>
                <w:color w:val="auto"/>
              </w:rPr>
            </w:pPr>
          </w:p>
        </w:tc>
        <w:tc>
          <w:tcPr>
            <w:tcW w:w="2080" w:type="dxa"/>
            <w:vAlign w:val="bottom"/>
            <w:tcBorders>
              <w:bottom w:val="single" w:sz="8" w:color="2C2C2C"/>
            </w:tcBorders>
            <w:gridSpan w:val="4"/>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120" w:type="dxa"/>
            <w:vAlign w:val="bottom"/>
            <w:tcBorders>
              <w:bottom w:val="single" w:sz="8" w:color="2C2C2C"/>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46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9"/>
            <w:vMerge w:val="restart"/>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12"/>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gridSpan w:val="9"/>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LOS ANGELES CA</w:t>
            </w:r>
          </w:p>
        </w:tc>
        <w:tc>
          <w:tcPr>
            <w:tcW w:w="94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90067</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60" w:type="dxa"/>
            <w:vAlign w:val="bottom"/>
            <w:gridSpan w:val="2"/>
          </w:tcPr>
          <w:p>
            <w:pPr>
              <w:ind w:left="480"/>
              <w:spacing w:after="0"/>
              <w:rPr>
                <w:sz w:val="20"/>
                <w:szCs w:val="20"/>
                <w:color w:val="auto"/>
              </w:rPr>
            </w:pPr>
            <w:r>
              <w:rPr>
                <w:rFonts w:ascii="Arial" w:cs="Arial" w:eastAsia="Arial" w:hAnsi="Arial"/>
                <w:sz w:val="12"/>
                <w:szCs w:val="12"/>
                <w:b w:val="1"/>
                <w:bCs w:val="1"/>
                <w:color w:val="auto"/>
                <w:w w:val="93"/>
              </w:rPr>
              <w:t>2. Transaction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5. Amount of</w:t>
            </w: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gridSpan w:val="2"/>
          </w:tcPr>
          <w:p>
            <w:pPr>
              <w:ind w:left="480"/>
              <w:spacing w:after="0" w:line="12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w w:val="98"/>
              </w:rPr>
              <w:t>Disposed Of (D) (Instr. 3, 4 and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400"/>
              <w:spacing w:after="0" w:line="125" w:lineRule="exact"/>
              <w:rPr>
                <w:sz w:val="20"/>
                <w:szCs w:val="20"/>
                <w:color w:val="auto"/>
              </w:rPr>
            </w:pPr>
            <w:r>
              <w:rPr>
                <w:rFonts w:ascii="Arial" w:cs="Arial" w:eastAsia="Arial" w:hAnsi="Arial"/>
                <w:sz w:val="12"/>
                <w:szCs w:val="12"/>
                <w:b w:val="1"/>
                <w:bCs w:val="1"/>
                <w:color w:val="auto"/>
              </w:rPr>
              <w:t>Form: Direct</w:t>
            </w:r>
          </w:p>
        </w:tc>
        <w:tc>
          <w:tcPr>
            <w:tcW w:w="1300" w:type="dxa"/>
            <w:vAlign w:val="bottom"/>
            <w:gridSpan w:val="5"/>
          </w:tcPr>
          <w:p>
            <w:pPr>
              <w:ind w:left="120"/>
              <w:spacing w:after="0" w:line="125"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0" w:type="dxa"/>
            <w:vAlign w:val="bottom"/>
            <w:gridSpan w:val="7"/>
          </w:tcPr>
          <w:p>
            <w:pPr>
              <w:ind w:left="480"/>
              <w:spacing w:after="0" w:line="129"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200" w:type="dxa"/>
            <w:vAlign w:val="bottom"/>
            <w:gridSpan w:val="3"/>
          </w:tcPr>
          <w:p>
            <w:pPr>
              <w:ind w:left="400"/>
              <w:spacing w:after="0" w:line="129" w:lineRule="exact"/>
              <w:rPr>
                <w:sz w:val="20"/>
                <w:szCs w:val="20"/>
                <w:color w:val="auto"/>
              </w:rPr>
            </w:pPr>
            <w:r>
              <w:rPr>
                <w:rFonts w:ascii="Arial" w:cs="Arial" w:eastAsia="Arial" w:hAnsi="Arial"/>
                <w:sz w:val="12"/>
                <w:szCs w:val="12"/>
                <w:b w:val="1"/>
                <w:bCs w:val="1"/>
                <w:color w:val="auto"/>
                <w:w w:val="99"/>
              </w:rPr>
              <w:t>(D) or Indirect</w:t>
            </w:r>
          </w:p>
        </w:tc>
        <w:tc>
          <w:tcPr>
            <w:tcW w:w="13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7"/>
                <w:szCs w:val="17"/>
                <w:color w:val="0000FF"/>
              </w:rPr>
              <w:t>12/31/2020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666</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666</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300" w:type="dxa"/>
            <w:vAlign w:val="bottom"/>
            <w:gridSpan w:val="5"/>
            <w:vMerge w:val="restart"/>
          </w:tcPr>
          <w:p>
            <w:pPr>
              <w:ind w:left="120"/>
              <w:spacing w:after="0" w:line="271" w:lineRule="exact"/>
              <w:rPr>
                <w:sz w:val="20"/>
                <w:szCs w:val="20"/>
                <w:color w:val="auto"/>
              </w:rPr>
            </w:pPr>
            <w:r>
              <w:rPr>
                <w:rFonts w:ascii="Times New Roman" w:cs="Times New Roman" w:eastAsia="Times New Roman" w:hAnsi="Times New Roman"/>
                <w:sz w:val="31"/>
                <w:szCs w:val="31"/>
                <w:color w:val="0000FF"/>
                <w:vertAlign w:val="subscript"/>
              </w:rPr>
              <w:t>footnotes</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3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gridSpan w:val="4"/>
            <w:vMerge w:val="restart"/>
          </w:tcPr>
          <w:p>
            <w:pPr>
              <w:ind w:left="580"/>
              <w:spacing w:after="0"/>
              <w:rPr>
                <w:sz w:val="20"/>
                <w:szCs w:val="20"/>
                <w:color w:val="auto"/>
              </w:rPr>
            </w:pPr>
            <w:r>
              <w:rPr>
                <w:rFonts w:ascii="Times New Roman" w:cs="Times New Roman" w:eastAsia="Times New Roman" w:hAnsi="Times New Roman"/>
                <w:sz w:val="17"/>
                <w:szCs w:val="17"/>
                <w:color w:val="0000FF"/>
              </w:rPr>
              <w:t>12/31/2020</w:t>
            </w:r>
          </w:p>
        </w:tc>
        <w:tc>
          <w:tcPr>
            <w:tcW w:w="2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666</w:t>
            </w:r>
          </w:p>
        </w:tc>
        <w:tc>
          <w:tcPr>
            <w:tcW w:w="4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4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0</w:t>
            </w: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46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3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2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Price of</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9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6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Class</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3"/>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Shares/Class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480" w:type="dxa"/>
            <w:vAlign w:val="bottom"/>
            <w:vMerge w:val="continue"/>
          </w:tcPr>
          <w:p>
            <w:pPr>
              <w:spacing w:after="0"/>
              <w:rPr>
                <w:sz w:val="5"/>
                <w:szCs w:val="5"/>
                <w:color w:val="auto"/>
              </w:rPr>
            </w:pP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666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gridSpan w:val="2"/>
            <w:vMerge w:val="restart"/>
          </w:tcPr>
          <w:p>
            <w:pPr>
              <w:jc w:val="right"/>
              <w:ind w:right="353"/>
              <w:spacing w:after="0"/>
              <w:rPr>
                <w:sz w:val="20"/>
                <w:szCs w:val="20"/>
                <w:color w:val="auto"/>
              </w:rPr>
            </w:pPr>
            <w:r>
              <w:rPr>
                <w:rFonts w:ascii="Times New Roman" w:cs="Times New Roman" w:eastAsia="Times New Roman" w:hAnsi="Times New Roman"/>
                <w:sz w:val="11"/>
                <w:szCs w:val="11"/>
                <w:color w:val="008000"/>
                <w:w w:val="93"/>
              </w:rPr>
              <w:t>(4)</w:t>
            </w:r>
          </w:p>
        </w:tc>
        <w:tc>
          <w:tcPr>
            <w:tcW w:w="4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300" w:type="dxa"/>
            <w:vAlign w:val="bottom"/>
          </w:tcPr>
          <w:p>
            <w:pPr>
              <w:spacing w:after="0"/>
              <w:rPr>
                <w:sz w:val="5"/>
                <w:szCs w:val="5"/>
                <w:color w:val="auto"/>
              </w:rPr>
            </w:pPr>
          </w:p>
        </w:tc>
        <w:tc>
          <w:tcPr>
            <w:tcW w:w="9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12/31/2020</w:t>
            </w: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660" w:type="dxa"/>
            <w:vAlign w:val="bottom"/>
            <w:gridSpan w:val="2"/>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666</w:t>
            </w: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5"/>
              </w:rPr>
              <w:t>15,839,726</w:t>
            </w:r>
          </w:p>
        </w:tc>
        <w:tc>
          <w:tcPr>
            <w:tcW w:w="560" w:type="dxa"/>
            <w:vAlign w:val="bottom"/>
            <w:gridSpan w:val="2"/>
            <w:vMerge w:val="continue"/>
          </w:tcPr>
          <w:p>
            <w:pPr>
              <w:spacing w:after="0"/>
              <w:rPr>
                <w:sz w:val="5"/>
                <w:szCs w:val="5"/>
                <w:color w:val="auto"/>
              </w:rPr>
            </w:pPr>
          </w:p>
        </w:tc>
        <w:tc>
          <w:tcPr>
            <w:tcW w:w="4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 Units/GP</w:t>
            </w: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40" w:type="dxa"/>
            <w:vAlign w:val="bottom"/>
            <w:gridSpan w:val="4"/>
            <w:vMerge w:val="restart"/>
          </w:tcPr>
          <w:p>
            <w:pPr>
              <w:ind w:left="20"/>
              <w:spacing w:after="0" w:line="155"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5"/>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KAFU Holdings (QP), L.P.</w:t>
              </w:r>
            </w:hyperlink>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6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1800 AVENUE OF THE STARS, 3RD FLOOR</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gridSpan w:val="2"/>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4"/>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12"/>
          </w:tcPr>
          <w:p>
            <w:pPr>
              <w:spacing w:after="0" w:line="219"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KAYNE ANDERSON CAPITAL ADVISORS</w:t>
              </w:r>
            </w:hyperlink>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0000EE"/>
            </w:tcBorders>
            <w:gridSpan w:val="2"/>
          </w:tcPr>
          <w:p>
            <w:pPr>
              <w:spacing w:after="0" w:line="21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LP</w:t>
              </w:r>
            </w:hyperlink>
          </w:p>
        </w:tc>
        <w:tc>
          <w:tcPr>
            <w:tcW w:w="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1800 AVENUE OF THE STARS</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3RD FLOOR</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gridSpan w:val="2"/>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-7181215</wp:posOffset>
            </wp:positionV>
            <wp:extent cx="7033895" cy="724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3895" cy="724725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2"/>
        <w:spacing w:after="0" w:line="272"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w:t>
      </w:r>
    </w:p>
    <w:p>
      <w:pPr>
        <w:sectPr>
          <w:pgSz w:w="11900" w:h="16838" w:orient="portrait"/>
          <w:cols w:equalWidth="0" w:num="1">
            <w:col w:w="11080"/>
          </w:cols>
          <w:pgMar w:left="460" w:top="218" w:right="359" w:bottom="0" w:gutter="0" w:footer="0" w:header="0"/>
          <w:type w:val="continuous"/>
        </w:sectPr>
      </w:pPr>
    </w:p>
    <w:bookmarkStart w:id="1" w:name="page2"/>
    <w:bookmarkEnd w:id="1"/>
    <w:p>
      <w:pPr>
        <w:ind w:right="160"/>
        <w:spacing w:after="0" w:line="256" w:lineRule="auto"/>
        <w:rPr>
          <w:sz w:val="20"/>
          <w:szCs w:val="20"/>
          <w:color w:val="auto"/>
        </w:rPr>
      </w:pPr>
      <w:r>
        <w:rPr>
          <w:rFonts w:ascii="Times New Roman" w:cs="Times New Roman" w:eastAsia="Times New Roman" w:hAnsi="Times New Roman"/>
          <w:sz w:val="13"/>
          <w:szCs w:val="13"/>
          <w:color w:val="008000"/>
        </w:rPr>
        <w:t>units in AAP together with a like number of Class B shares and GP Units, for a like number of Class A shares of the Issuer. On December 31, 2020, KAFU Holdings (QP), L.P. exercised the Exchange Right with respect to 666 Class A Units.</w:t>
      </w:r>
    </w:p>
    <w:p>
      <w:pPr>
        <w:spacing w:after="0" w:line="17" w:lineRule="exact"/>
        <w:rPr>
          <w:sz w:val="20"/>
          <w:szCs w:val="20"/>
          <w:color w:val="auto"/>
        </w:rPr>
      </w:pPr>
    </w:p>
    <w:p>
      <w:pPr>
        <w:ind w:firstLine="2"/>
        <w:spacing w:after="0" w:line="292"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an in-kind distribution to redeeming limited partners of KAFU Holdings (QP), L.P.</w:t>
      </w:r>
    </w:p>
    <w:p>
      <w:pPr>
        <w:spacing w:after="0" w:line="44" w:lineRule="exact"/>
        <w:rPr>
          <w:rFonts w:ascii="Times New Roman" w:cs="Times New Roman" w:eastAsia="Times New Roman" w:hAnsi="Times New Roman"/>
          <w:sz w:val="13"/>
          <w:szCs w:val="13"/>
          <w:color w:val="008000"/>
        </w:rPr>
      </w:pPr>
    </w:p>
    <w:p>
      <w:pPr>
        <w:ind w:right="2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 simultaneous transaction, KAFU exercised the redemption right provided for in the limited partnership agreement of AAP with respect to 21,566 Class A units. As a result, such Class A units were cancelled and 21,566 Common Units of Plains All American Pipeline, L.P. were distributed by AAP to KAFU. The number of derivative securities owned reflects both the exchange transaction reported herein and the simultaneous redemption transaction.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3"/>
          <w:szCs w:val="13"/>
          <w:color w:val="008000"/>
        </w:rPr>
        <w:t>Kevin McCarthy is a director of the managing general partner of the Issuer. Based on the relationship of Mr. McCarthy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O'Neil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01/04/2021</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60"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581990"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2021-01-04T15:24:31Z</dcterms:created>
  <dcterms:modified xsi:type="dcterms:W3CDTF">2021-01-04T15:24:31Z</dcterms:modified>
</cp:coreProperties>
</file>