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filename1.htm"/>
      <w:bookmarkStart w:id="1" w:name="ksfilename1"/>
      <w:bookmarkEnd w:id="0"/>
      <w:bookmarkEnd w:id="1"/>
      <w:r>
        <w:rPr/>
        <w:t> </w:t>
      </w:r>
    </w:p>
    <w:p>
      <w:pPr>
        <w:pStyle w:val="TextBody"/>
        <w:spacing w:before="0" w:after="0"/>
        <w:ind w:left="0" w:right="0" w:hanging="0"/>
        <w:rPr>
          <w:rFonts w:ascii="Times New Roman" w:hAnsi="Times New Roman"/>
          <w:sz w:val="17"/>
        </w:rPr>
      </w:pPr>
      <w:r>
        <w:rPr>
          <w:rFonts w:ascii="Times New Roman" w:hAnsi="Times New Roman"/>
          <w:sz w:val="17"/>
        </w:rPr>
        <w:t>October 10,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 Roger Schwall</w:t>
      </w:r>
    </w:p>
    <w:p>
      <w:pPr>
        <w:pStyle w:val="TextBody"/>
        <w:spacing w:before="0" w:after="0"/>
        <w:ind w:left="0" w:right="0" w:hanging="0"/>
        <w:rPr>
          <w:rFonts w:ascii="Times New Roman" w:hAnsi="Times New Roman"/>
          <w:sz w:val="17"/>
        </w:rPr>
      </w:pPr>
      <w:r>
        <w:rPr>
          <w:rFonts w:ascii="Times New Roman" w:hAnsi="Times New Roman"/>
          <w:sz w:val="17"/>
        </w:rPr>
        <w:t>Assistant Director</w:t>
      </w:r>
    </w:p>
    <w:p>
      <w:pPr>
        <w:pStyle w:val="TextBody"/>
        <w:spacing w:before="0" w:after="0"/>
        <w:ind w:left="0" w:right="0" w:hanging="0"/>
        <w:rPr>
          <w:rFonts w:ascii="Times New Roman" w:hAnsi="Times New Roman"/>
          <w:sz w:val="17"/>
        </w:rPr>
      </w:pPr>
      <w:r>
        <w:rPr>
          <w:rFonts w:ascii="Times New Roman" w:hAnsi="Times New Roman"/>
          <w:sz w:val="17"/>
        </w:rPr>
        <w:t>United States Securities and Exchange Commission</w:t>
      </w:r>
    </w:p>
    <w:p>
      <w:pPr>
        <w:pStyle w:val="TextBody"/>
        <w:spacing w:before="0" w:after="0"/>
        <w:ind w:left="0" w:right="0" w:hanging="0"/>
        <w:rPr>
          <w:rFonts w:ascii="Times New Roman" w:hAnsi="Times New Roman"/>
          <w:sz w:val="17"/>
        </w:rPr>
      </w:pPr>
      <w:r>
        <w:rPr>
          <w:rFonts w:ascii="Times New Roman" w:hAnsi="Times New Roman"/>
          <w:sz w:val="17"/>
        </w:rPr>
        <w:t>Division of Corporation Finance</w:t>
      </w:r>
    </w:p>
    <w:p>
      <w:pPr>
        <w:pStyle w:val="TextBody"/>
        <w:spacing w:before="0" w:after="0"/>
        <w:ind w:left="0" w:right="0" w:hanging="0"/>
        <w:rPr>
          <w:rFonts w:ascii="Times New Roman" w:hAnsi="Times New Roman"/>
          <w:sz w:val="17"/>
        </w:rPr>
      </w:pPr>
      <w:r>
        <w:rPr>
          <w:rFonts w:ascii="Times New Roman" w:hAnsi="Times New Roman"/>
          <w:sz w:val="17"/>
        </w:rPr>
        <w:t>100 F Street, N.E.</w:t>
      </w:r>
    </w:p>
    <w:p>
      <w:pPr>
        <w:pStyle w:val="TextBody"/>
        <w:spacing w:before="0" w:after="0"/>
        <w:ind w:left="0" w:right="0" w:hanging="0"/>
        <w:rPr>
          <w:rFonts w:ascii="Times New Roman" w:hAnsi="Times New Roman"/>
          <w:sz w:val="17"/>
        </w:rPr>
      </w:pPr>
      <w:r>
        <w:rPr>
          <w:rFonts w:ascii="Times New Roman" w:hAnsi="Times New Roman"/>
          <w:sz w:val="17"/>
        </w:rPr>
        <w:t>Washington, D.C.  20549-3561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Re:</w:t>
      </w:r>
      <w:r>
        <w:rPr>
          <w:rFonts w:ascii="Times New Roman" w:hAnsi="Times New Roman"/>
        </w:rPr>
        <w:t xml:space="preserve">                             </w:t>
      </w:r>
      <w:r>
        <w:rPr>
          <w:rFonts w:ascii="Times New Roman" w:hAnsi="Times New Roman"/>
          <w:sz w:val="17"/>
        </w:rPr>
        <w:t>Plains GP Holdings, L.P.</w:t>
      </w:r>
    </w:p>
    <w:p>
      <w:pPr>
        <w:pStyle w:val="TextBody"/>
        <w:spacing w:before="0" w:after="0"/>
        <w:ind w:left="0" w:right="0" w:hanging="0"/>
        <w:rPr>
          <w:rFonts w:ascii="Times New Roman" w:hAnsi="Times New Roman"/>
          <w:sz w:val="17"/>
        </w:rPr>
      </w:pPr>
      <w:r>
        <w:rPr>
          <w:rFonts w:ascii="Times New Roman" w:hAnsi="Times New Roman"/>
          <w:sz w:val="17"/>
        </w:rPr>
        <w:t>Registration Statement on Form S-1</w:t>
      </w:r>
    </w:p>
    <w:p>
      <w:pPr>
        <w:pStyle w:val="TextBody"/>
        <w:spacing w:before="0" w:after="0"/>
        <w:ind w:left="0" w:right="0" w:hanging="0"/>
        <w:rPr>
          <w:rFonts w:ascii="Times New Roman" w:hAnsi="Times New Roman"/>
          <w:sz w:val="17"/>
        </w:rPr>
      </w:pPr>
      <w:r>
        <w:rPr>
          <w:rFonts w:ascii="Times New Roman" w:hAnsi="Times New Roman"/>
          <w:sz w:val="17"/>
        </w:rPr>
        <w:t>File No. 333-190227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behalf of Plains GP Holdings, L.P. (the </w:t>
      </w:r>
      <w:r>
        <w:rPr>
          <w:rFonts w:ascii="Times New Roman" w:hAnsi="Times New Roman"/>
          <w:b/>
          <w:i/>
          <w:sz w:val="17"/>
        </w:rPr>
        <w:t>Partnership</w:t>
      </w:r>
      <w:r>
        <w:rPr>
          <w:rFonts w:ascii="Times New Roman" w:hAnsi="Times New Roman"/>
          <w:sz w:val="17"/>
        </w:rPr>
        <w:t>), and pursuant to Rule 461 promulgated under the Securities Act of 1933, as amended, the undersigned hereby requests that the effective date of the above referenced Registration Statement on Form S-1 be accelerated to 4:00 p.m., Washington, D.C. time, on October 15, 2013, or as soon thereafter as practicable. The Partnership hereby acknowledges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should the Securities and Exchange Commission (the </w:t>
      </w:r>
      <w:r>
        <w:rPr>
          <w:rFonts w:ascii="Times New Roman" w:hAnsi="Times New Roman"/>
          <w:b/>
          <w:i/>
          <w:sz w:val="17"/>
        </w:rPr>
        <w:t>Commission</w:t>
      </w:r>
      <w:r>
        <w:rPr>
          <w:rFonts w:ascii="Times New Roman" w:hAnsi="Times New Roman"/>
          <w:sz w:val="17"/>
        </w:rPr>
        <w:t>) or the staff, acting pursuant to delegated authority, declare the filing effective, it does not foreclose the Commission from taking any action with respect to the filing;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action of the Commission or the staff, acting pursuant to delegated authority, in declaring the filing effective, does not relieve the Partnership from its full responsibility for the accuracy and adequacy of the disclosure in the filing;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Partnership may not assert staff comments and the declaration of effectiveness as defense in any proceeding initiated by the Commission or any person under the federal securities laws of the 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request has been transmitted via EDGAR. If you need additional information, please contact Alan Beck (713) 758-3638 of Vinson &amp; Elkins L.L.P.</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              *              *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General Counsel and Secretary</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cc:</w:t>
      </w:r>
      <w:r>
        <w:rPr>
          <w:rFonts w:ascii="Times New Roman" w:hAnsi="Times New Roman"/>
        </w:rPr>
        <w:t xml:space="preserve">                                </w:t>
      </w:r>
      <w:r>
        <w:rPr>
          <w:rFonts w:ascii="Times New Roman" w:hAnsi="Times New Roman"/>
          <w:sz w:val="17"/>
        </w:rPr>
        <w:t>David Oelman, Vinson &amp; Elkins L.L.P.</w:t>
      </w:r>
    </w:p>
    <w:p>
      <w:pPr>
        <w:pStyle w:val="TextBody"/>
        <w:spacing w:before="0" w:after="0"/>
        <w:ind w:left="0" w:right="0" w:hanging="0"/>
        <w:rPr>
          <w:rFonts w:ascii="Times New Roman" w:hAnsi="Times New Roman"/>
          <w:sz w:val="17"/>
        </w:rPr>
      </w:pPr>
      <w:r>
        <w:rPr>
          <w:rFonts w:ascii="Times New Roman" w:hAnsi="Times New Roman"/>
          <w:sz w:val="17"/>
        </w:rPr>
        <w:t>Alan Beck, Vinson &amp; Elkins L.L.P.</w:t>
      </w:r>
    </w:p>
    <w:p>
      <w:pPr>
        <w:pStyle w:val="TextBody"/>
        <w:spacing w:before="0" w:after="0"/>
        <w:ind w:left="0" w:right="0" w:hanging="0"/>
        <w:rPr>
          <w:rFonts w:ascii="Times New Roman" w:hAnsi="Times New Roman"/>
          <w:sz w:val="17"/>
        </w:rPr>
      </w:pPr>
      <w:r>
        <w:rPr>
          <w:rFonts w:ascii="Times New Roman" w:hAnsi="Times New Roman"/>
          <w:sz w:val="17"/>
        </w:rPr>
        <w:t>Joshua Davidson, Baker Botts L.L.P.</w:t>
      </w:r>
    </w:p>
    <w:p>
      <w:pPr>
        <w:pStyle w:val="TextBody"/>
        <w:spacing w:before="0" w:after="0"/>
        <w:ind w:left="0" w:right="0" w:hanging="0"/>
        <w:rPr>
          <w:rFonts w:ascii="Times New Roman" w:hAnsi="Times New Roman"/>
          <w:sz w:val="17"/>
        </w:rPr>
      </w:pPr>
      <w:r>
        <w:rPr>
          <w:rFonts w:ascii="Times New Roman" w:hAnsi="Times New Roman"/>
          <w:sz w:val="17"/>
        </w:rPr>
        <w:t>Jason Rocha, Baker Botts L.L.P.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13930_7056"/>
      <w:bookmarkEnd w:id="2"/>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302</Words>
  <CharactersWithSpaces>2056</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