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994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333 CLAY STREET, SUITE 1600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PLAINS ALL AMERICAN PIPELINE LP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VP and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7,500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66,344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1,827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10.01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64,517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05/14/2021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Phantom Units granted under Long-Term Incentive Plan (includes associated distribution equivalent rights payable in cash).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2. One common unit is deliverable, upon vesting, for each Phantom Unit that vests.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N/A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Chris Herbold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05/18/2021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-3272155</wp:posOffset>
            </wp:positionV>
            <wp:extent cx="29210" cy="2039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2021-05-18T15:39:53Z</dcterms:created>
  <dcterms:modified xsi:type="dcterms:W3CDTF">2021-05-18T15:39:53Z</dcterms:modified>
</cp:coreProperties>
</file>