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Four)*</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43"/>
          <w:szCs w:val="43"/>
          <w:u w:val="single" w:color="auto"/>
          <w:color w:val="auto"/>
        </w:rPr>
        <w:t>Plains All American Pipeline, L.P</w:t>
      </w:r>
      <w:r>
        <w:rPr>
          <w:rFonts w:ascii="Arial" w:cs="Arial" w:eastAsia="Arial" w:hAnsi="Arial"/>
          <w:sz w:val="43"/>
          <w:szCs w:val="43"/>
          <w:color w:val="auto"/>
        </w:rPr>
        <w:t>.</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Common Units Representing Limited Partner Interests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726503105</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December 31, 2017</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540" w:right="9260" w:hanging="5"/>
        <w:spacing w:after="0" w:line="228" w:lineRule="exact"/>
        <w:tabs>
          <w:tab w:leader="none" w:pos="113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210"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726503105</w:t>
            </w:r>
          </w:p>
        </w:tc>
        <w:tc>
          <w:tcPr>
            <w:tcW w:w="500" w:type="dxa"/>
            <w:vAlign w:val="bottom"/>
          </w:tcPr>
          <w:p>
            <w:pPr>
              <w:spacing w:after="0"/>
              <w:rPr>
                <w:sz w:val="20"/>
                <w:szCs w:val="20"/>
                <w:color w:val="auto"/>
              </w:rPr>
            </w:pPr>
          </w:p>
        </w:tc>
        <w:tc>
          <w:tcPr>
            <w:tcW w:w="6520" w:type="dxa"/>
            <w:vAlign w:val="bottom"/>
          </w:tcPr>
          <w:p>
            <w:pPr>
              <w:ind w:left="2780"/>
              <w:spacing w:after="0"/>
              <w:rPr>
                <w:sz w:val="20"/>
                <w:szCs w:val="20"/>
                <w:color w:val="auto"/>
              </w:rPr>
            </w:pPr>
            <w:r>
              <w:rPr>
                <w:rFonts w:ascii="Arial" w:cs="Arial" w:eastAsia="Arial" w:hAnsi="Arial"/>
                <w:sz w:val="18"/>
                <w:szCs w:val="18"/>
                <w:color w:val="auto"/>
              </w:rPr>
              <w:t>13G/A</w:t>
            </w:r>
          </w:p>
        </w:tc>
        <w:tc>
          <w:tcPr>
            <w:tcW w:w="2180" w:type="dxa"/>
            <w:vAlign w:val="bottom"/>
          </w:tcPr>
          <w:p>
            <w:pPr>
              <w:ind w:left="900"/>
              <w:spacing w:after="0"/>
              <w:rPr>
                <w:sz w:val="20"/>
                <w:szCs w:val="20"/>
                <w:color w:val="auto"/>
              </w:rPr>
            </w:pPr>
            <w:r>
              <w:rPr>
                <w:rFonts w:ascii="Arial" w:cs="Arial" w:eastAsia="Arial" w:hAnsi="Arial"/>
                <w:sz w:val="18"/>
                <w:szCs w:val="18"/>
                <w:color w:val="auto"/>
                <w:w w:val="83"/>
              </w:rPr>
              <w:t>Page 2 of 5 Pages</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840" w:type="dxa"/>
            <w:vAlign w:val="bottom"/>
            <w:tcBorders>
              <w:bottom w:val="single" w:sz="8" w:color="auto"/>
            </w:tcBorders>
            <w:gridSpan w:val="4"/>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84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40" w:type="dxa"/>
            <w:vAlign w:val="bottom"/>
            <w:gridSpan w:val="4"/>
          </w:tcPr>
          <w:p>
            <w:pPr>
              <w:ind w:left="40"/>
              <w:spacing w:after="0"/>
              <w:rPr>
                <w:sz w:val="20"/>
                <w:szCs w:val="20"/>
                <w:color w:val="auto"/>
              </w:rPr>
            </w:pPr>
            <w:r>
              <w:rPr>
                <w:rFonts w:ascii="Arial" w:cs="Arial" w:eastAsia="Arial" w:hAnsi="Arial"/>
                <w:sz w:val="18"/>
                <w:szCs w:val="18"/>
                <w:color w:val="auto"/>
              </w:rPr>
              <w:t>Tortoise Capital Advisors, L.L.C.</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840" w:type="dxa"/>
            <w:vAlign w:val="bottom"/>
            <w:tcBorders>
              <w:bottom w:val="single" w:sz="8" w:color="auto"/>
            </w:tcBorders>
            <w:gridSpan w:val="4"/>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78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right w:val="single" w:sz="8" w:color="auto"/>
            </w:tcBorders>
            <w:vMerge w:val="continue"/>
          </w:tcPr>
          <w:p>
            <w:pPr>
              <w:spacing w:after="0"/>
              <w:rPr>
                <w:sz w:val="15"/>
                <w:szCs w:val="15"/>
                <w:color w:val="auto"/>
              </w:rPr>
            </w:pPr>
          </w:p>
        </w:tc>
        <w:tc>
          <w:tcPr>
            <w:tcW w:w="82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1400" w:type="dxa"/>
            <w:vAlign w:val="bottom"/>
            <w:tcBorders>
              <w:left w:val="single" w:sz="8" w:color="auto"/>
              <w:right w:val="single" w:sz="8" w:color="auto"/>
            </w:tcBorders>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6520" w:type="dxa"/>
            <w:vAlign w:val="bottom"/>
          </w:tcPr>
          <w:p>
            <w:pPr>
              <w:spacing w:after="0"/>
              <w:rPr>
                <w:sz w:val="5"/>
                <w:szCs w:val="5"/>
                <w:color w:val="auto"/>
              </w:rPr>
            </w:pP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89"/>
              </w:rPr>
              <w:t>(See Instructions)</w:t>
            </w:r>
          </w:p>
        </w:tc>
        <w:tc>
          <w:tcPr>
            <w:tcW w:w="6520" w:type="dxa"/>
            <w:vAlign w:val="bottom"/>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6520" w:type="dxa"/>
            <w:vAlign w:val="bottom"/>
            <w:shd w:val="clear" w:color="auto" w:fill="BFBFBF"/>
          </w:tcPr>
          <w:p>
            <w:pPr>
              <w:spacing w:after="0"/>
              <w:rPr>
                <w:sz w:val="20"/>
                <w:szCs w:val="20"/>
                <w:color w:val="auto"/>
              </w:rPr>
            </w:pPr>
          </w:p>
        </w:tc>
        <w:tc>
          <w:tcPr>
            <w:tcW w:w="21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6520" w:type="dxa"/>
            <w:vAlign w:val="bottom"/>
            <w:shd w:val="clear" w:color="auto" w:fill="BFBFBF"/>
          </w:tcPr>
          <w:p>
            <w:pPr>
              <w:spacing w:after="0"/>
              <w:rPr>
                <w:sz w:val="24"/>
                <w:szCs w:val="24"/>
                <w:color w:val="auto"/>
              </w:rPr>
            </w:pPr>
          </w:p>
        </w:tc>
        <w:tc>
          <w:tcPr>
            <w:tcW w:w="21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520" w:type="dxa"/>
            <w:vAlign w:val="bottom"/>
            <w:tcBorders>
              <w:bottom w:val="single" w:sz="8" w:color="auto"/>
            </w:tcBorders>
            <w:shd w:val="clear" w:color="auto" w:fill="BFBFBF"/>
          </w:tcPr>
          <w:p>
            <w:pPr>
              <w:spacing w:after="0"/>
              <w:rPr>
                <w:sz w:val="23"/>
                <w:szCs w:val="23"/>
                <w:color w:val="auto"/>
              </w:rPr>
            </w:pPr>
          </w:p>
        </w:tc>
        <w:tc>
          <w:tcPr>
            <w:tcW w:w="21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84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9"/>
              </w:rPr>
              <w:t>Delaware</w:t>
            </w:r>
          </w:p>
        </w:tc>
        <w:tc>
          <w:tcPr>
            <w:tcW w:w="5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759,049</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24,056,542 (see Item 4)</w:t>
            </w:r>
          </w:p>
        </w:tc>
        <w:tc>
          <w:tcPr>
            <w:tcW w:w="2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6520" w:type="dxa"/>
            <w:vAlign w:val="bottom"/>
            <w:vMerge w:val="continue"/>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6520" w:type="dxa"/>
            <w:vAlign w:val="bottom"/>
            <w:tcBorders>
              <w:bottom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6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6520" w:type="dxa"/>
            <w:vAlign w:val="bottom"/>
            <w:vMerge w:val="continue"/>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6520" w:type="dxa"/>
            <w:vAlign w:val="bottom"/>
          </w:tcPr>
          <w:p>
            <w:pPr>
              <w:spacing w:after="0"/>
              <w:rPr>
                <w:sz w:val="4"/>
                <w:szCs w:val="4"/>
                <w:color w:val="auto"/>
              </w:rPr>
            </w:pP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759,049</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6520" w:type="dxa"/>
            <w:vAlign w:val="bottom"/>
            <w:vMerge w:val="continue"/>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27,948,748 (see Item 4)</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84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40" w:type="dxa"/>
            <w:vAlign w:val="bottom"/>
            <w:gridSpan w:val="4"/>
          </w:tcPr>
          <w:p>
            <w:pPr>
              <w:ind w:left="40"/>
              <w:spacing w:after="0"/>
              <w:rPr>
                <w:sz w:val="20"/>
                <w:szCs w:val="20"/>
                <w:color w:val="auto"/>
              </w:rPr>
            </w:pPr>
            <w:r>
              <w:rPr>
                <w:rFonts w:ascii="Arial" w:cs="Arial" w:eastAsia="Arial" w:hAnsi="Arial"/>
                <w:sz w:val="18"/>
                <w:szCs w:val="18"/>
                <w:color w:val="auto"/>
              </w:rPr>
              <w:t>28,707,797 (see Item 4)</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7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Not Applicable</w:t>
            </w: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84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87"/>
              </w:rPr>
              <w:t>4.2% (see Item 4)</w:t>
            </w: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84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IA</w:t>
            </w:r>
          </w:p>
        </w:tc>
        <w:tc>
          <w:tcPr>
            <w:tcW w:w="5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52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Page 3 of 5 Pages</w:t>
      </w:r>
    </w:p>
    <w:p>
      <w:pPr>
        <w:spacing w:after="0" w:line="2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1(a)</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All American Pipeline, L.P.</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1(b)</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 Houston, Texas 77002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2(a)</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Name of Person Filing</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13G is being filed by Tortoise Capital Advisors, L.L.C., a Delaware limited liability company (“TCA”).</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2(b)</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business address is 11550 Ash Street, Suite 300, Leawood, Kansas 66211.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2(c)</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TCA is a Delaware limited liability company.</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2(d)</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Units Representing Limited Partner Interests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2(e)</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726503105</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The Reporting Person is</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TCA is an investment adviser in accordance with Rule 13d-1(b)(1)(ii)(E) .</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TCA acts as an investment adviser to certain investment companies registered under the Investment Company Act of 1940. TCA, by virtue of investment advisory agreements with these investment companies, has all investment and voting power over securities owned of record by these investment companies. However, despite their delegation of investment and voting power to TCA, these investment companies may be deemed to be the beneficial owners under Rule 13d-3 of the Act, of the securities they own of record because they have the right to acquire investment and voting power through termination of their investment advisory agreement with TCA. Thus, TCA has reported that it shares voting power and dispositive power over the securities owned of record by these investment companies. TCA also acts as an investment adviser to certain managed accounts. Under contractual agreements with these managed account clients, TCA, with respect to the securities held in these client accounts, has investment and voting power with respect to certain of these client accounts, and has investment power but no voting power with respect to certain other of these client accounts. TCA has reported that it shares voting and/or investment power over the securities held by these client managed accounts despite a delegation of voting and/or investment power to TCA because the clients have the right to acquire investment and voting power through termination of their agreements with TCA. TCA may be deemed the beneficial owner of the securities covered by this statement under Rule 13d-3 of the Act that are held by its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Page 4 of 5 Pages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 Amount beneficially owned:</w:t>
            </w:r>
          </w:p>
        </w:tc>
        <w:tc>
          <w:tcPr>
            <w:tcW w:w="1220" w:type="dxa"/>
            <w:vAlign w:val="bottom"/>
          </w:tcPr>
          <w:p>
            <w:pPr>
              <w:ind w:left="400"/>
              <w:spacing w:after="0"/>
              <w:rPr>
                <w:sz w:val="20"/>
                <w:szCs w:val="20"/>
                <w:color w:val="auto"/>
              </w:rPr>
            </w:pPr>
            <w:r>
              <w:rPr>
                <w:rFonts w:ascii="Arial" w:cs="Arial" w:eastAsia="Arial" w:hAnsi="Arial"/>
                <w:sz w:val="18"/>
                <w:szCs w:val="18"/>
                <w:color w:val="auto"/>
                <w:w w:val="88"/>
              </w:rPr>
              <w:t>28,707,797</w:t>
            </w:r>
          </w:p>
        </w:tc>
      </w:tr>
      <w:tr>
        <w:trPr>
          <w:trHeight w:val="432"/>
        </w:trPr>
        <w:tc>
          <w:tcPr>
            <w:tcW w:w="5320" w:type="dxa"/>
            <w:vAlign w:val="bottom"/>
          </w:tcPr>
          <w:p>
            <w:pPr>
              <w:spacing w:after="0"/>
              <w:rPr>
                <w:sz w:val="20"/>
                <w:szCs w:val="20"/>
                <w:color w:val="auto"/>
              </w:rPr>
            </w:pPr>
            <w:r>
              <w:rPr>
                <w:rFonts w:ascii="Arial" w:cs="Arial" w:eastAsia="Arial" w:hAnsi="Arial"/>
                <w:sz w:val="18"/>
                <w:szCs w:val="18"/>
                <w:color w:val="auto"/>
              </w:rPr>
              <w:t>(b) Percent of class:</w:t>
            </w:r>
          </w:p>
        </w:tc>
        <w:tc>
          <w:tcPr>
            <w:tcW w:w="1220" w:type="dxa"/>
            <w:vAlign w:val="bottom"/>
          </w:tcPr>
          <w:p>
            <w:pPr>
              <w:ind w:left="400"/>
              <w:spacing w:after="0"/>
              <w:rPr>
                <w:sz w:val="20"/>
                <w:szCs w:val="20"/>
                <w:color w:val="auto"/>
              </w:rPr>
            </w:pPr>
            <w:r>
              <w:rPr>
                <w:rFonts w:ascii="Arial" w:cs="Arial" w:eastAsia="Arial" w:hAnsi="Arial"/>
                <w:sz w:val="18"/>
                <w:szCs w:val="18"/>
                <w:color w:val="auto"/>
              </w:rPr>
              <w:t>4.2%</w:t>
            </w:r>
          </w:p>
        </w:tc>
      </w:tr>
      <w:tr>
        <w:trPr>
          <w:trHeight w:val="432"/>
        </w:trPr>
        <w:tc>
          <w:tcPr>
            <w:tcW w:w="5320" w:type="dxa"/>
            <w:vAlign w:val="bottom"/>
          </w:tcPr>
          <w:p>
            <w:pPr>
              <w:spacing w:after="0"/>
              <w:rPr>
                <w:sz w:val="20"/>
                <w:szCs w:val="20"/>
                <w:color w:val="auto"/>
              </w:rPr>
            </w:pPr>
            <w:r>
              <w:rPr>
                <w:rFonts w:ascii="Arial" w:cs="Arial" w:eastAsia="Arial" w:hAnsi="Arial"/>
                <w:sz w:val="18"/>
                <w:szCs w:val="18"/>
                <w:color w:val="auto"/>
              </w:rPr>
              <w:t>(c) Number of shares as to which the person  has:</w:t>
            </w:r>
          </w:p>
        </w:tc>
        <w:tc>
          <w:tcPr>
            <w:tcW w:w="1220" w:type="dxa"/>
            <w:vAlign w:val="bottom"/>
          </w:tcPr>
          <w:p>
            <w:pPr>
              <w:spacing w:after="0"/>
              <w:rPr>
                <w:sz w:val="24"/>
                <w:szCs w:val="24"/>
                <w:color w:val="auto"/>
              </w:rPr>
            </w:pPr>
          </w:p>
        </w:tc>
      </w:tr>
      <w:tr>
        <w:trPr>
          <w:trHeight w:val="432"/>
        </w:trPr>
        <w:tc>
          <w:tcPr>
            <w:tcW w:w="5320" w:type="dxa"/>
            <w:vAlign w:val="bottom"/>
          </w:tcPr>
          <w:p>
            <w:pPr>
              <w:ind w:left="580"/>
              <w:spacing w:after="0"/>
              <w:rPr>
                <w:sz w:val="20"/>
                <w:szCs w:val="20"/>
                <w:color w:val="auto"/>
              </w:rPr>
            </w:pPr>
            <w:r>
              <w:rPr>
                <w:rFonts w:ascii="Arial" w:cs="Arial" w:eastAsia="Arial" w:hAnsi="Arial"/>
                <w:sz w:val="18"/>
                <w:szCs w:val="18"/>
                <w:color w:val="auto"/>
              </w:rPr>
              <w:t>(i) Sole power to vote or to direct the vote:</w:t>
            </w:r>
          </w:p>
        </w:tc>
        <w:tc>
          <w:tcPr>
            <w:tcW w:w="1220" w:type="dxa"/>
            <w:vAlign w:val="bottom"/>
          </w:tcPr>
          <w:p>
            <w:pPr>
              <w:ind w:left="400"/>
              <w:spacing w:after="0"/>
              <w:rPr>
                <w:sz w:val="20"/>
                <w:szCs w:val="20"/>
                <w:color w:val="auto"/>
              </w:rPr>
            </w:pPr>
            <w:r>
              <w:rPr>
                <w:rFonts w:ascii="Arial" w:cs="Arial" w:eastAsia="Arial" w:hAnsi="Arial"/>
                <w:sz w:val="18"/>
                <w:szCs w:val="18"/>
                <w:color w:val="auto"/>
              </w:rPr>
              <w:t>759,049</w:t>
            </w:r>
          </w:p>
        </w:tc>
      </w:tr>
      <w:tr>
        <w:trPr>
          <w:trHeight w:val="432"/>
        </w:trPr>
        <w:tc>
          <w:tcPr>
            <w:tcW w:w="5320" w:type="dxa"/>
            <w:vAlign w:val="bottom"/>
          </w:tcPr>
          <w:p>
            <w:pPr>
              <w:ind w:left="580"/>
              <w:spacing w:after="0"/>
              <w:rPr>
                <w:sz w:val="20"/>
                <w:szCs w:val="20"/>
                <w:color w:val="auto"/>
              </w:rPr>
            </w:pPr>
            <w:r>
              <w:rPr>
                <w:rFonts w:ascii="Arial" w:cs="Arial" w:eastAsia="Arial" w:hAnsi="Arial"/>
                <w:sz w:val="18"/>
                <w:szCs w:val="18"/>
                <w:color w:val="auto"/>
              </w:rPr>
              <w:t>(ii) Shared power to vote or direct the vote:</w:t>
            </w:r>
          </w:p>
        </w:tc>
        <w:tc>
          <w:tcPr>
            <w:tcW w:w="1220" w:type="dxa"/>
            <w:vAlign w:val="bottom"/>
          </w:tcPr>
          <w:p>
            <w:pPr>
              <w:ind w:left="400"/>
              <w:spacing w:after="0"/>
              <w:rPr>
                <w:sz w:val="20"/>
                <w:szCs w:val="20"/>
                <w:color w:val="auto"/>
              </w:rPr>
            </w:pPr>
            <w:r>
              <w:rPr>
                <w:rFonts w:ascii="Arial" w:cs="Arial" w:eastAsia="Arial" w:hAnsi="Arial"/>
                <w:sz w:val="18"/>
                <w:szCs w:val="18"/>
                <w:color w:val="auto"/>
                <w:w w:val="88"/>
              </w:rPr>
              <w:t>24,056,542</w:t>
            </w:r>
          </w:p>
        </w:tc>
      </w:tr>
      <w:tr>
        <w:trPr>
          <w:trHeight w:val="432"/>
        </w:trPr>
        <w:tc>
          <w:tcPr>
            <w:tcW w:w="5320" w:type="dxa"/>
            <w:vAlign w:val="bottom"/>
          </w:tcPr>
          <w:p>
            <w:pPr>
              <w:ind w:left="580"/>
              <w:spacing w:after="0"/>
              <w:rPr>
                <w:sz w:val="20"/>
                <w:szCs w:val="20"/>
                <w:color w:val="auto"/>
              </w:rPr>
            </w:pPr>
            <w:r>
              <w:rPr>
                <w:rFonts w:ascii="Arial" w:cs="Arial" w:eastAsia="Arial" w:hAnsi="Arial"/>
                <w:sz w:val="18"/>
                <w:szCs w:val="18"/>
                <w:color w:val="auto"/>
              </w:rPr>
              <w:t>(iii) Sole power to dispose or to direct the disposition of:</w:t>
            </w:r>
          </w:p>
        </w:tc>
        <w:tc>
          <w:tcPr>
            <w:tcW w:w="1220" w:type="dxa"/>
            <w:vAlign w:val="bottom"/>
          </w:tcPr>
          <w:p>
            <w:pPr>
              <w:ind w:left="400"/>
              <w:spacing w:after="0"/>
              <w:rPr>
                <w:sz w:val="20"/>
                <w:szCs w:val="20"/>
                <w:color w:val="auto"/>
              </w:rPr>
            </w:pPr>
            <w:r>
              <w:rPr>
                <w:rFonts w:ascii="Arial" w:cs="Arial" w:eastAsia="Arial" w:hAnsi="Arial"/>
                <w:sz w:val="18"/>
                <w:szCs w:val="18"/>
                <w:color w:val="auto"/>
              </w:rPr>
              <w:t>759,049</w:t>
            </w:r>
          </w:p>
        </w:tc>
      </w:tr>
      <w:tr>
        <w:trPr>
          <w:trHeight w:val="432"/>
        </w:trPr>
        <w:tc>
          <w:tcPr>
            <w:tcW w:w="5320" w:type="dxa"/>
            <w:vAlign w:val="bottom"/>
          </w:tcPr>
          <w:p>
            <w:pPr>
              <w:ind w:left="580"/>
              <w:spacing w:after="0"/>
              <w:rPr>
                <w:sz w:val="20"/>
                <w:szCs w:val="20"/>
                <w:color w:val="auto"/>
              </w:rPr>
            </w:pPr>
            <w:r>
              <w:rPr>
                <w:rFonts w:ascii="Arial" w:cs="Arial" w:eastAsia="Arial" w:hAnsi="Arial"/>
                <w:sz w:val="18"/>
                <w:szCs w:val="18"/>
                <w:color w:val="auto"/>
              </w:rPr>
              <w:t>(iv) Shared power to dispose or to direct the disposition  of:</w:t>
            </w:r>
          </w:p>
        </w:tc>
        <w:tc>
          <w:tcPr>
            <w:tcW w:w="1220" w:type="dxa"/>
            <w:vAlign w:val="bottom"/>
          </w:tcPr>
          <w:p>
            <w:pPr>
              <w:ind w:left="400"/>
              <w:spacing w:after="0"/>
              <w:rPr>
                <w:sz w:val="20"/>
                <w:szCs w:val="20"/>
                <w:color w:val="auto"/>
              </w:rPr>
            </w:pPr>
            <w:r>
              <w:rPr>
                <w:rFonts w:ascii="Arial" w:cs="Arial" w:eastAsia="Arial" w:hAnsi="Arial"/>
                <w:sz w:val="18"/>
                <w:szCs w:val="18"/>
                <w:color w:val="auto"/>
                <w:w w:val="88"/>
              </w:rPr>
              <w:t>27,948,748</w:t>
            </w:r>
          </w:p>
        </w:tc>
      </w:tr>
    </w:tbl>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5</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56" w:lineRule="exact"/>
        <w:rPr>
          <w:sz w:val="20"/>
          <w:szCs w:val="20"/>
          <w:color w:val="auto"/>
        </w:rPr>
      </w:pPr>
    </w:p>
    <w:p>
      <w:pPr>
        <w:ind w:right="240" w:firstLine="648"/>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6</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both"/>
        <w:ind w:left="1040" w:hanging="1039"/>
        <w:spacing w:after="0" w:line="282" w:lineRule="auto"/>
        <w:tabs>
          <w:tab w:leader="none" w:pos="1020" w:val="left"/>
        </w:tabs>
        <w:rPr>
          <w:sz w:val="20"/>
          <w:szCs w:val="20"/>
          <w:color w:val="auto"/>
        </w:rPr>
      </w:pPr>
      <w:r>
        <w:rPr>
          <w:rFonts w:ascii="Arial" w:cs="Arial" w:eastAsia="Arial" w:hAnsi="Arial"/>
          <w:sz w:val="18"/>
          <w:szCs w:val="18"/>
          <w:b w:val="1"/>
          <w:bCs w:val="1"/>
          <w:u w:val="single" w:color="auto"/>
          <w:color w:val="auto"/>
        </w:rPr>
        <w:t>Item 7</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8</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9</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10</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Certifications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Page 5 of 5 Pages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TORTOISE CAPITAL ADVISORS, L.L.C.</w:t>
      </w:r>
    </w:p>
    <w:p>
      <w:pPr>
        <w:spacing w:after="0" w:line="229"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Dated: February 12, 2018</w:t>
      </w:r>
      <w:r>
        <w:rPr>
          <w:sz w:val="20"/>
          <w:szCs w:val="20"/>
          <w:color w:val="auto"/>
        </w:rPr>
        <w:tab/>
      </w:r>
      <w:r>
        <w:rPr>
          <w:rFonts w:ascii="Arial" w:cs="Arial" w:eastAsia="Arial" w:hAnsi="Arial"/>
          <w:sz w:val="16"/>
          <w:szCs w:val="16"/>
          <w:color w:val="auto"/>
        </w:rPr>
        <w:t>/s/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Diane Bono</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Managing Director and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2020-01-14T08:25:25Z</dcterms:created>
  <dcterms:modified xsi:type="dcterms:W3CDTF">2020-01-14T08:25:25Z</dcterms:modified>
</cp:coreProperties>
</file>