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November 2, 2021</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right="120" w:firstLine="172"/>
        <w:spacing w:after="0" w:line="285" w:lineRule="auto"/>
        <w:rPr>
          <w:sz w:val="20"/>
          <w:szCs w:val="20"/>
          <w:color w:val="auto"/>
        </w:rPr>
      </w:pPr>
      <w:r>
        <w:rPr>
          <w:rFonts w:ascii="Arial" w:cs="Arial" w:eastAsia="Arial" w:hAnsi="Arial"/>
          <w:sz w:val="16"/>
          <w:szCs w:val="16"/>
          <w:color w:val="auto"/>
        </w:rPr>
        <w:t>On November 2, 2021, the Registrant issued a press release reporting its third-quarter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6"/>
                <w:szCs w:val="16"/>
                <w:b w:val="1"/>
                <w:bCs w:val="1"/>
                <w:color w:val="auto"/>
              </w:rPr>
              <w:t>Exhibit</w:t>
            </w:r>
          </w:p>
        </w:tc>
        <w:tc>
          <w:tcPr>
            <w:tcW w:w="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80" w:type="dxa"/>
            <w:vAlign w:val="bottom"/>
            <w:vMerge w:val="restart"/>
          </w:tcPr>
          <w:p>
            <w:pPr>
              <w:jc w:val="right"/>
              <w:ind w:right="2922"/>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2"/>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00" w:type="dxa"/>
            <w:vAlign w:val="bottom"/>
            <w:tcBorders>
              <w:bottom w:val="single" w:sz="8" w:color="0000FF"/>
            </w:tcBorders>
          </w:tcPr>
          <w:p>
            <w:pPr>
              <w:spacing w:after="0" w:line="176"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Press Release dated November 2, 2021</w:t>
              </w:r>
            </w:hyperlink>
          </w:p>
        </w:tc>
        <w:tc>
          <w:tcPr>
            <w:tcW w:w="60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780" w:type="dxa"/>
            <w:vAlign w:val="bottom"/>
            <w:gridSpan w:val="2"/>
          </w:tcPr>
          <w:p>
            <w:pPr>
              <w:jc w:val="right"/>
              <w:ind w:right="62"/>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292"/>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3"/>
          </w:tcPr>
          <w:p>
            <w:pPr>
              <w:jc w:val="right"/>
              <w:ind w:right="3522"/>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920" w:type="dxa"/>
            <w:vAlign w:val="bottom"/>
          </w:tcPr>
          <w:p>
            <w:pPr>
              <w:spacing w:after="0"/>
              <w:rPr>
                <w:sz w:val="19"/>
                <w:szCs w:val="19"/>
                <w:color w:val="auto"/>
              </w:rPr>
            </w:pPr>
          </w:p>
        </w:tc>
        <w:tc>
          <w:tcPr>
            <w:tcW w:w="7160" w:type="dxa"/>
            <w:vAlign w:val="bottom"/>
            <w:gridSpan w:val="3"/>
          </w:tcPr>
          <w:p>
            <w:pPr>
              <w:ind w:left="1220"/>
              <w:spacing w:after="0"/>
              <w:rPr>
                <w:sz w:val="20"/>
                <w:szCs w:val="20"/>
                <w:color w:val="auto"/>
              </w:rPr>
            </w:pPr>
            <w:r>
              <w:rPr>
                <w:rFonts w:ascii="Arial" w:cs="Arial" w:eastAsia="Arial" w:hAnsi="Arial"/>
                <w:sz w:val="17"/>
                <w:szCs w:val="17"/>
                <w:color w:val="auto"/>
              </w:rPr>
              <w:t>PLAINS GP HOLDINGS, L.P.</w:t>
            </w:r>
          </w:p>
        </w:tc>
      </w:tr>
      <w:tr>
        <w:trPr>
          <w:trHeight w:val="478"/>
        </w:trPr>
        <w:tc>
          <w:tcPr>
            <w:tcW w:w="292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920" w:type="dxa"/>
            <w:vAlign w:val="bottom"/>
          </w:tcPr>
          <w:p>
            <w:pPr>
              <w:spacing w:after="0"/>
              <w:rPr>
                <w:sz w:val="20"/>
                <w:szCs w:val="20"/>
                <w:color w:val="auto"/>
              </w:rPr>
            </w:pPr>
            <w:r>
              <w:rPr>
                <w:rFonts w:ascii="Arial" w:cs="Arial" w:eastAsia="Arial" w:hAnsi="Arial"/>
                <w:sz w:val="17"/>
                <w:szCs w:val="17"/>
                <w:color w:val="auto"/>
              </w:rPr>
              <w:t>Date: November 2, 2021</w:t>
            </w:r>
          </w:p>
        </w:tc>
        <w:tc>
          <w:tcPr>
            <w:tcW w:w="1500" w:type="dxa"/>
            <w:vAlign w:val="bottom"/>
          </w:tcPr>
          <w:p>
            <w:pPr>
              <w:ind w:left="1220"/>
              <w:spacing w:after="0"/>
              <w:rPr>
                <w:sz w:val="20"/>
                <w:szCs w:val="20"/>
                <w:color w:val="auto"/>
              </w:rPr>
            </w:pPr>
            <w:r>
              <w:rPr>
                <w:rFonts w:ascii="Arial" w:cs="Arial" w:eastAsia="Arial" w:hAnsi="Arial"/>
                <w:sz w:val="17"/>
                <w:szCs w:val="17"/>
                <w:color w:val="auto"/>
              </w:rPr>
              <w:t>By: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/s/ Al Swanson</w:t>
            </w:r>
          </w:p>
        </w:tc>
        <w:tc>
          <w:tcPr>
            <w:tcW w:w="3940" w:type="dxa"/>
            <w:vAlign w:val="bottom"/>
            <w:tcBorders>
              <w:bottom w:val="single" w:sz="8" w:color="auto"/>
            </w:tcBorders>
          </w:tcPr>
          <w:p>
            <w:pPr>
              <w:spacing w:after="0"/>
              <w:rPr>
                <w:sz w:val="24"/>
                <w:szCs w:val="24"/>
                <w:color w:val="auto"/>
              </w:rPr>
            </w:pPr>
          </w:p>
        </w:tc>
      </w:tr>
      <w:tr>
        <w:trPr>
          <w:trHeight w:val="213"/>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Name:</w:t>
            </w:r>
          </w:p>
        </w:tc>
        <w:tc>
          <w:tcPr>
            <w:tcW w:w="3940" w:type="dxa"/>
            <w:vAlign w:val="bottom"/>
          </w:tcPr>
          <w:p>
            <w:pPr>
              <w:ind w:left="40"/>
              <w:spacing w:after="0"/>
              <w:rPr>
                <w:sz w:val="20"/>
                <w:szCs w:val="20"/>
                <w:color w:val="auto"/>
              </w:rPr>
            </w:pPr>
            <w:r>
              <w:rPr>
                <w:rFonts w:ascii="Arial" w:cs="Arial" w:eastAsia="Arial" w:hAnsi="Arial"/>
                <w:sz w:val="17"/>
                <w:szCs w:val="17"/>
                <w:color w:val="auto"/>
              </w:rPr>
              <w:t>Al Swanson</w:t>
            </w:r>
          </w:p>
        </w:tc>
      </w:tr>
      <w:tr>
        <w:trPr>
          <w:trHeight w:val="220"/>
        </w:trPr>
        <w:tc>
          <w:tcPr>
            <w:tcW w:w="2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Title:</w:t>
            </w:r>
          </w:p>
        </w:tc>
        <w:tc>
          <w:tcPr>
            <w:tcW w:w="3940" w:type="dxa"/>
            <w:vAlign w:val="bottom"/>
          </w:tcPr>
          <w:p>
            <w:pPr>
              <w:ind w:left="40"/>
              <w:spacing w:after="0"/>
              <w:rPr>
                <w:sz w:val="20"/>
                <w:szCs w:val="20"/>
                <w:color w:val="auto"/>
              </w:rPr>
            </w:pPr>
            <w:r>
              <w:rPr>
                <w:rFonts w:ascii="Arial" w:cs="Arial" w:eastAsia="Arial" w:hAnsi="Arial"/>
                <w:sz w:val="17"/>
                <w:szCs w:val="17"/>
                <w:i w:val="1"/>
                <w:iCs w:val="1"/>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Third-Quarter 2021 Results</w:t>
      </w:r>
    </w:p>
    <w:p>
      <w:pPr>
        <w:spacing w:after="0" w:line="240" w:lineRule="exact"/>
        <w:rPr>
          <w:sz w:val="20"/>
          <w:szCs w:val="20"/>
          <w:color w:val="auto"/>
        </w:rPr>
      </w:pPr>
    </w:p>
    <w:p>
      <w:pPr>
        <w:ind w:right="380"/>
        <w:spacing w:after="0" w:line="265" w:lineRule="auto"/>
        <w:rPr>
          <w:sz w:val="20"/>
          <w:szCs w:val="20"/>
          <w:color w:val="auto"/>
        </w:rPr>
      </w:pPr>
      <w:r>
        <w:rPr>
          <w:rFonts w:ascii="Arial" w:cs="Arial" w:eastAsia="Arial" w:hAnsi="Arial"/>
          <w:sz w:val="19"/>
          <w:szCs w:val="19"/>
          <w:color w:val="auto"/>
        </w:rPr>
        <w:t>Houston, TX – November 2, 2021– Plains All American Pipeline, L.P. (Nasdaq: PAA) and Plains GP Holdings (Nasdaq: PAGP) today reported third-quarter 2021 results and provided the following updates:</w:t>
      </w:r>
    </w:p>
    <w:p>
      <w:pPr>
        <w:spacing w:after="0" w:line="215" w:lineRule="exact"/>
        <w:rPr>
          <w:sz w:val="20"/>
          <w:szCs w:val="20"/>
          <w:color w:val="auto"/>
        </w:rPr>
      </w:pPr>
    </w:p>
    <w:p>
      <w:pPr>
        <w:ind w:left="620" w:right="40" w:hanging="307"/>
        <w:spacing w:after="0" w:line="267" w:lineRule="auto"/>
        <w:tabs>
          <w:tab w:leader="none" w:pos="615" w:val="left"/>
        </w:tabs>
        <w:numPr>
          <w:ilvl w:val="0"/>
          <w:numId w:val="2"/>
        </w:numPr>
        <w:rPr>
          <w:rFonts w:ascii="Arial" w:cs="Arial" w:eastAsia="Arial" w:hAnsi="Arial"/>
          <w:sz w:val="20"/>
          <w:szCs w:val="20"/>
          <w:color w:val="auto"/>
        </w:rPr>
      </w:pPr>
      <w:r>
        <w:rPr>
          <w:rFonts w:ascii="Arial" w:cs="Arial" w:eastAsia="Arial" w:hAnsi="Arial"/>
          <w:sz w:val="18"/>
          <w:szCs w:val="18"/>
          <w:color w:val="auto"/>
        </w:rPr>
        <w:t>Successfully completed formation of Plains Oryx Permian Basin strategic joint venture (closed October 5th); cashless transaction, debt-free entity, near-term free cash flow accretive to Plains and Oryx, with targeted JV synergies of $50–$100 million or more</w:t>
      </w:r>
    </w:p>
    <w:p>
      <w:pPr>
        <w:spacing w:after="0" w:line="211" w:lineRule="exact"/>
        <w:rPr>
          <w:rFonts w:ascii="Arial" w:cs="Arial" w:eastAsia="Arial" w:hAnsi="Arial"/>
          <w:sz w:val="20"/>
          <w:szCs w:val="20"/>
          <w:color w:val="auto"/>
        </w:rPr>
      </w:pPr>
    </w:p>
    <w:p>
      <w:pPr>
        <w:ind w:left="620" w:hanging="307"/>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7"/>
          <w:szCs w:val="17"/>
          <w:color w:val="auto"/>
        </w:rPr>
        <w:t>Reported a net loss for the period of $59 million, including the non-cash impact of an approximately $220 million asset impairment charge</w:t>
      </w:r>
    </w:p>
    <w:p>
      <w:pPr>
        <w:spacing w:after="0" w:line="259" w:lineRule="exact"/>
        <w:rPr>
          <w:rFonts w:ascii="Arial" w:cs="Arial" w:eastAsia="Arial" w:hAnsi="Arial"/>
          <w:sz w:val="19"/>
          <w:szCs w:val="19"/>
          <w:color w:val="auto"/>
        </w:rPr>
      </w:pPr>
    </w:p>
    <w:p>
      <w:pPr>
        <w:ind w:left="620" w:right="100" w:hanging="307"/>
        <w:spacing w:after="0"/>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Reported third-quarter Adjusted EBITDA of $519 million and maintained full-year 2021 Adjusted EBITDA guidance of +/- $2.175 billion (includes approximately $40 million impact of Fort Saskatchewan incident and other timing-related items)</w:t>
      </w:r>
    </w:p>
    <w:p>
      <w:pPr>
        <w:spacing w:after="0" w:line="237" w:lineRule="exact"/>
        <w:rPr>
          <w:rFonts w:ascii="Arial" w:cs="Arial" w:eastAsia="Arial" w:hAnsi="Arial"/>
          <w:sz w:val="21"/>
          <w:szCs w:val="21"/>
          <w:color w:val="auto"/>
        </w:rPr>
      </w:pPr>
    </w:p>
    <w:p>
      <w:pPr>
        <w:ind w:left="620" w:right="360" w:hanging="307"/>
        <w:spacing w:after="0"/>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Increased forecasted 2021 Free Cash Flow after Distributions by $50 million to +/- $1.4 billion, or +/- $500 million excluding proceeds from asset sales</w:t>
      </w:r>
    </w:p>
    <w:p>
      <w:pPr>
        <w:spacing w:after="0" w:line="237" w:lineRule="exact"/>
        <w:rPr>
          <w:rFonts w:ascii="Arial" w:cs="Arial" w:eastAsia="Arial" w:hAnsi="Arial"/>
          <w:sz w:val="21"/>
          <w:szCs w:val="21"/>
          <w:color w:val="auto"/>
        </w:rPr>
      </w:pPr>
    </w:p>
    <w:p>
      <w:pPr>
        <w:ind w:left="620" w:right="140" w:hanging="307"/>
        <w:spacing w:after="0"/>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Reduced 2021 capital (investment and maintenance) guidance by an additional $50 million to +/- $455 million, approximately 30% below February guidance</w:t>
      </w:r>
    </w:p>
    <w:p>
      <w:pPr>
        <w:spacing w:after="0" w:line="237"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19"/>
          <w:szCs w:val="19"/>
          <w:color w:val="auto"/>
        </w:rPr>
        <w:t>Reduced total debt by approximately $650 million in the period and by approximately $1 billion since year-end 2020</w:t>
      </w:r>
    </w:p>
    <w:p>
      <w:pPr>
        <w:spacing w:after="0" w:line="237" w:lineRule="exact"/>
        <w:rPr>
          <w:rFonts w:ascii="Arial" w:cs="Arial" w:eastAsia="Arial" w:hAnsi="Arial"/>
          <w:sz w:val="21"/>
          <w:szCs w:val="21"/>
          <w:color w:val="auto"/>
        </w:rPr>
      </w:pPr>
    </w:p>
    <w:p>
      <w:pPr>
        <w:ind w:left="620" w:right="120" w:hanging="307"/>
        <w:spacing w:after="0"/>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Continued utilizing the November 2020 repurchase authorization during the period, bringing total cumulative repurchases to $167 million, or 18.1 million PAA common units</w:t>
      </w:r>
    </w:p>
    <w:p>
      <w:pPr>
        <w:spacing w:after="0" w:line="200" w:lineRule="exact"/>
        <w:rPr>
          <w:sz w:val="20"/>
          <w:szCs w:val="20"/>
          <w:color w:val="auto"/>
        </w:rPr>
      </w:pPr>
    </w:p>
    <w:p>
      <w:pPr>
        <w:spacing w:after="0" w:line="245" w:lineRule="exact"/>
        <w:rPr>
          <w:sz w:val="20"/>
          <w:szCs w:val="20"/>
          <w:color w:val="auto"/>
        </w:rPr>
      </w:pPr>
    </w:p>
    <w:p>
      <w:pPr>
        <w:ind w:right="20" w:firstLine="620"/>
        <w:spacing w:after="0" w:line="262" w:lineRule="auto"/>
        <w:rPr>
          <w:sz w:val="20"/>
          <w:szCs w:val="20"/>
          <w:color w:val="auto"/>
        </w:rPr>
      </w:pPr>
      <w:r>
        <w:rPr>
          <w:rFonts w:ascii="Arial" w:cs="Arial" w:eastAsia="Arial" w:hAnsi="Arial"/>
          <w:sz w:val="18"/>
          <w:szCs w:val="18"/>
          <w:color w:val="auto"/>
        </w:rPr>
        <w:t>“We delivered third-quarter results that exceeded our expectations, increased our full-year Free Cash Flow outlook and maintained full-year Adjusted EBITDA guidance despite the impact of non-recurring and timing-related items,” stated Willie Chiang, Chairman and CEO of Plains. “Importantly, we continue to execute across multiple key initiatives, all of which are aimed at maximizing free cash flow to reinforce our balance sheet and generate attractive returns for our equity holders. Integration of the Plains Oryx Permian Basin joint venture is well underway, and we are increasingly confident in the synergies the JV is positioned to capture, the value of the operating leverage embedded within our system, and the magnitude of production growth the basin is positioned to deliver over the next several years.”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Net income/(loss) attributable to PAA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Diluted net income/(loss)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246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115" w:lineRule="exact"/>
        <w:rPr>
          <w:sz w:val="20"/>
          <w:szCs w:val="20"/>
          <w:color w:val="auto"/>
        </w:rPr>
      </w:pPr>
    </w:p>
    <w:p>
      <w:pPr>
        <w:ind w:left="320" w:right="120" w:hanging="317"/>
        <w:spacing w:after="0"/>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Reported results for the nine months ended September 30, 2021 include aggregate non-cash asset impairments of approximately $695 million related to the sale of our gas storage assets and the write-down of certain crude oil terminal assets. Reported results for the nine months ended September 30, 2020 include aggregate non-cash goodwill and asset impairments and the write-down of certain of our investments in unconsolidated entities totaling $3.3 billion, representing a nine-month net loss of $4.55 after tax per common unit.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8"/>
                <w:szCs w:val="8"/>
                <w:b w:val="1"/>
                <w:bCs w:val="1"/>
                <w:i w:val="1"/>
                <w:iCs w:val="1"/>
                <w:color w:val="auto"/>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0.46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0.48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0.63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1,304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53"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45"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w w:val="93"/>
              </w:rPr>
              <w:t>Segment Adjusted EBITDA</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Supply and Logistics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September 30, 2021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114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September 30, 2020</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444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860"/>
              <w:spacing w:after="0" w:line="191" w:lineRule="exact"/>
              <w:rPr>
                <w:sz w:val="20"/>
                <w:szCs w:val="20"/>
                <w:color w:val="auto"/>
              </w:rPr>
            </w:pPr>
            <w:r>
              <w:rPr>
                <w:rFonts w:ascii="Arial" w:cs="Arial" w:eastAsia="Arial" w:hAnsi="Arial"/>
                <w:sz w:val="17"/>
                <w:szCs w:val="17"/>
                <w:color w:val="auto"/>
              </w:rPr>
              <w:t>176</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b w:val="1"/>
                <w:bCs w:val="1"/>
                <w:i w:val="1"/>
                <w:iCs w:val="1"/>
                <w:color w:val="auto"/>
                <w:w w:val="96"/>
              </w:rPr>
              <w:t>(35)%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2020 period further adjusted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(4)%</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restart"/>
          </w:tcPr>
          <w:p>
            <w:pPr>
              <w:ind w:left="860"/>
              <w:spacing w:after="0"/>
              <w:rPr>
                <w:sz w:val="20"/>
                <w:szCs w:val="20"/>
                <w:color w:val="auto"/>
              </w:rPr>
            </w:pPr>
            <w:r>
              <w:rPr>
                <w:rFonts w:ascii="Arial" w:cs="Arial" w:eastAsia="Arial" w:hAnsi="Arial"/>
                <w:sz w:val="17"/>
                <w:szCs w:val="17"/>
                <w:b w:val="1"/>
                <w:bCs w:val="1"/>
                <w:i w:val="1"/>
                <w:iCs w:val="1"/>
                <w:color w:val="auto"/>
                <w:w w:val="96"/>
              </w:rPr>
              <w:t>(26)%</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for impact of divested assets </w:t>
            </w:r>
            <w:r>
              <w:rPr>
                <w:rFonts w:ascii="Arial" w:cs="Arial" w:eastAsia="Arial" w:hAnsi="Arial"/>
                <w:sz w:val="22"/>
                <w:szCs w:val="22"/>
                <w:b w:val="1"/>
                <w:bCs w:val="1"/>
                <w:i w:val="1"/>
                <w:i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w w:val="93"/>
              </w:rPr>
              <w:t>Segment Adjusted EBITDA</w:t>
            </w: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Facilities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Supply and Logistics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Nine Months Ended September 30, 2021</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2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Nine Months Ended September 30, 2020</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1,233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ind w:left="860"/>
              <w:spacing w:after="0" w:line="191" w:lineRule="exact"/>
              <w:rPr>
                <w:sz w:val="20"/>
                <w:szCs w:val="20"/>
                <w:color w:val="auto"/>
              </w:rPr>
            </w:pPr>
            <w:r>
              <w:rPr>
                <w:rFonts w:ascii="Arial" w:cs="Arial" w:eastAsia="Arial" w:hAnsi="Arial"/>
                <w:sz w:val="17"/>
                <w:szCs w:val="17"/>
                <w:color w:val="auto"/>
              </w:rPr>
              <w:t>560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b w:val="1"/>
                <w:bCs w:val="1"/>
                <w:i w:val="1"/>
                <w:iCs w:val="1"/>
                <w:color w:val="auto"/>
                <w:w w:val="96"/>
              </w:rPr>
              <w:t>(24)%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2020 period further adjusted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1 %</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restart"/>
          </w:tcPr>
          <w:p>
            <w:pPr>
              <w:ind w:left="860"/>
              <w:spacing w:after="0"/>
              <w:rPr>
                <w:sz w:val="20"/>
                <w:szCs w:val="20"/>
                <w:color w:val="auto"/>
              </w:rPr>
            </w:pPr>
            <w:r>
              <w:rPr>
                <w:rFonts w:ascii="Arial" w:cs="Arial" w:eastAsia="Arial" w:hAnsi="Arial"/>
                <w:sz w:val="17"/>
                <w:szCs w:val="17"/>
                <w:b w:val="1"/>
                <w:bCs w:val="1"/>
                <w:i w:val="1"/>
                <w:iCs w:val="1"/>
                <w:color w:val="auto"/>
                <w:w w:val="96"/>
              </w:rPr>
              <w:t>(20)%</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N/A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for impact of divested assets </w:t>
            </w:r>
            <w:r>
              <w:rPr>
                <w:rFonts w:ascii="Arial" w:cs="Arial" w:eastAsia="Arial" w:hAnsi="Arial"/>
                <w:sz w:val="22"/>
                <w:szCs w:val="22"/>
                <w:b w:val="1"/>
                <w:bCs w:val="1"/>
                <w:i w:val="1"/>
                <w:iCs w:val="1"/>
                <w:color w:val="auto"/>
                <w:vertAlign w:val="superscript"/>
              </w:rPr>
              <w:t>(1)</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Indicates that variance as a percentage is not meaningful.</w:t>
      </w:r>
    </w:p>
    <w:p>
      <w:pPr>
        <w:spacing w:after="0" w:line="296" w:lineRule="exact"/>
        <w:rPr>
          <w:sz w:val="20"/>
          <w:szCs w:val="20"/>
          <w:color w:val="auto"/>
        </w:rPr>
      </w:pPr>
    </w:p>
    <w:p>
      <w:pPr>
        <w:ind w:left="320" w:hanging="317"/>
        <w:spacing w:after="0" w:line="253" w:lineRule="auto"/>
        <w:tabs>
          <w:tab w:leader="none" w:pos="30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NGL storage terminals, Los Angeles Basin crude oil storage terminals and natural gas storage facilities that were previously included in our Facilities segment and the sale of a portion of our interest in a joint venture pipeline that was previously reported in our Transportation segment.</w:t>
      </w:r>
    </w:p>
    <w:p>
      <w:pPr>
        <w:spacing w:after="0" w:line="314" w:lineRule="exact"/>
        <w:rPr>
          <w:sz w:val="20"/>
          <w:szCs w:val="20"/>
          <w:color w:val="auto"/>
        </w:rPr>
      </w:pPr>
    </w:p>
    <w:p>
      <w:pPr>
        <w:ind w:right="300" w:firstLine="620"/>
        <w:spacing w:after="0" w:line="283" w:lineRule="auto"/>
        <w:rPr>
          <w:sz w:val="20"/>
          <w:szCs w:val="20"/>
          <w:color w:val="auto"/>
        </w:rPr>
      </w:pPr>
      <w:r>
        <w:rPr>
          <w:rFonts w:ascii="Arial" w:cs="Arial" w:eastAsia="Arial" w:hAnsi="Arial"/>
          <w:sz w:val="17"/>
          <w:szCs w:val="17"/>
          <w:color w:val="auto"/>
        </w:rPr>
        <w:t>Third-quarter 2021 Transportation Segment Adjusted EBITDA decreased 4% versus comparable 2020 results primarily due to lower tariffs on certain long-haul volumes partially offset by an overall increase in tariff volumes.</w:t>
      </w:r>
    </w:p>
    <w:p>
      <w:pPr>
        <w:spacing w:after="0" w:line="185" w:lineRule="exact"/>
        <w:rPr>
          <w:sz w:val="20"/>
          <w:szCs w:val="20"/>
          <w:color w:val="auto"/>
        </w:rPr>
      </w:pPr>
    </w:p>
    <w:p>
      <w:pPr>
        <w:ind w:right="200" w:firstLine="620"/>
        <w:spacing w:after="0" w:line="283" w:lineRule="auto"/>
        <w:rPr>
          <w:sz w:val="20"/>
          <w:szCs w:val="20"/>
          <w:color w:val="auto"/>
        </w:rPr>
      </w:pPr>
      <w:r>
        <w:rPr>
          <w:rFonts w:ascii="Arial" w:cs="Arial" w:eastAsia="Arial" w:hAnsi="Arial"/>
          <w:sz w:val="17"/>
          <w:szCs w:val="17"/>
          <w:color w:val="auto"/>
        </w:rPr>
        <w:t>Third-quarter 2021 Facilities Segment Adjusted EBITDA decreased 35% versus comparable 2020 results primarily due to the impact of asset sales and reduced NGL intersegment fees.</w:t>
      </w:r>
    </w:p>
    <w:p>
      <w:pPr>
        <w:spacing w:after="0" w:line="185" w:lineRule="exact"/>
        <w:rPr>
          <w:sz w:val="20"/>
          <w:szCs w:val="20"/>
          <w:color w:val="auto"/>
        </w:rPr>
      </w:pPr>
    </w:p>
    <w:p>
      <w:pPr>
        <w:ind w:right="460" w:firstLine="620"/>
        <w:spacing w:after="0" w:line="283" w:lineRule="auto"/>
        <w:rPr>
          <w:sz w:val="20"/>
          <w:szCs w:val="20"/>
          <w:color w:val="auto"/>
        </w:rPr>
      </w:pPr>
      <w:r>
        <w:rPr>
          <w:rFonts w:ascii="Arial" w:cs="Arial" w:eastAsia="Arial" w:hAnsi="Arial"/>
          <w:sz w:val="17"/>
          <w:szCs w:val="17"/>
          <w:color w:val="auto"/>
        </w:rPr>
        <w:t>Third-quarter 2021 Supply and Logistics Segment Adjusted EBITDA decreased versus comparable 2020 results primarily due to contango margins realized in the third quarter of 2020, partially offset by reduced NGL intersegment fees.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Operating Guidance</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volumes, per unit and per barrel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6"/>
                <w:szCs w:val="16"/>
                <w:b w:val="1"/>
                <w:bCs w:val="1"/>
                <w:color w:val="auto"/>
                <w:w w:val="94"/>
              </w:rPr>
              <w:t>Twelve Months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w w:val="98"/>
              </w:rPr>
              <w:t>2021 (G)</w:t>
            </w:r>
          </w:p>
        </w:tc>
        <w:tc>
          <w:tcPr>
            <w:tcW w:w="0" w:type="dxa"/>
            <w:vAlign w:val="bottom"/>
          </w:tcPr>
          <w:p>
            <w:pPr>
              <w:spacing w:after="0"/>
              <w:rPr>
                <w:sz w:val="1"/>
                <w:szCs w:val="1"/>
                <w:color w:val="auto"/>
              </w:rPr>
            </w:pPr>
          </w:p>
        </w:tc>
      </w:tr>
      <w:tr>
        <w:trPr>
          <w:trHeight w:val="199"/>
        </w:trPr>
        <w:tc>
          <w:tcPr>
            <w:tcW w:w="6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555"/>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2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Adjusted EBITDA</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180"/>
              <w:spacing w:after="0"/>
              <w:rPr>
                <w:sz w:val="20"/>
                <w:szCs w:val="20"/>
                <w:color w:val="auto"/>
              </w:rPr>
            </w:pPr>
            <w:r>
              <w:rPr>
                <w:rFonts w:ascii="Arial" w:cs="Arial" w:eastAsia="Arial" w:hAnsi="Arial"/>
                <w:sz w:val="17"/>
                <w:szCs w:val="17"/>
                <w:color w:val="auto"/>
              </w:rPr>
              <w:t>Transportation</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13"/>
        </w:trPr>
        <w:tc>
          <w:tcPr>
            <w:tcW w:w="6340" w:type="dxa"/>
            <w:vAlign w:val="bottom"/>
          </w:tcPr>
          <w:p>
            <w:pPr>
              <w:ind w:left="300"/>
              <w:spacing w:after="0"/>
              <w:rPr>
                <w:sz w:val="20"/>
                <w:szCs w:val="20"/>
                <w:color w:val="auto"/>
              </w:rPr>
            </w:pPr>
            <w:r>
              <w:rPr>
                <w:rFonts w:ascii="Arial" w:cs="Arial" w:eastAsia="Arial" w:hAnsi="Arial"/>
                <w:sz w:val="17"/>
                <w:szCs w:val="17"/>
                <w:b w:val="1"/>
                <w:bCs w:val="1"/>
                <w:color w:val="auto"/>
              </w:rPr>
              <w:t>Fee-Based</w:t>
            </w:r>
          </w:p>
        </w:tc>
        <w:tc>
          <w:tcPr>
            <w:tcW w:w="1020" w:type="dxa"/>
            <w:vAlign w:val="bottom"/>
          </w:tcPr>
          <w:p>
            <w:pPr>
              <w:jc w:val="right"/>
              <w:ind w:right="815"/>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2,427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2,347</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2,200</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Supply and Logistics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6340" w:type="dxa"/>
            <w:vAlign w:val="bottom"/>
            <w:tcBorders>
              <w:bottom w:val="single" w:sz="8" w:color="CCEEFF"/>
            </w:tcBorders>
          </w:tcPr>
          <w:p>
            <w:pPr>
              <w:ind w:left="18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(2)</w:t>
            </w: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2,175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180"/>
              <w:spacing w:after="0" w:line="231"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Arial" w:cs="Arial" w:eastAsia="Arial" w:hAnsi="Arial"/>
                <w:sz w:val="17"/>
                <w:szCs w:val="17"/>
                <w:color w:val="auto"/>
              </w:rPr>
              <w:t>(407)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7"/>
                <w:szCs w:val="17"/>
                <w:color w:val="auto"/>
              </w:rPr>
              <w:t>(415)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20"/>
        </w:trPr>
        <w:tc>
          <w:tcPr>
            <w:tcW w:w="6340" w:type="dxa"/>
            <w:vAlign w:val="bottom"/>
          </w:tcPr>
          <w:p>
            <w:pPr>
              <w:ind w:left="180"/>
              <w:spacing w:after="0"/>
              <w:rPr>
                <w:sz w:val="20"/>
                <w:szCs w:val="20"/>
                <w:color w:val="auto"/>
              </w:rPr>
            </w:pPr>
            <w:r>
              <w:rPr>
                <w:rFonts w:ascii="Arial" w:cs="Arial" w:eastAsia="Arial" w:hAnsi="Arial"/>
                <w:sz w:val="17"/>
                <w:szCs w:val="17"/>
                <w:color w:val="auto"/>
              </w:rPr>
              <w:t>Current income tax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line="212" w:lineRule="exact"/>
              <w:rPr>
                <w:sz w:val="20"/>
                <w:szCs w:val="20"/>
                <w:color w:val="auto"/>
              </w:rPr>
            </w:pPr>
            <w:r>
              <w:rPr>
                <w:rFonts w:ascii="Arial" w:cs="Arial" w:eastAsia="Arial" w:hAnsi="Arial"/>
                <w:sz w:val="17"/>
                <w:szCs w:val="17"/>
                <w:b w:val="1"/>
                <w:bCs w:val="1"/>
                <w:color w:val="auto"/>
              </w:rPr>
              <w:t xml:space="preserve">Implied DCF </w:t>
            </w:r>
            <w:r>
              <w:rPr>
                <w:rFonts w:ascii="Arial" w:cs="Arial" w:eastAsia="Arial" w:hAnsi="Arial"/>
                <w:sz w:val="22"/>
                <w:szCs w:val="22"/>
                <w:b w:val="1"/>
                <w:bCs w:val="1"/>
                <w:color w:val="auto"/>
                <w:vertAlign w:val="superscript"/>
              </w:rPr>
              <w:t>(2)</w:t>
            </w:r>
          </w:p>
        </w:tc>
        <w:tc>
          <w:tcPr>
            <w:tcW w:w="1020" w:type="dxa"/>
            <w:vAlign w:val="bottom"/>
          </w:tcPr>
          <w:p>
            <w:pPr>
              <w:jc w:val="right"/>
              <w:ind w:right="815"/>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2,376</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1,881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1,565</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(4)</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Implied DCF Available to Common Unitholders</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2,178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1,365</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line="220" w:lineRule="exact"/>
              <w:rPr>
                <w:sz w:val="20"/>
                <w:szCs w:val="20"/>
                <w:color w:val="auto"/>
              </w:rPr>
            </w:pPr>
            <w:r>
              <w:rPr>
                <w:rFonts w:ascii="Arial" w:cs="Arial" w:eastAsia="Arial" w:hAnsi="Arial"/>
                <w:sz w:val="17"/>
                <w:szCs w:val="17"/>
                <w:b w:val="1"/>
                <w:bCs w:val="1"/>
                <w:color w:val="auto"/>
              </w:rPr>
              <w:t xml:space="preserve">Implied DCF per Common Unit and Common Unit Equivalent </w:t>
            </w:r>
            <w:r>
              <w:rPr>
                <w:rFonts w:ascii="Arial" w:cs="Arial" w:eastAsia="Arial" w:hAnsi="Arial"/>
                <w:sz w:val="22"/>
                <w:szCs w:val="22"/>
                <w:b w:val="1"/>
                <w:bCs w:val="1"/>
                <w:color w:val="auto"/>
                <w:vertAlign w:val="superscript"/>
              </w:rPr>
              <w:t>(2)</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20"/>
              <w:spacing w:after="0" w:line="220" w:lineRule="exact"/>
              <w:rPr>
                <w:sz w:val="20"/>
                <w:szCs w:val="20"/>
                <w:color w:val="auto"/>
              </w:rPr>
            </w:pPr>
            <w:r>
              <w:rPr>
                <w:rFonts w:ascii="Arial" w:cs="Arial" w:eastAsia="Arial" w:hAnsi="Arial"/>
                <w:sz w:val="17"/>
                <w:szCs w:val="17"/>
                <w:b w:val="1"/>
                <w:bCs w:val="1"/>
                <w:color w:val="auto"/>
              </w:rPr>
              <w:t xml:space="preserve">Distributions per Common Unit </w:t>
            </w:r>
            <w:r>
              <w:rPr>
                <w:rFonts w:ascii="Arial" w:cs="Arial" w:eastAsia="Arial" w:hAnsi="Arial"/>
                <w:sz w:val="22"/>
                <w:szCs w:val="22"/>
                <w:b w:val="1"/>
                <w:bCs w:val="1"/>
                <w:color w:val="auto"/>
                <w:vertAlign w:val="superscript"/>
              </w:rPr>
              <w:t>(5)</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Common Unit Distribution Coverage Ratio</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2.17x</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2.57x</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2.64x</w:t>
            </w:r>
          </w:p>
        </w:tc>
        <w:tc>
          <w:tcPr>
            <w:tcW w:w="0" w:type="dxa"/>
            <w:vAlign w:val="bottom"/>
          </w:tcPr>
          <w:p>
            <w:pPr>
              <w:spacing w:after="0"/>
              <w:rPr>
                <w:sz w:val="1"/>
                <w:szCs w:val="1"/>
                <w:color w:val="auto"/>
              </w:rPr>
            </w:pPr>
          </w:p>
        </w:tc>
      </w:tr>
      <w:tr>
        <w:trPr>
          <w:trHeight w:val="207"/>
        </w:trPr>
        <w:tc>
          <w:tcPr>
            <w:tcW w:w="6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b w:val="1"/>
                <w:bCs w:val="1"/>
                <w:color w:val="auto"/>
              </w:rPr>
              <w:t xml:space="preserve">Diluted Adjusted Net Income per Common Unit </w:t>
            </w:r>
            <w:r>
              <w:rPr>
                <w:rFonts w:ascii="Arial" w:cs="Arial" w:eastAsia="Arial" w:hAnsi="Arial"/>
                <w:sz w:val="22"/>
                <w:szCs w:val="22"/>
                <w:b w:val="1"/>
                <w:bCs w:val="1"/>
                <w:color w:val="auto"/>
                <w:vertAlign w:val="superscript"/>
              </w:rPr>
              <w:t>(2)</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07"/>
        </w:trPr>
        <w:tc>
          <w:tcPr>
            <w:tcW w:w="6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Data</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180"/>
              <w:spacing w:after="0"/>
              <w:rPr>
                <w:sz w:val="20"/>
                <w:szCs w:val="20"/>
                <w:color w:val="auto"/>
              </w:rPr>
            </w:pPr>
            <w:r>
              <w:rPr>
                <w:rFonts w:ascii="Arial" w:cs="Arial" w:eastAsia="Arial" w:hAnsi="Arial"/>
                <w:sz w:val="17"/>
                <w:szCs w:val="17"/>
                <w:b w:val="1"/>
                <w:bCs w:val="1"/>
                <w:color w:val="auto"/>
              </w:rPr>
              <w:t>Transportation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daily volumes (MBbls/d)</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0" w:type="dxa"/>
            <w:vAlign w:val="bottom"/>
          </w:tcPr>
          <w:p>
            <w:pPr>
              <w:spacing w:after="0"/>
              <w:rPr>
                <w:sz w:val="1"/>
                <w:szCs w:val="1"/>
                <w:color w:val="auto"/>
              </w:rPr>
            </w:pPr>
          </w:p>
        </w:tc>
      </w:tr>
      <w:tr>
        <w:trPr>
          <w:trHeight w:val="220"/>
        </w:trPr>
        <w:tc>
          <w:tcPr>
            <w:tcW w:w="63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180"/>
              <w:spacing w:after="0"/>
              <w:rPr>
                <w:sz w:val="20"/>
                <w:szCs w:val="20"/>
                <w:color w:val="auto"/>
              </w:rPr>
            </w:pPr>
            <w:r>
              <w:rPr>
                <w:rFonts w:ascii="Arial" w:cs="Arial" w:eastAsia="Arial" w:hAnsi="Arial"/>
                <w:sz w:val="17"/>
                <w:szCs w:val="17"/>
                <w:b w:val="1"/>
                <w:bCs w:val="1"/>
                <w:color w:val="auto"/>
              </w:rPr>
              <w:t>Facilities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capacity (MMBbls/Mo)</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0"/>
        </w:trPr>
        <w:tc>
          <w:tcPr>
            <w:tcW w:w="63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0.47</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340" w:type="dxa"/>
            <w:vAlign w:val="bottom"/>
          </w:tcPr>
          <w:p>
            <w:pPr>
              <w:ind w:left="180"/>
              <w:spacing w:after="0"/>
              <w:rPr>
                <w:sz w:val="20"/>
                <w:szCs w:val="20"/>
                <w:color w:val="auto"/>
              </w:rPr>
            </w:pPr>
            <w:r>
              <w:rPr>
                <w:rFonts w:ascii="Arial" w:cs="Arial" w:eastAsia="Arial" w:hAnsi="Arial"/>
                <w:sz w:val="17"/>
                <w:szCs w:val="17"/>
                <w:b w:val="1"/>
                <w:bCs w:val="1"/>
                <w:color w:val="auto"/>
              </w:rPr>
              <w:t>Supply and Logistics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Average daily volumes (MBbls/d)</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0" w:type="dxa"/>
            <w:vAlign w:val="bottom"/>
          </w:tcPr>
          <w:p>
            <w:pPr>
              <w:spacing w:after="0"/>
              <w:rPr>
                <w:sz w:val="1"/>
                <w:szCs w:val="1"/>
                <w:color w:val="auto"/>
              </w:rPr>
            </w:pPr>
          </w:p>
        </w:tc>
      </w:tr>
      <w:tr>
        <w:trPr>
          <w:trHeight w:val="220"/>
        </w:trPr>
        <w:tc>
          <w:tcPr>
            <w:tcW w:w="6340" w:type="dxa"/>
            <w:vAlign w:val="bottom"/>
          </w:tcPr>
          <w:p>
            <w:pPr>
              <w:ind w:left="340"/>
              <w:spacing w:after="0"/>
              <w:rPr>
                <w:sz w:val="20"/>
                <w:szCs w:val="20"/>
                <w:color w:val="auto"/>
              </w:rPr>
            </w:pPr>
            <w:r>
              <w:rPr>
                <w:rFonts w:ascii="Arial" w:cs="Arial" w:eastAsia="Arial" w:hAnsi="Arial"/>
                <w:sz w:val="17"/>
                <w:szCs w:val="17"/>
                <w:color w:val="auto"/>
              </w:rPr>
              <w:t>Segment Adjusted EBITDA per barrel</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7"/>
                <w:szCs w:val="17"/>
                <w:b w:val="1"/>
                <w:bCs w:val="1"/>
                <w:color w:val="auto"/>
              </w:rPr>
              <w:t>Investment Capital</w:t>
            </w:r>
          </w:p>
        </w:tc>
        <w:tc>
          <w:tcPr>
            <w:tcW w:w="1020" w:type="dxa"/>
            <w:vAlign w:val="bottom"/>
          </w:tcPr>
          <w:p>
            <w:pPr>
              <w:jc w:val="right"/>
              <w:ind w:right="815"/>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1,340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921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246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(G) 2021 Guidance forecasts are intended to be + / - amounts.</w:t>
      </w:r>
    </w:p>
    <w:p>
      <w:pPr>
        <w:spacing w:after="0" w:line="115" w:lineRule="exact"/>
        <w:rPr>
          <w:sz w:val="20"/>
          <w:szCs w:val="20"/>
          <w:color w:val="auto"/>
        </w:rPr>
      </w:pPr>
    </w:p>
    <w:p>
      <w:pPr>
        <w:ind w:left="320" w:right="80" w:hanging="317"/>
        <w:spacing w:after="0" w:line="235"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248"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left="320" w:right="60" w:hanging="317"/>
        <w:spacing w:after="0" w:line="263" w:lineRule="auto"/>
        <w:tabs>
          <w:tab w:leader="none" w:pos="30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29" w:lineRule="exact"/>
        <w:rPr>
          <w:rFonts w:ascii="Arial" w:cs="Arial" w:eastAsia="Arial" w:hAnsi="Arial"/>
          <w:sz w:val="21"/>
          <w:szCs w:val="21"/>
          <w:color w:val="auto"/>
          <w:vertAlign w:val="superscript"/>
        </w:rPr>
      </w:pPr>
    </w:p>
    <w:p>
      <w:pPr>
        <w:ind w:left="300" w:hanging="297"/>
        <w:spacing w:after="0"/>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64" w:lineRule="exact"/>
        <w:rPr>
          <w:rFonts w:ascii="Arial" w:cs="Arial" w:eastAsia="Arial" w:hAnsi="Arial"/>
          <w:sz w:val="22"/>
          <w:szCs w:val="22"/>
          <w:color w:val="auto"/>
          <w:vertAlign w:val="superscript"/>
        </w:rPr>
      </w:pPr>
    </w:p>
    <w:p>
      <w:pPr>
        <w:ind w:left="320" w:right="460" w:hanging="317"/>
        <w:spacing w:after="0" w:line="228"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5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right="40" w:firstLine="172"/>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PAA and PAGP will hold a joint conference call at 4:00 p.m. CT on Tuesday, November 2, 2021 to discuss the following items:</w:t>
      </w:r>
    </w:p>
    <w:p>
      <w:pPr>
        <w:spacing w:after="0" w:line="115" w:lineRule="exact"/>
        <w:rPr>
          <w:sz w:val="20"/>
          <w:szCs w:val="20"/>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PAA’s third-quarter 2021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and operating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https://edge.media-server.com/mmc/p/mharyy4f.</w:t>
      </w:r>
    </w:p>
    <w:p>
      <w:pPr>
        <w:spacing w:after="0" w:line="244" w:lineRule="exact"/>
        <w:rPr>
          <w:sz w:val="20"/>
          <w:szCs w:val="20"/>
          <w:color w:val="auto"/>
        </w:rPr>
      </w:pPr>
    </w:p>
    <w:p>
      <w:pPr>
        <w:jc w:val="both"/>
        <w:ind w:firstLine="620"/>
        <w:spacing w:after="0" w:line="320" w:lineRule="auto"/>
        <w:rPr>
          <w:sz w:val="20"/>
          <w:szCs w:val="20"/>
          <w:color w:val="auto"/>
        </w:rPr>
      </w:pPr>
      <w:r>
        <w:rPr>
          <w:rFonts w:ascii="Arial" w:cs="Arial" w:eastAsia="Arial" w:hAnsi="Arial"/>
          <w:sz w:val="15"/>
          <w:szCs w:val="15"/>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25" w:lineRule="exact"/>
        <w:rPr>
          <w:sz w:val="20"/>
          <w:szCs w:val="20"/>
          <w:color w:val="auto"/>
        </w:rPr>
      </w:pPr>
    </w:p>
    <w:p>
      <w:pPr>
        <w:ind w:firstLine="620"/>
        <w:spacing w:after="0" w:line="256"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and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 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w:t>
      </w:r>
    </w:p>
    <w:p>
      <w:pPr>
        <w:spacing w:after="0" w:line="4" w:lineRule="exact"/>
        <w:rPr>
          <w:sz w:val="20"/>
          <w:szCs w:val="20"/>
          <w:color w:val="auto"/>
        </w:rPr>
      </w:pPr>
    </w:p>
    <w:p>
      <w:pPr>
        <w:ind w:firstLine="3"/>
        <w:spacing w:after="0" w:line="271" w:lineRule="auto"/>
        <w:tabs>
          <w:tab w:leader="none" w:pos="292" w:val="left"/>
        </w:tabs>
        <w:numPr>
          <w:ilvl w:val="0"/>
          <w:numId w:val="9"/>
        </w:numPr>
        <w:rPr>
          <w:rFonts w:ascii="Arial" w:cs="Arial" w:eastAsia="Arial" w:hAnsi="Arial"/>
          <w:sz w:val="16"/>
          <w:szCs w:val="16"/>
          <w:color w:val="auto"/>
        </w:rPr>
      </w:pPr>
      <w:r>
        <w:rPr>
          <w:rFonts w:ascii="Arial" w:cs="Arial" w:eastAsia="Arial" w:hAnsi="Arial"/>
          <w:sz w:val="16"/>
          <w:szCs w:val="16"/>
          <w:color w:val="auto"/>
        </w:rPr>
        <w:t>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17,327</w:t>
            </w:r>
          </w:p>
        </w:tc>
      </w:t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10,814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28,837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19,637</w:t>
            </w:r>
          </w:p>
        </w:tc>
      </w:tr>
      <w:tr>
        <w:trPr>
          <w:trHeight w:val="207"/>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OPERATING INCOME/(LOSS)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(2,310)</w:t>
            </w:r>
          </w:p>
        </w:tc>
      </w:tr>
      <w:tr>
        <w:trPr>
          <w:trHeight w:val="207"/>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OTHER INCOME/(EXPENSE)</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unconsolidated entities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w w:val="93"/>
              </w:rPr>
              <w:t>Gain on/(impairment of) investments in unconsolidated entities, net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2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income/(expense), net</w:t>
            </w:r>
          </w:p>
        </w:tc>
        <w:tc>
          <w:tcPr>
            <w:tcW w:w="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INCOME/(LOSS) BEFORE TAX</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(2,548)</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0"/>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benefit</w:t>
            </w:r>
          </w:p>
        </w:tc>
        <w:tc>
          <w:tcPr>
            <w:tcW w:w="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187"/>
        </w:trPr>
        <w:tc>
          <w:tcPr>
            <w:tcW w:w="2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(2,555)</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ATTRIBUTABLE TO PAA</w:t>
            </w:r>
          </w:p>
        </w:tc>
        <w:tc>
          <w:tcPr>
            <w:tcW w:w="5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(59)</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4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NET INCOME/(LOSS) PER COMMON UNIT: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4"/>
              </w:rPr>
              <w:t>Net income/(loss) allocated to common unitholders — Basic and Diluted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r>
      <w:tr>
        <w:trPr>
          <w:trHeight w:val="22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net income/(loss) per common unit</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r>
      <w:tr>
        <w:trPr>
          <w:trHeight w:val="69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7"/>
                <w:szCs w:val="17"/>
                <w:color w:val="auto"/>
              </w:rPr>
              <w:t>- more -</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18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1"/>
              </w:rPr>
              <w:t>Houston, Texas 77002</w:t>
            </w:r>
          </w:p>
        </w:tc>
        <w:tc>
          <w:tcPr>
            <w:tcW w:w="880" w:type="dxa"/>
            <w:vAlign w:val="bottom"/>
          </w:tcPr>
          <w:p>
            <w:pPr>
              <w:spacing w:after="0"/>
              <w:rPr>
                <w:sz w:val="24"/>
                <w:szCs w:val="24"/>
                <w:color w:val="auto"/>
              </w:rPr>
            </w:pPr>
          </w:p>
        </w:tc>
        <w:tc>
          <w:tcPr>
            <w:tcW w:w="2540" w:type="dxa"/>
            <w:vAlign w:val="bottom"/>
            <w:gridSpan w:val="6"/>
          </w:tcPr>
          <w:p>
            <w:pPr>
              <w:jc w:val="right"/>
              <w:ind w:right="316"/>
              <w:spacing w:after="0"/>
              <w:rPr>
                <w:sz w:val="20"/>
                <w:szCs w:val="20"/>
                <w:color w:val="auto"/>
              </w:rPr>
            </w:pPr>
            <w:r>
              <w:rPr>
                <w:rFonts w:ascii="Arial" w:cs="Arial" w:eastAsia="Arial" w:hAnsi="Arial"/>
                <w:sz w:val="17"/>
                <w:szCs w:val="17"/>
                <w:b w:val="1"/>
                <w:bCs w:val="1"/>
                <w:color w:val="auto"/>
                <w:w w:val="93"/>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$191 and $22, respectively)</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4,874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Linefill and base gas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5,397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notes, net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24,197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24,497</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3"/>
                <w:szCs w:val="13"/>
                <w:color w:val="auto"/>
              </w:rPr>
            </w:pPr>
          </w:p>
        </w:tc>
        <w:tc>
          <w:tcPr>
            <w:tcW w:w="1180" w:type="dxa"/>
            <w:vAlign w:val="bottom"/>
          </w:tcPr>
          <w:p>
            <w:pPr>
              <w:jc w:val="center"/>
              <w:ind w:right="96"/>
              <w:spacing w:after="0" w:line="15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w:t>
            </w:r>
          </w:p>
        </w:tc>
        <w:tc>
          <w:tcPr>
            <w:tcW w:w="2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book capitalization</w:t>
            </w:r>
          </w:p>
        </w:tc>
        <w:tc>
          <w:tcPr>
            <w:tcW w:w="2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64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18,493</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19,951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82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Common Unit</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(2,562)</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allocated to common unitholders</w:t>
            </w: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income/(loss) per common unit</w:t>
            </w: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(0.15)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1" w:lineRule="exact"/>
        <w:rPr>
          <w:sz w:val="20"/>
          <w:szCs w:val="20"/>
          <w:color w:val="auto"/>
        </w:rPr>
      </w:pPr>
    </w:p>
    <w:p>
      <w:pPr>
        <w:ind w:left="320" w:right="100" w:hanging="317"/>
        <w:spacing w:after="0" w:line="227"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22"/>
          <w:szCs w:val="22"/>
          <w:color w:val="auto"/>
          <w:vertAlign w:val="superscript"/>
        </w:rPr>
      </w:pPr>
    </w:p>
    <w:p>
      <w:pPr>
        <w:ind w:left="320" w:right="140" w:hanging="317"/>
        <w:spacing w:after="0" w:line="219"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nine months ended September 30, 2021 and 2020 as the effect was antidilutive.</w:t>
      </w:r>
    </w:p>
    <w:p>
      <w:pPr>
        <w:spacing w:after="0" w:line="30" w:lineRule="exact"/>
        <w:rPr>
          <w:rFonts w:ascii="Arial" w:cs="Arial" w:eastAsia="Arial" w:hAnsi="Arial"/>
          <w:sz w:val="22"/>
          <w:szCs w:val="22"/>
          <w:color w:val="auto"/>
          <w:vertAlign w:val="superscript"/>
        </w:rPr>
      </w:pPr>
    </w:p>
    <w:p>
      <w:pPr>
        <w:ind w:left="320" w:right="20" w:hanging="317"/>
        <w:spacing w:after="0" w:line="231" w:lineRule="auto"/>
        <w:tabs>
          <w:tab w:leader="none" w:pos="32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2021 and 2020, the effect of equity-indexed compensation plan awards was antidilutive, or did not change the presentation of diluted weighted average common units outstanding or diluted net income/(loss) per common unit.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 attributable to PAA</w:t>
            </w:r>
          </w:p>
        </w:tc>
        <w:tc>
          <w:tcPr>
            <w:tcW w:w="760" w:type="dxa"/>
            <w:vAlign w:val="bottom"/>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(2,562)</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3,632</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76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08"/>
        </w:trPr>
        <w:tc>
          <w:tcPr>
            <w:tcW w:w="388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142"/>
        </w:trPr>
        <w:tc>
          <w:tcPr>
            <w:tcW w:w="38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08"/>
        </w:trPr>
        <w:tc>
          <w:tcPr>
            <w:tcW w:w="388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b w:val="1"/>
                <w:bCs w:val="1"/>
                <w:color w:val="auto"/>
              </w:rPr>
              <w:t>Diluted Adjusted Net Income per Common Unit</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income/(loss) attributable to PAA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w:t>
            </w: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3,632</w:t>
            </w: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6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common units outstanding</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Effect of dilutive securities: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Series A preferred units </w:t>
            </w:r>
            <w:r>
              <w:rPr>
                <w:rFonts w:ascii="Arial" w:cs="Arial" w:eastAsia="Arial" w:hAnsi="Arial"/>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Equity-indexed compensation plan awards </w:t>
            </w:r>
            <w:r>
              <w:rPr>
                <w:rFonts w:ascii="Arial" w:cs="Arial" w:eastAsia="Arial" w:hAnsi="Arial"/>
                <w:sz w:val="22"/>
                <w:szCs w:val="22"/>
                <w:color w:val="auto"/>
                <w:vertAlign w:val="superscript"/>
              </w:rPr>
              <w:t>(4)</w:t>
            </w:r>
          </w:p>
        </w:tc>
        <w:tc>
          <w:tcPr>
            <w:tcW w:w="7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24" w:lineRule="exact"/>
        <w:rPr>
          <w:sz w:val="20"/>
          <w:szCs w:val="20"/>
          <w:color w:val="auto"/>
        </w:rPr>
      </w:pPr>
    </w:p>
    <w:p>
      <w:pPr>
        <w:ind w:left="320" w:right="40" w:hanging="317"/>
        <w:spacing w:after="0" w:line="219" w:lineRule="auto"/>
        <w:tabs>
          <w:tab w:leader="none" w:pos="30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4" w:lineRule="exact"/>
        <w:rPr>
          <w:rFonts w:ascii="Arial" w:cs="Arial" w:eastAsia="Arial" w:hAnsi="Arial"/>
          <w:sz w:val="18"/>
          <w:szCs w:val="18"/>
          <w:color w:val="auto"/>
          <w:vertAlign w:val="superscript"/>
        </w:rPr>
      </w:pPr>
    </w:p>
    <w:p>
      <w:pPr>
        <w:ind w:left="320" w:right="340" w:hanging="317"/>
        <w:spacing w:after="0" w:line="215" w:lineRule="auto"/>
        <w:tabs>
          <w:tab w:leader="none" w:pos="30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“Selected Items Impacting Comparability” table for additional information.</w:t>
      </w:r>
    </w:p>
    <w:p>
      <w:pPr>
        <w:spacing w:after="0" w:line="32" w:lineRule="exact"/>
        <w:rPr>
          <w:rFonts w:ascii="Arial" w:cs="Arial" w:eastAsia="Arial" w:hAnsi="Arial"/>
          <w:sz w:val="18"/>
          <w:szCs w:val="18"/>
          <w:color w:val="auto"/>
          <w:vertAlign w:val="superscript"/>
        </w:rPr>
      </w:pPr>
    </w:p>
    <w:p>
      <w:pPr>
        <w:ind w:left="320" w:right="80" w:hanging="317"/>
        <w:spacing w:after="0" w:line="215" w:lineRule="auto"/>
        <w:tabs>
          <w:tab w:leader="none" w:pos="30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possible conversion of our Series A preferred units was excluded from the calculation of diluted net income per common unit for the three and nine months ended September 30, 2021 and 2020 as the effect was antidilutive.</w:t>
      </w:r>
    </w:p>
    <w:p>
      <w:pPr>
        <w:spacing w:after="0" w:line="32" w:lineRule="exact"/>
        <w:rPr>
          <w:rFonts w:ascii="Arial" w:cs="Arial" w:eastAsia="Arial" w:hAnsi="Arial"/>
          <w:sz w:val="18"/>
          <w:szCs w:val="18"/>
          <w:color w:val="auto"/>
          <w:vertAlign w:val="superscript"/>
        </w:rPr>
      </w:pPr>
    </w:p>
    <w:p>
      <w:pPr>
        <w:ind w:left="320" w:right="100" w:hanging="317"/>
        <w:spacing w:after="0" w:line="222" w:lineRule="auto"/>
        <w:tabs>
          <w:tab w:leader="none" w:pos="30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2021 and 2020, the effect of equity-indexed compensation plan awards was antidilutive.</w:t>
      </w:r>
    </w:p>
    <w:p>
      <w:pPr>
        <w:spacing w:after="0" w:line="155" w:lineRule="exact"/>
        <w:rPr>
          <w:rFonts w:ascii="Arial" w:cs="Arial" w:eastAsia="Arial" w:hAnsi="Arial"/>
          <w:sz w:val="18"/>
          <w:szCs w:val="18"/>
          <w:color w:val="auto"/>
          <w:vertAlign w:val="superscript"/>
        </w:rPr>
      </w:pPr>
    </w:p>
    <w:p>
      <w:pPr>
        <w:ind w:left="5440" w:hanging="93"/>
        <w:spacing w:after="0"/>
        <w:tabs>
          <w:tab w:leader="none" w:pos="54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Income/(Loss) Per Common Unit to Adjusted Net Income Per Common Unit Reconciliations: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360"/>
              <w:spacing w:after="0"/>
              <w:rPr>
                <w:sz w:val="20"/>
                <w:szCs w:val="20"/>
                <w:color w:val="auto"/>
              </w:rPr>
            </w:pPr>
            <w:r>
              <w:rPr>
                <w:rFonts w:ascii="Arial" w:cs="Arial" w:eastAsia="Arial" w:hAnsi="Arial"/>
                <w:sz w:val="17"/>
                <w:szCs w:val="17"/>
                <w:color w:val="auto"/>
                <w:w w:val="94"/>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16"/>
              <w:spacing w:after="0"/>
              <w:rPr>
                <w:sz w:val="20"/>
                <w:szCs w:val="20"/>
                <w:color w:val="auto"/>
              </w:rPr>
            </w:pPr>
            <w:r>
              <w:rPr>
                <w:rFonts w:ascii="Arial" w:cs="Arial" w:eastAsia="Arial" w:hAnsi="Arial"/>
                <w:sz w:val="17"/>
                <w:szCs w:val="17"/>
                <w:color w:val="auto"/>
                <w:w w:val="94"/>
              </w:rPr>
              <w:t>(3.72)</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0.37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60"/>
              <w:spacing w:after="0"/>
              <w:rPr>
                <w:sz w:val="20"/>
                <w:szCs w:val="20"/>
                <w:color w:val="auto"/>
              </w:rPr>
            </w:pPr>
            <w:r>
              <w:rPr>
                <w:rFonts w:ascii="Arial" w:cs="Arial" w:eastAsia="Arial" w:hAnsi="Arial"/>
                <w:sz w:val="17"/>
                <w:szCs w:val="17"/>
                <w:color w:val="auto"/>
                <w:w w:val="90"/>
              </w:rPr>
              <w:t>0.71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6"/>
              <w:spacing w:after="0"/>
              <w:rPr>
                <w:sz w:val="20"/>
                <w:szCs w:val="20"/>
                <w:color w:val="auto"/>
              </w:rPr>
            </w:pPr>
            <w:r>
              <w:rPr>
                <w:rFonts w:ascii="Arial" w:cs="Arial" w:eastAsia="Arial" w:hAnsi="Arial"/>
                <w:sz w:val="17"/>
                <w:szCs w:val="17"/>
                <w:color w:val="auto"/>
                <w:w w:val="90"/>
              </w:rPr>
              <w:t>4.98</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360"/>
              <w:spacing w:after="0"/>
              <w:rPr>
                <w:sz w:val="20"/>
                <w:szCs w:val="20"/>
                <w:color w:val="auto"/>
              </w:rPr>
            </w:pPr>
            <w:r>
              <w:rPr>
                <w:rFonts w:ascii="Arial" w:cs="Arial" w:eastAsia="Arial" w:hAnsi="Arial"/>
                <w:sz w:val="17"/>
                <w:szCs w:val="17"/>
                <w:color w:val="auto"/>
                <w:w w:val="90"/>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7"/>
                <w:szCs w:val="17"/>
                <w:color w:val="auto"/>
                <w:w w:val="90"/>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360"/>
              <w:spacing w:after="0"/>
              <w:rPr>
                <w:sz w:val="20"/>
                <w:szCs w:val="20"/>
                <w:color w:val="auto"/>
              </w:rPr>
            </w:pPr>
            <w:r>
              <w:rPr>
                <w:rFonts w:ascii="Arial" w:cs="Arial" w:eastAsia="Arial" w:hAnsi="Arial"/>
                <w:sz w:val="17"/>
                <w:szCs w:val="17"/>
                <w:color w:val="auto"/>
                <w:w w:val="94"/>
              </w:rPr>
              <w:t>(0.01)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16"/>
              <w:spacing w:after="0"/>
              <w:rPr>
                <w:sz w:val="20"/>
                <w:szCs w:val="20"/>
                <w:color w:val="auto"/>
              </w:rPr>
            </w:pPr>
            <w:r>
              <w:rPr>
                <w:rFonts w:ascii="Arial" w:cs="Arial" w:eastAsia="Arial" w:hAnsi="Arial"/>
                <w:sz w:val="17"/>
                <w:szCs w:val="17"/>
                <w:color w:val="auto"/>
                <w:w w:val="94"/>
              </w:rPr>
              <w:t>(3.72)</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0.37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60"/>
              <w:spacing w:after="0"/>
              <w:rPr>
                <w:sz w:val="20"/>
                <w:szCs w:val="20"/>
                <w:color w:val="auto"/>
              </w:rPr>
            </w:pPr>
            <w:r>
              <w:rPr>
                <w:rFonts w:ascii="Arial" w:cs="Arial" w:eastAsia="Arial" w:hAnsi="Arial"/>
                <w:sz w:val="17"/>
                <w:szCs w:val="17"/>
                <w:color w:val="auto"/>
                <w:w w:val="90"/>
              </w:rPr>
              <w:t>0.71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6"/>
              <w:spacing w:after="0"/>
              <w:rPr>
                <w:sz w:val="20"/>
                <w:szCs w:val="20"/>
                <w:color w:val="auto"/>
              </w:rPr>
            </w:pPr>
            <w:r>
              <w:rPr>
                <w:rFonts w:ascii="Arial" w:cs="Arial" w:eastAsia="Arial" w:hAnsi="Arial"/>
                <w:sz w:val="17"/>
                <w:szCs w:val="17"/>
                <w:color w:val="auto"/>
                <w:w w:val="90"/>
              </w:rPr>
              <w:t>4.98</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360"/>
              <w:spacing w:after="0"/>
              <w:rPr>
                <w:sz w:val="20"/>
                <w:szCs w:val="20"/>
                <w:color w:val="auto"/>
              </w:rPr>
            </w:pPr>
            <w:r>
              <w:rPr>
                <w:rFonts w:ascii="Arial" w:cs="Arial" w:eastAsia="Arial" w:hAnsi="Arial"/>
                <w:sz w:val="17"/>
                <w:szCs w:val="17"/>
                <w:color w:val="auto"/>
                <w:w w:val="90"/>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7"/>
                <w:szCs w:val="17"/>
                <w:color w:val="auto"/>
                <w:w w:val="90"/>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0" w:lineRule="exact"/>
        <w:rPr>
          <w:sz w:val="20"/>
          <w:szCs w:val="20"/>
          <w:color w:val="auto"/>
        </w:rPr>
      </w:pPr>
    </w:p>
    <w:p>
      <w:pPr>
        <w:ind w:left="320" w:right="100" w:hanging="317"/>
        <w:spacing w:after="0" w:line="228" w:lineRule="auto"/>
        <w:tabs>
          <w:tab w:leader="none" w:pos="3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336"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0"/>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4"/>
              </w:rPr>
              <w:t>(0.14)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adjusted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7"/>
                <w:szCs w:val="17"/>
                <w:color w:val="auto"/>
                <w:w w:val="90"/>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0"/>
              </w:rPr>
              <w:t>2.65</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6"/>
              <w:spacing w:after="0"/>
              <w:rPr>
                <w:sz w:val="20"/>
                <w:szCs w:val="20"/>
                <w:color w:val="auto"/>
              </w:rPr>
            </w:pPr>
            <w:r>
              <w:rPr>
                <w:rFonts w:ascii="Arial" w:cs="Arial" w:eastAsia="Arial" w:hAnsi="Arial"/>
                <w:sz w:val="17"/>
                <w:szCs w:val="17"/>
                <w:color w:val="auto"/>
                <w:w w:val="94"/>
              </w:rPr>
              <w:t>(0.14)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7"/>
                <w:szCs w:val="17"/>
                <w:color w:val="auto"/>
                <w:w w:val="90"/>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83"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(2,555)</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Income tax expense/(benefit)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5"/>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68"/>
        </w:trPr>
        <w:tc>
          <w:tcPr>
            <w:tcW w:w="6280" w:type="dxa"/>
            <w:vAlign w:val="bottom"/>
            <w:gridSpan w:val="2"/>
            <w:shd w:val="clear" w:color="auto" w:fill="CCEEFF"/>
          </w:tcPr>
          <w:p>
            <w:pPr>
              <w:ind w:left="180"/>
              <w:spacing w:after="0" w:line="168" w:lineRule="exact"/>
              <w:rPr>
                <w:sz w:val="20"/>
                <w:szCs w:val="20"/>
                <w:color w:val="auto"/>
              </w:rPr>
            </w:pPr>
            <w:r>
              <w:rPr>
                <w:rFonts w:ascii="Arial" w:cs="Arial" w:eastAsia="Arial" w:hAnsi="Arial"/>
                <w:sz w:val="17"/>
                <w:szCs w:val="17"/>
                <w:color w:val="auto"/>
              </w:rPr>
              <w:t>Distributions from unconsolidated entities in excess of/(less than) adjusted equity</w:t>
            </w:r>
          </w:p>
        </w:tc>
        <w:tc>
          <w:tcPr>
            <w:tcW w:w="7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(4)</w:t>
            </w:r>
          </w:p>
        </w:tc>
        <w:tc>
          <w:tcPr>
            <w:tcW w:w="7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142"/>
        </w:trPr>
        <w:tc>
          <w:tcPr>
            <w:tcW w:w="38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0.47</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740" w:type="dxa"/>
            <w:vAlign w:val="bottom"/>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740" w:type="dxa"/>
            <w:vAlign w:val="bottom"/>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2.61x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3.54x</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2.77x</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2.59x</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7" w:lineRule="exact"/>
        <w:rPr>
          <w:rFonts w:ascii="Arial" w:cs="Arial" w:eastAsia="Arial" w:hAnsi="Arial"/>
          <w:sz w:val="17"/>
          <w:szCs w:val="17"/>
          <w:color w:val="auto"/>
          <w:vertAlign w:val="superscript"/>
        </w:rPr>
      </w:pPr>
    </w:p>
    <w:p>
      <w:pPr>
        <w:ind w:left="320" w:right="40" w:hanging="317"/>
        <w:spacing w:after="0" w:line="219" w:lineRule="auto"/>
        <w:tabs>
          <w:tab w:leader="none" w:pos="31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11"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during the period presented.</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to our preferred unitholders during the period presented.</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7" w:lineRule="exact"/>
        <w:rPr>
          <w:rFonts w:ascii="Arial" w:cs="Arial" w:eastAsia="Arial" w:hAnsi="Arial"/>
          <w:sz w:val="17"/>
          <w:szCs w:val="17"/>
          <w:color w:val="auto"/>
          <w:vertAlign w:val="superscript"/>
        </w:rPr>
      </w:pPr>
    </w:p>
    <w:p>
      <w:pPr>
        <w:ind w:left="320" w:right="300" w:hanging="317"/>
        <w:spacing w:after="0" w:line="228" w:lineRule="auto"/>
        <w:tabs>
          <w:tab w:leader="none" w:pos="31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7"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11"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0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 to Adjusted EBITDA and Implied DCF Reconciliation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Income/(Loss)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2,180</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Income tax expense/(benefit)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 impairment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w:t>
            </w:r>
          </w:p>
        </w:tc>
      </w:tr>
      <w:tr>
        <w:trPr>
          <w:trHeight w:val="220"/>
        </w:trPr>
        <w:tc>
          <w:tcPr>
            <w:tcW w:w="882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Current income tax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from unconsolidated entities in excess of/(less than) adjusted equity earnings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w:t>
            </w:r>
          </w:p>
        </w:tc>
      </w:tr>
      <w:tr>
        <w:trPr>
          <w:trHeight w:val="155"/>
        </w:trPr>
        <w:tc>
          <w:tcPr>
            <w:tcW w:w="388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1,004</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2.57x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2.17x</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91"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4" w:lineRule="exact"/>
        <w:rPr>
          <w:rFonts w:ascii="Arial" w:cs="Arial" w:eastAsia="Arial" w:hAnsi="Arial"/>
          <w:sz w:val="18"/>
          <w:szCs w:val="18"/>
          <w:color w:val="auto"/>
          <w:vertAlign w:val="superscript"/>
        </w:rPr>
      </w:pPr>
    </w:p>
    <w:p>
      <w:pPr>
        <w:ind w:left="320" w:right="400" w:hanging="317"/>
        <w:spacing w:after="0" w:line="207" w:lineRule="auto"/>
        <w:tabs>
          <w:tab w:leader="none" w:pos="30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00" w:hanging="297"/>
        <w:spacing w:after="0"/>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during the period presented.</w:t>
      </w:r>
    </w:p>
    <w:p>
      <w:pPr>
        <w:spacing w:after="0" w:line="43"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4" w:lineRule="exact"/>
        <w:rPr>
          <w:rFonts w:ascii="Arial" w:cs="Arial" w:eastAsia="Arial" w:hAnsi="Arial"/>
          <w:sz w:val="18"/>
          <w:szCs w:val="18"/>
          <w:color w:val="auto"/>
          <w:vertAlign w:val="superscript"/>
        </w:rPr>
      </w:pPr>
    </w:p>
    <w:p>
      <w:pPr>
        <w:ind w:left="300" w:hanging="297"/>
        <w:spacing w:after="0" w:line="188" w:lineRule="auto"/>
        <w:tabs>
          <w:tab w:leader="none" w:pos="3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4" w:lineRule="exact"/>
        <w:rPr>
          <w:rFonts w:ascii="Arial" w:cs="Arial" w:eastAsia="Arial" w:hAnsi="Arial"/>
          <w:sz w:val="18"/>
          <w:szCs w:val="18"/>
          <w:color w:val="auto"/>
          <w:vertAlign w:val="superscript"/>
        </w:rPr>
      </w:pPr>
    </w:p>
    <w:p>
      <w:pPr>
        <w:ind w:left="320" w:right="80" w:hanging="317"/>
        <w:spacing w:after="0" w:line="214" w:lineRule="auto"/>
        <w:tabs>
          <w:tab w:leader="none" w:pos="30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7"/>
          <w:szCs w:val="17"/>
          <w:u w:val="single" w:color="auto"/>
          <w:color w:val="auto"/>
        </w:rPr>
        <w:t>Page 14</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Income/(Loss) Per Common Unit to Implied DCF Per Common Unit and Common Unit Equivalent Reconciliations: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r>
      <w:tr>
        <w:trPr>
          <w:trHeight w:val="173"/>
        </w:trPr>
        <w:tc>
          <w:tcPr>
            <w:tcW w:w="1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15"/>
        </w:trPr>
        <w:tc>
          <w:tcPr>
            <w:tcW w:w="546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7"/>
                <w:szCs w:val="17"/>
                <w:color w:val="auto"/>
                <w:w w:val="92"/>
              </w:rPr>
              <w:t>(0.15)$</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8"/>
                <w:szCs w:val="18"/>
                <w:color w:val="auto"/>
              </w:rPr>
            </w:pPr>
          </w:p>
        </w:tc>
        <w:tc>
          <w:tcPr>
            <w:tcW w:w="580" w:type="dxa"/>
            <w:vAlign w:val="bottom"/>
            <w:gridSpan w:val="2"/>
          </w:tcPr>
          <w:p>
            <w:pPr>
              <w:jc w:val="right"/>
              <w:ind w:right="33"/>
              <w:spacing w:after="0"/>
              <w:rPr>
                <w:sz w:val="20"/>
                <w:szCs w:val="20"/>
                <w:color w:val="auto"/>
              </w:rPr>
            </w:pPr>
            <w:r>
              <w:rPr>
                <w:rFonts w:ascii="Arial" w:cs="Arial" w:eastAsia="Arial" w:hAnsi="Arial"/>
                <w:sz w:val="17"/>
                <w:szCs w:val="17"/>
                <w:color w:val="auto"/>
                <w:w w:val="92"/>
              </w:rPr>
              <w:t>(0.01)$</w:t>
            </w:r>
          </w:p>
        </w:tc>
        <w:tc>
          <w:tcPr>
            <w:tcW w:w="6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(3.72)</w:t>
            </w:r>
          </w:p>
        </w:tc>
      </w:tr>
      <w:tr>
        <w:trPr>
          <w:trHeight w:val="220"/>
        </w:trPr>
        <w:tc>
          <w:tcPr>
            <w:tcW w:w="546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7"/>
                <w:szCs w:val="17"/>
                <w:color w:val="auto"/>
                <w:w w:val="96"/>
              </w:rPr>
              <w:t>0.62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0"/>
              </w:rPr>
              <w:t>5.58</w:t>
            </w:r>
          </w:p>
        </w:tc>
      </w:tr>
      <w:tr>
        <w:trPr>
          <w:trHeight w:val="20"/>
        </w:trPr>
        <w:tc>
          <w:tcPr>
            <w:tcW w:w="10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w w:val="96"/>
              </w:rPr>
              <w:t>0.47</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1.86</w:t>
            </w:r>
          </w:p>
        </w:tc>
      </w:tr>
      <w:tr>
        <w:trPr>
          <w:trHeight w:val="20"/>
        </w:trPr>
        <w:tc>
          <w:tcPr>
            <w:tcW w:w="10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5460" w:type="dxa"/>
            <w:vAlign w:val="bottom"/>
            <w:gridSpan w:val="2"/>
          </w:tcPr>
          <w:p>
            <w:pPr>
              <w:spacing w:after="0"/>
              <w:rPr>
                <w:sz w:val="20"/>
                <w:szCs w:val="20"/>
                <w:color w:val="auto"/>
              </w:rPr>
            </w:pPr>
            <w:r>
              <w:rPr>
                <w:rFonts w:ascii="Arial" w:cs="Arial" w:eastAsia="Arial" w:hAnsi="Arial"/>
                <w:sz w:val="17"/>
                <w:szCs w:val="17"/>
                <w:color w:val="auto"/>
              </w:rPr>
              <w:t>Basic net income/(loss) per common unit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4"/>
                <w:szCs w:val="2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7"/>
                <w:szCs w:val="17"/>
                <w:color w:val="auto"/>
                <w:w w:val="92"/>
              </w:rPr>
              <w:t>(0.15)$</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24"/>
                <w:szCs w:val="24"/>
                <w:color w:val="auto"/>
              </w:rPr>
            </w:pPr>
          </w:p>
        </w:tc>
        <w:tc>
          <w:tcPr>
            <w:tcW w:w="580" w:type="dxa"/>
            <w:vAlign w:val="bottom"/>
            <w:gridSpan w:val="2"/>
          </w:tcPr>
          <w:p>
            <w:pPr>
              <w:jc w:val="right"/>
              <w:ind w:right="33"/>
              <w:spacing w:after="0"/>
              <w:rPr>
                <w:sz w:val="20"/>
                <w:szCs w:val="20"/>
                <w:color w:val="auto"/>
              </w:rPr>
            </w:pPr>
            <w:r>
              <w:rPr>
                <w:rFonts w:ascii="Arial" w:cs="Arial" w:eastAsia="Arial" w:hAnsi="Arial"/>
                <w:sz w:val="17"/>
                <w:szCs w:val="17"/>
                <w:color w:val="auto"/>
                <w:w w:val="92"/>
              </w:rPr>
              <w:t>(0.01)$</w:t>
            </w:r>
          </w:p>
        </w:tc>
        <w:tc>
          <w:tcPr>
            <w:tcW w:w="6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(3.72)</w:t>
            </w:r>
          </w:p>
        </w:tc>
      </w:tr>
      <w:tr>
        <w:trPr>
          <w:trHeight w:val="220"/>
        </w:trPr>
        <w:tc>
          <w:tcPr>
            <w:tcW w:w="546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7"/>
                <w:szCs w:val="17"/>
                <w:color w:val="auto"/>
                <w:w w:val="96"/>
              </w:rPr>
              <w:t>0.63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90"/>
              </w:rPr>
              <w:t>5.56</w:t>
            </w:r>
          </w:p>
        </w:tc>
      </w:tr>
      <w:tr>
        <w:trPr>
          <w:trHeight w:val="20"/>
        </w:trPr>
        <w:tc>
          <w:tcPr>
            <w:tcW w:w="10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w w:val="96"/>
              </w:rPr>
              <w:t>0.48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1.84</w:t>
            </w:r>
          </w:p>
        </w:tc>
      </w:tr>
      <w:tr>
        <w:trPr>
          <w:trHeight w:val="20"/>
        </w:trPr>
        <w:tc>
          <w:tcPr>
            <w:tcW w:w="10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-1041400</wp:posOffset>
            </wp:positionV>
            <wp:extent cx="7039610" cy="147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9610"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-459105</wp:posOffset>
            </wp:positionV>
            <wp:extent cx="7039610"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9610" cy="139700"/>
                    </a:xfrm>
                    <a:prstGeom prst="rect">
                      <a:avLst/>
                    </a:prstGeom>
                    <a:noFill/>
                  </pic:spPr>
                </pic:pic>
              </a:graphicData>
            </a:graphic>
          </wp:anchor>
        </w:drawing>
      </w:r>
    </w:p>
    <w:p>
      <w:pPr>
        <w:spacing w:after="0" w:line="39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Twelve Months Ended</w:t>
      </w:r>
    </w:p>
    <w:p>
      <w:pPr>
        <w:jc w:val="center"/>
        <w:ind w:left="880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(4)</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income/(loss) per common unit</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0.21</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130" w:lineRule="exact"/>
        <w:rPr>
          <w:sz w:val="20"/>
          <w:szCs w:val="20"/>
          <w:color w:val="auto"/>
        </w:rPr>
      </w:pPr>
    </w:p>
    <w:p>
      <w:pPr>
        <w:ind w:left="420" w:right="280" w:hanging="317"/>
        <w:spacing w:after="0" w:line="228" w:lineRule="auto"/>
        <w:tabs>
          <w:tab w:leader="none" w:pos="4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715 million, 728 million, 719 million and 728 million, respectively.</w:t>
      </w:r>
    </w:p>
    <w:p>
      <w:pPr>
        <w:spacing w:after="0" w:line="52" w:lineRule="exact"/>
        <w:rPr>
          <w:rFonts w:ascii="Arial" w:cs="Arial" w:eastAsia="Arial" w:hAnsi="Arial"/>
          <w:sz w:val="22"/>
          <w:szCs w:val="22"/>
          <w:color w:val="auto"/>
          <w:vertAlign w:val="superscript"/>
        </w:rPr>
      </w:pPr>
    </w:p>
    <w:p>
      <w:pPr>
        <w:ind w:left="420" w:right="120" w:hanging="317"/>
        <w:spacing w:after="0" w:line="220" w:lineRule="auto"/>
        <w:tabs>
          <w:tab w:leader="none" w:pos="4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6"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73"/>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r>
      <w:tr>
        <w:trPr>
          <w:trHeight w:val="202"/>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1,256</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Net cash provided by/(used in) investing activities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(1,066)</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30" w:lineRule="exact"/>
        <w:rPr>
          <w:sz w:val="20"/>
          <w:szCs w:val="20"/>
          <w:color w:val="auto"/>
        </w:rPr>
      </w:pPr>
    </w:p>
    <w:p>
      <w:pPr>
        <w:ind w:left="320" w:right="40" w:hanging="317"/>
        <w:spacing w:after="0" w:line="228"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156"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58"/>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w w:val="87"/>
              </w:rPr>
              <w:t>September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w w:val="83"/>
              </w:rPr>
              <w:t>2020</w:t>
            </w:r>
          </w:p>
        </w:tc>
      </w:tr>
      <w:tr>
        <w:trPr>
          <w:trHeight w:val="188"/>
        </w:trPr>
        <w:tc>
          <w:tcPr>
            <w:tcW w:w="664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1"/>
                <w:szCs w:val="21"/>
                <w:color w:val="auto"/>
                <w:vertAlign w:val="superscript"/>
              </w:rPr>
              <w:t>(6)</w:t>
            </w: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664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(7)</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664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(8)</w:t>
            </w:r>
          </w:p>
        </w:tc>
        <w:tc>
          <w:tcPr>
            <w:tcW w:w="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0"/>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68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(159)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2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2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Goodwill impairment losses</w:t>
            </w:r>
          </w:p>
        </w:tc>
        <w:tc>
          <w:tcPr>
            <w:tcW w:w="6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207"/>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6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0"/>
        </w:trPr>
        <w:tc>
          <w:tcPr>
            <w:tcW w:w="664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(267)</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(239)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w:t>
            </w:r>
          </w:p>
        </w:tc>
      </w:tr>
      <w:tr>
        <w:trPr>
          <w:trHeight w:val="20"/>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91"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4" w:lineRule="exact"/>
        <w:rPr>
          <w:rFonts w:ascii="Arial" w:cs="Arial" w:eastAsia="Arial" w:hAnsi="Arial"/>
          <w:sz w:val="18"/>
          <w:szCs w:val="18"/>
          <w:color w:val="auto"/>
          <w:vertAlign w:val="superscript"/>
        </w:rPr>
      </w:pPr>
    </w:p>
    <w:p>
      <w:pPr>
        <w:ind w:left="320" w:right="80" w:hanging="317"/>
        <w:spacing w:after="0" w:line="236" w:lineRule="auto"/>
        <w:tabs>
          <w:tab w:leader="none" w:pos="308"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34" w:lineRule="exact"/>
        <w:rPr>
          <w:rFonts w:ascii="Arial" w:cs="Arial" w:eastAsia="Arial" w:hAnsi="Arial"/>
          <w:sz w:val="17"/>
          <w:szCs w:val="17"/>
          <w:color w:val="auto"/>
          <w:vertAlign w:val="superscript"/>
        </w:rPr>
      </w:pPr>
    </w:p>
    <w:p>
      <w:pPr>
        <w:ind w:left="320" w:right="40" w:hanging="317"/>
        <w:spacing w:after="0" w:line="238" w:lineRule="auto"/>
        <w:tabs>
          <w:tab w:leader="none" w:pos="308"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3" w:lineRule="exact"/>
        <w:rPr>
          <w:rFonts w:ascii="Arial" w:cs="Arial" w:eastAsia="Arial" w:hAnsi="Arial"/>
          <w:sz w:val="17"/>
          <w:szCs w:val="17"/>
          <w:color w:val="auto"/>
          <w:vertAlign w:val="superscript"/>
        </w:rPr>
      </w:pPr>
    </w:p>
    <w:p>
      <w:pPr>
        <w:ind w:left="320" w:hanging="317"/>
        <w:spacing w:after="0" w:line="244" w:lineRule="auto"/>
        <w:tabs>
          <w:tab w:leader="none" w:pos="308"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2" w:lineRule="exact"/>
        <w:rPr>
          <w:rFonts w:ascii="Arial" w:cs="Arial" w:eastAsia="Arial" w:hAnsi="Arial"/>
          <w:sz w:val="17"/>
          <w:szCs w:val="17"/>
          <w:color w:val="auto"/>
          <w:vertAlign w:val="superscript"/>
        </w:rPr>
      </w:pPr>
    </w:p>
    <w:p>
      <w:pPr>
        <w:ind w:left="320" w:right="20" w:hanging="317"/>
        <w:spacing w:after="0" w:line="222" w:lineRule="auto"/>
        <w:tabs>
          <w:tab w:leader="none" w:pos="308"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3" w:lineRule="exact"/>
        <w:rPr>
          <w:rFonts w:ascii="Arial" w:cs="Arial" w:eastAsia="Arial" w:hAnsi="Arial"/>
          <w:sz w:val="18"/>
          <w:szCs w:val="18"/>
          <w:color w:val="auto"/>
          <w:vertAlign w:val="superscript"/>
        </w:rPr>
      </w:pPr>
    </w:p>
    <w:p>
      <w:pPr>
        <w:ind w:left="320" w:right="40" w:hanging="317"/>
        <w:spacing w:after="0" w:line="219" w:lineRule="auto"/>
        <w:tabs>
          <w:tab w:leader="none" w:pos="308"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3"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Plains Oryx Permian Basin joint venture transaction, which closed on October 5, 2021, and the acquisition of Felix Midstream LLC in February 2020.</w:t>
      </w:r>
    </w:p>
    <w:p>
      <w:pPr>
        <w:spacing w:after="0" w:line="44" w:lineRule="exact"/>
        <w:rPr>
          <w:rFonts w:ascii="Arial" w:cs="Arial" w:eastAsia="Arial" w:hAnsi="Arial"/>
          <w:sz w:val="17"/>
          <w:szCs w:val="17"/>
          <w:color w:val="auto"/>
          <w:vertAlign w:val="superscript"/>
        </w:rPr>
      </w:pPr>
    </w:p>
    <w:p>
      <w:pPr>
        <w:ind w:left="300" w:hanging="297"/>
        <w:spacing w:after="0" w:line="188" w:lineRule="auto"/>
        <w:tabs>
          <w:tab w:leader="none" w:pos="3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net gains recognized in connection with the repurchase of our outstanding senior notes on the open market.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r>
      <w:tr>
        <w:trPr>
          <w:trHeight w:val="188"/>
        </w:trPr>
        <w:tc>
          <w:tcPr>
            <w:tcW w:w="900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and inventory valuation adjustments </w:t>
            </w:r>
            <w:r>
              <w:rPr>
                <w:rFonts w:ascii="Arial" w:cs="Arial" w:eastAsia="Arial" w:hAnsi="Arial"/>
                <w:sz w:val="21"/>
                <w:szCs w:val="21"/>
                <w:color w:val="auto"/>
                <w:vertAlign w:val="superscript"/>
              </w:rPr>
              <w:t>(2)</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900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1"/>
                <w:szCs w:val="21"/>
                <w:color w:val="auto"/>
                <w:vertAlign w:val="superscript"/>
              </w:rPr>
              <w:t>(6)</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900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0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7"/>
                <w:szCs w:val="17"/>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07"/>
        </w:trPr>
        <w:tc>
          <w:tcPr>
            <w:tcW w:w="90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Losses from derivative activities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9000" w:type="dxa"/>
            <w:vAlign w:val="bottom"/>
            <w:gridSpan w:val="2"/>
          </w:tcPr>
          <w:p>
            <w:pPr>
              <w:ind w:left="20"/>
              <w:spacing w:after="0"/>
              <w:rPr>
                <w:sz w:val="20"/>
                <w:szCs w:val="20"/>
                <w:color w:val="auto"/>
              </w:rPr>
            </w:pPr>
            <w:r>
              <w:rPr>
                <w:rFonts w:ascii="Arial" w:cs="Arial" w:eastAsia="Arial" w:hAnsi="Arial"/>
                <w:sz w:val="16"/>
                <w:szCs w:val="16"/>
                <w:color w:val="auto"/>
              </w:rPr>
              <w:t>Goodwill 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900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01"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6" w:lineRule="exact"/>
        <w:rPr>
          <w:rFonts w:ascii="Arial" w:cs="Arial" w:eastAsia="Arial" w:hAnsi="Arial"/>
          <w:sz w:val="17"/>
          <w:szCs w:val="17"/>
          <w:color w:val="auto"/>
          <w:vertAlign w:val="superscript"/>
        </w:rPr>
      </w:pPr>
    </w:p>
    <w:p>
      <w:pPr>
        <w:ind w:left="320" w:right="40" w:hanging="317"/>
        <w:spacing w:after="0" w:line="236" w:lineRule="auto"/>
        <w:tabs>
          <w:tab w:leader="none" w:pos="31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3" w:lineRule="exact"/>
        <w:rPr>
          <w:rFonts w:ascii="Arial" w:cs="Arial" w:eastAsia="Arial" w:hAnsi="Arial"/>
          <w:sz w:val="17"/>
          <w:szCs w:val="17"/>
          <w:color w:val="auto"/>
          <w:vertAlign w:val="superscript"/>
        </w:rPr>
      </w:pPr>
    </w:p>
    <w:p>
      <w:pPr>
        <w:ind w:left="320" w:right="40" w:hanging="317"/>
        <w:spacing w:after="0" w:line="234" w:lineRule="auto"/>
        <w:tabs>
          <w:tab w:leader="none" w:pos="31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7"/>
          <w:szCs w:val="17"/>
          <w:color w:val="auto"/>
          <w:vertAlign w:val="superscript"/>
        </w:rPr>
      </w:pPr>
    </w:p>
    <w:p>
      <w:pPr>
        <w:ind w:left="320" w:right="60" w:hanging="317"/>
        <w:spacing w:after="0" w:line="263" w:lineRule="auto"/>
        <w:tabs>
          <w:tab w:leader="none" w:pos="314"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16"/>
          <w:szCs w:val="16"/>
          <w:color w:val="auto"/>
          <w:vertAlign w:val="superscript"/>
        </w:rPr>
      </w:pPr>
    </w:p>
    <w:p>
      <w:pPr>
        <w:ind w:left="320" w:right="60" w:hanging="317"/>
        <w:spacing w:after="0" w:line="234" w:lineRule="auto"/>
        <w:tabs>
          <w:tab w:leader="none" w:pos="31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4" w:lineRule="exact"/>
        <w:rPr>
          <w:rFonts w:ascii="Arial" w:cs="Arial" w:eastAsia="Arial" w:hAnsi="Arial"/>
          <w:sz w:val="17"/>
          <w:szCs w:val="17"/>
          <w:color w:val="auto"/>
          <w:vertAlign w:val="superscript"/>
        </w:rPr>
      </w:pPr>
    </w:p>
    <w:p>
      <w:pPr>
        <w:ind w:left="320" w:right="100" w:hanging="317"/>
        <w:spacing w:after="0" w:line="229" w:lineRule="auto"/>
        <w:tabs>
          <w:tab w:leader="none" w:pos="314"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2" w:lineRule="exact"/>
        <w:rPr>
          <w:rFonts w:ascii="Arial" w:cs="Arial" w:eastAsia="Arial" w:hAnsi="Arial"/>
          <w:sz w:val="17"/>
          <w:szCs w:val="17"/>
          <w:color w:val="auto"/>
          <w:vertAlign w:val="superscript"/>
        </w:rPr>
      </w:pPr>
    </w:p>
    <w:p>
      <w:pPr>
        <w:ind w:left="300" w:hanging="297"/>
        <w:spacing w:after="0"/>
        <w:tabs>
          <w:tab w:leader="none" w:pos="30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6"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acquisition of Felix Midstream LLC in February 2020.</w:t>
      </w:r>
    </w:p>
    <w:p>
      <w:pPr>
        <w:spacing w:after="0" w:line="47" w:lineRule="exact"/>
        <w:rPr>
          <w:rFonts w:ascii="Arial" w:cs="Arial" w:eastAsia="Arial" w:hAnsi="Arial"/>
          <w:sz w:val="17"/>
          <w:szCs w:val="17"/>
          <w:color w:val="auto"/>
          <w:vertAlign w:val="superscript"/>
        </w:rPr>
      </w:pPr>
    </w:p>
    <w:p>
      <w:pPr>
        <w:ind w:left="300" w:hanging="297"/>
        <w:spacing w:after="0" w:line="196" w:lineRule="auto"/>
        <w:tabs>
          <w:tab w:leader="none" w:pos="30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September 30, 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auto"/>
                <w:w w:val="91"/>
              </w:rPr>
              <w:t>Transportation</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16"/>
              <w:spacing w:after="0" w:line="123" w:lineRule="exact"/>
              <w:rPr>
                <w:sz w:val="20"/>
                <w:szCs w:val="20"/>
                <w:color w:val="auto"/>
              </w:rPr>
            </w:pPr>
            <w:r>
              <w:rPr>
                <w:rFonts w:ascii="Arial" w:cs="Arial" w:eastAsia="Arial" w:hAnsi="Arial"/>
                <w:sz w:val="14"/>
                <w:szCs w:val="14"/>
                <w:b w:val="1"/>
                <w:bCs w:val="1"/>
                <w:color w:val="auto"/>
                <w:w w:val="98"/>
              </w:rPr>
              <w:t>Supply and</w:t>
            </w: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1"/>
              </w:rPr>
              <w:t>Transportation</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86"/>
              </w:rPr>
              <w:t>Facilities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w w:val="98"/>
              </w:rPr>
              <w:t>Supply and</w:t>
            </w:r>
          </w:p>
        </w:tc>
        <w:tc>
          <w:tcPr>
            <w:tcW w:w="0" w:type="dxa"/>
            <w:vAlign w:val="bottom"/>
          </w:tcPr>
          <w:p>
            <w:pPr>
              <w:spacing w:after="0"/>
              <w:rPr>
                <w:sz w:val="1"/>
                <w:szCs w:val="1"/>
                <w:color w:val="auto"/>
              </w:rPr>
            </w:pPr>
          </w:p>
        </w:tc>
      </w:tr>
      <w:tr>
        <w:trPr>
          <w:trHeight w:val="180"/>
        </w:trPr>
        <w:tc>
          <w:tcPr>
            <w:tcW w:w="3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4"/>
        </w:trPr>
        <w:tc>
          <w:tcPr>
            <w:tcW w:w="302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w:t>
            </w:r>
          </w:p>
        </w:tc>
        <w:tc>
          <w:tcPr>
            <w:tcW w:w="0" w:type="dxa"/>
            <w:vAlign w:val="bottom"/>
          </w:tcPr>
          <w:p>
            <w:pPr>
              <w:spacing w:after="0"/>
              <w:rPr>
                <w:sz w:val="1"/>
                <w:szCs w:val="1"/>
                <w:color w:val="auto"/>
              </w:rPr>
            </w:pPr>
          </w:p>
        </w:tc>
      </w:tr>
      <w:tr>
        <w:trPr>
          <w:trHeight w:val="220"/>
        </w:trPr>
        <w:tc>
          <w:tcPr>
            <w:tcW w:w="30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(5,510)</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(1) (2)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line="168" w:lineRule="exact"/>
              <w:rPr>
                <w:sz w:val="20"/>
                <w:szCs w:val="20"/>
                <w:color w:val="auto"/>
              </w:rPr>
            </w:pPr>
            <w:r>
              <w:rPr>
                <w:rFonts w:ascii="Arial" w:cs="Arial" w:eastAsia="Arial" w:hAnsi="Arial"/>
                <w:sz w:val="17"/>
                <w:szCs w:val="17"/>
                <w:color w:val="auto"/>
              </w:rPr>
              <w:t>Segment general and administrative</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expenses </w:t>
            </w:r>
            <w:r>
              <w:rPr>
                <w:rFonts w:ascii="Arial" w:cs="Arial" w:eastAsia="Arial" w:hAnsi="Arial"/>
                <w:sz w:val="22"/>
                <w:szCs w:val="22"/>
                <w:color w:val="auto"/>
                <w:vertAlign w:val="superscript"/>
              </w:rPr>
              <w:t>(2) (3)</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Equity earnings in unconsolidated entities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Depreciation and amortization of</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unconsolidated entities</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5"/>
              </w:rPr>
              <w:t>(Gains)/losses from derivative activities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and inventory valuation adjustments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Long-term inventory costing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Deficiencies under minimum volume</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commitments, net</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6"/>
              </w:rPr>
              <w:t>Equity-indexed compensation expense</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Net loss on foreign currency revaluation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3"/>
              </w:rPr>
              <w:t>Significant transaction-related expenses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Nine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2020</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2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0"/>
                <w:szCs w:val="10"/>
                <w:color w:val="auto"/>
              </w:rPr>
            </w:pPr>
          </w:p>
        </w:tc>
        <w:tc>
          <w:tcPr>
            <w:tcW w:w="1060" w:type="dxa"/>
            <w:vAlign w:val="bottom"/>
          </w:tcPr>
          <w:p>
            <w:pPr>
              <w:jc w:val="center"/>
              <w:ind w:right="116"/>
              <w:spacing w:after="0" w:line="123" w:lineRule="exact"/>
              <w:rPr>
                <w:sz w:val="20"/>
                <w:szCs w:val="20"/>
                <w:color w:val="auto"/>
              </w:rPr>
            </w:pPr>
            <w:r>
              <w:rPr>
                <w:rFonts w:ascii="Arial" w:cs="Arial" w:eastAsia="Arial" w:hAnsi="Arial"/>
                <w:sz w:val="14"/>
                <w:szCs w:val="14"/>
                <w:b w:val="1"/>
                <w:bCs w:val="1"/>
                <w:color w:val="auto"/>
                <w:w w:val="87"/>
              </w:rPr>
              <w:t>Supply and</w:t>
            </w:r>
          </w:p>
        </w:tc>
        <w:tc>
          <w:tcPr>
            <w:tcW w:w="2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0"/>
                <w:szCs w:val="10"/>
                <w:color w:val="auto"/>
              </w:rPr>
            </w:pPr>
          </w:p>
        </w:tc>
        <w:tc>
          <w:tcPr>
            <w:tcW w:w="104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w w:val="98"/>
              </w:rPr>
              <w:t>Supply and</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Logistics</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4"/>
        </w:trPr>
        <w:tc>
          <w:tcPr>
            <w:tcW w:w="302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28,222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16,371</w:t>
            </w:r>
          </w:p>
        </w:tc>
        <w:tc>
          <w:tcPr>
            <w:tcW w:w="0" w:type="dxa"/>
            <w:vAlign w:val="bottom"/>
          </w:tcPr>
          <w:p>
            <w:pPr>
              <w:spacing w:after="0"/>
              <w:rPr>
                <w:sz w:val="1"/>
                <w:szCs w:val="1"/>
                <w:color w:val="auto"/>
              </w:rPr>
            </w:pPr>
          </w:p>
        </w:tc>
      </w:tr>
      <w:tr>
        <w:trPr>
          <w:trHeight w:val="220"/>
        </w:trPr>
        <w:tc>
          <w:tcPr>
            <w:tcW w:w="30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(27,985)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(16,227)</w:t>
            </w: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(1) (2)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line="168" w:lineRule="exact"/>
              <w:rPr>
                <w:sz w:val="20"/>
                <w:szCs w:val="20"/>
                <w:color w:val="auto"/>
              </w:rPr>
            </w:pPr>
            <w:r>
              <w:rPr>
                <w:rFonts w:ascii="Arial" w:cs="Arial" w:eastAsia="Arial" w:hAnsi="Arial"/>
                <w:sz w:val="17"/>
                <w:szCs w:val="17"/>
                <w:color w:val="auto"/>
              </w:rPr>
              <w:t>Segment general and administrative</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expenses </w:t>
            </w:r>
            <w:r>
              <w:rPr>
                <w:rFonts w:ascii="Arial" w:cs="Arial" w:eastAsia="Arial" w:hAnsi="Arial"/>
                <w:sz w:val="22"/>
                <w:szCs w:val="22"/>
                <w:color w:val="auto"/>
                <w:vertAlign w:val="superscript"/>
              </w:rPr>
              <w:t>(2) (3)</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Equity earnings in unconsolidated entities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Depreciation and amortization of</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unconsolidated entities</w:t>
            </w: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5"/>
              </w:rPr>
              <w:t>(Gains)/losses from derivative activities</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and inventory valuation adjustments</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180"/>
              <w:spacing w:after="0" w:line="168" w:lineRule="exact"/>
              <w:rPr>
                <w:sz w:val="20"/>
                <w:szCs w:val="20"/>
                <w:color w:val="auto"/>
              </w:rPr>
            </w:pPr>
            <w:r>
              <w:rPr>
                <w:rFonts w:ascii="Arial" w:cs="Arial" w:eastAsia="Arial" w:hAnsi="Arial"/>
                <w:sz w:val="17"/>
                <w:szCs w:val="17"/>
                <w:color w:val="auto"/>
              </w:rPr>
              <w:t>Long-term inventory costing</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9"/>
        </w:trPr>
        <w:tc>
          <w:tcPr>
            <w:tcW w:w="3020" w:type="dxa"/>
            <w:vAlign w:val="bottom"/>
          </w:tcPr>
          <w:p>
            <w:pPr>
              <w:ind w:left="340"/>
              <w:spacing w:after="0"/>
              <w:rPr>
                <w:sz w:val="20"/>
                <w:szCs w:val="20"/>
                <w:color w:val="auto"/>
              </w:rPr>
            </w:pPr>
            <w:r>
              <w:rPr>
                <w:rFonts w:ascii="Arial" w:cs="Arial" w:eastAsia="Arial" w:hAnsi="Arial"/>
                <w:sz w:val="17"/>
                <w:szCs w:val="17"/>
                <w:color w:val="auto"/>
              </w:rPr>
              <w:t>adjustments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Deficiencies under minimum volume</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commitments, net</w:t>
            </w: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6"/>
              </w:rPr>
              <w:t>Equity-indexed compensation expense</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8"/>
        </w:trPr>
        <w:tc>
          <w:tcPr>
            <w:tcW w:w="302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(gain)/loss on foreign currency</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revaluation</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7"/>
                <w:szCs w:val="17"/>
                <w:color w:val="auto"/>
                <w:w w:val="93"/>
              </w:rPr>
              <w:t>Significant transaction-related expenses</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160"/>
          </w:cols>
          <w:pgMar w:left="320" w:top="360" w:right="41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860"/>
          </w:cols>
          <w:pgMar w:left="320" w:top="360" w:right="419" w:bottom="1440" w:gutter="0" w:footer="0" w:header="0"/>
          <w:type w:val="continuous"/>
        </w:sectPr>
      </w:pPr>
    </w:p>
    <w:p>
      <w:pPr>
        <w:ind w:left="320" w:right="500" w:hanging="317"/>
        <w:spacing w:after="0" w:line="281" w:lineRule="auto"/>
        <w:tabs>
          <w:tab w:leader="none" w:pos="308"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00" w:hanging="317"/>
        <w:spacing w:after="0" w:line="235" w:lineRule="auto"/>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tbl>
      <w:tblPr>
        <w:tblLayout w:type="fixed"/>
        <w:tblInd w:w="0" w:type="dxa"/>
        <w:tblCellMar>
          <w:top w:w="0" w:type="dxa"/>
          <w:left w:w="0" w:type="dxa"/>
          <w:bottom w:w="0" w:type="dxa"/>
          <w:right w:w="0" w:type="dxa"/>
        </w:tblCellMar>
      </w:tblPr>
      <w:tr>
        <w:trPr>
          <w:trHeight w:val="130"/>
        </w:trPr>
        <w:tc>
          <w:tcPr>
            <w:tcW w:w="3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40" w:type="dxa"/>
            <w:vAlign w:val="bottom"/>
            <w:gridSpan w:val="5"/>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0"/>
              </w:rPr>
              <w:t>Nine Months Ended</w:t>
            </w:r>
          </w:p>
        </w:tc>
      </w:tr>
      <w:tr>
        <w:trPr>
          <w:trHeight w:val="180"/>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8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5"/>
              </w:rPr>
              <w:t>Transportation segment (average daily volumes in thousands of barrels per day):</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Tariff activities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 (by region):</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4,394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4,507</w:t>
            </w:r>
          </w:p>
        </w:tc>
      </w:tr>
      <w:tr>
        <w:trPr>
          <w:trHeight w:val="220"/>
        </w:trPr>
        <w:tc>
          <w:tcPr>
            <w:tcW w:w="628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Central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383</w:t>
            </w: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20"/>
        </w:trPr>
        <w:tc>
          <w:tcPr>
            <w:tcW w:w="628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20"/>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20"/>
        </w:trPr>
        <w:tc>
          <w:tcPr>
            <w:tcW w:w="6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r>
      <w:tr>
        <w:trPr>
          <w:trHeight w:val="213"/>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pipelines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6,165</w:t>
            </w: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NGL pipelines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1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Tariff activities total volumes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w:t>
            </w: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Trucking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Transportation segment total volumes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Facilities segment (average monthly volumes):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Liquids storage (average monthly capacity in millions of barrels) </w:t>
            </w:r>
            <w:r>
              <w:rPr>
                <w:rFonts w:ascii="Arial" w:cs="Arial" w:eastAsia="Arial" w:hAnsi="Arial"/>
                <w:sz w:val="22"/>
                <w:szCs w:val="22"/>
                <w:color w:val="auto"/>
                <w:vertAlign w:val="superscript"/>
              </w:rPr>
              <w:t>(3)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Natural gas storage (average monthly working capacity in billions of cubic feet)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280" w:type="dxa"/>
            <w:vAlign w:val="bottom"/>
            <w:gridSpan w:val="2"/>
          </w:tcPr>
          <w:p>
            <w:pPr>
              <w:ind w:left="120"/>
              <w:spacing w:after="0" w:line="191" w:lineRule="exact"/>
              <w:rPr>
                <w:sz w:val="20"/>
                <w:szCs w:val="20"/>
                <w:color w:val="auto"/>
              </w:rPr>
            </w:pPr>
            <w:r>
              <w:rPr>
                <w:rFonts w:ascii="Arial" w:cs="Arial" w:eastAsia="Arial" w:hAnsi="Arial"/>
                <w:sz w:val="17"/>
                <w:szCs w:val="17"/>
                <w:color w:val="auto"/>
              </w:rPr>
              <w:t>NGL fractionation (average volumes in thousands of barrels per day)</w:t>
            </w: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110</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130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20"/>
              <w:spacing w:after="0" w:line="211" w:lineRule="exact"/>
              <w:rPr>
                <w:sz w:val="20"/>
                <w:szCs w:val="20"/>
                <w:color w:val="auto"/>
              </w:rPr>
            </w:pPr>
            <w:r>
              <w:rPr>
                <w:rFonts w:ascii="Arial" w:cs="Arial" w:eastAsia="Arial" w:hAnsi="Arial"/>
                <w:sz w:val="17"/>
                <w:szCs w:val="17"/>
                <w:color w:val="auto"/>
                <w:w w:val="99"/>
              </w:rPr>
              <w:t xml:space="preserve">Facilities segment total volumes (average monthly volumes in millions of barrels) </w:t>
            </w:r>
            <w:r>
              <w:rPr>
                <w:rFonts w:ascii="Arial" w:cs="Arial" w:eastAsia="Arial" w:hAnsi="Arial"/>
                <w:sz w:val="22"/>
                <w:szCs w:val="22"/>
                <w:color w:val="auto"/>
                <w:w w:val="99"/>
                <w:vertAlign w:val="superscript"/>
              </w:rPr>
              <w:t>(4)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8"/>
        </w:trPr>
        <w:tc>
          <w:tcPr>
            <w:tcW w:w="62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w w:val="94"/>
              </w:rPr>
              <w:t>Supply and Logistics segment (average daily volumes in thousands of barrels per</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day):</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Crude oil lease gathering purchases</w:t>
            </w:r>
          </w:p>
        </w:tc>
        <w:tc>
          <w:tcPr>
            <w:tcW w:w="1160" w:type="dxa"/>
            <w:vAlign w:val="bottom"/>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1,181</w:t>
            </w: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NGL sales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Supply and Logistics segment total volumes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108" w:lineRule="exact"/>
        <w:rPr>
          <w:sz w:val="20"/>
          <w:szCs w:val="20"/>
          <w:color w:val="auto"/>
        </w:rPr>
      </w:pPr>
    </w:p>
    <w:p>
      <w:pPr>
        <w:ind w:left="300" w:hanging="297"/>
        <w:spacing w:after="0"/>
        <w:tabs>
          <w:tab w:leader="none" w:pos="30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2" w:lineRule="exact"/>
        <w:rPr>
          <w:rFonts w:ascii="Arial" w:cs="Arial" w:eastAsia="Arial" w:hAnsi="Arial"/>
          <w:sz w:val="21"/>
          <w:szCs w:val="21"/>
          <w:color w:val="auto"/>
          <w:vertAlign w:val="superscript"/>
        </w:rPr>
      </w:pPr>
    </w:p>
    <w:p>
      <w:pPr>
        <w:ind w:left="300" w:hanging="297"/>
        <w:spacing w:after="0" w:line="194"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Region includes volumes (attributable to our interest) from pipelines owned by unconsolidated entities.</w:t>
      </w:r>
    </w:p>
    <w:p>
      <w:pPr>
        <w:spacing w:after="0" w:line="53"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facilities owned by unconsolidated entities.</w:t>
      </w:r>
    </w:p>
    <w:p>
      <w:pPr>
        <w:spacing w:after="0" w:line="53" w:lineRule="exact"/>
        <w:rPr>
          <w:rFonts w:ascii="Arial" w:cs="Arial" w:eastAsia="Arial" w:hAnsi="Arial"/>
          <w:sz w:val="22"/>
          <w:szCs w:val="22"/>
          <w:color w:val="auto"/>
          <w:vertAlign w:val="superscript"/>
        </w:rPr>
      </w:pPr>
    </w:p>
    <w:p>
      <w:pPr>
        <w:ind w:left="320" w:right="60" w:hanging="317"/>
        <w:spacing w:after="0" w:line="230" w:lineRule="auto"/>
        <w:tabs>
          <w:tab w:leader="none" w:pos="3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ind w:left="100"/>
        <w:spacing w:after="0"/>
        <w:rPr>
          <w:sz w:val="20"/>
          <w:szCs w:val="20"/>
          <w:color w:val="auto"/>
        </w:rPr>
      </w:pPr>
      <w:r>
        <w:rPr>
          <w:rFonts w:ascii="Arial" w:cs="Arial" w:eastAsia="Arial" w:hAnsi="Arial"/>
          <w:sz w:val="17"/>
          <w:szCs w:val="17"/>
          <w:u w:val="single" w:color="auto"/>
          <w:color w:val="auto"/>
        </w:rPr>
        <w:t>Page 21</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Fee-based Segment Adjusted EBITDA to Adjusted EBITDA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w w:val="96"/>
              </w:rPr>
              <w:t>September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Segment Adjusted EBITDA</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1,248</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1,233</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Facilities Segment Adjusted EBITDA</w:t>
            </w: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Fee-based Segment Adjusted EBITDA</w:t>
            </w:r>
          </w:p>
        </w:tc>
        <w:tc>
          <w:tcPr>
            <w:tcW w:w="2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1,673</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1,793</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Supply and Logistics Segment Adjusted EBITDA</w:t>
            </w: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88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23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3980" w:type="dxa"/>
            <w:vAlign w:val="bottom"/>
            <w:gridSpan w:val="2"/>
          </w:tcPr>
          <w:p>
            <w:pPr>
              <w:spacing w:after="0" w:line="212"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(2)</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1,643</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2,001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40" w:hanging="317"/>
        <w:spacing w:after="0" w:line="235" w:lineRule="auto"/>
        <w:tabs>
          <w:tab w:leader="none" w:pos="4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income/(expense), net” as reported on our Condensed Consolidated Statements of Operations, adjusted for selected items impacting comparability of $11 million, $(4) million, $(12) million and $10 million for the three and nine months ended September 30, 2021 and 2020, respectively. See the “Selected Items Impacting Comparability” table for additional information.</w:t>
      </w:r>
    </w:p>
    <w:p>
      <w:pPr>
        <w:spacing w:after="0" w:line="7"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and Implied DCF Reconciliation” table for reconciliation to Net Income/(Loss).</w:t>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Three Months Ended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September 30, 2021</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September 30, 2020</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Facilities</w:t>
            </w:r>
          </w:p>
        </w:tc>
        <w:tc>
          <w:tcPr>
            <w:tcW w:w="1340" w:type="dxa"/>
            <w:vAlign w:val="bottom"/>
            <w:gridSpan w:val="2"/>
          </w:tcPr>
          <w:p>
            <w:pPr>
              <w:ind w:left="20"/>
              <w:spacing w:after="0"/>
              <w:rPr>
                <w:sz w:val="20"/>
                <w:szCs w:val="20"/>
                <w:color w:val="auto"/>
              </w:rPr>
            </w:pPr>
            <w:r>
              <w:rPr>
                <w:rFonts w:ascii="Arial" w:cs="Arial" w:eastAsia="Arial" w:hAnsi="Arial"/>
                <w:sz w:val="15"/>
                <w:szCs w:val="15"/>
                <w:b w:val="1"/>
                <w:bCs w:val="1"/>
                <w:color w:val="auto"/>
                <w:w w:val="86"/>
              </w:rPr>
              <w:t>Supply and Logistics</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Facilities</w:t>
            </w:r>
          </w:p>
        </w:tc>
        <w:tc>
          <w:tcPr>
            <w:tcW w:w="13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Supply and Logistics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center"/>
              <w:ind w:left="378"/>
              <w:spacing w:after="0"/>
              <w:rPr>
                <w:sz w:val="20"/>
                <w:szCs w:val="20"/>
                <w:color w:val="auto"/>
              </w:rPr>
            </w:pPr>
            <w:r>
              <w:rPr>
                <w:rFonts w:ascii="Arial" w:cs="Arial" w:eastAsia="Arial" w:hAnsi="Arial"/>
                <w:sz w:val="16"/>
                <w:szCs w:val="16"/>
                <w:color w:val="auto"/>
                <w:w w:val="98"/>
              </w:rPr>
              <w:t>(23)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auto"/>
            </w:tcBorders>
            <w:gridSpan w:val="2"/>
          </w:tcPr>
          <w:p>
            <w:pPr>
              <w:jc w:val="center"/>
              <w:ind w:left="298"/>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Segment Adjusted EBITDA further</w:t>
            </w: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adjusted for impact of divested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center"/>
              <w:ind w:left="378"/>
              <w:spacing w:after="0"/>
              <w:rPr>
                <w:sz w:val="20"/>
                <w:szCs w:val="20"/>
                <w:color w:val="auto"/>
              </w:rPr>
            </w:pPr>
            <w:r>
              <w:rPr>
                <w:rFonts w:ascii="Arial" w:cs="Arial" w:eastAsia="Arial" w:hAnsi="Arial"/>
                <w:sz w:val="16"/>
                <w:szCs w:val="16"/>
                <w:color w:val="auto"/>
                <w:w w:val="98"/>
              </w:rPr>
              <w:t>(23)</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September 30, 2021</w:t>
            </w: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September 30, 2020</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5"/>
                <w:szCs w:val="15"/>
                <w:b w:val="1"/>
                <w:bCs w:val="1"/>
                <w:color w:val="auto"/>
              </w:rPr>
              <w:t>Transportation</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Facilities</w:t>
            </w:r>
          </w:p>
        </w:tc>
        <w:tc>
          <w:tcPr>
            <w:tcW w:w="1340" w:type="dxa"/>
            <w:vAlign w:val="bottom"/>
            <w:gridSpan w:val="2"/>
          </w:tcPr>
          <w:p>
            <w:pPr>
              <w:ind w:left="20"/>
              <w:spacing w:after="0"/>
              <w:rPr>
                <w:sz w:val="20"/>
                <w:szCs w:val="20"/>
                <w:color w:val="auto"/>
              </w:rPr>
            </w:pPr>
            <w:r>
              <w:rPr>
                <w:rFonts w:ascii="Arial" w:cs="Arial" w:eastAsia="Arial" w:hAnsi="Arial"/>
                <w:sz w:val="15"/>
                <w:szCs w:val="15"/>
                <w:b w:val="1"/>
                <w:bCs w:val="1"/>
                <w:color w:val="auto"/>
                <w:w w:val="86"/>
              </w:rPr>
              <w:t>Supply and Logistics</w:t>
            </w:r>
          </w:p>
        </w:tc>
        <w:tc>
          <w:tcPr>
            <w:tcW w:w="2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2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Facilities</w:t>
            </w:r>
          </w:p>
        </w:tc>
        <w:tc>
          <w:tcPr>
            <w:tcW w:w="13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Supply and Logistics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center"/>
              <w:ind w:left="378"/>
              <w:spacing w:after="0"/>
              <w:rPr>
                <w:sz w:val="20"/>
                <w:szCs w:val="20"/>
                <w:color w:val="auto"/>
              </w:rPr>
            </w:pPr>
            <w:r>
              <w:rPr>
                <w:rFonts w:ascii="Arial" w:cs="Arial" w:eastAsia="Arial" w:hAnsi="Arial"/>
                <w:sz w:val="16"/>
                <w:szCs w:val="16"/>
                <w:color w:val="auto"/>
                <w:w w:val="98"/>
              </w:rPr>
              <w:t>(31)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40" w:type="dxa"/>
            <w:vAlign w:val="bottom"/>
          </w:tcPr>
          <w:p>
            <w:pPr>
              <w:spacing w:after="0"/>
              <w:rPr>
                <w:sz w:val="17"/>
                <w:szCs w:val="17"/>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auto"/>
            </w:tcBorders>
            <w:gridSpan w:val="2"/>
          </w:tcPr>
          <w:p>
            <w:pPr>
              <w:jc w:val="center"/>
              <w:ind w:left="298"/>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Segment Adjusted EBITDA further</w:t>
            </w: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shd w:val="clear" w:color="auto" w:fill="CCEEFF"/>
          </w:tcPr>
          <w:p>
            <w:pPr>
              <w:ind w:left="160"/>
              <w:spacing w:after="0" w:line="155" w:lineRule="exact"/>
              <w:rPr>
                <w:sz w:val="20"/>
                <w:szCs w:val="20"/>
                <w:color w:val="auto"/>
              </w:rPr>
            </w:pPr>
            <w:r>
              <w:rPr>
                <w:rFonts w:ascii="Arial" w:cs="Arial" w:eastAsia="Arial" w:hAnsi="Arial"/>
                <w:sz w:val="16"/>
                <w:szCs w:val="16"/>
                <w:color w:val="auto"/>
              </w:rPr>
              <w:t>adjusted for impact of divested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center"/>
              <w:ind w:left="378"/>
              <w:spacing w:after="0"/>
              <w:rPr>
                <w:sz w:val="20"/>
                <w:szCs w:val="20"/>
                <w:color w:val="auto"/>
              </w:rPr>
            </w:pPr>
            <w:r>
              <w:rPr>
                <w:rFonts w:ascii="Arial" w:cs="Arial" w:eastAsia="Arial" w:hAnsi="Arial"/>
                <w:sz w:val="16"/>
                <w:szCs w:val="16"/>
                <w:color w:val="auto"/>
                <w:w w:val="98"/>
              </w:rPr>
              <w:t>(31)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tcBorders>
              <w:bottom w:val="single" w:sz="8" w:color="CCEEFF"/>
            </w:tcBorders>
            <w:shd w:val="clear" w:color="auto" w:fill="CCEEFF"/>
          </w:tcPr>
          <w:p>
            <w:pPr>
              <w:ind w:left="160"/>
              <w:spacing w:after="0" w:line="181" w:lineRule="exact"/>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20" w:hanging="317"/>
        <w:spacing w:after="0" w:line="253" w:lineRule="auto"/>
        <w:tabs>
          <w:tab w:leader="none" w:pos="40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NGL storage terminals, Los Angeles Basin crude oil storage terminals and natural gas storage facilities that were previously included in our Facilities segment and the sale of a portion of our interest in a joint venture pipeline that was previously reported in our Transportation segment.</w:t>
      </w:r>
    </w:p>
    <w:p>
      <w:pPr>
        <w:spacing w:after="0" w:line="145" w:lineRule="exact"/>
        <w:rPr>
          <w:rFonts w:ascii="Arial" w:cs="Arial" w:eastAsia="Arial" w:hAnsi="Arial"/>
          <w:sz w:val="21"/>
          <w:szCs w:val="21"/>
          <w:color w:val="auto"/>
          <w:vertAlign w:val="superscript"/>
        </w:rPr>
      </w:pPr>
    </w:p>
    <w:p>
      <w:pPr>
        <w:ind w:left="5540" w:hanging="93"/>
        <w:spacing w:after="0"/>
        <w:tabs>
          <w:tab w:leader="none" w:pos="5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September 30,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left="185"/>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165"/>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5"/>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10,776</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10,074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5,107</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10,814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5,582</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entities, net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68"/>
        </w:trPr>
        <w:tc>
          <w:tcPr>
            <w:tcW w:w="3140" w:type="dxa"/>
            <w:vAlign w:val="bottom"/>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84"/>
              </w:rPr>
              <w:t>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85"/>
              <w:spacing w:after="0"/>
              <w:rPr>
                <w:sz w:val="20"/>
                <w:szCs w:val="20"/>
                <w:color w:val="auto"/>
              </w:rPr>
            </w:pPr>
            <w:r>
              <w:rPr>
                <w:rFonts w:ascii="Arial" w:cs="Arial" w:eastAsia="Arial" w:hAnsi="Arial"/>
                <w:sz w:val="17"/>
                <w:szCs w:val="17"/>
                <w:color w:val="auto"/>
                <w:w w:val="84"/>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35</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4"/>
        </w:trPr>
        <w:tc>
          <w:tcPr>
            <w:tcW w:w="3140" w:type="dxa"/>
            <w:vAlign w:val="bottom"/>
            <w:tcBorders>
              <w:bottom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540" w:type="dxa"/>
            <w:vAlign w:val="bottom"/>
            <w:gridSpan w:val="6"/>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OUTSTANDING</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880" w:type="dxa"/>
            <w:vAlign w:val="bottom"/>
            <w:gridSpan w:val="3"/>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54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155"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Page 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2021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September 30, 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7"/>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7"/>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29,089</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26,743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26,743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6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28,837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28,843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19,644</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(2,317)</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 on/(impairment of) investments in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3140" w:type="dxa"/>
            <w:vAlign w:val="bottom"/>
          </w:tcPr>
          <w:p>
            <w:pPr>
              <w:ind w:left="180"/>
              <w:spacing w:after="0"/>
              <w:rPr>
                <w:sz w:val="20"/>
                <w:szCs w:val="20"/>
                <w:color w:val="auto"/>
              </w:rPr>
            </w:pPr>
            <w:r>
              <w:rPr>
                <w:rFonts w:ascii="Arial" w:cs="Arial" w:eastAsia="Arial" w:hAnsi="Arial"/>
                <w:sz w:val="17"/>
                <w:szCs w:val="17"/>
                <w:color w:val="auto"/>
              </w:rPr>
              <w:t>unconsolidated entities, net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22"/>
        </w:trPr>
        <w:tc>
          <w:tcPr>
            <w:tcW w:w="3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INCOME/(LOSS) BEFORE TAX</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(2,555)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22"/>
        </w:trPr>
        <w:tc>
          <w:tcPr>
            <w:tcW w:w="3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NET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(2,417)</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(income)/loss attributable to</w:t>
            </w: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8" w:lineRule="exact"/>
              <w:rPr>
                <w:sz w:val="20"/>
                <w:szCs w:val="20"/>
                <w:color w:val="auto"/>
              </w:rPr>
            </w:pPr>
            <w:r>
              <w:rPr>
                <w:rFonts w:ascii="Arial" w:cs="Arial" w:eastAsia="Arial" w:hAnsi="Arial"/>
                <w:sz w:val="17"/>
                <w:szCs w:val="17"/>
                <w:b w:val="1"/>
                <w:bCs w:val="1"/>
                <w:color w:val="auto"/>
              </w:rPr>
              <w:t>NET INCOME/(LOSS)</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(2,562)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194"/>
        </w:trPr>
        <w:tc>
          <w:tcPr>
            <w:tcW w:w="3140" w:type="dxa"/>
            <w:vAlign w:val="bottom"/>
          </w:tcPr>
          <w:p>
            <w:pPr>
              <w:ind w:left="180"/>
              <w:spacing w:after="0" w:line="194" w:lineRule="exact"/>
              <w:rPr>
                <w:sz w:val="20"/>
                <w:szCs w:val="20"/>
                <w:color w:val="auto"/>
              </w:rPr>
            </w:pPr>
            <w:r>
              <w:rPr>
                <w:rFonts w:ascii="Arial" w:cs="Arial" w:eastAsia="Arial" w:hAnsi="Arial"/>
                <w:sz w:val="17"/>
                <w:szCs w:val="17"/>
                <w:b w:val="1"/>
                <w:bCs w:val="1"/>
                <w:color w:val="auto"/>
              </w:rPr>
              <w:t>ATTRIBUTABLE TO PAGP</w:t>
            </w:r>
          </w:p>
        </w:tc>
        <w:tc>
          <w:tcPr>
            <w:tcW w:w="2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5900" w:type="dxa"/>
            <w:vAlign w:val="bottom"/>
            <w:gridSpan w:val="8"/>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880" w:type="dxa"/>
            <w:vAlign w:val="bottom"/>
            <w:gridSpan w:val="3"/>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5900" w:type="dxa"/>
            <w:vAlign w:val="bottom"/>
            <w:gridSpan w:val="8"/>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21"/>
        </w:trPr>
        <w:tc>
          <w:tcPr>
            <w:tcW w:w="3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155"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Page 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September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4,874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4,877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Long-term operating lease right-of-use</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assets, net</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24,197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b w:val="1"/>
                <w:bCs w:val="1"/>
                <w:color w:val="auto"/>
              </w:rPr>
              <w:t>LIABILITIES AND PARTNERS’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80"/>
              <w:spacing w:after="0"/>
              <w:rPr>
                <w:sz w:val="20"/>
                <w:szCs w:val="20"/>
                <w:color w:val="auto"/>
              </w:rPr>
            </w:pPr>
            <w:r>
              <w:rPr>
                <w:rFonts w:ascii="Arial" w:cs="Arial" w:eastAsia="Arial" w:hAnsi="Arial"/>
                <w:sz w:val="17"/>
                <w:szCs w:val="17"/>
                <w:b w:val="1"/>
                <w:bCs w:val="1"/>
                <w:color w:val="auto"/>
              </w:rPr>
              <w:t>CAPITAL</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9,071</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Other long-term liabilities and deferred</w:t>
            </w:r>
          </w:p>
        </w:tc>
        <w:tc>
          <w:tcPr>
            <w:tcW w:w="2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credits</w:t>
            </w:r>
          </w:p>
        </w:tc>
        <w:tc>
          <w:tcPr>
            <w:tcW w:w="2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14,900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14,902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14,761</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auto"/>
              </w:rPr>
              <w:t>9,152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(7,800)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1,352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9,593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r>
        <w:trPr>
          <w:trHeight w:val="219"/>
        </w:trPr>
        <w:tc>
          <w:tcPr>
            <w:tcW w:w="316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2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9,297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10,725</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24,197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auto"/>
        </w:rPr>
        <w:t>Page 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INCOME/(LOSS)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Nine Months Ended</w:t>
            </w:r>
          </w:p>
        </w:tc>
      </w:t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74"/>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96"/>
              </w:rPr>
              <w:t>2020</w:t>
            </w:r>
          </w:p>
        </w:tc>
      </w:tr>
      <w:tr>
        <w:trPr>
          <w:trHeight w:val="20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Income/(Loss) per Class A Share</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0"/>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Net income/(loss) attributable to PAGP</w:t>
            </w:r>
          </w:p>
        </w:tc>
        <w:tc>
          <w:tcPr>
            <w:tcW w:w="800" w:type="dxa"/>
            <w:vAlign w:val="bottom"/>
          </w:tcPr>
          <w:p>
            <w:pPr>
              <w:jc w:val="right"/>
              <w:ind w:right="603"/>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2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45"/>
        </w:trPr>
        <w:tc>
          <w:tcPr>
            <w:tcW w:w="38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5"/>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income/(loss) per Class A share</w:t>
            </w:r>
          </w:p>
        </w:tc>
        <w:tc>
          <w:tcPr>
            <w:tcW w:w="80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73" w:lineRule="exact"/>
        <w:rPr>
          <w:sz w:val="20"/>
          <w:szCs w:val="20"/>
          <w:color w:val="auto"/>
        </w:rPr>
      </w:pPr>
    </w:p>
    <w:p>
      <w:pPr>
        <w:ind w:left="320" w:right="240" w:hanging="317"/>
        <w:spacing w:after="0" w:line="226" w:lineRule="auto"/>
        <w:tabs>
          <w:tab w:leader="none" w:pos="315"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2021 and 2020, the possible exchange of AAP units and AAP Management units would not have had a dilutive effect on basic net income/(loss) per Class A share.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44"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right="120" w:hanging="307"/>
        <w:spacing w:after="0" w:line="265" w:lineRule="auto"/>
        <w:tabs>
          <w:tab w:leader="none" w:pos="615" w:val="left"/>
        </w:tabs>
        <w:numPr>
          <w:ilvl w:val="0"/>
          <w:numId w:val="29"/>
        </w:numPr>
        <w:rPr>
          <w:rFonts w:ascii="Arial" w:cs="Arial" w:eastAsia="Arial" w:hAnsi="Arial"/>
          <w:sz w:val="20"/>
          <w:szCs w:val="20"/>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2" w:lineRule="exact"/>
        <w:rPr>
          <w:rFonts w:ascii="Arial" w:cs="Arial" w:eastAsia="Arial" w:hAnsi="Arial"/>
          <w:sz w:val="20"/>
          <w:szCs w:val="20"/>
          <w:color w:val="auto"/>
        </w:rPr>
      </w:pPr>
    </w:p>
    <w:p>
      <w:pPr>
        <w:ind w:left="620" w:right="460" w:hanging="307"/>
        <w:spacing w:after="0" w:line="305" w:lineRule="auto"/>
        <w:tabs>
          <w:tab w:leader="none" w:pos="615" w:val="left"/>
        </w:tabs>
        <w:numPr>
          <w:ilvl w:val="0"/>
          <w:numId w:val="29"/>
        </w:numPr>
        <w:rPr>
          <w:rFonts w:ascii="Arial" w:cs="Arial" w:eastAsia="Arial" w:hAnsi="Arial"/>
          <w:sz w:val="18"/>
          <w:szCs w:val="18"/>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color w:val="auto"/>
        </w:rPr>
      </w:pPr>
    </w:p>
    <w:p>
      <w:pPr>
        <w:ind w:left="620" w:right="24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129" w:lineRule="exact"/>
        <w:rPr>
          <w:rFonts w:ascii="Arial" w:cs="Arial" w:eastAsia="Arial" w:hAnsi="Arial"/>
          <w:sz w:val="21"/>
          <w:szCs w:val="21"/>
          <w:color w:val="auto"/>
        </w:rPr>
      </w:pPr>
    </w:p>
    <w:p>
      <w:pPr>
        <w:ind w:left="620" w:right="200" w:hanging="307"/>
        <w:spacing w:after="0" w:line="234" w:lineRule="auto"/>
        <w:tabs>
          <w:tab w:leader="none" w:pos="615" w:val="left"/>
        </w:tabs>
        <w:numPr>
          <w:ilvl w:val="0"/>
          <w:numId w:val="29"/>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auto"/>
        </w:rPr>
        <w:t>Page 26</w:t>
      </w:r>
    </w:p>
    <w:p>
      <w:pPr>
        <w:spacing w:after="0" w:line="200" w:lineRule="exact"/>
        <w:rPr>
          <w:sz w:val="20"/>
          <w:szCs w:val="20"/>
          <w:color w:val="auto"/>
        </w:rPr>
      </w:pPr>
    </w:p>
    <w:p>
      <w:pPr>
        <w:spacing w:after="0" w:line="263" w:lineRule="exact"/>
        <w:rPr>
          <w:sz w:val="20"/>
          <w:szCs w:val="20"/>
          <w:color w:val="auto"/>
        </w:rPr>
      </w:pPr>
    </w:p>
    <w:p>
      <w:pPr>
        <w:ind w:left="62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29" w:lineRule="exact"/>
        <w:rPr>
          <w:rFonts w:ascii="Arial" w:cs="Arial" w:eastAsia="Arial" w:hAnsi="Arial"/>
          <w:sz w:val="21"/>
          <w:szCs w:val="21"/>
          <w:color w:val="auto"/>
        </w:rPr>
      </w:pPr>
    </w:p>
    <w:p>
      <w:pPr>
        <w:ind w:left="620" w:right="36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30"/>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ind w:left="620" w:right="12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9"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29"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29" w:lineRule="exact"/>
        <w:rPr>
          <w:rFonts w:ascii="Arial" w:cs="Arial" w:eastAsia="Arial" w:hAnsi="Arial"/>
          <w:sz w:val="21"/>
          <w:szCs w:val="21"/>
          <w:color w:val="auto"/>
        </w:rPr>
      </w:pPr>
    </w:p>
    <w:p>
      <w:pPr>
        <w:ind w:left="620" w:right="140" w:hanging="307"/>
        <w:spacing w:after="0" w:line="261"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13" w:lineRule="exact"/>
        <w:rPr>
          <w:rFonts w:ascii="Arial" w:cs="Arial" w:eastAsia="Arial" w:hAnsi="Arial"/>
          <w:sz w:val="21"/>
          <w:szCs w:val="21"/>
          <w:color w:val="auto"/>
        </w:rPr>
      </w:pPr>
    </w:p>
    <w:p>
      <w:pPr>
        <w:ind w:left="620" w:right="300" w:hanging="307"/>
        <w:spacing w:after="0" w:line="255" w:lineRule="auto"/>
        <w:tabs>
          <w:tab w:leader="none" w:pos="615" w:val="left"/>
        </w:tabs>
        <w:numPr>
          <w:ilvl w:val="0"/>
          <w:numId w:val="30"/>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15" w:lineRule="exact"/>
        <w:rPr>
          <w:rFonts w:ascii="Arial" w:cs="Arial" w:eastAsia="Arial" w:hAnsi="Arial"/>
          <w:sz w:val="20"/>
          <w:szCs w:val="20"/>
          <w:color w:val="auto"/>
        </w:rPr>
      </w:pPr>
    </w:p>
    <w:p>
      <w:pPr>
        <w:jc w:val="both"/>
        <w:ind w:left="620" w:right="220" w:hanging="307"/>
        <w:spacing w:after="0"/>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129" w:lineRule="exact"/>
        <w:rPr>
          <w:rFonts w:ascii="Arial" w:cs="Arial" w:eastAsia="Arial" w:hAnsi="Arial"/>
          <w:sz w:val="21"/>
          <w:szCs w:val="21"/>
          <w:color w:val="auto"/>
        </w:rPr>
      </w:pPr>
    </w:p>
    <w:p>
      <w:pPr>
        <w:ind w:left="620" w:right="640" w:hanging="307"/>
        <w:spacing w:after="0" w:line="234" w:lineRule="auto"/>
        <w:tabs>
          <w:tab w:leader="none" w:pos="615" w:val="left"/>
        </w:tabs>
        <w:numPr>
          <w:ilvl w:val="0"/>
          <w:numId w:val="30"/>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auto"/>
        </w:rPr>
        <w:t>Page 27</w:t>
      </w:r>
    </w:p>
    <w:p>
      <w:pPr>
        <w:spacing w:after="0" w:line="200" w:lineRule="exact"/>
        <w:rPr>
          <w:sz w:val="20"/>
          <w:szCs w:val="20"/>
          <w:color w:val="auto"/>
        </w:rPr>
      </w:pPr>
    </w:p>
    <w:p>
      <w:pPr>
        <w:spacing w:after="0" w:line="241"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60" w:hanging="307"/>
        <w:spacing w:after="0" w:line="255" w:lineRule="auto"/>
        <w:tabs>
          <w:tab w:leader="none" w:pos="615" w:val="left"/>
        </w:tabs>
        <w:numPr>
          <w:ilvl w:val="0"/>
          <w:numId w:val="31"/>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70" w:lineRule="exact"/>
        <w:rPr>
          <w:sz w:val="20"/>
          <w:szCs w:val="20"/>
          <w:color w:val="auto"/>
        </w:rPr>
      </w:pPr>
    </w:p>
    <w:p>
      <w:pPr>
        <w:ind w:right="100" w:firstLine="620"/>
        <w:spacing w:after="0" w:line="309" w:lineRule="auto"/>
        <w:rPr>
          <w:sz w:val="20"/>
          <w:szCs w:val="20"/>
          <w:color w:val="auto"/>
        </w:rPr>
      </w:pPr>
      <w:r>
        <w:rPr>
          <w:rFonts w:ascii="Arial" w:cs="Arial" w:eastAsia="Arial" w:hAnsi="Arial"/>
          <w:sz w:val="15"/>
          <w:szCs w:val="15"/>
          <w:color w:val="auto"/>
        </w:rPr>
        <w:t>PAA is a publicly traded master limited partnership that owns and operates midstream energy infrastructure and provides logistics services for crude oil and NGL.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71" w:lineRule="exact"/>
        <w:rPr>
          <w:sz w:val="20"/>
          <w:szCs w:val="20"/>
          <w:color w:val="auto"/>
        </w:rPr>
      </w:pPr>
    </w:p>
    <w:p>
      <w:pPr>
        <w:jc w:val="both"/>
        <w:ind w:firstLine="620"/>
        <w:spacing w:after="0" w:line="268"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Brett Magill</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lvl w:ilvl="1">
      <w:lvlJc w:val="left"/>
      <w:lvlText w:val="-"/>
      <w:numFmt w:val="bullet"/>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Roman"/>
      <w:start w:val="4"/>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lvl w:ilvl="1">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lvl w:ilvl="1">
      <w:lvlJc w:val="left"/>
      <w:lvlText w:val="-"/>
      <w:numFmt w:val="bullet"/>
      <w:start w:val="1"/>
    </w:lvl>
  </w:abstractNum>
  <w:abstractNum w:abstractNumId="24">
    <w:nsid w:val="2CA88611"/>
    <w:multiLevelType w:val="hybridMultilevel"/>
    <w:lvl w:ilvl="0">
      <w:lvlJc w:val="left"/>
      <w:lvlText w:val="(%1)"/>
      <w:numFmt w:val="decimal"/>
      <w:start w:val="1"/>
    </w:lvl>
    <w:lvl w:ilvl="1">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2021-11-02T15:34:12Z</dcterms:created>
  <dcterms:modified xsi:type="dcterms:W3CDTF">2021-11-02T15:34:12Z</dcterms:modified>
</cp:coreProperties>
</file>