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2-25616_18k.htm"/>
      <w:bookmarkStart w:id="1" w:name="ksa1225616_18k"/>
      <w:bookmarkEnd w:id="0"/>
      <w:bookmarkEnd w:id="1"/>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 </w:t>
      </w:r>
      <w:r>
        <w:rPr>
          <w:rFonts w:ascii="Times New Roman" w:hAnsi="Times New Roman"/>
          <w:b/>
          <w:sz w:val="17"/>
        </w:rPr>
        <w:t>November 5,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9.01.</w:t>
      </w:r>
      <w:r>
        <w:rPr>
          <w:rFonts w:ascii="Times New Roman" w:hAnsi="Times New Roman"/>
        </w:rPr>
        <w:t xml:space="preserve">             </w:t>
      </w:r>
      <w:r>
        <w:rPr>
          <w:rFonts w:ascii="Times New Roman" w:hAnsi="Times New Roman"/>
          <w:b/>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 99.1  Press Release dated November 5, 2012</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third-quarter 2012 results. We are furnishing the press release, attached as Exhibit 99.1, pursuant to Item 2.02 and Item 7.01 of Form 8-K.  Pursuant to Item 7.01, we are providing updated fourth quarter and full year 2012 detailed guidance for financial performance and we are providing preliminary guidance for calendar year 2013 .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of Fourth Quarter 2012 Guidance and Full Year 2013 Preliminary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represents one of the two most directly comparable GAAP measures to EBIT and EBITDA. In Note 10 below, we reconcile net income to EBIT and EBITDA for the 2012 guidance periods presented. Cash flow from operating activities is the other most comparable GAAP measure. We do not, however, reconcile cash flows from operating activities to EBIT and EBITDA, because such reconciliations are impractical for a forecasted period.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Reconciliations), which presents a historical reconciliation of EBIT and EBITDA as well as certain other commonly used non-GAAP financial measures. In addition, we have highlighted the impact of (i) losses from derivative activities net of inventory valuation adjustments, (ii) asset impairments, (iii) equity compensation expense, (iv) losses on foreign currency revaluation, (v) significant acquisition-related expenses and (vi) other selected items.  Due to the nature of the selected items, certain of the selected items impacting comparability may impact certain non-GAAP financial measures but not impact other 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based our guidance for the three-month and twelve-month periods ending December 31, 2012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no assurance can be provided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November 4, 2012. We undertake no obligation to publicly update or revise any forward-looking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24251_5335"/>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593"/>
        <w:gridCol w:w="111"/>
        <w:gridCol w:w="124"/>
        <w:gridCol w:w="789"/>
        <w:gridCol w:w="213"/>
        <w:gridCol w:w="127"/>
        <w:gridCol w:w="773"/>
        <w:gridCol w:w="216"/>
        <w:gridCol w:w="127"/>
        <w:gridCol w:w="774"/>
        <w:gridCol w:w="212"/>
        <w:gridCol w:w="123"/>
        <w:gridCol w:w="781"/>
        <w:gridCol w:w="213"/>
        <w:gridCol w:w="123"/>
        <w:gridCol w:w="781"/>
        <w:gridCol w:w="125"/>
      </w:tblGrid>
      <w:tr>
        <w:trPr/>
        <w:tc>
          <w:tcPr>
            <w:tcW w:w="459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13" w:type="dxa"/>
            <w:tcBorders/>
            <w:shd w:fill="auto" w:val="clear"/>
            <w:vAlign w:val="bottom"/>
          </w:tcPr>
          <w:p>
            <w:pPr>
              <w:pStyle w:val="TableContents"/>
              <w:spacing w:before="0" w:after="0"/>
              <w:ind w:left="0" w:right="0" w:hanging="0"/>
              <w:jc w:val="center"/>
              <w:rPr/>
            </w:pPr>
            <w:r>
              <w:rPr/>
              <w:t> </w:t>
            </w:r>
          </w:p>
        </w:tc>
        <w:tc>
          <w:tcPr>
            <w:tcW w:w="4250"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Guidance </w:t>
            </w:r>
            <w:r>
              <w:rPr>
                <w:b/>
                <w:sz w:val="8"/>
              </w:rPr>
              <w:t>(1)</w:t>
            </w:r>
          </w:p>
        </w:tc>
        <w:tc>
          <w:tcPr>
            <w:tcW w:w="125" w:type="dxa"/>
            <w:tcBorders/>
            <w:shd w:fill="auto" w:val="clear"/>
            <w:vAlign w:val="bottom"/>
          </w:tcPr>
          <w:p>
            <w:pPr>
              <w:pStyle w:val="TableContents"/>
              <w:spacing w:before="0" w:after="0"/>
              <w:ind w:left="0" w:right="0" w:hanging="0"/>
              <w:jc w:val="center"/>
              <w:rPr/>
            </w:pPr>
            <w:r>
              <w:rPr/>
              <w:t> </w:t>
            </w:r>
          </w:p>
        </w:tc>
      </w:tr>
      <w:tr>
        <w:trPr/>
        <w:tc>
          <w:tcPr>
            <w:tcW w:w="459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91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9 Months</w:t>
            </w:r>
          </w:p>
        </w:tc>
        <w:tc>
          <w:tcPr>
            <w:tcW w:w="213" w:type="dxa"/>
            <w:tcBorders/>
            <w:shd w:fill="auto" w:val="clear"/>
            <w:vAlign w:val="bottom"/>
          </w:tcPr>
          <w:p>
            <w:pPr>
              <w:pStyle w:val="TableContents"/>
              <w:spacing w:before="0" w:after="0"/>
              <w:ind w:left="0" w:right="0" w:hanging="0"/>
              <w:jc w:val="center"/>
              <w:rPr/>
            </w:pPr>
            <w:r>
              <w:rPr/>
              <w:t> </w:t>
            </w:r>
          </w:p>
        </w:tc>
        <w:tc>
          <w:tcPr>
            <w:tcW w:w="201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021"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25" w:type="dxa"/>
            <w:tcBorders/>
            <w:shd w:fill="auto" w:val="clear"/>
            <w:vAlign w:val="bottom"/>
          </w:tcPr>
          <w:p>
            <w:pPr>
              <w:pStyle w:val="TableContents"/>
              <w:spacing w:before="0" w:after="0"/>
              <w:ind w:left="0" w:right="0" w:hanging="0"/>
              <w:jc w:val="center"/>
              <w:rPr/>
            </w:pPr>
            <w:r>
              <w:rPr/>
              <w:t> </w:t>
            </w:r>
          </w:p>
        </w:tc>
      </w:tr>
      <w:tr>
        <w:trPr/>
        <w:tc>
          <w:tcPr>
            <w:tcW w:w="459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91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13" w:type="dxa"/>
            <w:tcBorders/>
            <w:shd w:fill="auto" w:val="clear"/>
            <w:vAlign w:val="bottom"/>
          </w:tcPr>
          <w:p>
            <w:pPr>
              <w:pStyle w:val="TableContents"/>
              <w:spacing w:before="0" w:after="0"/>
              <w:ind w:left="0" w:right="0" w:hanging="0"/>
              <w:jc w:val="center"/>
              <w:rPr/>
            </w:pPr>
            <w:r>
              <w:rPr/>
              <w:t> </w:t>
            </w:r>
          </w:p>
        </w:tc>
        <w:tc>
          <w:tcPr>
            <w:tcW w:w="201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212" w:type="dxa"/>
            <w:tcBorders/>
            <w:shd w:fill="auto" w:val="clear"/>
            <w:vAlign w:val="bottom"/>
          </w:tcPr>
          <w:p>
            <w:pPr>
              <w:pStyle w:val="TableContents"/>
              <w:spacing w:before="0" w:after="0"/>
              <w:ind w:left="0" w:right="0" w:hanging="0"/>
              <w:jc w:val="center"/>
              <w:rPr/>
            </w:pPr>
            <w:r>
              <w:rPr/>
              <w:t> </w:t>
            </w:r>
          </w:p>
        </w:tc>
        <w:tc>
          <w:tcPr>
            <w:tcW w:w="202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25" w:type="dxa"/>
            <w:tcBorders/>
            <w:shd w:fill="auto" w:val="clear"/>
            <w:vAlign w:val="bottom"/>
          </w:tcPr>
          <w:p>
            <w:pPr>
              <w:pStyle w:val="TableContents"/>
              <w:spacing w:before="0" w:after="0"/>
              <w:ind w:left="0" w:right="0" w:hanging="0"/>
              <w:jc w:val="center"/>
              <w:rPr/>
            </w:pPr>
            <w:r>
              <w:rPr/>
              <w:t> </w:t>
            </w:r>
          </w:p>
        </w:tc>
      </w:tr>
      <w:tr>
        <w:trPr/>
        <w:tc>
          <w:tcPr>
            <w:tcW w:w="459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9/30/2012</w:t>
            </w:r>
          </w:p>
        </w:tc>
        <w:tc>
          <w:tcPr>
            <w:tcW w:w="213" w:type="dxa"/>
            <w:tcBorders/>
            <w:shd w:fill="auto" w:val="clear"/>
            <w:vAlign w:val="bottom"/>
          </w:tcPr>
          <w:p>
            <w:pPr>
              <w:pStyle w:val="TableContents"/>
              <w:spacing w:before="0" w:after="0"/>
              <w:ind w:left="0" w:right="0" w:hanging="0"/>
              <w:jc w:val="center"/>
              <w:rPr/>
            </w:pPr>
            <w:r>
              <w:rPr/>
              <w:t> </w:t>
            </w:r>
          </w:p>
        </w:tc>
        <w:tc>
          <w:tcPr>
            <w:tcW w:w="9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6" w:type="dxa"/>
            <w:tcBorders/>
            <w:shd w:fill="auto" w:val="clear"/>
            <w:vAlign w:val="bottom"/>
          </w:tcPr>
          <w:p>
            <w:pPr>
              <w:pStyle w:val="TableContents"/>
              <w:spacing w:before="0" w:after="0"/>
              <w:ind w:left="0" w:right="0" w:hanging="0"/>
              <w:jc w:val="center"/>
              <w:rPr/>
            </w:pPr>
            <w:r>
              <w:rPr/>
              <w:t> </w:t>
            </w:r>
          </w:p>
        </w:tc>
        <w:tc>
          <w:tcPr>
            <w:tcW w:w="9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12" w:type="dxa"/>
            <w:tcBorders/>
            <w:shd w:fill="auto" w:val="clear"/>
            <w:vAlign w:val="bottom"/>
          </w:tcPr>
          <w:p>
            <w:pPr>
              <w:pStyle w:val="TableContents"/>
              <w:spacing w:before="0" w:after="0"/>
              <w:ind w:left="0" w:right="0" w:hanging="0"/>
              <w:jc w:val="center"/>
              <w:rPr/>
            </w:pPr>
            <w:r>
              <w:rPr/>
              <w:t> </w:t>
            </w:r>
          </w:p>
        </w:tc>
        <w:tc>
          <w:tcPr>
            <w:tcW w:w="9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3" w:type="dxa"/>
            <w:tcBorders/>
            <w:shd w:fill="auto" w:val="clear"/>
            <w:vAlign w:val="bottom"/>
          </w:tcPr>
          <w:p>
            <w:pPr>
              <w:pStyle w:val="TableContents"/>
              <w:spacing w:before="0" w:after="0"/>
              <w:ind w:left="0" w:right="0" w:hanging="0"/>
              <w:jc w:val="center"/>
              <w:rPr/>
            </w:pPr>
            <w:r>
              <w:rPr/>
              <w:t> </w:t>
            </w:r>
          </w:p>
        </w:tc>
        <w:tc>
          <w:tcPr>
            <w:tcW w:w="9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25" w:type="dxa"/>
            <w:tcBorders/>
            <w:shd w:fill="auto" w:val="clear"/>
            <w:vAlign w:val="bottom"/>
          </w:tcPr>
          <w:p>
            <w:pPr>
              <w:pStyle w:val="TableContents"/>
              <w:spacing w:before="0" w:after="0"/>
              <w:ind w:left="0" w:right="0" w:hanging="0"/>
              <w:jc w:val="center"/>
              <w:rPr/>
            </w:pPr>
            <w:r>
              <w:rPr/>
              <w:t> </w:t>
            </w:r>
          </w:p>
        </w:tc>
      </w:tr>
      <w:tr>
        <w:trPr/>
        <w:tc>
          <w:tcPr>
            <w:tcW w:w="45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Segment Profit </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00"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revenues (including equity earnings from unconsolidated entities) </w:t>
            </w:r>
          </w:p>
        </w:tc>
        <w:tc>
          <w:tcPr>
            <w:tcW w:w="111"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2,528</w:t>
            </w:r>
          </w:p>
        </w:tc>
        <w:tc>
          <w:tcPr>
            <w:tcW w:w="213"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870</w:t>
            </w:r>
          </w:p>
        </w:tc>
        <w:tc>
          <w:tcPr>
            <w:tcW w:w="216"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905</w:t>
            </w:r>
          </w:p>
        </w:tc>
        <w:tc>
          <w:tcPr>
            <w:tcW w:w="212"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3,398</w:t>
            </w:r>
          </w:p>
        </w:tc>
        <w:tc>
          <w:tcPr>
            <w:tcW w:w="213"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3,433</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(860</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(1,167</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(1,157</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9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1,404</w:t>
            </w:r>
          </w:p>
        </w:tc>
        <w:tc>
          <w:tcPr>
            <w:tcW w:w="213" w:type="dxa"/>
            <w:tcBorders/>
            <w:shd w:fill="CCEEFF" w:val="clear"/>
            <w:vAlign w:val="bottom"/>
          </w:tcPr>
          <w:p>
            <w:pPr>
              <w:pStyle w:val="TableContents"/>
              <w:spacing w:before="0" w:after="0"/>
              <w:ind w:left="0" w:right="0" w:hanging="0"/>
              <w:rPr/>
            </w:pPr>
            <w:r>
              <w:rPr/>
              <w:t> </w:t>
            </w:r>
          </w:p>
        </w:tc>
        <w:tc>
          <w:tcPr>
            <w:tcW w:w="9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483</w:t>
            </w:r>
          </w:p>
        </w:tc>
        <w:tc>
          <w:tcPr>
            <w:tcW w:w="216"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w:t>
            </w:r>
          </w:p>
        </w:tc>
        <w:tc>
          <w:tcPr>
            <w:tcW w:w="212"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1,887</w:t>
            </w:r>
          </w:p>
        </w:tc>
        <w:tc>
          <w:tcPr>
            <w:tcW w:w="213"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1,937</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expense </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(444</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 benefit (expense) </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income (expense), net </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3" w:type="dxa"/>
            <w:tcBorders/>
            <w:shd w:fill="CCEEFF" w:val="clear"/>
            <w:vAlign w:val="bottom"/>
          </w:tcPr>
          <w:p>
            <w:pPr>
              <w:pStyle w:val="TableContents"/>
              <w:spacing w:before="0" w:after="0"/>
              <w:ind w:left="0" w:right="0" w:hanging="0"/>
              <w:rPr/>
            </w:pPr>
            <w:r>
              <w:rPr/>
              <w:t> </w:t>
            </w:r>
          </w:p>
        </w:tc>
        <w:tc>
          <w:tcPr>
            <w:tcW w:w="9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pPr>
            <w:r>
              <w:rPr/>
              <w:t> </w:t>
            </w:r>
          </w:p>
        </w:tc>
        <w:tc>
          <w:tcPr>
            <w:tcW w:w="9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2" w:type="dxa"/>
            <w:tcBorders/>
            <w:shd w:fill="CCEEFF" w:val="clear"/>
            <w:vAlign w:val="bottom"/>
          </w:tcPr>
          <w:p>
            <w:pPr>
              <w:pStyle w:val="TableContents"/>
              <w:spacing w:before="0" w:after="0"/>
              <w:ind w:left="0" w:right="0" w:hanging="0"/>
              <w:rPr/>
            </w:pPr>
            <w:r>
              <w:rPr/>
              <w:t> </w:t>
            </w:r>
          </w:p>
        </w:tc>
        <w:tc>
          <w:tcPr>
            <w:tcW w:w="9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3" w:type="dxa"/>
            <w:tcBorders/>
            <w:shd w:fill="CCEEFF" w:val="clear"/>
            <w:vAlign w:val="bottom"/>
          </w:tcPr>
          <w:p>
            <w:pPr>
              <w:pStyle w:val="TableContents"/>
              <w:spacing w:before="0" w:after="0"/>
              <w:ind w:left="0" w:right="0" w:hanging="0"/>
              <w:rPr/>
            </w:pPr>
            <w:r>
              <w:rPr/>
              <w:t> </w:t>
            </w:r>
          </w:p>
        </w:tc>
        <w:tc>
          <w:tcPr>
            <w:tcW w:w="9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Net Income </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797</w:t>
            </w:r>
          </w:p>
        </w:tc>
        <w:tc>
          <w:tcPr>
            <w:tcW w:w="213" w:type="dxa"/>
            <w:tcBorders/>
            <w:shd w:fill="auto" w:val="clear"/>
            <w:vAlign w:val="bottom"/>
          </w:tcPr>
          <w:p>
            <w:pPr>
              <w:pStyle w:val="TableContents"/>
              <w:spacing w:before="0" w:after="0"/>
              <w:ind w:left="0" w:right="0" w:hanging="0"/>
              <w:rPr/>
            </w:pPr>
            <w:r>
              <w:rPr/>
              <w:t> </w:t>
            </w:r>
          </w:p>
        </w:tc>
        <w:tc>
          <w:tcPr>
            <w:tcW w:w="900"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293</w:t>
            </w:r>
          </w:p>
        </w:tc>
        <w:tc>
          <w:tcPr>
            <w:tcW w:w="216"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355</w:t>
            </w:r>
          </w:p>
        </w:tc>
        <w:tc>
          <w:tcPr>
            <w:tcW w:w="212"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1,090</w:t>
            </w:r>
          </w:p>
        </w:tc>
        <w:tc>
          <w:tcPr>
            <w:tcW w:w="213"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1,152</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Less: Net income attributable to noncontrolling interests </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9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Net Income attributable to Plains </w:t>
            </w:r>
          </w:p>
        </w:tc>
        <w:tc>
          <w:tcPr>
            <w:tcW w:w="111"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774</w:t>
            </w:r>
          </w:p>
        </w:tc>
        <w:tc>
          <w:tcPr>
            <w:tcW w:w="213"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282</w:t>
            </w:r>
          </w:p>
        </w:tc>
        <w:tc>
          <w:tcPr>
            <w:tcW w:w="216"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344</w:t>
            </w:r>
          </w:p>
        </w:tc>
        <w:tc>
          <w:tcPr>
            <w:tcW w:w="21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1,056</w:t>
            </w:r>
          </w:p>
        </w:tc>
        <w:tc>
          <w:tcPr>
            <w:tcW w:w="213"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1,118</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00"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pPr>
            <w:r>
              <w:rPr>
                <w:rFonts w:ascii="Times New Roman" w:hAnsi="Times New Roman"/>
                <w:sz w:val="17"/>
              </w:rPr>
              <w:t xml:space="preserve">Net Income to Limited Partners </w:t>
            </w:r>
            <w:r>
              <w:rPr>
                <w:sz w:val="11"/>
              </w:rPr>
              <w:t>(2)</w:t>
            </w:r>
          </w:p>
        </w:tc>
        <w:tc>
          <w:tcPr>
            <w:tcW w:w="111"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213"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16"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212"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754</w:t>
            </w:r>
          </w:p>
        </w:tc>
        <w:tc>
          <w:tcPr>
            <w:tcW w:w="213"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815</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pPr>
            <w:r>
              <w:rPr>
                <w:rFonts w:ascii="Times New Roman" w:hAnsi="Times New Roman"/>
                <w:sz w:val="17"/>
              </w:rPr>
              <w:t xml:space="preserve">Basic Net Income Per Limited Partner Unit </w:t>
            </w:r>
            <w:r>
              <w:rPr>
                <w:sz w:val="11"/>
              </w:rPr>
              <w:t>(2), (3)</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00"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pPr>
            <w:r>
              <w:rPr>
                <w:rFonts w:ascii="Times New Roman" w:hAnsi="Times New Roman"/>
                <w:sz w:val="17"/>
              </w:rPr>
              <w:t xml:space="preserve">Weighted Average Units Outstanding </w:t>
            </w:r>
            <w:r>
              <w:rPr>
                <w:sz w:val="11"/>
              </w:rPr>
              <w:t>(3)</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13" w:type="dxa"/>
            <w:tcBorders/>
            <w:shd w:fill="auto" w:val="clear"/>
            <w:vAlign w:val="bottom"/>
          </w:tcPr>
          <w:p>
            <w:pPr>
              <w:pStyle w:val="TableContents"/>
              <w:spacing w:before="0" w:after="0"/>
              <w:ind w:left="0" w:right="0" w:hanging="0"/>
              <w:rPr/>
            </w:pPr>
            <w:r>
              <w:rPr/>
              <w:t> </w:t>
            </w:r>
          </w:p>
        </w:tc>
        <w:tc>
          <w:tcPr>
            <w:tcW w:w="9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w:t>
            </w:r>
          </w:p>
        </w:tc>
        <w:tc>
          <w:tcPr>
            <w:tcW w:w="216"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w:t>
            </w:r>
          </w:p>
        </w:tc>
        <w:tc>
          <w:tcPr>
            <w:tcW w:w="212"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13"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Per Unit </w:t>
            </w:r>
          </w:p>
        </w:tc>
        <w:tc>
          <w:tcPr>
            <w:tcW w:w="111"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213"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0.59</w:t>
            </w:r>
          </w:p>
        </w:tc>
        <w:tc>
          <w:tcPr>
            <w:tcW w:w="216"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0.77</w:t>
            </w:r>
          </w:p>
        </w:tc>
        <w:tc>
          <w:tcPr>
            <w:tcW w:w="212"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13"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00"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pPr>
            <w:r>
              <w:rPr>
                <w:rFonts w:ascii="Times New Roman" w:hAnsi="Times New Roman"/>
                <w:sz w:val="17"/>
              </w:rPr>
              <w:t xml:space="preserve">Diluted Net Income Per Limited Partner Unit </w:t>
            </w:r>
            <w:r>
              <w:rPr>
                <w:sz w:val="11"/>
              </w:rPr>
              <w:t>(2), (3)</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00"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pPr>
            <w:r>
              <w:rPr>
                <w:rFonts w:ascii="Times New Roman" w:hAnsi="Times New Roman"/>
                <w:sz w:val="17"/>
              </w:rPr>
              <w:t xml:space="preserve">Weighted Average Units Outstanding </w:t>
            </w:r>
            <w:r>
              <w:rPr>
                <w:sz w:val="11"/>
              </w:rPr>
              <w:t>(3)</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13" w:type="dxa"/>
            <w:tcBorders/>
            <w:shd w:fill="auto" w:val="clear"/>
            <w:vAlign w:val="bottom"/>
          </w:tcPr>
          <w:p>
            <w:pPr>
              <w:pStyle w:val="TableContents"/>
              <w:spacing w:before="0" w:after="0"/>
              <w:ind w:left="0" w:right="0" w:hanging="0"/>
              <w:rPr/>
            </w:pPr>
            <w:r>
              <w:rPr/>
              <w:t> </w:t>
            </w:r>
          </w:p>
        </w:tc>
        <w:tc>
          <w:tcPr>
            <w:tcW w:w="9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216"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w:t>
            </w:r>
          </w:p>
        </w:tc>
        <w:tc>
          <w:tcPr>
            <w:tcW w:w="212"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13"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Per Unit </w:t>
            </w:r>
          </w:p>
        </w:tc>
        <w:tc>
          <w:tcPr>
            <w:tcW w:w="111"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3"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0.59</w:t>
            </w:r>
          </w:p>
        </w:tc>
        <w:tc>
          <w:tcPr>
            <w:tcW w:w="216"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0.77</w:t>
            </w:r>
          </w:p>
        </w:tc>
        <w:tc>
          <w:tcPr>
            <w:tcW w:w="212"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213"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00"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EBIT </w:t>
            </w:r>
          </w:p>
        </w:tc>
        <w:tc>
          <w:tcPr>
            <w:tcW w:w="111"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1,054</w:t>
            </w:r>
          </w:p>
        </w:tc>
        <w:tc>
          <w:tcPr>
            <w:tcW w:w="213"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396</w:t>
            </w:r>
          </w:p>
        </w:tc>
        <w:tc>
          <w:tcPr>
            <w:tcW w:w="216"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450</w:t>
            </w:r>
          </w:p>
        </w:tc>
        <w:tc>
          <w:tcPr>
            <w:tcW w:w="212"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1,450</w:t>
            </w:r>
          </w:p>
        </w:tc>
        <w:tc>
          <w:tcPr>
            <w:tcW w:w="213"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1,504</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EBITDA </w:t>
            </w:r>
          </w:p>
        </w:tc>
        <w:tc>
          <w:tcPr>
            <w:tcW w:w="111"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1,410</w:t>
            </w:r>
          </w:p>
        </w:tc>
        <w:tc>
          <w:tcPr>
            <w:tcW w:w="213"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484</w:t>
            </w:r>
          </w:p>
        </w:tc>
        <w:tc>
          <w:tcPr>
            <w:tcW w:w="216"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534</w:t>
            </w:r>
          </w:p>
        </w:tc>
        <w:tc>
          <w:tcPr>
            <w:tcW w:w="21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1,894</w:t>
            </w:r>
          </w:p>
        </w:tc>
        <w:tc>
          <w:tcPr>
            <w:tcW w:w="213"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1,944</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00"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00"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Losses from derivative activities net of inventory valuation adjustments</w:t>
            </w:r>
          </w:p>
        </w:tc>
        <w:tc>
          <w:tcPr>
            <w:tcW w:w="111"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93" w:type="dxa"/>
            <w:tcBorders/>
            <w:shd w:fill="auto" w:val="clear"/>
            <w:vAlign w:val="bottom"/>
          </w:tcPr>
          <w:p>
            <w:pPr>
              <w:pStyle w:val="TableContents"/>
              <w:spacing w:before="0" w:after="0"/>
              <w:ind w:left="0" w:right="0" w:hanging="0"/>
              <w:rPr/>
            </w:pPr>
            <w:r>
              <w:rPr>
                <w:rFonts w:ascii="Times New Roman" w:hAnsi="Times New Roman"/>
                <w:sz w:val="17"/>
              </w:rPr>
              <w:t xml:space="preserve">Asset Impairments </w:t>
            </w:r>
            <w:r>
              <w:rPr>
                <w:sz w:val="11"/>
              </w:rPr>
              <w:t>(4)</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Equity compensation expense </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Losses on foreign currency revaluation </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Significant acquisition-related expenses </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93" w:type="dxa"/>
            <w:tcBorders/>
            <w:shd w:fill="auto" w:val="clear"/>
            <w:vAlign w:val="bottom"/>
          </w:tcPr>
          <w:p>
            <w:pPr>
              <w:pStyle w:val="TableContents"/>
              <w:spacing w:before="0" w:after="0"/>
              <w:ind w:left="0" w:right="0" w:hanging="0"/>
              <w:rPr/>
            </w:pPr>
            <w:r>
              <w:rPr>
                <w:rFonts w:ascii="Times New Roman" w:hAnsi="Times New Roman"/>
                <w:sz w:val="17"/>
              </w:rPr>
              <w:t xml:space="preserve">Other </w:t>
            </w:r>
            <w:r>
              <w:rPr>
                <w:sz w:val="11"/>
              </w:rPr>
              <w:t>(4)</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auto" w:val="clear"/>
            <w:vAlign w:val="bottom"/>
          </w:tcPr>
          <w:p>
            <w:pPr>
              <w:pStyle w:val="TableContents"/>
              <w:spacing w:before="0" w:after="0"/>
              <w:ind w:left="0" w:right="0" w:hanging="0"/>
              <w:rPr/>
            </w:pPr>
            <w:r>
              <w:rPr/>
              <w:t> </w:t>
            </w:r>
          </w:p>
        </w:tc>
        <w:tc>
          <w:tcPr>
            <w:tcW w:w="9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9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vAlign w:val="bottom"/>
          </w:tcPr>
          <w:p>
            <w:pPr>
              <w:pStyle w:val="TableContents"/>
              <w:spacing w:before="0" w:after="0"/>
              <w:ind w:left="0" w:right="0" w:hanging="0"/>
              <w:rPr/>
            </w:pPr>
            <w:r>
              <w:rPr/>
              <w:t> </w:t>
            </w:r>
          </w:p>
        </w:tc>
        <w:tc>
          <w:tcPr>
            <w:tcW w:w="9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auto" w:val="clear"/>
            <w:vAlign w:val="bottom"/>
          </w:tcPr>
          <w:p>
            <w:pPr>
              <w:pStyle w:val="TableContents"/>
              <w:spacing w:before="0" w:after="0"/>
              <w:ind w:left="0" w:right="0" w:hanging="0"/>
              <w:rPr/>
            </w:pPr>
            <w:r>
              <w:rPr/>
              <w:t> </w:t>
            </w:r>
          </w:p>
        </w:tc>
        <w:tc>
          <w:tcPr>
            <w:tcW w:w="9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Selected Items Impacting Comparability of Net Income attributable to Plains </w:t>
            </w:r>
          </w:p>
        </w:tc>
        <w:tc>
          <w:tcPr>
            <w:tcW w:w="111"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9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00"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Excluding Selected Items Impacting Comparability</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00"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Segment Profit </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00"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w:t>
            </w:r>
          </w:p>
        </w:tc>
        <w:tc>
          <w:tcPr>
            <w:tcW w:w="111"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543</w:t>
            </w:r>
          </w:p>
        </w:tc>
        <w:tc>
          <w:tcPr>
            <w:tcW w:w="213"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216"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212"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730</w:t>
            </w:r>
          </w:p>
        </w:tc>
        <w:tc>
          <w:tcPr>
            <w:tcW w:w="213"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213" w:type="dxa"/>
            <w:tcBorders/>
            <w:shd w:fill="auto" w:val="clear"/>
            <w:vAlign w:val="bottom"/>
          </w:tcPr>
          <w:p>
            <w:pPr>
              <w:pStyle w:val="TableContents"/>
              <w:spacing w:before="0" w:after="0"/>
              <w:ind w:left="0" w:right="0" w:hanging="0"/>
              <w:rPr/>
            </w:pPr>
            <w:r>
              <w:rPr/>
              <w:t> </w:t>
            </w:r>
          </w:p>
        </w:tc>
        <w:tc>
          <w:tcPr>
            <w:tcW w:w="9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16"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2"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213" w:type="dxa"/>
            <w:tcBorders/>
            <w:shd w:fill="auto" w:val="clear"/>
            <w:vAlign w:val="bottom"/>
          </w:tcPr>
          <w:p>
            <w:pPr>
              <w:pStyle w:val="TableContents"/>
              <w:spacing w:before="0" w:after="0"/>
              <w:ind w:left="0" w:right="0" w:hanging="0"/>
              <w:rPr/>
            </w:pPr>
            <w:r>
              <w:rPr/>
              <w:t> </w:t>
            </w:r>
          </w:p>
        </w:tc>
        <w:tc>
          <w:tcPr>
            <w:tcW w:w="9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499</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Supply and Logistics </w:t>
            </w:r>
          </w:p>
        </w:tc>
        <w:tc>
          <w:tcPr>
            <w:tcW w:w="111"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w:t>
            </w:r>
          </w:p>
        </w:tc>
        <w:tc>
          <w:tcPr>
            <w:tcW w:w="213" w:type="dxa"/>
            <w:tcBorders/>
            <w:shd w:fill="CCEEFF" w:val="clear"/>
            <w:vAlign w:val="bottom"/>
          </w:tcPr>
          <w:p>
            <w:pPr>
              <w:pStyle w:val="TableContents"/>
              <w:spacing w:before="0" w:after="0"/>
              <w:ind w:left="0" w:right="0" w:hanging="0"/>
              <w:rPr/>
            </w:pPr>
            <w:r>
              <w:rPr/>
              <w:t> </w:t>
            </w:r>
          </w:p>
        </w:tc>
        <w:tc>
          <w:tcPr>
            <w:tcW w:w="9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w:t>
            </w:r>
          </w:p>
        </w:tc>
        <w:tc>
          <w:tcPr>
            <w:tcW w:w="216"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12"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765</w:t>
            </w:r>
          </w:p>
        </w:tc>
        <w:tc>
          <w:tcPr>
            <w:tcW w:w="213" w:type="dxa"/>
            <w:tcBorders/>
            <w:shd w:fill="CCEEFF" w:val="clear"/>
            <w:vAlign w:val="bottom"/>
          </w:tcPr>
          <w:p>
            <w:pPr>
              <w:pStyle w:val="TableContents"/>
              <w:spacing w:before="0" w:after="0"/>
              <w:ind w:left="0" w:right="0" w:hanging="0"/>
              <w:rPr/>
            </w:pPr>
            <w:r>
              <w:rPr/>
              <w:t> </w:t>
            </w:r>
          </w:p>
        </w:tc>
        <w:tc>
          <w:tcPr>
            <w:tcW w:w="9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795</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income, net </w:t>
            </w:r>
          </w:p>
        </w:tc>
        <w:tc>
          <w:tcPr>
            <w:tcW w:w="111" w:type="dxa"/>
            <w:tcBorders/>
            <w:shd w:fill="auto"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3" w:type="dxa"/>
            <w:tcBorders/>
            <w:shd w:fill="auto" w:val="clear"/>
            <w:vAlign w:val="bottom"/>
          </w:tcPr>
          <w:p>
            <w:pPr>
              <w:pStyle w:val="TableContents"/>
              <w:spacing w:before="0" w:after="0"/>
              <w:ind w:left="0" w:right="0" w:hanging="0"/>
              <w:rPr/>
            </w:pPr>
            <w:r>
              <w:rPr/>
              <w:t> </w:t>
            </w:r>
          </w:p>
        </w:tc>
        <w:tc>
          <w:tcPr>
            <w:tcW w:w="90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pPr>
            <w:r>
              <w:rPr/>
              <w:t> </w:t>
            </w:r>
          </w:p>
        </w:tc>
        <w:tc>
          <w:tcPr>
            <w:tcW w:w="9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2" w:type="dxa"/>
            <w:tcBorders/>
            <w:shd w:fill="auto" w:val="clear"/>
            <w:vAlign w:val="bottom"/>
          </w:tcPr>
          <w:p>
            <w:pPr>
              <w:pStyle w:val="TableContents"/>
              <w:spacing w:before="0" w:after="0"/>
              <w:ind w:left="0" w:right="0" w:hanging="0"/>
              <w:rPr/>
            </w:pPr>
            <w:r>
              <w:rPr/>
              <w:t> </w:t>
            </w:r>
          </w:p>
        </w:tc>
        <w:tc>
          <w:tcPr>
            <w:tcW w:w="9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3" w:type="dxa"/>
            <w:tcBorders/>
            <w:shd w:fill="auto" w:val="clear"/>
            <w:vAlign w:val="bottom"/>
          </w:tcPr>
          <w:p>
            <w:pPr>
              <w:pStyle w:val="TableContents"/>
              <w:spacing w:before="0" w:after="0"/>
              <w:ind w:left="0" w:right="0" w:hanging="0"/>
              <w:rPr/>
            </w:pPr>
            <w:r>
              <w:rPr/>
              <w:t> </w:t>
            </w:r>
          </w:p>
        </w:tc>
        <w:tc>
          <w:tcPr>
            <w:tcW w:w="9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111"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1,497</w:t>
            </w:r>
          </w:p>
        </w:tc>
        <w:tc>
          <w:tcPr>
            <w:tcW w:w="213"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w:t>
            </w:r>
          </w:p>
        </w:tc>
        <w:tc>
          <w:tcPr>
            <w:tcW w:w="216"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w:t>
            </w:r>
          </w:p>
        </w:tc>
        <w:tc>
          <w:tcPr>
            <w:tcW w:w="212"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1,992</w:t>
            </w:r>
          </w:p>
        </w:tc>
        <w:tc>
          <w:tcPr>
            <w:tcW w:w="213"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2,042</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Net Income attributable to Plains </w:t>
            </w:r>
          </w:p>
        </w:tc>
        <w:tc>
          <w:tcPr>
            <w:tcW w:w="111"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985</w:t>
            </w:r>
          </w:p>
        </w:tc>
        <w:tc>
          <w:tcPr>
            <w:tcW w:w="213"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w:t>
            </w:r>
          </w:p>
        </w:tc>
        <w:tc>
          <w:tcPr>
            <w:tcW w:w="216"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21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1,278</w:t>
            </w:r>
          </w:p>
        </w:tc>
        <w:tc>
          <w:tcPr>
            <w:tcW w:w="213"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1,340</w:t>
            </w:r>
          </w:p>
        </w:tc>
        <w:tc>
          <w:tcPr>
            <w:tcW w:w="125"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bottom"/>
          </w:tcPr>
          <w:p>
            <w:pPr>
              <w:pStyle w:val="TableContents"/>
              <w:spacing w:before="0" w:after="0"/>
              <w:ind w:left="0" w:right="0" w:hanging="0"/>
              <w:rPr/>
            </w:pPr>
            <w:r>
              <w:rPr>
                <w:rFonts w:ascii="Times New Roman" w:hAnsi="Times New Roman"/>
                <w:sz w:val="17"/>
              </w:rPr>
              <w:t xml:space="preserve">Basic Adjusted Net Income per Limited Partner Unit </w:t>
            </w:r>
            <w:r>
              <w:rPr>
                <w:sz w:val="11"/>
              </w:rPr>
              <w:t>(2), (3)</w:t>
            </w:r>
          </w:p>
        </w:tc>
        <w:tc>
          <w:tcPr>
            <w:tcW w:w="111"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13"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0.63</w:t>
            </w:r>
          </w:p>
        </w:tc>
        <w:tc>
          <w:tcPr>
            <w:tcW w:w="216"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0.81</w:t>
            </w:r>
          </w:p>
        </w:tc>
        <w:tc>
          <w:tcPr>
            <w:tcW w:w="212"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w:t>
            </w:r>
          </w:p>
        </w:tc>
        <w:tc>
          <w:tcPr>
            <w:tcW w:w="213"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125"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bottom"/>
          </w:tcPr>
          <w:p>
            <w:pPr>
              <w:pStyle w:val="TableContents"/>
              <w:spacing w:before="0" w:after="0"/>
              <w:ind w:left="0" w:right="0" w:hanging="0"/>
              <w:rPr/>
            </w:pPr>
            <w:r>
              <w:rPr>
                <w:rFonts w:ascii="Times New Roman" w:hAnsi="Times New Roman"/>
                <w:sz w:val="17"/>
              </w:rPr>
              <w:t xml:space="preserve">Diluted Adjusted Net Income per Limited Partner Unit </w:t>
            </w:r>
            <w:r>
              <w:rPr>
                <w:sz w:val="11"/>
              </w:rPr>
              <w:t>(2), (3)</w:t>
            </w:r>
          </w:p>
        </w:tc>
        <w:tc>
          <w:tcPr>
            <w:tcW w:w="111"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13"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w:t>
            </w:r>
          </w:p>
        </w:tc>
        <w:tc>
          <w:tcPr>
            <w:tcW w:w="216"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12"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2.95</w:t>
            </w:r>
          </w:p>
        </w:tc>
        <w:tc>
          <w:tcPr>
            <w:tcW w:w="213"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12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514"/>
        <w:gridCol w:w="9691"/>
      </w:tblGrid>
      <w:tr>
        <w:trPr/>
        <w:tc>
          <w:tcPr>
            <w:tcW w:w="514"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6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projected average foreign exchange rate is $1.00 Canadian to $1.00 U.S. for the three-month period ending December 31, 2012. The rate as of November 2, 2012 was $1.00 Canadian to $1.00 U.S. A $0.05 change in the FX rate will impact annual adjusted EBITDA by approximately $8 million.</w:t>
            </w:r>
          </w:p>
        </w:tc>
      </w:tr>
      <w:tr>
        <w:trPr/>
        <w:tc>
          <w:tcPr>
            <w:tcW w:w="514"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6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 calculate net income available to limited partners based on the distributions pertaining to the current periods net income.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25654_5796"/>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4"/>
        <w:gridCol w:w="9691"/>
      </w:tblGrid>
      <w:tr>
        <w:trPr/>
        <w:tc>
          <w:tcPr>
            <w:tcW w:w="514" w:type="dxa"/>
            <w:tcBorders/>
            <w:shd w:fill="auto" w:val="clear"/>
          </w:tcPr>
          <w:p>
            <w:pPr>
              <w:pStyle w:val="TableContents"/>
              <w:spacing w:before="0" w:after="0"/>
              <w:ind w:left="0" w:right="0" w:hanging="0"/>
              <w:rPr/>
            </w:pPr>
            <w:r>
              <w:rPr/>
              <w:t> </w:t>
            </w:r>
          </w:p>
        </w:tc>
        <w:tc>
          <w:tcPr>
            <w:tcW w:w="96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tc>
      </w:tr>
      <w:tr>
        <w:trPr/>
        <w:tc>
          <w:tcPr>
            <w:tcW w:w="514"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96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 and per-unit amounts are presented as adjusted for the two-for-one unit split effected on October 1, 2012.</w:t>
            </w:r>
          </w:p>
        </w:tc>
      </w:tr>
      <w:tr>
        <w:trPr/>
        <w:tc>
          <w:tcPr>
            <w:tcW w:w="514"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969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Asset impairments and other do not impact adjusted EBITDA. As a component of depreciation and amortization expense, asset impairments are not included in EBITDA and thus do not impact adjusted EBITDA.</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041"/>
        <w:gridCol w:w="8164"/>
      </w:tblGrid>
      <w:tr>
        <w:trPr/>
        <w:tc>
          <w:tcPr>
            <w:tcW w:w="2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81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2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81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2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81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2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81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2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81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2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81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2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81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2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81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liquids. Includes ethane and natural gasoline products as well as propane and butane, which are often referred to as liquefied petroleum gas (LPG). When used in this document NGL refers to all NGL products including LPG.</w:t>
            </w:r>
          </w:p>
        </w:tc>
      </w:tr>
      <w:tr>
        <w:trPr/>
        <w:tc>
          <w:tcPr>
            <w:tcW w:w="2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81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2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81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refers to any or all of (i) PAA GP LLC, the owner of our 2% general partner interest, (ii) Plains AAP, L.P., the sole member of PAA GP LLC and owner of our incentive distribution rights and (iii) Plains All American GP LLC, the general partner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Operating Segments</w:t>
      </w:r>
      <w:r>
        <w:rPr>
          <w:rFonts w:ascii="Times New Roman" w:hAnsi="Times New Roman"/>
          <w:sz w:val="17"/>
        </w:rPr>
        <w:t>. We manage our operations through three operating segments: (i) Transportation, (ii) Facilities and (iii) Supply and Logistics.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NGL and refined products on pipelines, gathering systems, trucks and barges. We generate revenue through a combination of tariffs, third-party leases of pipeline capacity and transportation fees. Our transportation segment also includes our equity earnings from our investments in the Butte, Frontier and White Cliffs pipeline systems and Settoon Towing,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assumed completion of internal growth projects. Actual volumes will be influenced by maintenance schedules at refineries, production trends,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total transportation volumes and highlights major systems that are significant either in total volumes transported or in contribution to total transportation segment profit.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225839_2897"/>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3432"/>
        <w:gridCol w:w="207"/>
        <w:gridCol w:w="199"/>
        <w:gridCol w:w="1036"/>
        <w:gridCol w:w="153"/>
        <w:gridCol w:w="213"/>
        <w:gridCol w:w="1079"/>
        <w:gridCol w:w="245"/>
        <w:gridCol w:w="227"/>
        <w:gridCol w:w="1122"/>
        <w:gridCol w:w="251"/>
      </w:tblGrid>
      <w:tr>
        <w:trPr/>
        <w:tc>
          <w:tcPr>
            <w:tcW w:w="343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2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53" w:type="dxa"/>
            <w:tcBorders/>
            <w:shd w:fill="auto" w:val="clear"/>
            <w:vAlign w:val="bottom"/>
          </w:tcPr>
          <w:p>
            <w:pPr>
              <w:pStyle w:val="TableContents"/>
              <w:spacing w:before="0" w:after="0"/>
              <w:ind w:left="0" w:right="0" w:hanging="0"/>
              <w:jc w:val="center"/>
              <w:rPr/>
            </w:pPr>
            <w:r>
              <w:rPr/>
              <w:t> </w:t>
            </w:r>
          </w:p>
        </w:tc>
        <w:tc>
          <w:tcPr>
            <w:tcW w:w="288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51" w:type="dxa"/>
            <w:tcBorders/>
            <w:shd w:fill="auto" w:val="clear"/>
            <w:vAlign w:val="bottom"/>
          </w:tcPr>
          <w:p>
            <w:pPr>
              <w:pStyle w:val="TableContents"/>
              <w:spacing w:before="0" w:after="0"/>
              <w:ind w:left="0" w:right="0" w:hanging="0"/>
              <w:jc w:val="center"/>
              <w:rPr/>
            </w:pPr>
            <w:r>
              <w:rPr/>
              <w:t> </w:t>
            </w:r>
          </w:p>
        </w:tc>
      </w:tr>
      <w:tr>
        <w:trPr/>
        <w:tc>
          <w:tcPr>
            <w:tcW w:w="343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23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53" w:type="dxa"/>
            <w:tcBorders/>
            <w:shd w:fill="auto" w:val="clear"/>
            <w:vAlign w:val="bottom"/>
          </w:tcPr>
          <w:p>
            <w:pPr>
              <w:pStyle w:val="TableContents"/>
              <w:spacing w:before="0" w:after="0"/>
              <w:ind w:left="0" w:right="0" w:hanging="0"/>
              <w:jc w:val="center"/>
              <w:rPr/>
            </w:pPr>
            <w:r>
              <w:rPr/>
              <w:t> </w:t>
            </w:r>
          </w:p>
        </w:tc>
        <w:tc>
          <w:tcPr>
            <w:tcW w:w="129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4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4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51" w:type="dxa"/>
            <w:tcBorders/>
            <w:shd w:fill="auto" w:val="clear"/>
            <w:vAlign w:val="bottom"/>
          </w:tcPr>
          <w:p>
            <w:pPr>
              <w:pStyle w:val="TableContents"/>
              <w:spacing w:before="0" w:after="0"/>
              <w:ind w:left="0" w:right="0" w:hanging="0"/>
              <w:jc w:val="center"/>
              <w:rPr/>
            </w:pPr>
            <w:r>
              <w:rPr/>
              <w:t> </w:t>
            </w:r>
          </w:p>
        </w:tc>
      </w:tr>
      <w:tr>
        <w:trPr/>
        <w:tc>
          <w:tcPr>
            <w:tcW w:w="343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2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53" w:type="dxa"/>
            <w:tcBorders/>
            <w:shd w:fill="auto" w:val="clear"/>
            <w:vAlign w:val="bottom"/>
          </w:tcPr>
          <w:p>
            <w:pPr>
              <w:pStyle w:val="TableContents"/>
              <w:spacing w:before="0" w:after="0"/>
              <w:ind w:left="0" w:right="0" w:hanging="0"/>
              <w:jc w:val="center"/>
              <w:rPr/>
            </w:pPr>
            <w:r>
              <w:rPr/>
              <w:t> </w:t>
            </w:r>
          </w:p>
        </w:tc>
        <w:tc>
          <w:tcPr>
            <w:tcW w:w="129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45" w:type="dxa"/>
            <w:tcBorders/>
            <w:shd w:fill="auto" w:val="clear"/>
            <w:vAlign w:val="bottom"/>
          </w:tcPr>
          <w:p>
            <w:pPr>
              <w:pStyle w:val="TableContents"/>
              <w:spacing w:before="0" w:after="0"/>
              <w:ind w:left="0" w:right="0" w:hanging="0"/>
              <w:jc w:val="center"/>
              <w:rPr/>
            </w:pPr>
            <w:r>
              <w:rPr/>
              <w:t> </w:t>
            </w:r>
          </w:p>
        </w:tc>
        <w:tc>
          <w:tcPr>
            <w:tcW w:w="134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51" w:type="dxa"/>
            <w:tcBorders/>
            <w:shd w:fill="auto" w:val="clear"/>
            <w:vAlign w:val="bottom"/>
          </w:tcPr>
          <w:p>
            <w:pPr>
              <w:pStyle w:val="TableContents"/>
              <w:spacing w:before="0" w:after="0"/>
              <w:ind w:left="0" w:right="0" w:hanging="0"/>
              <w:jc w:val="center"/>
              <w:rPr/>
            </w:pPr>
            <w:r>
              <w:rPr/>
              <w:t> </w:t>
            </w:r>
          </w:p>
        </w:tc>
      </w:tr>
      <w:tr>
        <w:trPr/>
        <w:tc>
          <w:tcPr>
            <w:tcW w:w="343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2012</w:t>
            </w:r>
          </w:p>
        </w:tc>
        <w:tc>
          <w:tcPr>
            <w:tcW w:w="153" w:type="dxa"/>
            <w:tcBorders/>
            <w:shd w:fill="auto" w:val="clear"/>
            <w:vAlign w:val="bottom"/>
          </w:tcPr>
          <w:p>
            <w:pPr>
              <w:pStyle w:val="TableContents"/>
              <w:spacing w:before="0" w:after="0"/>
              <w:ind w:left="0" w:right="0" w:hanging="0"/>
              <w:jc w:val="center"/>
              <w:rPr/>
            </w:pPr>
            <w:r>
              <w:rPr/>
              <w:t> </w:t>
            </w:r>
          </w:p>
        </w:tc>
        <w:tc>
          <w:tcPr>
            <w:tcW w:w="12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45" w:type="dxa"/>
            <w:tcBorders/>
            <w:shd w:fill="auto" w:val="clear"/>
            <w:vAlign w:val="bottom"/>
          </w:tcPr>
          <w:p>
            <w:pPr>
              <w:pStyle w:val="TableContents"/>
              <w:spacing w:before="0" w:after="0"/>
              <w:ind w:left="0" w:right="0" w:hanging="0"/>
              <w:jc w:val="center"/>
              <w:rPr/>
            </w:pPr>
            <w:r>
              <w:rPr/>
              <w:t> </w:t>
            </w:r>
          </w:p>
        </w:tc>
        <w:tc>
          <w:tcPr>
            <w:tcW w:w="13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51" w:type="dxa"/>
            <w:tcBorders/>
            <w:shd w:fill="auto" w:val="clear"/>
            <w:vAlign w:val="bottom"/>
          </w:tcPr>
          <w:p>
            <w:pPr>
              <w:pStyle w:val="TableContents"/>
              <w:spacing w:before="0" w:after="0"/>
              <w:ind w:left="0" w:right="0" w:hanging="0"/>
              <w:jc w:val="center"/>
              <w:rPr/>
            </w:pPr>
            <w:r>
              <w:rPr/>
              <w:t> </w:t>
            </w:r>
          </w:p>
        </w:tc>
      </w:tr>
      <w:tr>
        <w:trPr/>
        <w:tc>
          <w:tcPr>
            <w:tcW w:w="34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Average Daily Volumes (MBbls/d)</w:t>
            </w:r>
          </w:p>
        </w:tc>
        <w:tc>
          <w:tcPr>
            <w:tcW w:w="207"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pPr>
            <w:r>
              <w:rPr/>
              <w:t> </w:t>
            </w:r>
          </w:p>
        </w:tc>
        <w:tc>
          <w:tcPr>
            <w:tcW w:w="153"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pPr>
            <w:r>
              <w:rPr/>
              <w:t> </w:t>
            </w:r>
          </w:p>
        </w:tc>
        <w:tc>
          <w:tcPr>
            <w:tcW w:w="245"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pPr>
            <w:r>
              <w:rPr/>
              <w:t> </w:t>
            </w:r>
          </w:p>
        </w:tc>
        <w:tc>
          <w:tcPr>
            <w:tcW w:w="251" w:type="dxa"/>
            <w:tcBorders/>
            <w:shd w:fill="CCEEFF" w:val="clear"/>
            <w:vAlign w:val="bottom"/>
          </w:tcPr>
          <w:p>
            <w:pPr>
              <w:pStyle w:val="TableContents"/>
              <w:spacing w:before="0" w:after="0"/>
              <w:ind w:left="0" w:right="0" w:hanging="0"/>
              <w:rPr/>
            </w:pPr>
            <w:r>
              <w:rPr/>
              <w:t> </w:t>
            </w:r>
          </w:p>
        </w:tc>
      </w:tr>
      <w:tr>
        <w:trPr/>
        <w:tc>
          <w:tcPr>
            <w:tcW w:w="3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 Pipelines</w:t>
            </w:r>
          </w:p>
        </w:tc>
        <w:tc>
          <w:tcPr>
            <w:tcW w:w="207"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pPr>
            <w:r>
              <w:rPr/>
              <w:t> </w:t>
            </w:r>
          </w:p>
        </w:tc>
        <w:tc>
          <w:tcPr>
            <w:tcW w:w="153"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pPr>
            <w:r>
              <w:rPr/>
              <w:t> </w:t>
            </w:r>
          </w:p>
        </w:tc>
        <w:tc>
          <w:tcPr>
            <w:tcW w:w="245"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r>
      <w:tr>
        <w:trPr/>
        <w:tc>
          <w:tcPr>
            <w:tcW w:w="34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7"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53"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45"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51" w:type="dxa"/>
            <w:tcBorders/>
            <w:shd w:fill="CCEEFF" w:val="clear"/>
            <w:vAlign w:val="bottom"/>
          </w:tcPr>
          <w:p>
            <w:pPr>
              <w:pStyle w:val="TableContents"/>
              <w:spacing w:before="0" w:after="0"/>
              <w:ind w:left="0" w:right="0" w:hanging="0"/>
              <w:rPr/>
            </w:pPr>
            <w:r>
              <w:rPr/>
              <w:t> </w:t>
            </w:r>
          </w:p>
        </w:tc>
      </w:tr>
      <w:tr>
        <w:trPr/>
        <w:tc>
          <w:tcPr>
            <w:tcW w:w="3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7"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w:t>
            </w:r>
          </w:p>
        </w:tc>
        <w:tc>
          <w:tcPr>
            <w:tcW w:w="153"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45"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499</w:t>
            </w:r>
          </w:p>
        </w:tc>
        <w:tc>
          <w:tcPr>
            <w:tcW w:w="251" w:type="dxa"/>
            <w:tcBorders/>
            <w:shd w:fill="auto" w:val="clear"/>
            <w:vAlign w:val="bottom"/>
          </w:tcPr>
          <w:p>
            <w:pPr>
              <w:pStyle w:val="TableContents"/>
              <w:spacing w:before="0" w:after="0"/>
              <w:ind w:left="0" w:right="0" w:hanging="0"/>
              <w:rPr/>
            </w:pPr>
            <w:r>
              <w:rPr/>
              <w:t> </w:t>
            </w:r>
          </w:p>
        </w:tc>
      </w:tr>
      <w:tr>
        <w:trPr/>
        <w:tc>
          <w:tcPr>
            <w:tcW w:w="34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7"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53"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45"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51" w:type="dxa"/>
            <w:tcBorders/>
            <w:shd w:fill="CCEEFF" w:val="clear"/>
            <w:vAlign w:val="bottom"/>
          </w:tcPr>
          <w:p>
            <w:pPr>
              <w:pStyle w:val="TableContents"/>
              <w:spacing w:before="0" w:after="0"/>
              <w:ind w:left="0" w:right="0" w:hanging="0"/>
              <w:rPr/>
            </w:pPr>
            <w:r>
              <w:rPr/>
              <w:t> </w:t>
            </w:r>
          </w:p>
        </w:tc>
      </w:tr>
      <w:tr>
        <w:trPr/>
        <w:tc>
          <w:tcPr>
            <w:tcW w:w="3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Line 63 / 2000</w:t>
            </w:r>
          </w:p>
        </w:tc>
        <w:tc>
          <w:tcPr>
            <w:tcW w:w="207"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53"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45"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51" w:type="dxa"/>
            <w:tcBorders/>
            <w:shd w:fill="auto" w:val="clear"/>
            <w:vAlign w:val="bottom"/>
          </w:tcPr>
          <w:p>
            <w:pPr>
              <w:pStyle w:val="TableContents"/>
              <w:spacing w:before="0" w:after="0"/>
              <w:ind w:left="0" w:right="0" w:hanging="0"/>
              <w:rPr/>
            </w:pPr>
            <w:r>
              <w:rPr/>
              <w:t> </w:t>
            </w:r>
          </w:p>
        </w:tc>
      </w:tr>
      <w:tr>
        <w:trPr/>
        <w:tc>
          <w:tcPr>
            <w:tcW w:w="3432" w:type="dxa"/>
            <w:tcBorders/>
            <w:shd w:fill="CCEEFF" w:val="clear"/>
          </w:tcPr>
          <w:p>
            <w:pPr>
              <w:pStyle w:val="TableContents"/>
              <w:spacing w:before="0" w:after="0"/>
              <w:ind w:left="0" w:right="0" w:hanging="0"/>
              <w:rPr/>
            </w:pPr>
            <w:r>
              <w:rPr>
                <w:rFonts w:ascii="Times New Roman" w:hAnsi="Times New Roman"/>
                <w:sz w:val="17"/>
              </w:rPr>
              <w:t xml:space="preserve">Salt Lake City Area Systems </w:t>
            </w:r>
            <w:r>
              <w:rPr>
                <w:sz w:val="11"/>
              </w:rPr>
              <w:t>(1)</w:t>
            </w:r>
          </w:p>
        </w:tc>
        <w:tc>
          <w:tcPr>
            <w:tcW w:w="207"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53"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45"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51" w:type="dxa"/>
            <w:tcBorders/>
            <w:shd w:fill="CCEEFF" w:val="clear"/>
            <w:vAlign w:val="bottom"/>
          </w:tcPr>
          <w:p>
            <w:pPr>
              <w:pStyle w:val="TableContents"/>
              <w:spacing w:before="0" w:after="0"/>
              <w:ind w:left="0" w:right="0" w:hanging="0"/>
              <w:rPr/>
            </w:pPr>
            <w:r>
              <w:rPr/>
              <w:t> </w:t>
            </w:r>
          </w:p>
        </w:tc>
      </w:tr>
      <w:tr>
        <w:trPr/>
        <w:tc>
          <w:tcPr>
            <w:tcW w:w="3432" w:type="dxa"/>
            <w:tcBorders/>
            <w:shd w:fill="auto" w:val="clear"/>
          </w:tcPr>
          <w:p>
            <w:pPr>
              <w:pStyle w:val="TableContents"/>
              <w:spacing w:before="0" w:after="0"/>
              <w:ind w:left="0" w:right="0" w:hanging="0"/>
              <w:rPr/>
            </w:pPr>
            <w:r>
              <w:rPr>
                <w:rFonts w:ascii="Times New Roman" w:hAnsi="Times New Roman"/>
                <w:sz w:val="17"/>
              </w:rPr>
              <w:t xml:space="preserve">Permian Basin Area Systems </w:t>
            </w:r>
            <w:r>
              <w:rPr>
                <w:sz w:val="11"/>
              </w:rPr>
              <w:t>(1)</w:t>
            </w:r>
          </w:p>
        </w:tc>
        <w:tc>
          <w:tcPr>
            <w:tcW w:w="207"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153"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245"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w:t>
            </w:r>
          </w:p>
        </w:tc>
        <w:tc>
          <w:tcPr>
            <w:tcW w:w="251" w:type="dxa"/>
            <w:tcBorders/>
            <w:shd w:fill="auto" w:val="clear"/>
            <w:vAlign w:val="bottom"/>
          </w:tcPr>
          <w:p>
            <w:pPr>
              <w:pStyle w:val="TableContents"/>
              <w:spacing w:before="0" w:after="0"/>
              <w:ind w:left="0" w:right="0" w:hanging="0"/>
              <w:rPr/>
            </w:pPr>
            <w:r>
              <w:rPr/>
              <w:t> </w:t>
            </w:r>
          </w:p>
        </w:tc>
      </w:tr>
      <w:tr>
        <w:trPr/>
        <w:tc>
          <w:tcPr>
            <w:tcW w:w="3432" w:type="dxa"/>
            <w:tcBorders/>
            <w:shd w:fill="CCEEFF" w:val="clear"/>
          </w:tcPr>
          <w:p>
            <w:pPr>
              <w:pStyle w:val="TableContents"/>
              <w:spacing w:before="0" w:after="0"/>
              <w:ind w:left="0" w:right="0" w:hanging="0"/>
              <w:rPr/>
            </w:pPr>
            <w:r>
              <w:rPr>
                <w:rFonts w:ascii="Times New Roman" w:hAnsi="Times New Roman"/>
                <w:sz w:val="17"/>
              </w:rPr>
              <w:t xml:space="preserve">Mid-Continent Area Systems </w:t>
            </w:r>
            <w:r>
              <w:rPr>
                <w:sz w:val="11"/>
              </w:rPr>
              <w:t>(1)</w:t>
            </w:r>
          </w:p>
        </w:tc>
        <w:tc>
          <w:tcPr>
            <w:tcW w:w="207"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53"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45"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251" w:type="dxa"/>
            <w:tcBorders/>
            <w:shd w:fill="CCEEFF" w:val="clear"/>
            <w:vAlign w:val="bottom"/>
          </w:tcPr>
          <w:p>
            <w:pPr>
              <w:pStyle w:val="TableContents"/>
              <w:spacing w:before="0" w:after="0"/>
              <w:ind w:left="0" w:right="0" w:hanging="0"/>
              <w:rPr/>
            </w:pPr>
            <w:r>
              <w:rPr/>
              <w:t> </w:t>
            </w:r>
          </w:p>
        </w:tc>
      </w:tr>
      <w:tr>
        <w:trPr/>
        <w:tc>
          <w:tcPr>
            <w:tcW w:w="3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7"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53"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45"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51" w:type="dxa"/>
            <w:tcBorders/>
            <w:shd w:fill="auto" w:val="clear"/>
            <w:vAlign w:val="bottom"/>
          </w:tcPr>
          <w:p>
            <w:pPr>
              <w:pStyle w:val="TableContents"/>
              <w:spacing w:before="0" w:after="0"/>
              <w:ind w:left="0" w:right="0" w:hanging="0"/>
              <w:rPr/>
            </w:pPr>
            <w:r>
              <w:rPr/>
              <w:t> </w:t>
            </w:r>
          </w:p>
        </w:tc>
      </w:tr>
      <w:tr>
        <w:trPr/>
        <w:tc>
          <w:tcPr>
            <w:tcW w:w="34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7"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53"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45"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51" w:type="dxa"/>
            <w:tcBorders/>
            <w:shd w:fill="CCEEFF" w:val="clear"/>
            <w:vAlign w:val="bottom"/>
          </w:tcPr>
          <w:p>
            <w:pPr>
              <w:pStyle w:val="TableContents"/>
              <w:spacing w:before="0" w:after="0"/>
              <w:ind w:left="0" w:right="0" w:hanging="0"/>
              <w:rPr/>
            </w:pPr>
            <w:r>
              <w:rPr/>
              <w:t> </w:t>
            </w:r>
          </w:p>
        </w:tc>
      </w:tr>
      <w:tr>
        <w:trPr/>
        <w:tc>
          <w:tcPr>
            <w:tcW w:w="3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7"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53"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45"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51" w:type="dxa"/>
            <w:tcBorders/>
            <w:shd w:fill="auto" w:val="clear"/>
            <w:vAlign w:val="bottom"/>
          </w:tcPr>
          <w:p>
            <w:pPr>
              <w:pStyle w:val="TableContents"/>
              <w:spacing w:before="0" w:after="0"/>
              <w:ind w:left="0" w:right="0" w:hanging="0"/>
              <w:rPr/>
            </w:pPr>
            <w:r>
              <w:rPr/>
              <w:t> </w:t>
            </w:r>
          </w:p>
        </w:tc>
      </w:tr>
      <w:tr>
        <w:trPr/>
        <w:tc>
          <w:tcPr>
            <w:tcW w:w="34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7"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1,140</w:t>
            </w:r>
          </w:p>
        </w:tc>
        <w:tc>
          <w:tcPr>
            <w:tcW w:w="153"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1,255</w:t>
            </w:r>
          </w:p>
        </w:tc>
        <w:tc>
          <w:tcPr>
            <w:tcW w:w="245"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1,169</w:t>
            </w:r>
          </w:p>
        </w:tc>
        <w:tc>
          <w:tcPr>
            <w:tcW w:w="251" w:type="dxa"/>
            <w:tcBorders/>
            <w:shd w:fill="CCEEFF" w:val="clear"/>
            <w:vAlign w:val="bottom"/>
          </w:tcPr>
          <w:p>
            <w:pPr>
              <w:pStyle w:val="TableContents"/>
              <w:spacing w:before="0" w:after="0"/>
              <w:ind w:left="0" w:right="0" w:hanging="0"/>
              <w:rPr/>
            </w:pPr>
            <w:r>
              <w:rPr/>
              <w:t> </w:t>
            </w:r>
          </w:p>
        </w:tc>
      </w:tr>
      <w:tr>
        <w:trPr/>
        <w:tc>
          <w:tcPr>
            <w:tcW w:w="3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207"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153"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45"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w:t>
            </w:r>
          </w:p>
        </w:tc>
        <w:tc>
          <w:tcPr>
            <w:tcW w:w="251" w:type="dxa"/>
            <w:tcBorders/>
            <w:shd w:fill="auto" w:val="clear"/>
            <w:vAlign w:val="bottom"/>
          </w:tcPr>
          <w:p>
            <w:pPr>
              <w:pStyle w:val="TableContents"/>
              <w:spacing w:before="0" w:after="0"/>
              <w:ind w:left="0" w:right="0" w:hanging="0"/>
              <w:rPr/>
            </w:pPr>
            <w:r>
              <w:rPr/>
              <w:t> </w:t>
            </w:r>
          </w:p>
        </w:tc>
      </w:tr>
      <w:tr>
        <w:trPr/>
        <w:tc>
          <w:tcPr>
            <w:tcW w:w="34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Refined Products Pipelines</w:t>
            </w:r>
          </w:p>
        </w:tc>
        <w:tc>
          <w:tcPr>
            <w:tcW w:w="207" w:type="dxa"/>
            <w:tcBorders/>
            <w:shd w:fill="CCEEFF" w:val="clear"/>
            <w:vAlign w:val="bottom"/>
          </w:tcPr>
          <w:p>
            <w:pPr>
              <w:pStyle w:val="TableContents"/>
              <w:spacing w:before="0" w:after="0"/>
              <w:ind w:left="0" w:right="0" w:hanging="0"/>
              <w:rPr/>
            </w:pPr>
            <w:r>
              <w:rPr/>
              <w:t> </w:t>
            </w:r>
          </w:p>
        </w:tc>
        <w:tc>
          <w:tcPr>
            <w:tcW w:w="12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53" w:type="dxa"/>
            <w:tcBorders/>
            <w:shd w:fill="CCEEFF" w:val="clear"/>
            <w:vAlign w:val="bottom"/>
          </w:tcPr>
          <w:p>
            <w:pPr>
              <w:pStyle w:val="TableContents"/>
              <w:spacing w:before="0" w:after="0"/>
              <w:ind w:left="0" w:right="0" w:hanging="0"/>
              <w:rPr/>
            </w:pPr>
            <w:r>
              <w:rPr/>
              <w:t> </w:t>
            </w:r>
          </w:p>
        </w:tc>
        <w:tc>
          <w:tcPr>
            <w:tcW w:w="12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45" w:type="dxa"/>
            <w:tcBorders/>
            <w:shd w:fill="CCEEFF" w:val="clear"/>
            <w:vAlign w:val="bottom"/>
          </w:tcPr>
          <w:p>
            <w:pPr>
              <w:pStyle w:val="TableContents"/>
              <w:spacing w:before="0" w:after="0"/>
              <w:ind w:left="0" w:right="0" w:hanging="0"/>
              <w:rPr/>
            </w:pPr>
            <w:r>
              <w:rPr/>
              <w:t> </w:t>
            </w:r>
          </w:p>
        </w:tc>
        <w:tc>
          <w:tcPr>
            <w:tcW w:w="13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51" w:type="dxa"/>
            <w:tcBorders/>
            <w:shd w:fill="CCEEFF" w:val="clear"/>
            <w:vAlign w:val="bottom"/>
          </w:tcPr>
          <w:p>
            <w:pPr>
              <w:pStyle w:val="TableContents"/>
              <w:spacing w:before="0" w:after="0"/>
              <w:ind w:left="0" w:right="0" w:hanging="0"/>
              <w:rPr/>
            </w:pPr>
            <w:r>
              <w:rPr/>
              <w:t> </w:t>
            </w:r>
          </w:p>
        </w:tc>
      </w:tr>
      <w:tr>
        <w:trPr/>
        <w:tc>
          <w:tcPr>
            <w:tcW w:w="343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3,317</w:t>
            </w:r>
          </w:p>
        </w:tc>
        <w:tc>
          <w:tcPr>
            <w:tcW w:w="153"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3,510</w:t>
            </w:r>
          </w:p>
        </w:tc>
        <w:tc>
          <w:tcPr>
            <w:tcW w:w="245" w:type="dxa"/>
            <w:tcBorders/>
            <w:shd w:fill="auto" w:val="clear"/>
            <w:vAlign w:val="bottom"/>
          </w:tcPr>
          <w:p>
            <w:pPr>
              <w:pStyle w:val="TableContents"/>
              <w:spacing w:before="0" w:after="0"/>
              <w:ind w:left="0" w:right="0" w:hanging="0"/>
              <w:rPr/>
            </w:pPr>
            <w:r>
              <w:rPr/>
              <w:t> </w:t>
            </w:r>
          </w:p>
        </w:tc>
        <w:tc>
          <w:tcPr>
            <w:tcW w:w="13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3,367</w:t>
            </w:r>
          </w:p>
        </w:tc>
        <w:tc>
          <w:tcPr>
            <w:tcW w:w="251" w:type="dxa"/>
            <w:tcBorders/>
            <w:shd w:fill="auto" w:val="clear"/>
            <w:vAlign w:val="bottom"/>
          </w:tcPr>
          <w:p>
            <w:pPr>
              <w:pStyle w:val="TableContents"/>
              <w:spacing w:before="0" w:after="0"/>
              <w:ind w:left="0" w:right="0" w:hanging="0"/>
              <w:rPr/>
            </w:pPr>
            <w:r>
              <w:rPr/>
              <w:t> </w:t>
            </w:r>
          </w:p>
        </w:tc>
      </w:tr>
      <w:tr>
        <w:trPr/>
        <w:tc>
          <w:tcPr>
            <w:tcW w:w="34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7" w:type="dxa"/>
            <w:tcBorders/>
            <w:shd w:fill="CCEEFF" w:val="clear"/>
            <w:vAlign w:val="bottom"/>
          </w:tcPr>
          <w:p>
            <w:pPr>
              <w:pStyle w:val="TableContents"/>
              <w:spacing w:before="0" w:after="0"/>
              <w:ind w:left="0" w:right="0" w:hanging="0"/>
              <w:rPr/>
            </w:pPr>
            <w:r>
              <w:rPr/>
              <w:t> </w:t>
            </w:r>
          </w:p>
        </w:tc>
        <w:tc>
          <w:tcPr>
            <w:tcW w:w="12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53" w:type="dxa"/>
            <w:tcBorders/>
            <w:shd w:fill="CCEEFF" w:val="clear"/>
            <w:vAlign w:val="bottom"/>
          </w:tcPr>
          <w:p>
            <w:pPr>
              <w:pStyle w:val="TableContents"/>
              <w:spacing w:before="0" w:after="0"/>
              <w:ind w:left="0" w:right="0" w:hanging="0"/>
              <w:rPr/>
            </w:pPr>
            <w:r>
              <w:rPr/>
              <w:t> </w:t>
            </w:r>
          </w:p>
        </w:tc>
        <w:tc>
          <w:tcPr>
            <w:tcW w:w="12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45" w:type="dxa"/>
            <w:tcBorders/>
            <w:shd w:fill="CCEEFF" w:val="clear"/>
            <w:vAlign w:val="bottom"/>
          </w:tcPr>
          <w:p>
            <w:pPr>
              <w:pStyle w:val="TableContents"/>
              <w:spacing w:before="0" w:after="0"/>
              <w:ind w:left="0" w:right="0" w:hanging="0"/>
              <w:rPr/>
            </w:pPr>
            <w:r>
              <w:rPr/>
              <w:t> </w:t>
            </w:r>
          </w:p>
        </w:tc>
        <w:tc>
          <w:tcPr>
            <w:tcW w:w="13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51" w:type="dxa"/>
            <w:tcBorders/>
            <w:shd w:fill="CCEEFF" w:val="clear"/>
            <w:vAlign w:val="bottom"/>
          </w:tcPr>
          <w:p>
            <w:pPr>
              <w:pStyle w:val="TableContents"/>
              <w:spacing w:before="0" w:after="0"/>
              <w:ind w:left="0" w:right="0" w:hanging="0"/>
              <w:rPr/>
            </w:pPr>
            <w:r>
              <w:rPr/>
              <w:t> </w:t>
            </w:r>
          </w:p>
        </w:tc>
      </w:tr>
      <w:tr>
        <w:trPr/>
        <w:tc>
          <w:tcPr>
            <w:tcW w:w="343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23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3,420</w:t>
            </w:r>
          </w:p>
        </w:tc>
        <w:tc>
          <w:tcPr>
            <w:tcW w:w="153" w:type="dxa"/>
            <w:tcBorders/>
            <w:shd w:fill="auto" w:val="clear"/>
            <w:vAlign w:val="bottom"/>
          </w:tcPr>
          <w:p>
            <w:pPr>
              <w:pStyle w:val="TableContents"/>
              <w:spacing w:before="0" w:after="0"/>
              <w:ind w:left="0" w:right="0" w:hanging="0"/>
              <w:rPr/>
            </w:pPr>
            <w:r>
              <w:rPr/>
              <w:t> </w:t>
            </w:r>
          </w:p>
        </w:tc>
        <w:tc>
          <w:tcPr>
            <w:tcW w:w="129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3,615</w:t>
            </w:r>
          </w:p>
        </w:tc>
        <w:tc>
          <w:tcPr>
            <w:tcW w:w="245" w:type="dxa"/>
            <w:tcBorders/>
            <w:shd w:fill="auto" w:val="clear"/>
            <w:vAlign w:val="bottom"/>
          </w:tcPr>
          <w:p>
            <w:pPr>
              <w:pStyle w:val="TableContents"/>
              <w:spacing w:before="0" w:after="0"/>
              <w:ind w:left="0" w:right="0" w:hanging="0"/>
              <w:rPr/>
            </w:pPr>
            <w:r>
              <w:rPr/>
              <w:t> </w:t>
            </w:r>
          </w:p>
        </w:tc>
        <w:tc>
          <w:tcPr>
            <w:tcW w:w="134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3,471</w:t>
            </w:r>
          </w:p>
        </w:tc>
        <w:tc>
          <w:tcPr>
            <w:tcW w:w="251" w:type="dxa"/>
            <w:tcBorders/>
            <w:shd w:fill="auto" w:val="clear"/>
            <w:vAlign w:val="bottom"/>
          </w:tcPr>
          <w:p>
            <w:pPr>
              <w:pStyle w:val="TableContents"/>
              <w:spacing w:before="0" w:after="0"/>
              <w:ind w:left="0" w:right="0" w:hanging="0"/>
              <w:rPr/>
            </w:pPr>
            <w:r>
              <w:rPr/>
              <w:t> </w:t>
            </w:r>
          </w:p>
        </w:tc>
      </w:tr>
      <w:tr>
        <w:trPr/>
        <w:tc>
          <w:tcPr>
            <w:tcW w:w="343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207" w:type="dxa"/>
            <w:tcBorders/>
            <w:shd w:fill="CCEEFF" w:val="clear"/>
            <w:vAlign w:val="bottom"/>
          </w:tcPr>
          <w:p>
            <w:pPr>
              <w:pStyle w:val="TableContents"/>
              <w:spacing w:before="0" w:after="0"/>
              <w:ind w:left="0" w:right="0" w:hanging="0"/>
              <w:rPr/>
            </w:pPr>
            <w:r>
              <w:rPr/>
              <w:t> </w:t>
            </w:r>
          </w:p>
        </w:tc>
        <w:tc>
          <w:tcPr>
            <w:tcW w:w="1235" w:type="dxa"/>
            <w:gridSpan w:val="2"/>
            <w:tcBorders/>
            <w:shd w:fill="CCEEFF" w:val="clear"/>
            <w:vAlign w:val="bottom"/>
          </w:tcPr>
          <w:p>
            <w:pPr>
              <w:pStyle w:val="TableContents"/>
              <w:spacing w:before="0" w:after="0"/>
              <w:ind w:left="0" w:right="0" w:hanging="0"/>
              <w:jc w:val="right"/>
              <w:rPr/>
            </w:pPr>
            <w:r>
              <w:rPr/>
              <w:t> </w:t>
            </w:r>
          </w:p>
        </w:tc>
        <w:tc>
          <w:tcPr>
            <w:tcW w:w="153"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pPr>
            <w:r>
              <w:rPr/>
              <w:t> </w:t>
            </w:r>
          </w:p>
        </w:tc>
        <w:tc>
          <w:tcPr>
            <w:tcW w:w="245" w:type="dxa"/>
            <w:tcBorders/>
            <w:shd w:fill="CCEEFF" w:val="clear"/>
            <w:vAlign w:val="bottom"/>
          </w:tcPr>
          <w:p>
            <w:pPr>
              <w:pStyle w:val="TableContents"/>
              <w:spacing w:before="0" w:after="0"/>
              <w:ind w:left="0" w:right="0" w:hanging="0"/>
              <w:rPr/>
            </w:pPr>
            <w:r>
              <w:rPr/>
              <w:t> </w:t>
            </w:r>
          </w:p>
        </w:tc>
        <w:tc>
          <w:tcPr>
            <w:tcW w:w="1349" w:type="dxa"/>
            <w:gridSpan w:val="2"/>
            <w:tcBorders/>
            <w:shd w:fill="CCEEFF" w:val="clear"/>
            <w:vAlign w:val="bottom"/>
          </w:tcPr>
          <w:p>
            <w:pPr>
              <w:pStyle w:val="TableContents"/>
              <w:spacing w:before="0" w:after="0"/>
              <w:ind w:left="0" w:right="0" w:hanging="0"/>
              <w:jc w:val="right"/>
              <w:rPr/>
            </w:pPr>
            <w:r>
              <w:rPr/>
              <w:t> </w:t>
            </w:r>
          </w:p>
        </w:tc>
        <w:tc>
          <w:tcPr>
            <w:tcW w:w="251" w:type="dxa"/>
            <w:tcBorders/>
            <w:shd w:fill="CCEEFF" w:val="clear"/>
            <w:vAlign w:val="bottom"/>
          </w:tcPr>
          <w:p>
            <w:pPr>
              <w:pStyle w:val="TableContents"/>
              <w:spacing w:before="0" w:after="0"/>
              <w:ind w:left="0" w:right="0" w:hanging="0"/>
              <w:rPr/>
            </w:pPr>
            <w:r>
              <w:rPr/>
              <w:t> </w:t>
            </w:r>
          </w:p>
        </w:tc>
      </w:tr>
      <w:tr>
        <w:trPr/>
        <w:tc>
          <w:tcPr>
            <w:tcW w:w="3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Excluding Selected Items Impacting Comparability</w:t>
            </w:r>
          </w:p>
        </w:tc>
        <w:tc>
          <w:tcPr>
            <w:tcW w:w="207" w:type="dxa"/>
            <w:tcBorders/>
            <w:shd w:fill="auto" w:val="clear"/>
            <w:vAlign w:val="bottom"/>
          </w:tcPr>
          <w:p>
            <w:pPr>
              <w:pStyle w:val="TableContents"/>
              <w:spacing w:before="0" w:after="0"/>
              <w:ind w:left="0" w:right="0" w:hanging="0"/>
              <w:rPr/>
            </w:pPr>
            <w:r>
              <w:rPr/>
              <w:t> </w:t>
            </w:r>
          </w:p>
        </w:tc>
        <w:tc>
          <w:tcPr>
            <w:tcW w:w="19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153"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24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251"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43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aggregate of multiple systems in their respective areas.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NGL and natural gas, as well as NGL fractionation and isomerization services. We generate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is forecasted using the volume assumptions in the table below, priced at forecasted rates, less estimated field operating costs and G&amp;A expenses. Field operating costs do not include depreciation.</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4716"/>
        <w:gridCol w:w="184"/>
        <w:gridCol w:w="201"/>
        <w:gridCol w:w="1044"/>
        <w:gridCol w:w="184"/>
        <w:gridCol w:w="214"/>
        <w:gridCol w:w="1083"/>
        <w:gridCol w:w="219"/>
        <w:gridCol w:w="227"/>
        <w:gridCol w:w="1121"/>
        <w:gridCol w:w="297"/>
      </w:tblGrid>
      <w:tr>
        <w:trPr/>
        <w:tc>
          <w:tcPr>
            <w:tcW w:w="4716"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84" w:type="dxa"/>
            <w:tcBorders/>
            <w:shd w:fill="auto" w:val="clear"/>
            <w:vAlign w:val="bottom"/>
          </w:tcPr>
          <w:p>
            <w:pPr>
              <w:pStyle w:val="TableContents"/>
              <w:spacing w:before="0" w:after="0"/>
              <w:ind w:left="0" w:right="0" w:hanging="0"/>
              <w:jc w:val="center"/>
              <w:rPr/>
            </w:pPr>
            <w:r>
              <w:rPr/>
              <w:t> </w:t>
            </w:r>
          </w:p>
        </w:tc>
        <w:tc>
          <w:tcPr>
            <w:tcW w:w="286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97" w:type="dxa"/>
            <w:tcBorders/>
            <w:shd w:fill="auto" w:val="clear"/>
            <w:vAlign w:val="bottom"/>
          </w:tcPr>
          <w:p>
            <w:pPr>
              <w:pStyle w:val="TableContents"/>
              <w:spacing w:before="0" w:after="0"/>
              <w:ind w:left="0" w:right="0" w:hanging="0"/>
              <w:jc w:val="center"/>
              <w:rPr/>
            </w:pPr>
            <w:r>
              <w:rPr/>
              <w:t> </w:t>
            </w:r>
          </w:p>
        </w:tc>
      </w:tr>
      <w:tr>
        <w:trPr/>
        <w:tc>
          <w:tcPr>
            <w:tcW w:w="4716"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24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84" w:type="dxa"/>
            <w:tcBorders/>
            <w:shd w:fill="auto" w:val="clear"/>
            <w:vAlign w:val="bottom"/>
          </w:tcPr>
          <w:p>
            <w:pPr>
              <w:pStyle w:val="TableContents"/>
              <w:spacing w:before="0" w:after="0"/>
              <w:ind w:left="0" w:right="0" w:hanging="0"/>
              <w:jc w:val="center"/>
              <w:rPr/>
            </w:pPr>
            <w:r>
              <w:rPr/>
              <w:t> </w:t>
            </w:r>
          </w:p>
        </w:tc>
        <w:tc>
          <w:tcPr>
            <w:tcW w:w="12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9" w:type="dxa"/>
            <w:tcBorders/>
            <w:shd w:fill="auto" w:val="clear"/>
            <w:vAlign w:val="bottom"/>
          </w:tcPr>
          <w:p>
            <w:pPr>
              <w:pStyle w:val="TableContents"/>
              <w:spacing w:before="0" w:after="0"/>
              <w:ind w:left="0" w:right="0" w:hanging="0"/>
              <w:jc w:val="center"/>
              <w:rPr/>
            </w:pPr>
            <w:r>
              <w:rPr/>
              <w:t> </w:t>
            </w:r>
          </w:p>
        </w:tc>
        <w:tc>
          <w:tcPr>
            <w:tcW w:w="134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97" w:type="dxa"/>
            <w:tcBorders/>
            <w:shd w:fill="auto" w:val="clear"/>
            <w:vAlign w:val="bottom"/>
          </w:tcPr>
          <w:p>
            <w:pPr>
              <w:pStyle w:val="TableContents"/>
              <w:spacing w:before="0" w:after="0"/>
              <w:ind w:left="0" w:right="0" w:hanging="0"/>
              <w:jc w:val="center"/>
              <w:rPr/>
            </w:pPr>
            <w:r>
              <w:rPr/>
              <w:t> </w:t>
            </w:r>
          </w:p>
        </w:tc>
      </w:tr>
      <w:tr>
        <w:trPr/>
        <w:tc>
          <w:tcPr>
            <w:tcW w:w="4716"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24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84" w:type="dxa"/>
            <w:tcBorders/>
            <w:shd w:fill="auto" w:val="clear"/>
            <w:vAlign w:val="bottom"/>
          </w:tcPr>
          <w:p>
            <w:pPr>
              <w:pStyle w:val="TableContents"/>
              <w:spacing w:before="0" w:after="0"/>
              <w:ind w:left="0" w:right="0" w:hanging="0"/>
              <w:jc w:val="center"/>
              <w:rPr/>
            </w:pPr>
            <w:r>
              <w:rPr/>
              <w:t> </w:t>
            </w:r>
          </w:p>
        </w:tc>
        <w:tc>
          <w:tcPr>
            <w:tcW w:w="12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9" w:type="dxa"/>
            <w:tcBorders/>
            <w:shd w:fill="auto" w:val="clear"/>
            <w:vAlign w:val="bottom"/>
          </w:tcPr>
          <w:p>
            <w:pPr>
              <w:pStyle w:val="TableContents"/>
              <w:spacing w:before="0" w:after="0"/>
              <w:ind w:left="0" w:right="0" w:hanging="0"/>
              <w:jc w:val="center"/>
              <w:rPr/>
            </w:pPr>
            <w:r>
              <w:rPr/>
              <w:t> </w:t>
            </w:r>
          </w:p>
        </w:tc>
        <w:tc>
          <w:tcPr>
            <w:tcW w:w="134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97" w:type="dxa"/>
            <w:tcBorders/>
            <w:shd w:fill="auto" w:val="clear"/>
            <w:vAlign w:val="bottom"/>
          </w:tcPr>
          <w:p>
            <w:pPr>
              <w:pStyle w:val="TableContents"/>
              <w:spacing w:before="0" w:after="0"/>
              <w:ind w:left="0" w:right="0" w:hanging="0"/>
              <w:jc w:val="center"/>
              <w:rPr/>
            </w:pPr>
            <w:r>
              <w:rPr/>
              <w:t> </w:t>
            </w:r>
          </w:p>
        </w:tc>
      </w:tr>
      <w:tr>
        <w:trPr/>
        <w:tc>
          <w:tcPr>
            <w:tcW w:w="4716"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2012</w:t>
            </w:r>
          </w:p>
        </w:tc>
        <w:tc>
          <w:tcPr>
            <w:tcW w:w="184" w:type="dxa"/>
            <w:tcBorders/>
            <w:shd w:fill="auto" w:val="clear"/>
            <w:vAlign w:val="bottom"/>
          </w:tcPr>
          <w:p>
            <w:pPr>
              <w:pStyle w:val="TableContents"/>
              <w:spacing w:before="0" w:after="0"/>
              <w:ind w:left="0" w:right="0" w:hanging="0"/>
              <w:jc w:val="center"/>
              <w:rPr/>
            </w:pPr>
            <w:r>
              <w:rPr/>
              <w:t> </w:t>
            </w:r>
          </w:p>
        </w:tc>
        <w:tc>
          <w:tcPr>
            <w:tcW w:w="12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19" w:type="dxa"/>
            <w:tcBorders/>
            <w:shd w:fill="auto" w:val="clear"/>
            <w:vAlign w:val="bottom"/>
          </w:tcPr>
          <w:p>
            <w:pPr>
              <w:pStyle w:val="TableContents"/>
              <w:spacing w:before="0" w:after="0"/>
              <w:ind w:left="0" w:right="0" w:hanging="0"/>
              <w:jc w:val="center"/>
              <w:rPr/>
            </w:pPr>
            <w:r>
              <w:rPr/>
              <w:t> </w:t>
            </w:r>
          </w:p>
        </w:tc>
        <w:tc>
          <w:tcPr>
            <w:tcW w:w="13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97" w:type="dxa"/>
            <w:tcBorders/>
            <w:shd w:fill="auto" w:val="clear"/>
            <w:vAlign w:val="bottom"/>
          </w:tcPr>
          <w:p>
            <w:pPr>
              <w:pStyle w:val="TableContents"/>
              <w:spacing w:before="0" w:after="0"/>
              <w:ind w:left="0" w:right="0" w:hanging="0"/>
              <w:jc w:val="center"/>
              <w:rPr/>
            </w:pPr>
            <w:r>
              <w:rPr/>
              <w:t> </w:t>
            </w:r>
          </w:p>
        </w:tc>
      </w:tr>
      <w:tr>
        <w:trPr/>
        <w:tc>
          <w:tcPr>
            <w:tcW w:w="47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Data</w:t>
            </w:r>
          </w:p>
        </w:tc>
        <w:tc>
          <w:tcPr>
            <w:tcW w:w="184"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129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348" w:type="dxa"/>
            <w:gridSpan w:val="2"/>
            <w:tcBorders/>
            <w:shd w:fill="CCEEFF" w:val="clear"/>
            <w:vAlign w:val="bottom"/>
          </w:tcPr>
          <w:p>
            <w:pPr>
              <w:pStyle w:val="TableContents"/>
              <w:spacing w:before="0" w:after="0"/>
              <w:ind w:left="0" w:right="0" w:hanging="0"/>
              <w:jc w:val="right"/>
              <w:rPr/>
            </w:pPr>
            <w:r>
              <w:rPr/>
              <w:t> </w:t>
            </w:r>
          </w:p>
        </w:tc>
        <w:tc>
          <w:tcPr>
            <w:tcW w:w="297" w:type="dxa"/>
            <w:tcBorders/>
            <w:shd w:fill="CCEEFF" w:val="clear"/>
            <w:vAlign w:val="bottom"/>
          </w:tcPr>
          <w:p>
            <w:pPr>
              <w:pStyle w:val="TableContents"/>
              <w:spacing w:before="0" w:after="0"/>
              <w:ind w:left="0" w:right="0" w:hanging="0"/>
              <w:rPr/>
            </w:pPr>
            <w:r>
              <w:rPr/>
              <w:t> </w:t>
            </w:r>
          </w:p>
        </w:tc>
      </w:tr>
      <w:tr>
        <w:trPr/>
        <w:tc>
          <w:tcPr>
            <w:tcW w:w="47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refined products and NGL storage (MMBbls/Mo.) </w:t>
            </w:r>
          </w:p>
        </w:tc>
        <w:tc>
          <w:tcPr>
            <w:tcW w:w="184" w:type="dxa"/>
            <w:tcBorders/>
            <w:shd w:fill="auto" w:val="clear"/>
            <w:vAlign w:val="bottom"/>
          </w:tcPr>
          <w:p>
            <w:pPr>
              <w:pStyle w:val="TableContents"/>
              <w:spacing w:before="0" w:after="0"/>
              <w:ind w:left="0" w:right="0" w:hanging="0"/>
              <w:rPr/>
            </w:pPr>
            <w:r>
              <w:rPr/>
              <w:t> </w:t>
            </w:r>
          </w:p>
        </w:tc>
        <w:tc>
          <w:tcPr>
            <w:tcW w:w="124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84" w:type="dxa"/>
            <w:tcBorders/>
            <w:shd w:fill="auto" w:val="clear"/>
            <w:vAlign w:val="bottom"/>
          </w:tcPr>
          <w:p>
            <w:pPr>
              <w:pStyle w:val="TableContents"/>
              <w:spacing w:before="0" w:after="0"/>
              <w:ind w:left="0" w:right="0" w:hanging="0"/>
              <w:rPr/>
            </w:pPr>
            <w:r>
              <w:rPr/>
              <w:t> </w:t>
            </w:r>
          </w:p>
        </w:tc>
        <w:tc>
          <w:tcPr>
            <w:tcW w:w="129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9" w:type="dxa"/>
            <w:tcBorders/>
            <w:shd w:fill="auto" w:val="clear"/>
            <w:vAlign w:val="bottom"/>
          </w:tcPr>
          <w:p>
            <w:pPr>
              <w:pStyle w:val="TableContents"/>
              <w:spacing w:before="0" w:after="0"/>
              <w:ind w:left="0" w:right="0" w:hanging="0"/>
              <w:rPr/>
            </w:pPr>
            <w:r>
              <w:rPr/>
              <w:t> </w:t>
            </w:r>
          </w:p>
        </w:tc>
        <w:tc>
          <w:tcPr>
            <w:tcW w:w="134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97" w:type="dxa"/>
            <w:tcBorders/>
            <w:shd w:fill="auto" w:val="clear"/>
            <w:vAlign w:val="bottom"/>
          </w:tcPr>
          <w:p>
            <w:pPr>
              <w:pStyle w:val="TableContents"/>
              <w:spacing w:before="0" w:after="0"/>
              <w:ind w:left="0" w:right="0" w:hanging="0"/>
              <w:rPr/>
            </w:pPr>
            <w:r>
              <w:rPr/>
              <w:t> </w:t>
            </w:r>
          </w:p>
        </w:tc>
      </w:tr>
      <w:tr>
        <w:trPr/>
        <w:tc>
          <w:tcPr>
            <w:tcW w:w="47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Natural Gas Storage (Bcf/Mo.) </w:t>
            </w:r>
          </w:p>
        </w:tc>
        <w:tc>
          <w:tcPr>
            <w:tcW w:w="184" w:type="dxa"/>
            <w:tcBorders/>
            <w:shd w:fill="CCEEFF" w:val="clear"/>
            <w:vAlign w:val="bottom"/>
          </w:tcPr>
          <w:p>
            <w:pPr>
              <w:pStyle w:val="TableContents"/>
              <w:spacing w:before="0" w:after="0"/>
              <w:ind w:left="0" w:right="0" w:hanging="0"/>
              <w:rPr/>
            </w:pPr>
            <w:r>
              <w:rPr/>
              <w:t> </w:t>
            </w:r>
          </w:p>
        </w:tc>
        <w:tc>
          <w:tcPr>
            <w:tcW w:w="124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84" w:type="dxa"/>
            <w:tcBorders/>
            <w:shd w:fill="CCEEFF" w:val="clear"/>
            <w:vAlign w:val="bottom"/>
          </w:tcPr>
          <w:p>
            <w:pPr>
              <w:pStyle w:val="TableContents"/>
              <w:spacing w:before="0" w:after="0"/>
              <w:ind w:left="0" w:right="0" w:hanging="0"/>
              <w:rPr/>
            </w:pPr>
            <w:r>
              <w:rPr/>
              <w:t> </w:t>
            </w:r>
          </w:p>
        </w:tc>
        <w:tc>
          <w:tcPr>
            <w:tcW w:w="129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9" w:type="dxa"/>
            <w:tcBorders/>
            <w:shd w:fill="CCEEFF" w:val="clear"/>
            <w:vAlign w:val="bottom"/>
          </w:tcPr>
          <w:p>
            <w:pPr>
              <w:pStyle w:val="TableContents"/>
              <w:spacing w:before="0" w:after="0"/>
              <w:ind w:left="0" w:right="0" w:hanging="0"/>
              <w:rPr/>
            </w:pPr>
            <w:r>
              <w:rPr/>
              <w:t> </w:t>
            </w:r>
          </w:p>
        </w:tc>
        <w:tc>
          <w:tcPr>
            <w:tcW w:w="134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97" w:type="dxa"/>
            <w:tcBorders/>
            <w:shd w:fill="CCEEFF" w:val="clear"/>
            <w:vAlign w:val="bottom"/>
          </w:tcPr>
          <w:p>
            <w:pPr>
              <w:pStyle w:val="TableContents"/>
              <w:spacing w:before="0" w:after="0"/>
              <w:ind w:left="0" w:right="0" w:hanging="0"/>
              <w:rPr/>
            </w:pPr>
            <w:r>
              <w:rPr/>
              <w:t> </w:t>
            </w:r>
          </w:p>
        </w:tc>
      </w:tr>
      <w:tr>
        <w:trPr/>
        <w:tc>
          <w:tcPr>
            <w:tcW w:w="47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Fractionation (MBbls/d) </w:t>
            </w:r>
          </w:p>
        </w:tc>
        <w:tc>
          <w:tcPr>
            <w:tcW w:w="184" w:type="dxa"/>
            <w:tcBorders/>
            <w:shd w:fill="auto" w:val="clear"/>
            <w:vAlign w:val="bottom"/>
          </w:tcPr>
          <w:p>
            <w:pPr>
              <w:pStyle w:val="TableContents"/>
              <w:spacing w:before="0" w:after="0"/>
              <w:ind w:left="0" w:right="0" w:hanging="0"/>
              <w:rPr/>
            </w:pPr>
            <w:r>
              <w:rPr/>
              <w:t> </w:t>
            </w:r>
          </w:p>
        </w:tc>
        <w:tc>
          <w:tcPr>
            <w:tcW w:w="124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84" w:type="dxa"/>
            <w:tcBorders/>
            <w:shd w:fill="auto" w:val="clear"/>
            <w:vAlign w:val="bottom"/>
          </w:tcPr>
          <w:p>
            <w:pPr>
              <w:pStyle w:val="TableContents"/>
              <w:spacing w:before="0" w:after="0"/>
              <w:ind w:left="0" w:right="0" w:hanging="0"/>
              <w:rPr/>
            </w:pPr>
            <w:r>
              <w:rPr/>
              <w:t> </w:t>
            </w:r>
          </w:p>
        </w:tc>
        <w:tc>
          <w:tcPr>
            <w:tcW w:w="129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19" w:type="dxa"/>
            <w:tcBorders/>
            <w:shd w:fill="auto" w:val="clear"/>
            <w:vAlign w:val="bottom"/>
          </w:tcPr>
          <w:p>
            <w:pPr>
              <w:pStyle w:val="TableContents"/>
              <w:spacing w:before="0" w:after="0"/>
              <w:ind w:left="0" w:right="0" w:hanging="0"/>
              <w:rPr/>
            </w:pPr>
            <w:r>
              <w:rPr/>
              <w:t> </w:t>
            </w:r>
          </w:p>
        </w:tc>
        <w:tc>
          <w:tcPr>
            <w:tcW w:w="134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97" w:type="dxa"/>
            <w:tcBorders/>
            <w:shd w:fill="auto" w:val="clear"/>
            <w:vAlign w:val="bottom"/>
          </w:tcPr>
          <w:p>
            <w:pPr>
              <w:pStyle w:val="TableContents"/>
              <w:spacing w:before="0" w:after="0"/>
              <w:ind w:left="0" w:right="0" w:hanging="0"/>
              <w:rPr/>
            </w:pPr>
            <w:r>
              <w:rPr/>
              <w:t> </w:t>
            </w:r>
          </w:p>
        </w:tc>
      </w:tr>
      <w:tr>
        <w:trPr/>
        <w:tc>
          <w:tcPr>
            <w:tcW w:w="47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Activities Total </w:t>
            </w:r>
          </w:p>
        </w:tc>
        <w:tc>
          <w:tcPr>
            <w:tcW w:w="184"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129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348" w:type="dxa"/>
            <w:gridSpan w:val="2"/>
            <w:tcBorders/>
            <w:shd w:fill="CCEEFF" w:val="clear"/>
            <w:vAlign w:val="bottom"/>
          </w:tcPr>
          <w:p>
            <w:pPr>
              <w:pStyle w:val="TableContents"/>
              <w:spacing w:before="0" w:after="0"/>
              <w:ind w:left="0" w:right="0" w:hanging="0"/>
              <w:jc w:val="right"/>
              <w:rPr/>
            </w:pPr>
            <w:r>
              <w:rPr/>
              <w:t> </w:t>
            </w:r>
          </w:p>
        </w:tc>
        <w:tc>
          <w:tcPr>
            <w:tcW w:w="297" w:type="dxa"/>
            <w:tcBorders/>
            <w:shd w:fill="CCEEFF" w:val="clear"/>
            <w:vAlign w:val="bottom"/>
          </w:tcPr>
          <w:p>
            <w:pPr>
              <w:pStyle w:val="TableContents"/>
              <w:spacing w:before="0" w:after="0"/>
              <w:ind w:left="0" w:right="0" w:hanging="0"/>
              <w:rPr/>
            </w:pPr>
            <w:r>
              <w:rPr/>
              <w:t> </w:t>
            </w:r>
          </w:p>
        </w:tc>
      </w:tr>
      <w:tr>
        <w:trPr/>
        <w:tc>
          <w:tcPr>
            <w:tcW w:w="4716" w:type="dxa"/>
            <w:tcBorders/>
            <w:shd w:fill="auto" w:val="clear"/>
            <w:vAlign w:val="bottom"/>
          </w:tcPr>
          <w:p>
            <w:pPr>
              <w:pStyle w:val="TableContents"/>
              <w:spacing w:before="0" w:after="0"/>
              <w:ind w:left="0" w:right="0" w:hanging="0"/>
              <w:rPr/>
            </w:pPr>
            <w:r>
              <w:rPr>
                <w:rFonts w:ascii="Times New Roman" w:hAnsi="Times New Roman"/>
                <w:sz w:val="17"/>
              </w:rPr>
              <w:t xml:space="preserve">Avg. Capacity (MMBbls/Mo.) </w:t>
            </w:r>
            <w:r>
              <w:rPr>
                <w:sz w:val="11"/>
              </w:rPr>
              <w:t>(1)</w:t>
            </w:r>
            <w:r>
              <w:rPr/>
              <w:t> </w:t>
            </w:r>
          </w:p>
        </w:tc>
        <w:tc>
          <w:tcPr>
            <w:tcW w:w="184" w:type="dxa"/>
            <w:tcBorders/>
            <w:shd w:fill="auto" w:val="clear"/>
            <w:vAlign w:val="bottom"/>
          </w:tcPr>
          <w:p>
            <w:pPr>
              <w:pStyle w:val="TableContents"/>
              <w:spacing w:before="0" w:after="0"/>
              <w:ind w:left="0" w:right="0" w:hanging="0"/>
              <w:rPr/>
            </w:pPr>
            <w:r>
              <w:rPr/>
              <w:t> </w:t>
            </w:r>
          </w:p>
        </w:tc>
        <w:tc>
          <w:tcPr>
            <w:tcW w:w="124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184" w:type="dxa"/>
            <w:tcBorders/>
            <w:shd w:fill="auto" w:val="clear"/>
            <w:vAlign w:val="bottom"/>
          </w:tcPr>
          <w:p>
            <w:pPr>
              <w:pStyle w:val="TableContents"/>
              <w:spacing w:before="0" w:after="0"/>
              <w:ind w:left="0" w:right="0" w:hanging="0"/>
              <w:rPr/>
            </w:pPr>
            <w:r>
              <w:rPr/>
              <w:t> </w:t>
            </w:r>
          </w:p>
        </w:tc>
        <w:tc>
          <w:tcPr>
            <w:tcW w:w="129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19" w:type="dxa"/>
            <w:tcBorders/>
            <w:shd w:fill="auto" w:val="clear"/>
            <w:vAlign w:val="bottom"/>
          </w:tcPr>
          <w:p>
            <w:pPr>
              <w:pStyle w:val="TableContents"/>
              <w:spacing w:before="0" w:after="0"/>
              <w:ind w:left="0" w:right="0" w:hanging="0"/>
              <w:rPr/>
            </w:pPr>
            <w:r>
              <w:rPr/>
              <w:t> </w:t>
            </w:r>
          </w:p>
        </w:tc>
        <w:tc>
          <w:tcPr>
            <w:tcW w:w="134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97" w:type="dxa"/>
            <w:tcBorders/>
            <w:shd w:fill="auto" w:val="clear"/>
            <w:vAlign w:val="bottom"/>
          </w:tcPr>
          <w:p>
            <w:pPr>
              <w:pStyle w:val="TableContents"/>
              <w:spacing w:before="0" w:after="0"/>
              <w:ind w:left="0" w:right="0" w:hanging="0"/>
              <w:rPr/>
            </w:pPr>
            <w:r>
              <w:rPr/>
              <w:t> </w:t>
            </w:r>
          </w:p>
        </w:tc>
      </w:tr>
      <w:tr>
        <w:trPr/>
        <w:tc>
          <w:tcPr>
            <w:tcW w:w="4716" w:type="dxa"/>
            <w:tcBorders/>
            <w:shd w:fill="CCEEFF" w:val="clear"/>
            <w:vAlign w:val="bottom"/>
          </w:tcPr>
          <w:p>
            <w:pPr>
              <w:pStyle w:val="TableContents"/>
              <w:spacing w:before="0" w:after="0"/>
              <w:ind w:left="0" w:right="0" w:hanging="0"/>
              <w:rPr/>
            </w:pPr>
            <w:r>
              <w:rPr/>
              <w:t> </w:t>
            </w:r>
          </w:p>
        </w:tc>
        <w:tc>
          <w:tcPr>
            <w:tcW w:w="184"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129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348" w:type="dxa"/>
            <w:gridSpan w:val="2"/>
            <w:tcBorders/>
            <w:shd w:fill="CCEEFF" w:val="clear"/>
            <w:vAlign w:val="bottom"/>
          </w:tcPr>
          <w:p>
            <w:pPr>
              <w:pStyle w:val="TableContents"/>
              <w:spacing w:before="0" w:after="0"/>
              <w:ind w:left="0" w:right="0" w:hanging="0"/>
              <w:jc w:val="right"/>
              <w:rPr/>
            </w:pPr>
            <w:r>
              <w:rPr/>
              <w:t> </w:t>
            </w:r>
          </w:p>
        </w:tc>
        <w:tc>
          <w:tcPr>
            <w:tcW w:w="297" w:type="dxa"/>
            <w:tcBorders/>
            <w:shd w:fill="CCEEFF" w:val="clear"/>
            <w:vAlign w:val="bottom"/>
          </w:tcPr>
          <w:p>
            <w:pPr>
              <w:pStyle w:val="TableContents"/>
              <w:spacing w:before="0" w:after="0"/>
              <w:ind w:left="0" w:right="0" w:hanging="0"/>
              <w:rPr/>
            </w:pPr>
            <w:r>
              <w:rPr/>
              <w:t> </w:t>
            </w:r>
          </w:p>
        </w:tc>
      </w:tr>
      <w:tr>
        <w:trPr/>
        <w:tc>
          <w:tcPr>
            <w:tcW w:w="47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184"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129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348" w:type="dxa"/>
            <w:gridSpan w:val="2"/>
            <w:tcBorders/>
            <w:shd w:fill="auto" w:val="clear"/>
            <w:vAlign w:val="bottom"/>
          </w:tcPr>
          <w:p>
            <w:pPr>
              <w:pStyle w:val="TableContents"/>
              <w:spacing w:before="0" w:after="0"/>
              <w:ind w:left="0" w:right="0" w:hanging="0"/>
              <w:jc w:val="right"/>
              <w:rPr/>
            </w:pPr>
            <w:r>
              <w:rPr/>
              <w:t> </w:t>
            </w:r>
          </w:p>
        </w:tc>
        <w:tc>
          <w:tcPr>
            <w:tcW w:w="297" w:type="dxa"/>
            <w:tcBorders/>
            <w:shd w:fill="auto" w:val="clear"/>
            <w:vAlign w:val="bottom"/>
          </w:tcPr>
          <w:p>
            <w:pPr>
              <w:pStyle w:val="TableContents"/>
              <w:spacing w:before="0" w:after="0"/>
              <w:ind w:left="0" w:right="0" w:hanging="0"/>
              <w:rPr/>
            </w:pPr>
            <w:r>
              <w:rPr/>
              <w:t> </w:t>
            </w:r>
          </w:p>
        </w:tc>
      </w:tr>
      <w:tr>
        <w:trPr/>
        <w:tc>
          <w:tcPr>
            <w:tcW w:w="47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84" w:type="dxa"/>
            <w:tcBorders/>
            <w:shd w:fill="CCEEFF" w:val="clear"/>
            <w:vAlign w:val="bottom"/>
          </w:tcPr>
          <w:p>
            <w:pPr>
              <w:pStyle w:val="TableContents"/>
              <w:spacing w:before="0" w:after="0"/>
              <w:ind w:left="0" w:right="0" w:hanging="0"/>
              <w:rPr/>
            </w:pPr>
            <w:r>
              <w:rPr/>
              <w:t> </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184" w:type="dxa"/>
            <w:tcBorders/>
            <w:shd w:fill="CCEEFF" w:val="clear"/>
            <w:vAlign w:val="bottom"/>
          </w:tcPr>
          <w:p>
            <w:pPr>
              <w:pStyle w:val="TableContents"/>
              <w:spacing w:before="0" w:after="0"/>
              <w:ind w:left="0" w:right="0" w:hanging="0"/>
              <w:rPr/>
            </w:pPr>
            <w:r>
              <w:rPr/>
              <w:t> </w:t>
            </w:r>
          </w:p>
        </w:tc>
        <w:tc>
          <w:tcPr>
            <w:tcW w:w="2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219"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297"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471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Calculated as the sum of: (i) crude oil, refined products and NGL storage capacity; (ii) natural gas storage capacity divided by 6 to account for the 6:1 mcf of gas to crude Btu equivalent ratio and further divided by 1,000 to convert to monthly volumes in millions; and (iii) NGL fractionation volumes (based on estimated utilized capacity), multiplied by the number of days in the period and divided by the number of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231434_7056"/>
      <w:bookmarkEnd w:id="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w:t>
      </w:r>
      <w:r>
        <w:rPr>
          <w:rFonts w:ascii="Times New Roman" w:hAnsi="Times New Roman"/>
          <w:i/>
          <w:sz w:val="17"/>
        </w:rPr>
        <w:t>Supply and Logistics</w:t>
      </w:r>
      <w:r>
        <w:rPr>
          <w:rFonts w:ascii="Times New Roman" w:hAnsi="Times New Roman"/>
          <w:sz w:val="17"/>
        </w:rPr>
        <w:t>. Our supply and logistics segment operations generally consist of the following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crude oil at the wellhead, the bulk purchase of crude oil at pipeline, terminal and rail facilities, and the purchase of cargos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NGL;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NGL from producers, refiners, processors and other marketers;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and NGL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and NGL on trucks, barges, railcars, pipelines and ocean-going vessels to our terminals and third-party terminals.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characterize a substantial portion of the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we conduct in the supply and logistics segment is influenced by overall market structure and the degree of volatility in the crude oil market, as well as variable operating expenses. Forecasted operating results for the three-month period ending December 31, 2012 reflect the current market structure and seasonal, weather-related variations in NGL sales.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quality, and contract structure. Accordingly, the projected segment profit per barrel can vary significantly even if aggregate volumes are in line with the forecasted levels.</w:t>
      </w:r>
    </w:p>
    <w:p>
      <w:pPr>
        <w:pStyle w:val="TextBody"/>
        <w:spacing w:before="0" w:after="0"/>
        <w:ind w:left="0" w:right="0" w:hanging="0"/>
        <w:rPr/>
      </w:pPr>
      <w:r>
        <w:rPr/>
        <w:t> </w:t>
      </w:r>
    </w:p>
    <w:tbl>
      <w:tblPr>
        <w:tblW w:w="4150" w:type="pct"/>
        <w:jc w:val="left"/>
        <w:tblInd w:w="0" w:type="dxa"/>
        <w:tblCellMar>
          <w:top w:w="0" w:type="dxa"/>
          <w:left w:w="0" w:type="dxa"/>
          <w:bottom w:w="0" w:type="dxa"/>
          <w:right w:w="0" w:type="dxa"/>
        </w:tblCellMar>
      </w:tblPr>
      <w:tblGrid>
        <w:gridCol w:w="3713"/>
        <w:gridCol w:w="218"/>
        <w:gridCol w:w="199"/>
        <w:gridCol w:w="1013"/>
        <w:gridCol w:w="218"/>
        <w:gridCol w:w="213"/>
        <w:gridCol w:w="1055"/>
        <w:gridCol w:w="256"/>
        <w:gridCol w:w="226"/>
        <w:gridCol w:w="1097"/>
        <w:gridCol w:w="262"/>
      </w:tblGrid>
      <w:tr>
        <w:trPr/>
        <w:tc>
          <w:tcPr>
            <w:tcW w:w="3713"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18" w:type="dxa"/>
            <w:tcBorders/>
            <w:shd w:fill="auto" w:val="clear"/>
            <w:vAlign w:val="bottom"/>
          </w:tcPr>
          <w:p>
            <w:pPr>
              <w:pStyle w:val="TableContents"/>
              <w:spacing w:before="0" w:after="0"/>
              <w:ind w:left="0" w:right="0" w:hanging="0"/>
              <w:jc w:val="center"/>
              <w:rPr/>
            </w:pPr>
            <w:r>
              <w:rPr/>
              <w:t> </w:t>
            </w:r>
          </w:p>
        </w:tc>
        <w:tc>
          <w:tcPr>
            <w:tcW w:w="284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62" w:type="dxa"/>
            <w:tcBorders/>
            <w:shd w:fill="auto" w:val="clear"/>
            <w:vAlign w:val="bottom"/>
          </w:tcPr>
          <w:p>
            <w:pPr>
              <w:pStyle w:val="TableContents"/>
              <w:spacing w:before="0" w:after="0"/>
              <w:ind w:left="0" w:right="0" w:hanging="0"/>
              <w:jc w:val="center"/>
              <w:rPr/>
            </w:pPr>
            <w:r>
              <w:rPr/>
              <w:t> </w:t>
            </w:r>
          </w:p>
        </w:tc>
      </w:tr>
      <w:tr>
        <w:trPr/>
        <w:tc>
          <w:tcPr>
            <w:tcW w:w="3713"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121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18" w:type="dxa"/>
            <w:tcBorders/>
            <w:shd w:fill="auto" w:val="clear"/>
            <w:vAlign w:val="bottom"/>
          </w:tcPr>
          <w:p>
            <w:pPr>
              <w:pStyle w:val="TableContents"/>
              <w:spacing w:before="0" w:after="0"/>
              <w:ind w:left="0" w:right="0" w:hanging="0"/>
              <w:jc w:val="center"/>
              <w:rPr/>
            </w:pPr>
            <w:r>
              <w:rPr/>
              <w:t> </w:t>
            </w:r>
          </w:p>
        </w:tc>
        <w:tc>
          <w:tcPr>
            <w:tcW w:w="126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56" w:type="dxa"/>
            <w:tcBorders/>
            <w:shd w:fill="auto" w:val="clear"/>
            <w:vAlign w:val="bottom"/>
          </w:tcPr>
          <w:p>
            <w:pPr>
              <w:pStyle w:val="TableContents"/>
              <w:spacing w:before="0" w:after="0"/>
              <w:ind w:left="0" w:right="0" w:hanging="0"/>
              <w:jc w:val="center"/>
              <w:rPr/>
            </w:pPr>
            <w:r>
              <w:rPr/>
              <w:t> </w:t>
            </w:r>
          </w:p>
        </w:tc>
        <w:tc>
          <w:tcPr>
            <w:tcW w:w="132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62" w:type="dxa"/>
            <w:tcBorders/>
            <w:shd w:fill="auto" w:val="clear"/>
            <w:vAlign w:val="bottom"/>
          </w:tcPr>
          <w:p>
            <w:pPr>
              <w:pStyle w:val="TableContents"/>
              <w:spacing w:before="0" w:after="0"/>
              <w:ind w:left="0" w:right="0" w:hanging="0"/>
              <w:jc w:val="center"/>
              <w:rPr/>
            </w:pPr>
            <w:r>
              <w:rPr/>
              <w:t> </w:t>
            </w:r>
          </w:p>
        </w:tc>
      </w:tr>
      <w:tr>
        <w:trPr/>
        <w:tc>
          <w:tcPr>
            <w:tcW w:w="3713"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121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18" w:type="dxa"/>
            <w:tcBorders/>
            <w:shd w:fill="auto" w:val="clear"/>
            <w:vAlign w:val="bottom"/>
          </w:tcPr>
          <w:p>
            <w:pPr>
              <w:pStyle w:val="TableContents"/>
              <w:spacing w:before="0" w:after="0"/>
              <w:ind w:left="0" w:right="0" w:hanging="0"/>
              <w:jc w:val="center"/>
              <w:rPr/>
            </w:pPr>
            <w:r>
              <w:rPr/>
              <w:t> </w:t>
            </w:r>
          </w:p>
        </w:tc>
        <w:tc>
          <w:tcPr>
            <w:tcW w:w="126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56" w:type="dxa"/>
            <w:tcBorders/>
            <w:shd w:fill="auto" w:val="clear"/>
            <w:vAlign w:val="bottom"/>
          </w:tcPr>
          <w:p>
            <w:pPr>
              <w:pStyle w:val="TableContents"/>
              <w:spacing w:before="0" w:after="0"/>
              <w:ind w:left="0" w:right="0" w:hanging="0"/>
              <w:jc w:val="center"/>
              <w:rPr/>
            </w:pPr>
            <w:r>
              <w:rPr/>
              <w:t> </w:t>
            </w:r>
          </w:p>
        </w:tc>
        <w:tc>
          <w:tcPr>
            <w:tcW w:w="132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62" w:type="dxa"/>
            <w:tcBorders/>
            <w:shd w:fill="auto" w:val="clear"/>
            <w:vAlign w:val="bottom"/>
          </w:tcPr>
          <w:p>
            <w:pPr>
              <w:pStyle w:val="TableContents"/>
              <w:spacing w:before="0" w:after="0"/>
              <w:ind w:left="0" w:right="0" w:hanging="0"/>
              <w:jc w:val="center"/>
              <w:rPr/>
            </w:pPr>
            <w:r>
              <w:rPr/>
              <w:t> </w:t>
            </w:r>
          </w:p>
        </w:tc>
      </w:tr>
      <w:tr>
        <w:trPr/>
        <w:tc>
          <w:tcPr>
            <w:tcW w:w="3713"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jc w:val="center"/>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2012</w:t>
            </w:r>
          </w:p>
        </w:tc>
        <w:tc>
          <w:tcPr>
            <w:tcW w:w="218" w:type="dxa"/>
            <w:tcBorders/>
            <w:shd w:fill="auto" w:val="clear"/>
            <w:vAlign w:val="bottom"/>
          </w:tcPr>
          <w:p>
            <w:pPr>
              <w:pStyle w:val="TableContents"/>
              <w:spacing w:before="0" w:after="0"/>
              <w:ind w:left="0" w:right="0" w:hanging="0"/>
              <w:jc w:val="center"/>
              <w:rPr/>
            </w:pPr>
            <w:r>
              <w:rPr/>
              <w:t> </w:t>
            </w:r>
          </w:p>
        </w:tc>
        <w:tc>
          <w:tcPr>
            <w:tcW w:w="12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56" w:type="dxa"/>
            <w:tcBorders/>
            <w:shd w:fill="auto" w:val="clear"/>
            <w:vAlign w:val="bottom"/>
          </w:tcPr>
          <w:p>
            <w:pPr>
              <w:pStyle w:val="TableContents"/>
              <w:spacing w:before="0" w:after="0"/>
              <w:ind w:left="0" w:right="0" w:hanging="0"/>
              <w:jc w:val="center"/>
              <w:rPr/>
            </w:pPr>
            <w:r>
              <w:rPr/>
              <w:t> </w:t>
            </w:r>
          </w:p>
        </w:tc>
        <w:tc>
          <w:tcPr>
            <w:tcW w:w="13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62" w:type="dxa"/>
            <w:tcBorders/>
            <w:shd w:fill="auto" w:val="clear"/>
            <w:vAlign w:val="bottom"/>
          </w:tcPr>
          <w:p>
            <w:pPr>
              <w:pStyle w:val="TableContents"/>
              <w:spacing w:before="0" w:after="0"/>
              <w:ind w:left="0" w:right="0" w:hanging="0"/>
              <w:jc w:val="center"/>
              <w:rPr/>
            </w:pPr>
            <w:r>
              <w:rPr/>
              <w:t> </w:t>
            </w:r>
          </w:p>
        </w:tc>
      </w:tr>
      <w:tr>
        <w:trPr/>
        <w:tc>
          <w:tcPr>
            <w:tcW w:w="37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(MBbl/d) </w:t>
            </w:r>
          </w:p>
        </w:tc>
        <w:tc>
          <w:tcPr>
            <w:tcW w:w="218"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pPr>
            <w:r>
              <w:rPr/>
              <w:t> </w:t>
            </w:r>
          </w:p>
        </w:tc>
        <w:tc>
          <w:tcPr>
            <w:tcW w:w="256" w:type="dxa"/>
            <w:tcBorders/>
            <w:shd w:fill="CCEEFF" w:val="clear"/>
            <w:vAlign w:val="bottom"/>
          </w:tcPr>
          <w:p>
            <w:pPr>
              <w:pStyle w:val="TableContents"/>
              <w:spacing w:before="0" w:after="0"/>
              <w:ind w:left="0" w:right="0" w:hanging="0"/>
              <w:rPr/>
            </w:pPr>
            <w:r>
              <w:rPr/>
              <w:t> </w:t>
            </w:r>
          </w:p>
        </w:tc>
        <w:tc>
          <w:tcPr>
            <w:tcW w:w="1323" w:type="dxa"/>
            <w:gridSpan w:val="2"/>
            <w:tcBorders/>
            <w:shd w:fill="CCEEFF" w:val="clear"/>
            <w:vAlign w:val="bottom"/>
          </w:tcPr>
          <w:p>
            <w:pPr>
              <w:pStyle w:val="TableContents"/>
              <w:spacing w:before="0" w:after="0"/>
              <w:ind w:left="0" w:right="0" w:hanging="0"/>
              <w:jc w:val="right"/>
              <w:rPr/>
            </w:pPr>
            <w:r>
              <w:rPr/>
              <w:t> </w:t>
            </w:r>
          </w:p>
        </w:tc>
        <w:tc>
          <w:tcPr>
            <w:tcW w:w="2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Lease Gathering Purchases </w:t>
            </w:r>
          </w:p>
        </w:tc>
        <w:tc>
          <w:tcPr>
            <w:tcW w:w="218" w:type="dxa"/>
            <w:tcBorders/>
            <w:shd w:fill="auto" w:val="clear"/>
            <w:vAlign w:val="bottom"/>
          </w:tcPr>
          <w:p>
            <w:pPr>
              <w:pStyle w:val="TableContents"/>
              <w:spacing w:before="0" w:after="0"/>
              <w:ind w:left="0" w:right="0" w:hanging="0"/>
              <w:rPr/>
            </w:pPr>
            <w:r>
              <w:rPr/>
              <w:t> </w:t>
            </w:r>
          </w:p>
        </w:tc>
        <w:tc>
          <w:tcPr>
            <w:tcW w:w="12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808</w:t>
            </w:r>
          </w:p>
        </w:tc>
        <w:tc>
          <w:tcPr>
            <w:tcW w:w="218"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835</w:t>
            </w:r>
          </w:p>
        </w:tc>
        <w:tc>
          <w:tcPr>
            <w:tcW w:w="256" w:type="dxa"/>
            <w:tcBorders/>
            <w:shd w:fill="auto" w:val="clear"/>
            <w:vAlign w:val="bottom"/>
          </w:tcPr>
          <w:p>
            <w:pPr>
              <w:pStyle w:val="TableContents"/>
              <w:spacing w:before="0" w:after="0"/>
              <w:ind w:left="0" w:right="0" w:hanging="0"/>
              <w:rPr/>
            </w:pPr>
            <w:r>
              <w:rPr/>
              <w:t> </w:t>
            </w:r>
          </w:p>
        </w:tc>
        <w:tc>
          <w:tcPr>
            <w:tcW w:w="13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815</w:t>
            </w:r>
          </w:p>
        </w:tc>
        <w:tc>
          <w:tcPr>
            <w:tcW w:w="2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218"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218"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56" w:type="dxa"/>
            <w:tcBorders/>
            <w:shd w:fill="CCEEFF" w:val="clear"/>
            <w:vAlign w:val="bottom"/>
          </w:tcPr>
          <w:p>
            <w:pPr>
              <w:pStyle w:val="TableContents"/>
              <w:spacing w:before="0" w:after="0"/>
              <w:ind w:left="0" w:right="0" w:hanging="0"/>
              <w:rPr/>
            </w:pPr>
            <w:r>
              <w:rPr/>
              <w:t> </w:t>
            </w:r>
          </w:p>
        </w:tc>
        <w:tc>
          <w:tcPr>
            <w:tcW w:w="13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2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Waterborne cargos </w:t>
            </w:r>
          </w:p>
        </w:tc>
        <w:tc>
          <w:tcPr>
            <w:tcW w:w="218" w:type="dxa"/>
            <w:tcBorders/>
            <w:shd w:fill="auto" w:val="clear"/>
            <w:vAlign w:val="bottom"/>
          </w:tcPr>
          <w:p>
            <w:pPr>
              <w:pStyle w:val="TableContents"/>
              <w:spacing w:before="0" w:after="0"/>
              <w:ind w:left="0" w:right="0" w:hanging="0"/>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8" w:type="dxa"/>
            <w:tcBorders/>
            <w:shd w:fill="auto" w:val="clear"/>
            <w:vAlign w:val="bottom"/>
          </w:tcPr>
          <w:p>
            <w:pPr>
              <w:pStyle w:val="TableContents"/>
              <w:spacing w:before="0" w:after="0"/>
              <w:ind w:left="0" w:right="0" w:hanging="0"/>
              <w:rPr/>
            </w:pPr>
            <w:r>
              <w:rPr/>
              <w:t> </w:t>
            </w:r>
          </w:p>
        </w:tc>
        <w:tc>
          <w:tcPr>
            <w:tcW w:w="12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6" w:type="dxa"/>
            <w:tcBorders/>
            <w:shd w:fill="auto" w:val="clear"/>
            <w:vAlign w:val="bottom"/>
          </w:tcPr>
          <w:p>
            <w:pPr>
              <w:pStyle w:val="TableContents"/>
              <w:spacing w:before="0" w:after="0"/>
              <w:ind w:left="0" w:right="0" w:hanging="0"/>
              <w:rPr/>
            </w:pPr>
            <w:r>
              <w:rPr/>
              <w:t> </w:t>
            </w:r>
          </w:p>
        </w:tc>
        <w:tc>
          <w:tcPr>
            <w:tcW w:w="13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pPr>
            <w:r>
              <w:rPr/>
              <w:t> </w:t>
            </w:r>
          </w:p>
        </w:tc>
        <w:tc>
          <w:tcPr>
            <w:tcW w:w="121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218" w:type="dxa"/>
            <w:tcBorders/>
            <w:shd w:fill="CCEEFF" w:val="clear"/>
            <w:vAlign w:val="bottom"/>
          </w:tcPr>
          <w:p>
            <w:pPr>
              <w:pStyle w:val="TableContents"/>
              <w:spacing w:before="0" w:after="0"/>
              <w:ind w:left="0" w:right="0" w:hanging="0"/>
              <w:rPr/>
            </w:pPr>
            <w:r>
              <w:rPr/>
              <w:t> </w:t>
            </w:r>
          </w:p>
        </w:tc>
        <w:tc>
          <w:tcPr>
            <w:tcW w:w="126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1,095</w:t>
            </w:r>
          </w:p>
        </w:tc>
        <w:tc>
          <w:tcPr>
            <w:tcW w:w="256" w:type="dxa"/>
            <w:tcBorders/>
            <w:shd w:fill="CCEEFF" w:val="clear"/>
            <w:vAlign w:val="bottom"/>
          </w:tcPr>
          <w:p>
            <w:pPr>
              <w:pStyle w:val="TableContents"/>
              <w:spacing w:before="0" w:after="0"/>
              <w:ind w:left="0" w:right="0" w:hanging="0"/>
              <w:rPr/>
            </w:pPr>
            <w:r>
              <w:rPr/>
              <w:t> </w:t>
            </w:r>
          </w:p>
        </w:tc>
        <w:tc>
          <w:tcPr>
            <w:tcW w:w="132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998</w:t>
            </w:r>
          </w:p>
        </w:tc>
        <w:tc>
          <w:tcPr>
            <w:tcW w:w="2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pPr>
            <w:r>
              <w:rPr/>
              <w:t> </w:t>
            </w:r>
          </w:p>
        </w:tc>
        <w:tc>
          <w:tcPr>
            <w:tcW w:w="1212"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pPr>
            <w:r>
              <w:rPr/>
              <w:t> </w:t>
            </w:r>
          </w:p>
        </w:tc>
        <w:tc>
          <w:tcPr>
            <w:tcW w:w="256" w:type="dxa"/>
            <w:tcBorders/>
            <w:shd w:fill="auto" w:val="clear"/>
            <w:vAlign w:val="bottom"/>
          </w:tcPr>
          <w:p>
            <w:pPr>
              <w:pStyle w:val="TableContents"/>
              <w:spacing w:before="0" w:after="0"/>
              <w:ind w:left="0" w:right="0" w:hanging="0"/>
              <w:rPr/>
            </w:pPr>
            <w:r>
              <w:rPr/>
              <w:t> </w:t>
            </w:r>
          </w:p>
        </w:tc>
        <w:tc>
          <w:tcPr>
            <w:tcW w:w="1323" w:type="dxa"/>
            <w:gridSpan w:val="2"/>
            <w:tcBorders/>
            <w:shd w:fill="auto" w:val="clear"/>
            <w:vAlign w:val="bottom"/>
          </w:tcPr>
          <w:p>
            <w:pPr>
              <w:pStyle w:val="TableContents"/>
              <w:spacing w:before="0" w:after="0"/>
              <w:ind w:left="0" w:right="0" w:hanging="0"/>
              <w:jc w:val="right"/>
              <w:rPr/>
            </w:pPr>
            <w:r>
              <w:rPr/>
              <w:t> </w:t>
            </w:r>
          </w:p>
        </w:tc>
        <w:tc>
          <w:tcPr>
            <w:tcW w:w="2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218" w:type="dxa"/>
            <w:tcBorders/>
            <w:shd w:fill="CCEEFF" w:val="clear"/>
            <w:vAlign w:val="bottom"/>
          </w:tcPr>
          <w:p>
            <w:pPr>
              <w:pStyle w:val="TableContents"/>
              <w:spacing w:before="0" w:after="0"/>
              <w:ind w:left="0" w:right="0" w:hanging="0"/>
              <w:rPr/>
            </w:pPr>
            <w:r>
              <w:rPr/>
              <w:t> </w:t>
            </w:r>
          </w:p>
        </w:tc>
        <w:tc>
          <w:tcPr>
            <w:tcW w:w="1212"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pPr>
            <w:r>
              <w:rPr/>
              <w:t> </w:t>
            </w:r>
          </w:p>
        </w:tc>
        <w:tc>
          <w:tcPr>
            <w:tcW w:w="256" w:type="dxa"/>
            <w:tcBorders/>
            <w:shd w:fill="CCEEFF" w:val="clear"/>
            <w:vAlign w:val="bottom"/>
          </w:tcPr>
          <w:p>
            <w:pPr>
              <w:pStyle w:val="TableContents"/>
              <w:spacing w:before="0" w:after="0"/>
              <w:ind w:left="0" w:right="0" w:hanging="0"/>
              <w:rPr/>
            </w:pPr>
            <w:r>
              <w:rPr/>
              <w:t> </w:t>
            </w:r>
          </w:p>
        </w:tc>
        <w:tc>
          <w:tcPr>
            <w:tcW w:w="1323" w:type="dxa"/>
            <w:gridSpan w:val="2"/>
            <w:tcBorders/>
            <w:shd w:fill="CCEEFF" w:val="clear"/>
            <w:vAlign w:val="bottom"/>
          </w:tcPr>
          <w:p>
            <w:pPr>
              <w:pStyle w:val="TableContents"/>
              <w:spacing w:before="0" w:after="0"/>
              <w:ind w:left="0" w:right="0" w:hanging="0"/>
              <w:jc w:val="right"/>
              <w:rPr/>
            </w:pPr>
            <w:r>
              <w:rPr/>
              <w:t> </w:t>
            </w:r>
          </w:p>
        </w:tc>
        <w:tc>
          <w:tcPr>
            <w:tcW w:w="2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218" w:type="dxa"/>
            <w:tcBorders/>
            <w:shd w:fill="auto" w:val="clear"/>
            <w:vAlign w:val="bottom"/>
          </w:tcPr>
          <w:p>
            <w:pPr>
              <w:pStyle w:val="TableContents"/>
              <w:spacing w:before="0" w:after="0"/>
              <w:ind w:left="0" w:right="0" w:hanging="0"/>
              <w:rPr/>
            </w:pPr>
            <w:r>
              <w:rPr/>
              <w:t> </w:t>
            </w:r>
          </w:p>
        </w:tc>
        <w:tc>
          <w:tcPr>
            <w:tcW w:w="19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8" w:type="dxa"/>
            <w:tcBorders/>
            <w:shd w:fill="auto" w:val="clear"/>
            <w:vAlign w:val="bottom"/>
          </w:tcPr>
          <w:p>
            <w:pPr>
              <w:pStyle w:val="TableContents"/>
              <w:spacing w:before="0" w:after="0"/>
              <w:ind w:left="0" w:right="0" w:hanging="0"/>
              <w:rPr/>
            </w:pPr>
            <w:r>
              <w:rPr/>
              <w:t> </w:t>
            </w:r>
          </w:p>
        </w:tc>
        <w:tc>
          <w:tcPr>
            <w:tcW w:w="2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56"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62"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371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forecasted capital expenditures and projected in-service dates. Depreciation may vary during any one period due to gains and losses on intermittent sales of assets, asset retirement obligations, asset impairments or foreign exchange rates.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222204_7056"/>
      <w:bookmarkEnd w:id="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Capital Expenditures and Acquisitions.</w:t>
      </w:r>
      <w:r>
        <w:rPr>
          <w:rFonts w:ascii="Times New Roman" w:hAnsi="Times New Roman"/>
        </w:rPr>
        <w:t xml:space="preserve">  </w:t>
      </w:r>
      <w:r>
        <w:rPr>
          <w:rFonts w:ascii="Times New Roman" w:hAnsi="Times New Roman"/>
          <w:sz w:val="17"/>
        </w:rPr>
        <w:t>Although acquisitions constitute a key element of our growth strategy, the forecasted results and associated estimates do not include any forecasts for acquisitions that we may commit to after the date hereof. We forecast capital expenditures during calendar 2012 to be approximately $1.15 billion for expansion projects with an additional $160 to $170 million for maintenance capital projects. During the first nine months of 2012, we invested $831 million and $123 million for expansion and maintenance projects, respectively.  The following are some of the more notable projects and forecasted expenditures for the year ending December 31, 2012:</w:t>
      </w:r>
    </w:p>
    <w:p>
      <w:pPr>
        <w:pStyle w:val="TextBody"/>
        <w:spacing w:before="0" w:after="0"/>
        <w:ind w:left="0" w:right="0" w:hanging="0"/>
        <w:jc w:val="center"/>
        <w:rPr/>
      </w:pPr>
      <w:r>
        <w:rPr/>
        <w:t> </w:t>
      </w:r>
    </w:p>
    <w:tbl>
      <w:tblPr>
        <w:tblW w:w="4150" w:type="pct"/>
        <w:jc w:val="left"/>
        <w:tblInd w:w="0" w:type="dxa"/>
        <w:tblCellMar>
          <w:top w:w="0" w:type="dxa"/>
          <w:left w:w="0" w:type="dxa"/>
          <w:bottom w:w="0" w:type="dxa"/>
          <w:right w:w="0" w:type="dxa"/>
        </w:tblCellMar>
      </w:tblPr>
      <w:tblGrid>
        <w:gridCol w:w="6588"/>
        <w:gridCol w:w="342"/>
        <w:gridCol w:w="1540"/>
      </w:tblGrid>
      <w:tr>
        <w:trPr/>
        <w:tc>
          <w:tcPr>
            <w:tcW w:w="6588" w:type="dxa"/>
            <w:tcBorders/>
            <w:shd w:fill="auto" w:val="clear"/>
            <w:vAlign w:val="bottom"/>
          </w:tcPr>
          <w:p>
            <w:pPr>
              <w:pStyle w:val="TableContents"/>
              <w:spacing w:before="0" w:after="0"/>
              <w:ind w:left="0" w:right="0" w:hanging="0"/>
              <w:rPr/>
            </w:pPr>
            <w:r>
              <w:rPr/>
              <w:t> </w:t>
            </w:r>
          </w:p>
        </w:tc>
        <w:tc>
          <w:tcPr>
            <w:tcW w:w="342" w:type="dxa"/>
            <w:tcBorders/>
            <w:shd w:fill="auto" w:val="clear"/>
            <w:vAlign w:val="bottom"/>
          </w:tcPr>
          <w:p>
            <w:pPr>
              <w:pStyle w:val="TableContents"/>
              <w:spacing w:before="0" w:after="0"/>
              <w:ind w:left="0" w:right="0" w:hanging="0"/>
              <w:jc w:val="center"/>
              <w:rPr/>
            </w:pPr>
            <w:r>
              <w:rPr/>
              <w:t> </w:t>
            </w:r>
          </w:p>
        </w:tc>
        <w:tc>
          <w:tcPr>
            <w:tcW w:w="154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2012</w:t>
            </w:r>
          </w:p>
        </w:tc>
      </w:tr>
      <w:tr>
        <w:trPr/>
        <w:tc>
          <w:tcPr>
            <w:tcW w:w="6588" w:type="dxa"/>
            <w:tcBorders/>
            <w:shd w:fill="auto" w:val="clear"/>
            <w:vAlign w:val="bottom"/>
          </w:tcPr>
          <w:p>
            <w:pPr>
              <w:pStyle w:val="TableContents"/>
              <w:spacing w:before="0" w:after="0"/>
              <w:ind w:left="0" w:right="0" w:hanging="0"/>
              <w:rPr/>
            </w:pPr>
            <w:r>
              <w:rPr/>
              <w:t> </w:t>
            </w:r>
          </w:p>
        </w:tc>
        <w:tc>
          <w:tcPr>
            <w:tcW w:w="342" w:type="dxa"/>
            <w:tcBorders/>
            <w:shd w:fill="auto" w:val="clear"/>
            <w:vAlign w:val="bottom"/>
          </w:tcPr>
          <w:p>
            <w:pPr>
              <w:pStyle w:val="TableContents"/>
              <w:spacing w:before="0" w:after="0"/>
              <w:ind w:left="0" w:right="0" w:hanging="0"/>
              <w:jc w:val="center"/>
              <w:rPr/>
            </w:pPr>
            <w:r>
              <w:rPr/>
              <w:t> </w:t>
            </w:r>
          </w:p>
        </w:tc>
        <w:tc>
          <w:tcPr>
            <w:tcW w:w="1540"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r>
      <w:tr>
        <w:trPr/>
        <w:tc>
          <w:tcPr>
            <w:tcW w:w="658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342" w:type="dxa"/>
            <w:tcBorders/>
            <w:shd w:fill="CCEEFF" w:val="clear"/>
            <w:vAlign w:val="bottom"/>
          </w:tcPr>
          <w:p>
            <w:pPr>
              <w:pStyle w:val="TableContents"/>
              <w:spacing w:before="0" w:after="0"/>
              <w:ind w:left="0" w:right="0" w:hanging="0"/>
              <w:rPr/>
            </w:pPr>
            <w:r>
              <w:rPr/>
              <w:t> </w:t>
            </w:r>
          </w:p>
        </w:tc>
        <w:tc>
          <w:tcPr>
            <w:tcW w:w="1540" w:type="dxa"/>
            <w:tcBorders/>
            <w:shd w:fill="CCEEFF" w:val="clear"/>
          </w:tcPr>
          <w:p>
            <w:pPr>
              <w:pStyle w:val="TableContents"/>
              <w:spacing w:before="0" w:after="0"/>
              <w:ind w:left="0" w:right="0" w:hanging="0"/>
              <w:rPr/>
            </w:pPr>
            <w:r>
              <w:rPr/>
              <w:t> </w:t>
            </w:r>
          </w:p>
        </w:tc>
      </w:tr>
      <w:tr>
        <w:trPr/>
        <w:tc>
          <w:tcPr>
            <w:tcW w:w="6588" w:type="dxa"/>
            <w:tcBorders/>
            <w:shd w:fill="auto" w:val="clear"/>
          </w:tcPr>
          <w:p>
            <w:pPr>
              <w:pStyle w:val="TableContents"/>
              <w:spacing w:before="0" w:after="0"/>
              <w:ind w:left="0" w:right="0" w:hanging="0"/>
              <w:rPr/>
            </w:pPr>
            <w:r>
              <w:rPr>
                <w:rFonts w:ascii="Symbol" w:hAnsi="Symbol"/>
                <w:sz w:val="17"/>
              </w:rPr>
              <w:t>·</w:t>
            </w:r>
            <w:r>
              <w:rPr/>
              <w:t xml:space="preserve"> </w:t>
            </w:r>
            <w:r>
              <w:rPr>
                <w:sz w:val="17"/>
              </w:rPr>
              <w:t>Eagle Ford Project</w:t>
            </w:r>
          </w:p>
        </w:tc>
        <w:tc>
          <w:tcPr>
            <w:tcW w:w="342" w:type="dxa"/>
            <w:tcBorders/>
            <w:shd w:fill="auto" w:val="clear"/>
            <w:vAlign w:val="bottom"/>
          </w:tcPr>
          <w:p>
            <w:pPr>
              <w:pStyle w:val="TableContents"/>
              <w:spacing w:before="0" w:after="0"/>
              <w:ind w:left="0" w:right="0" w:hanging="0"/>
              <w:rPr/>
            </w:pPr>
            <w:r>
              <w:rPr/>
              <w:t> </w:t>
            </w:r>
          </w:p>
        </w:tc>
        <w:tc>
          <w:tcPr>
            <w:tcW w:w="15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$125</w:t>
            </w:r>
          </w:p>
        </w:tc>
      </w:tr>
      <w:tr>
        <w:trPr/>
        <w:tc>
          <w:tcPr>
            <w:tcW w:w="658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Spraberry Area Pipeline Projects</w:t>
            </w:r>
          </w:p>
        </w:tc>
        <w:tc>
          <w:tcPr>
            <w:tcW w:w="342" w:type="dxa"/>
            <w:tcBorders/>
            <w:shd w:fill="CCEEFF" w:val="clear"/>
            <w:vAlign w:val="bottom"/>
          </w:tcPr>
          <w:p>
            <w:pPr>
              <w:pStyle w:val="TableContents"/>
              <w:spacing w:before="0" w:after="0"/>
              <w:ind w:left="0" w:right="0" w:hanging="0"/>
              <w:rPr/>
            </w:pPr>
            <w:r>
              <w:rPr/>
              <w:t> </w:t>
            </w:r>
          </w:p>
        </w:tc>
        <w:tc>
          <w:tcPr>
            <w:tcW w:w="1540"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r>
      <w:tr>
        <w:trPr/>
        <w:tc>
          <w:tcPr>
            <w:tcW w:w="6588" w:type="dxa"/>
            <w:tcBorders/>
            <w:shd w:fill="auto" w:val="clear"/>
          </w:tcPr>
          <w:p>
            <w:pPr>
              <w:pStyle w:val="TableContents"/>
              <w:spacing w:before="0" w:after="0"/>
              <w:ind w:left="0" w:right="0" w:hanging="0"/>
              <w:rPr/>
            </w:pPr>
            <w:r>
              <w:rPr>
                <w:rFonts w:ascii="Symbol" w:hAnsi="Symbol"/>
                <w:sz w:val="17"/>
              </w:rPr>
              <w:t>·</w:t>
            </w:r>
            <w:r>
              <w:rPr/>
              <w:t xml:space="preserve"> </w:t>
            </w:r>
            <w:r>
              <w:rPr>
                <w:sz w:val="17"/>
              </w:rPr>
              <w:t xml:space="preserve">Gardendale Gathering System </w:t>
            </w:r>
            <w:r>
              <w:rPr>
                <w:sz w:val="11"/>
              </w:rPr>
              <w:t>(1)</w:t>
            </w:r>
          </w:p>
        </w:tc>
        <w:tc>
          <w:tcPr>
            <w:tcW w:w="342" w:type="dxa"/>
            <w:tcBorders/>
            <w:shd w:fill="auto" w:val="clear"/>
            <w:vAlign w:val="bottom"/>
          </w:tcPr>
          <w:p>
            <w:pPr>
              <w:pStyle w:val="TableContents"/>
              <w:spacing w:before="0" w:after="0"/>
              <w:ind w:left="0" w:right="0" w:hanging="0"/>
              <w:rPr/>
            </w:pPr>
            <w:r>
              <w:rPr/>
              <w:t> </w:t>
            </w:r>
          </w:p>
        </w:tc>
        <w:tc>
          <w:tcPr>
            <w:tcW w:w="15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85</w:t>
            </w:r>
          </w:p>
        </w:tc>
      </w:tr>
      <w:tr>
        <w:trPr/>
        <w:tc>
          <w:tcPr>
            <w:tcW w:w="658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Rainbow II Pipeline</w:t>
            </w:r>
          </w:p>
        </w:tc>
        <w:tc>
          <w:tcPr>
            <w:tcW w:w="342" w:type="dxa"/>
            <w:tcBorders/>
            <w:shd w:fill="CCEEFF" w:val="clear"/>
            <w:vAlign w:val="bottom"/>
          </w:tcPr>
          <w:p>
            <w:pPr>
              <w:pStyle w:val="TableContents"/>
              <w:spacing w:before="0" w:after="0"/>
              <w:ind w:left="0" w:right="0" w:hanging="0"/>
              <w:rPr/>
            </w:pPr>
            <w:r>
              <w:rPr/>
              <w:t> </w:t>
            </w:r>
          </w:p>
        </w:tc>
        <w:tc>
          <w:tcPr>
            <w:tcW w:w="1540"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r>
      <w:tr>
        <w:trPr/>
        <w:tc>
          <w:tcPr>
            <w:tcW w:w="6588" w:type="dxa"/>
            <w:tcBorders/>
            <w:shd w:fill="auto" w:val="clear"/>
          </w:tcPr>
          <w:p>
            <w:pPr>
              <w:pStyle w:val="TableContents"/>
              <w:spacing w:before="0" w:after="0"/>
              <w:ind w:left="0" w:right="0" w:hanging="0"/>
              <w:rPr/>
            </w:pPr>
            <w:r>
              <w:rPr>
                <w:rFonts w:ascii="Symbol" w:hAnsi="Symbol"/>
                <w:sz w:val="17"/>
              </w:rPr>
              <w:t>·</w:t>
            </w:r>
            <w:r>
              <w:rPr/>
              <w:t xml:space="preserve"> </w:t>
            </w:r>
            <w:r>
              <w:rPr>
                <w:sz w:val="17"/>
              </w:rPr>
              <w:t>PAA Natural Gas Storage (multiple projects)</w:t>
            </w:r>
          </w:p>
        </w:tc>
        <w:tc>
          <w:tcPr>
            <w:tcW w:w="342" w:type="dxa"/>
            <w:tcBorders/>
            <w:shd w:fill="auto" w:val="clear"/>
            <w:vAlign w:val="bottom"/>
          </w:tcPr>
          <w:p>
            <w:pPr>
              <w:pStyle w:val="TableContents"/>
              <w:spacing w:before="0" w:after="0"/>
              <w:ind w:left="0" w:right="0" w:hanging="0"/>
              <w:rPr/>
            </w:pPr>
            <w:r>
              <w:rPr/>
              <w:t> </w:t>
            </w:r>
          </w:p>
        </w:tc>
        <w:tc>
          <w:tcPr>
            <w:tcW w:w="15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61</w:t>
            </w:r>
          </w:p>
        </w:tc>
      </w:tr>
      <w:tr>
        <w:trPr/>
        <w:tc>
          <w:tcPr>
            <w:tcW w:w="658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Bakken North</w:t>
            </w:r>
          </w:p>
        </w:tc>
        <w:tc>
          <w:tcPr>
            <w:tcW w:w="342" w:type="dxa"/>
            <w:tcBorders/>
            <w:shd w:fill="CCEEFF" w:val="clear"/>
            <w:vAlign w:val="bottom"/>
          </w:tcPr>
          <w:p>
            <w:pPr>
              <w:pStyle w:val="TableContents"/>
              <w:spacing w:before="0" w:after="0"/>
              <w:ind w:left="0" w:right="0" w:hanging="0"/>
              <w:rPr/>
            </w:pPr>
            <w:r>
              <w:rPr/>
              <w:t> </w:t>
            </w:r>
          </w:p>
        </w:tc>
        <w:tc>
          <w:tcPr>
            <w:tcW w:w="1540"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r>
      <w:tr>
        <w:trPr/>
        <w:tc>
          <w:tcPr>
            <w:tcW w:w="6588" w:type="dxa"/>
            <w:tcBorders/>
            <w:shd w:fill="auto" w:val="clear"/>
          </w:tcPr>
          <w:p>
            <w:pPr>
              <w:pStyle w:val="TableContents"/>
              <w:spacing w:before="0" w:after="0"/>
              <w:ind w:left="0" w:right="0" w:hanging="0"/>
              <w:rPr/>
            </w:pPr>
            <w:r>
              <w:rPr>
                <w:rFonts w:ascii="Symbol" w:hAnsi="Symbol"/>
                <w:sz w:val="17"/>
              </w:rPr>
              <w:t>·</w:t>
            </w:r>
            <w:r>
              <w:rPr/>
              <w:t xml:space="preserve"> </w:t>
            </w:r>
            <w:r>
              <w:rPr>
                <w:sz w:val="17"/>
              </w:rPr>
              <w:t xml:space="preserve">Rail Projects </w:t>
            </w:r>
            <w:r>
              <w:rPr>
                <w:sz w:val="11"/>
              </w:rPr>
              <w:t>(2)</w:t>
            </w:r>
          </w:p>
        </w:tc>
        <w:tc>
          <w:tcPr>
            <w:tcW w:w="342" w:type="dxa"/>
            <w:tcBorders/>
            <w:shd w:fill="auto" w:val="clear"/>
            <w:vAlign w:val="bottom"/>
          </w:tcPr>
          <w:p>
            <w:pPr>
              <w:pStyle w:val="TableContents"/>
              <w:spacing w:before="0" w:after="0"/>
              <w:ind w:left="0" w:right="0" w:hanging="0"/>
              <w:rPr/>
            </w:pPr>
            <w:r>
              <w:rPr/>
              <w:t> </w:t>
            </w:r>
          </w:p>
        </w:tc>
        <w:tc>
          <w:tcPr>
            <w:tcW w:w="15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r>
      <w:tr>
        <w:trPr/>
        <w:tc>
          <w:tcPr>
            <w:tcW w:w="658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Mississippian Lime Project</w:t>
            </w:r>
          </w:p>
        </w:tc>
        <w:tc>
          <w:tcPr>
            <w:tcW w:w="342" w:type="dxa"/>
            <w:tcBorders/>
            <w:shd w:fill="CCEEFF" w:val="clear"/>
            <w:vAlign w:val="bottom"/>
          </w:tcPr>
          <w:p>
            <w:pPr>
              <w:pStyle w:val="TableContents"/>
              <w:spacing w:before="0" w:after="0"/>
              <w:ind w:left="0" w:right="0" w:hanging="0"/>
              <w:rPr/>
            </w:pPr>
            <w:r>
              <w:rPr/>
              <w:t> </w:t>
            </w:r>
          </w:p>
        </w:tc>
        <w:tc>
          <w:tcPr>
            <w:tcW w:w="1540"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45</w:t>
            </w:r>
          </w:p>
        </w:tc>
      </w:tr>
      <w:tr>
        <w:trPr/>
        <w:tc>
          <w:tcPr>
            <w:tcW w:w="6588" w:type="dxa"/>
            <w:tcBorders/>
            <w:shd w:fill="auto" w:val="clear"/>
          </w:tcPr>
          <w:p>
            <w:pPr>
              <w:pStyle w:val="TableContents"/>
              <w:spacing w:before="0" w:after="0"/>
              <w:ind w:left="0" w:right="0" w:hanging="0"/>
              <w:rPr/>
            </w:pPr>
            <w:r>
              <w:rPr>
                <w:rFonts w:ascii="Symbol" w:hAnsi="Symbol"/>
                <w:sz w:val="17"/>
              </w:rPr>
              <w:t>·</w:t>
            </w:r>
            <w:r>
              <w:rPr/>
              <w:t xml:space="preserve"> </w:t>
            </w:r>
            <w:r>
              <w:rPr>
                <w:sz w:val="17"/>
              </w:rPr>
              <w:t xml:space="preserve">St. James Terminal Expansion </w:t>
            </w:r>
            <w:r>
              <w:rPr>
                <w:sz w:val="11"/>
              </w:rPr>
              <w:t>(3)</w:t>
            </w:r>
          </w:p>
        </w:tc>
        <w:tc>
          <w:tcPr>
            <w:tcW w:w="342" w:type="dxa"/>
            <w:tcBorders/>
            <w:shd w:fill="auto" w:val="clear"/>
            <w:vAlign w:val="bottom"/>
          </w:tcPr>
          <w:p>
            <w:pPr>
              <w:pStyle w:val="TableContents"/>
              <w:spacing w:before="0" w:after="0"/>
              <w:ind w:left="0" w:right="0" w:hanging="0"/>
              <w:rPr/>
            </w:pPr>
            <w:r>
              <w:rPr/>
              <w:t> </w:t>
            </w:r>
          </w:p>
        </w:tc>
        <w:tc>
          <w:tcPr>
            <w:tcW w:w="15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45</w:t>
            </w:r>
          </w:p>
        </w:tc>
      </w:tr>
      <w:tr>
        <w:trPr/>
        <w:tc>
          <w:tcPr>
            <w:tcW w:w="658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Yorktown Terminal Project</w:t>
            </w:r>
          </w:p>
        </w:tc>
        <w:tc>
          <w:tcPr>
            <w:tcW w:w="342" w:type="dxa"/>
            <w:tcBorders/>
            <w:shd w:fill="CCEEFF" w:val="clear"/>
            <w:vAlign w:val="bottom"/>
          </w:tcPr>
          <w:p>
            <w:pPr>
              <w:pStyle w:val="TableContents"/>
              <w:spacing w:before="0" w:after="0"/>
              <w:ind w:left="0" w:right="0" w:hanging="0"/>
              <w:rPr/>
            </w:pPr>
            <w:r>
              <w:rPr/>
              <w:t> </w:t>
            </w:r>
          </w:p>
        </w:tc>
        <w:tc>
          <w:tcPr>
            <w:tcW w:w="1540"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r>
      <w:tr>
        <w:trPr/>
        <w:tc>
          <w:tcPr>
            <w:tcW w:w="6588" w:type="dxa"/>
            <w:tcBorders/>
            <w:shd w:fill="auto" w:val="clear"/>
          </w:tcPr>
          <w:p>
            <w:pPr>
              <w:pStyle w:val="TableContents"/>
              <w:spacing w:before="0" w:after="0"/>
              <w:ind w:left="0" w:right="0" w:hanging="0"/>
              <w:rPr/>
            </w:pPr>
            <w:r>
              <w:rPr>
                <w:rFonts w:ascii="Symbol" w:hAnsi="Symbol"/>
                <w:sz w:val="17"/>
              </w:rPr>
              <w:t>·</w:t>
            </w:r>
            <w:r>
              <w:rPr/>
              <w:t xml:space="preserve"> </w:t>
            </w:r>
            <w:r>
              <w:rPr>
                <w:sz w:val="17"/>
              </w:rPr>
              <w:t xml:space="preserve">Cushing Terminal Expansion </w:t>
            </w:r>
            <w:r>
              <w:rPr>
                <w:sz w:val="11"/>
              </w:rPr>
              <w:t>(3)</w:t>
            </w:r>
          </w:p>
        </w:tc>
        <w:tc>
          <w:tcPr>
            <w:tcW w:w="342" w:type="dxa"/>
            <w:tcBorders/>
            <w:shd w:fill="auto" w:val="clear"/>
            <w:vAlign w:val="bottom"/>
          </w:tcPr>
          <w:p>
            <w:pPr>
              <w:pStyle w:val="TableContents"/>
              <w:spacing w:before="0" w:after="0"/>
              <w:ind w:left="0" w:right="0" w:hanging="0"/>
              <w:rPr/>
            </w:pPr>
            <w:r>
              <w:rPr/>
              <w:t> </w:t>
            </w:r>
          </w:p>
        </w:tc>
        <w:tc>
          <w:tcPr>
            <w:tcW w:w="15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r>
      <w:tr>
        <w:trPr/>
        <w:tc>
          <w:tcPr>
            <w:tcW w:w="658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BP NGL Acquisition Related Projects</w:t>
            </w:r>
          </w:p>
        </w:tc>
        <w:tc>
          <w:tcPr>
            <w:tcW w:w="342" w:type="dxa"/>
            <w:tcBorders/>
            <w:shd w:fill="CCEEFF" w:val="clear"/>
            <w:vAlign w:val="bottom"/>
          </w:tcPr>
          <w:p>
            <w:pPr>
              <w:pStyle w:val="TableContents"/>
              <w:spacing w:before="0" w:after="0"/>
              <w:ind w:left="0" w:right="0" w:hanging="0"/>
              <w:rPr/>
            </w:pPr>
            <w:r>
              <w:rPr/>
              <w:t> </w:t>
            </w:r>
          </w:p>
        </w:tc>
        <w:tc>
          <w:tcPr>
            <w:tcW w:w="1540"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25</w:t>
            </w:r>
          </w:p>
        </w:tc>
      </w:tr>
      <w:tr>
        <w:trPr/>
        <w:tc>
          <w:tcPr>
            <w:tcW w:w="6588" w:type="dxa"/>
            <w:tcBorders/>
            <w:shd w:fill="auto" w:val="clear"/>
          </w:tcPr>
          <w:p>
            <w:pPr>
              <w:pStyle w:val="TableContents"/>
              <w:spacing w:before="0" w:after="0"/>
              <w:ind w:left="0" w:right="0" w:hanging="0"/>
              <w:rPr/>
            </w:pPr>
            <w:r>
              <w:rPr>
                <w:rFonts w:ascii="Symbol" w:hAnsi="Symbol"/>
                <w:sz w:val="17"/>
              </w:rPr>
              <w:t>·</w:t>
            </w:r>
            <w:r>
              <w:rPr/>
              <w:t xml:space="preserve"> </w:t>
            </w:r>
            <w:r>
              <w:rPr>
                <w:sz w:val="17"/>
              </w:rPr>
              <w:t xml:space="preserve">Patoka Terminal Expansion </w:t>
            </w:r>
            <w:r>
              <w:rPr>
                <w:sz w:val="11"/>
              </w:rPr>
              <w:t>(3)</w:t>
            </w:r>
          </w:p>
        </w:tc>
        <w:tc>
          <w:tcPr>
            <w:tcW w:w="342" w:type="dxa"/>
            <w:tcBorders/>
            <w:shd w:fill="auto" w:val="clear"/>
            <w:vAlign w:val="bottom"/>
          </w:tcPr>
          <w:p>
            <w:pPr>
              <w:pStyle w:val="TableContents"/>
              <w:spacing w:before="0" w:after="0"/>
              <w:ind w:left="0" w:right="0" w:hanging="0"/>
              <w:rPr/>
            </w:pPr>
            <w:r>
              <w:rPr/>
              <w:t> </w:t>
            </w:r>
          </w:p>
        </w:tc>
        <w:tc>
          <w:tcPr>
            <w:tcW w:w="15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25</w:t>
            </w:r>
          </w:p>
        </w:tc>
      </w:tr>
      <w:tr>
        <w:trPr/>
        <w:tc>
          <w:tcPr>
            <w:tcW w:w="658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Shafter Expansion</w:t>
            </w:r>
          </w:p>
        </w:tc>
        <w:tc>
          <w:tcPr>
            <w:tcW w:w="342" w:type="dxa"/>
            <w:tcBorders/>
            <w:shd w:fill="CCEEFF" w:val="clear"/>
            <w:vAlign w:val="bottom"/>
          </w:tcPr>
          <w:p>
            <w:pPr>
              <w:pStyle w:val="TableContents"/>
              <w:spacing w:before="0" w:after="0"/>
              <w:ind w:left="0" w:right="0" w:hanging="0"/>
              <w:rPr/>
            </w:pPr>
            <w:r>
              <w:rPr/>
              <w:t> </w:t>
            </w:r>
          </w:p>
        </w:tc>
        <w:tc>
          <w:tcPr>
            <w:tcW w:w="1540"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18</w:t>
            </w:r>
          </w:p>
        </w:tc>
      </w:tr>
      <w:tr>
        <w:trPr/>
        <w:tc>
          <w:tcPr>
            <w:tcW w:w="6588" w:type="dxa"/>
            <w:tcBorders/>
            <w:shd w:fill="auto" w:val="clear"/>
          </w:tcPr>
          <w:p>
            <w:pPr>
              <w:pStyle w:val="TableContents"/>
              <w:spacing w:before="0" w:after="0"/>
              <w:ind w:left="0" w:right="0" w:hanging="0"/>
              <w:rPr/>
            </w:pPr>
            <w:r>
              <w:rPr>
                <w:rFonts w:ascii="Symbol" w:hAnsi="Symbol"/>
                <w:sz w:val="17"/>
              </w:rPr>
              <w:t>·</w:t>
            </w:r>
            <w:r>
              <w:rPr/>
              <w:t xml:space="preserve"> </w:t>
            </w:r>
            <w:r>
              <w:rPr>
                <w:sz w:val="17"/>
              </w:rPr>
              <w:t xml:space="preserve">Other Projects </w:t>
            </w:r>
            <w:r>
              <w:rPr>
                <w:sz w:val="11"/>
              </w:rPr>
              <w:t>(4)</w:t>
            </w:r>
          </w:p>
        </w:tc>
        <w:tc>
          <w:tcPr>
            <w:tcW w:w="342" w:type="dxa"/>
            <w:tcBorders/>
            <w:shd w:fill="auto" w:val="clear"/>
            <w:vAlign w:val="bottom"/>
          </w:tcPr>
          <w:p>
            <w:pPr>
              <w:pStyle w:val="TableContents"/>
              <w:spacing w:before="0" w:after="0"/>
              <w:ind w:left="0" w:right="0" w:hanging="0"/>
              <w:rPr/>
            </w:pPr>
            <w:r>
              <w:rPr/>
              <w:t> </w:t>
            </w:r>
          </w:p>
        </w:tc>
        <w:tc>
          <w:tcPr>
            <w:tcW w:w="1540"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391</w:t>
            </w:r>
          </w:p>
        </w:tc>
      </w:tr>
      <w:tr>
        <w:trPr/>
        <w:tc>
          <w:tcPr>
            <w:tcW w:w="6588" w:type="dxa"/>
            <w:tcBorders/>
            <w:shd w:fill="CCEEFF" w:val="clear"/>
          </w:tcPr>
          <w:p>
            <w:pPr>
              <w:pStyle w:val="TableContents"/>
              <w:spacing w:before="0" w:after="0"/>
              <w:ind w:left="0" w:right="0" w:hanging="0"/>
              <w:rPr/>
            </w:pPr>
            <w:r>
              <w:rPr/>
              <w:t> </w:t>
            </w:r>
          </w:p>
        </w:tc>
        <w:tc>
          <w:tcPr>
            <w:tcW w:w="342" w:type="dxa"/>
            <w:tcBorders/>
            <w:shd w:fill="CCEEFF" w:val="clear"/>
            <w:vAlign w:val="bottom"/>
          </w:tcPr>
          <w:p>
            <w:pPr>
              <w:pStyle w:val="TableContents"/>
              <w:spacing w:before="0" w:after="0"/>
              <w:ind w:left="0" w:right="0" w:hanging="0"/>
              <w:rPr/>
            </w:pPr>
            <w:r>
              <w:rPr/>
              <w:t> </w:t>
            </w:r>
          </w:p>
        </w:tc>
        <w:tc>
          <w:tcPr>
            <w:tcW w:w="1540"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$1,150</w:t>
            </w:r>
          </w:p>
        </w:tc>
      </w:tr>
      <w:tr>
        <w:trPr/>
        <w:tc>
          <w:tcPr>
            <w:tcW w:w="6588" w:type="dxa"/>
            <w:tcBorders/>
            <w:shd w:fill="auto" w:val="clear"/>
          </w:tcPr>
          <w:p>
            <w:pPr>
              <w:pStyle w:val="TableContents"/>
              <w:spacing w:before="0" w:after="0"/>
              <w:ind w:left="0" w:right="0" w:hanging="0"/>
              <w:rPr/>
            </w:pPr>
            <w:r>
              <w:rPr>
                <w:rFonts w:ascii="Times New Roman" w:hAnsi="Times New Roman"/>
                <w:sz w:val="17"/>
              </w:rPr>
              <w:t xml:space="preserve">Potential Adjustments for Timing / Scope Refinement </w:t>
            </w:r>
            <w:r>
              <w:rPr>
                <w:sz w:val="11"/>
              </w:rPr>
              <w:t>(5)</w:t>
            </w:r>
          </w:p>
        </w:tc>
        <w:tc>
          <w:tcPr>
            <w:tcW w:w="342" w:type="dxa"/>
            <w:tcBorders/>
            <w:shd w:fill="auto" w:val="clear"/>
            <w:vAlign w:val="bottom"/>
          </w:tcPr>
          <w:p>
            <w:pPr>
              <w:pStyle w:val="TableContents"/>
              <w:spacing w:before="0" w:after="0"/>
              <w:ind w:left="0" w:right="0" w:hanging="0"/>
              <w:rPr/>
            </w:pPr>
            <w:r>
              <w:rPr/>
              <w:t> </w:t>
            </w:r>
          </w:p>
        </w:tc>
        <w:tc>
          <w:tcPr>
            <w:tcW w:w="1540"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 $50 + $100</w:t>
            </w:r>
          </w:p>
        </w:tc>
      </w:tr>
      <w:tr>
        <w:trPr/>
        <w:tc>
          <w:tcPr>
            <w:tcW w:w="658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342" w:type="dxa"/>
            <w:tcBorders/>
            <w:shd w:fill="CCEEFF" w:val="clear"/>
            <w:vAlign w:val="bottom"/>
          </w:tcPr>
          <w:p>
            <w:pPr>
              <w:pStyle w:val="TableContents"/>
              <w:spacing w:before="0" w:after="0"/>
              <w:ind w:left="0" w:right="0" w:hanging="0"/>
              <w:rPr/>
            </w:pPr>
            <w:r>
              <w:rPr/>
              <w:t> </w:t>
            </w:r>
          </w:p>
        </w:tc>
        <w:tc>
          <w:tcPr>
            <w:tcW w:w="1540" w:type="dxa"/>
            <w:tcBorders>
              <w:bottom w:val="double" w:sz="6" w:space="0" w:color="000000"/>
            </w:tcBorders>
            <w:shd w:fill="CCEEFF"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$1,100 - $1,250</w:t>
            </w:r>
          </w:p>
        </w:tc>
      </w:tr>
      <w:tr>
        <w:trPr/>
        <w:tc>
          <w:tcPr>
            <w:tcW w:w="6588" w:type="dxa"/>
            <w:tcBorders/>
            <w:shd w:fill="auto" w:val="clear"/>
          </w:tcPr>
          <w:p>
            <w:pPr>
              <w:pStyle w:val="TableContents"/>
              <w:spacing w:before="0" w:after="0"/>
              <w:ind w:left="0" w:right="0" w:hanging="0"/>
              <w:rPr/>
            </w:pPr>
            <w:r>
              <w:rPr/>
              <w:t> </w:t>
            </w:r>
          </w:p>
        </w:tc>
        <w:tc>
          <w:tcPr>
            <w:tcW w:w="342" w:type="dxa"/>
            <w:tcBorders/>
            <w:shd w:fill="auto" w:val="clear"/>
            <w:vAlign w:val="bottom"/>
          </w:tcPr>
          <w:p>
            <w:pPr>
              <w:pStyle w:val="TableContents"/>
              <w:spacing w:before="0" w:after="0"/>
              <w:ind w:left="0" w:right="0" w:hanging="0"/>
              <w:rPr/>
            </w:pPr>
            <w:r>
              <w:rPr/>
              <w:t> </w:t>
            </w:r>
          </w:p>
        </w:tc>
        <w:tc>
          <w:tcPr>
            <w:tcW w:w="1540" w:type="dxa"/>
            <w:tcBorders/>
            <w:shd w:fill="auto" w:val="clear"/>
          </w:tcPr>
          <w:p>
            <w:pPr>
              <w:pStyle w:val="TableContents"/>
              <w:spacing w:before="0" w:after="0"/>
              <w:ind w:left="0" w:right="0" w:hanging="0"/>
              <w:jc w:val="center"/>
              <w:rPr/>
            </w:pPr>
            <w:r>
              <w:rPr/>
              <w:t> </w:t>
            </w:r>
          </w:p>
        </w:tc>
      </w:tr>
      <w:tr>
        <w:trPr/>
        <w:tc>
          <w:tcPr>
            <w:tcW w:w="658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 Expenditures</w:t>
            </w:r>
          </w:p>
        </w:tc>
        <w:tc>
          <w:tcPr>
            <w:tcW w:w="342" w:type="dxa"/>
            <w:tcBorders/>
            <w:shd w:fill="CCEEFF" w:val="clear"/>
            <w:vAlign w:val="bottom"/>
          </w:tcPr>
          <w:p>
            <w:pPr>
              <w:pStyle w:val="TableContents"/>
              <w:spacing w:before="0" w:after="0"/>
              <w:ind w:left="0" w:right="0" w:hanging="0"/>
              <w:rPr/>
            </w:pPr>
            <w:r>
              <w:rPr/>
              <w:t> </w:t>
            </w:r>
          </w:p>
        </w:tc>
        <w:tc>
          <w:tcPr>
            <w:tcW w:w="1540"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$160 - $170</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pipeline, tankage and condensate stabilization.</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Excludes rail project associated with the Yorktown terminal project.</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carryover capital from 2011 expansions as well as new expansions.</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Primarily multiple, smaller projects comprised of pipeline connections, upgrades and truck stations, new tank construction and refurbishing, pipeline linefill purchases and carry-over of projects from prior years.</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Capital Structure.</w:t>
      </w:r>
      <w:r>
        <w:rPr>
          <w:rFonts w:ascii="Times New Roman" w:hAnsi="Times New Roman"/>
        </w:rPr>
        <w:t xml:space="preserve"> </w:t>
      </w:r>
      <w:r>
        <w:rPr>
          <w:rFonts w:ascii="Times New Roman" w:hAnsi="Times New Roman"/>
          <w:sz w:val="17"/>
        </w:rPr>
        <w:t>This guidance is based on our capital structure as of September 30, 2012 and adjusted for estimated equity issuances under our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Interest Expense.</w:t>
      </w:r>
      <w:r>
        <w:rPr>
          <w:rFonts w:ascii="Times New Roman" w:hAnsi="Times New Roman"/>
        </w:rPr>
        <w:t xml:space="preserve"> </w:t>
      </w:r>
      <w:r>
        <w:rPr>
          <w:rFonts w:ascii="Times New Roman" w:hAnsi="Times New Roman"/>
          <w:sz w:val="17"/>
        </w:rPr>
        <w:t>Debt balances are projected based on estimated cash flows, estimated distribution rates, estimated capital expenditures for maintenance and expansion projects, expected timing of collections and payments and forecasted levels of inventory and other working capital sources and uses. Interest rate assumptions for variable-rate debt are based on the current forward LIBOR curve.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deferred amounts associated with terminated interest-rate hedges and interest on short-term debt for non-contango inventory (primarily hedged NGL inventory and New York Mercantile Exchange and Intercontinental Exchange margin deposits). Interest expense is net of amounts capitalized for major expansion capital projects and does not include interest on borrowings for inventory stored in a contango market. We treat interest on hedged inventory borrowings as carrying costs of crude oil and NGL and include it in purchases and related costs.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Income Taxes</w:t>
      </w:r>
      <w:r>
        <w:rPr>
          <w:rFonts w:ascii="Times New Roman" w:hAnsi="Times New Roman"/>
          <w:sz w:val="17"/>
        </w:rPr>
        <w:t>. We expect Canadian income tax expense/(benefit) to be approximately $23 million and $66 million for the three-month and twelve-month periods ending December 31, 2012, respectively, of which approximately $22 million and $54 million, respectively, is classified as current.  For the twelve-month period ending December 31, 2012 we expect to have a deferred tax expense of $12 million.  All or part of the income tax expense of $66 million may result in a tax credit to our equity holders.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232556_7056"/>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Reconciliation of Adjusted</w:t>
      </w:r>
      <w:r>
        <w:rPr>
          <w:rFonts w:ascii="Times New Roman" w:hAnsi="Times New Roman"/>
        </w:rPr>
        <w:t xml:space="preserve"> </w:t>
      </w:r>
      <w:r>
        <w:rPr>
          <w:rFonts w:ascii="Times New Roman" w:hAnsi="Times New Roman"/>
          <w:i/>
          <w:sz w:val="17"/>
        </w:rPr>
        <w:t>EBITDA to Implied DCF.</w:t>
      </w:r>
      <w:r>
        <w:rPr>
          <w:rFonts w:ascii="Times New Roman" w:hAnsi="Times New Roman"/>
        </w:rPr>
        <w:t xml:space="preserve"> </w:t>
      </w:r>
      <w:r>
        <w:rPr>
          <w:rFonts w:ascii="Times New Roman" w:hAnsi="Times New Roman"/>
          <w:sz w:val="17"/>
        </w:rPr>
        <w:t>The following table reconciles the mid-point of adjusted EBITDA to implied distributable cash flow for the three-month and twelve-month periods ending December 31, 2012.</w:t>
      </w:r>
    </w:p>
    <w:p>
      <w:pPr>
        <w:pStyle w:val="TextBody"/>
        <w:spacing w:before="0" w:after="0"/>
        <w:ind w:left="0" w:right="0" w:hanging="0"/>
        <w:jc w:val="center"/>
        <w:rPr/>
      </w:pPr>
      <w:r>
        <w:rPr/>
        <w:t> </w:t>
      </w:r>
    </w:p>
    <w:tbl>
      <w:tblPr>
        <w:tblW w:w="3300" w:type="pct"/>
        <w:jc w:val="left"/>
        <w:tblInd w:w="0" w:type="dxa"/>
        <w:tblCellMar>
          <w:top w:w="0" w:type="dxa"/>
          <w:left w:w="0" w:type="dxa"/>
          <w:bottom w:w="0" w:type="dxa"/>
          <w:right w:w="0" w:type="dxa"/>
        </w:tblCellMar>
      </w:tblPr>
      <w:tblGrid>
        <w:gridCol w:w="3128"/>
        <w:gridCol w:w="90"/>
        <w:gridCol w:w="311"/>
        <w:gridCol w:w="1330"/>
        <w:gridCol w:w="122"/>
        <w:gridCol w:w="240"/>
        <w:gridCol w:w="1400"/>
        <w:gridCol w:w="114"/>
      </w:tblGrid>
      <w:tr>
        <w:trPr/>
        <w:tc>
          <w:tcPr>
            <w:tcW w:w="3128"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jc w:val="center"/>
              <w:rPr/>
            </w:pPr>
            <w:r>
              <w:rPr/>
              <w:t> </w:t>
            </w:r>
          </w:p>
        </w:tc>
        <w:tc>
          <w:tcPr>
            <w:tcW w:w="340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Mid-Point Guidance</w:t>
            </w:r>
          </w:p>
        </w:tc>
        <w:tc>
          <w:tcPr>
            <w:tcW w:w="114" w:type="dxa"/>
            <w:tcBorders/>
            <w:shd w:fill="auto" w:val="clear"/>
            <w:vAlign w:val="bottom"/>
          </w:tcPr>
          <w:p>
            <w:pPr>
              <w:pStyle w:val="TableContents"/>
              <w:spacing w:before="0" w:after="0"/>
              <w:ind w:left="0" w:right="0" w:hanging="0"/>
              <w:jc w:val="center"/>
              <w:rPr/>
            </w:pPr>
            <w:r>
              <w:rPr/>
              <w:t> </w:t>
            </w:r>
          </w:p>
        </w:tc>
      </w:tr>
      <w:tr>
        <w:trPr/>
        <w:tc>
          <w:tcPr>
            <w:tcW w:w="3128"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jc w:val="center"/>
              <w:rPr/>
            </w:pPr>
            <w:r>
              <w:rPr/>
              <w:t> </w:t>
            </w:r>
          </w:p>
        </w:tc>
        <w:tc>
          <w:tcPr>
            <w:tcW w:w="16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64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14" w:type="dxa"/>
            <w:tcBorders/>
            <w:shd w:fill="auto" w:val="clear"/>
            <w:vAlign w:val="bottom"/>
          </w:tcPr>
          <w:p>
            <w:pPr>
              <w:pStyle w:val="TableContents"/>
              <w:spacing w:before="0" w:after="0"/>
              <w:ind w:left="0" w:right="0" w:hanging="0"/>
              <w:jc w:val="center"/>
              <w:rPr/>
            </w:pPr>
            <w:r>
              <w:rPr/>
              <w:t> </w:t>
            </w:r>
          </w:p>
        </w:tc>
      </w:tr>
      <w:tr>
        <w:trPr/>
        <w:tc>
          <w:tcPr>
            <w:tcW w:w="3128"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jc w:val="center"/>
              <w:rPr/>
            </w:pPr>
            <w:r>
              <w:rPr/>
              <w:t> </w:t>
            </w:r>
          </w:p>
        </w:tc>
        <w:tc>
          <w:tcPr>
            <w:tcW w:w="16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22" w:type="dxa"/>
            <w:tcBorders/>
            <w:shd w:fill="auto" w:val="clear"/>
            <w:vAlign w:val="bottom"/>
          </w:tcPr>
          <w:p>
            <w:pPr>
              <w:pStyle w:val="TableContents"/>
              <w:spacing w:before="0" w:after="0"/>
              <w:ind w:left="0" w:right="0" w:hanging="0"/>
              <w:jc w:val="center"/>
              <w:rPr/>
            </w:pPr>
            <w:r>
              <w:rPr/>
              <w:t> </w:t>
            </w:r>
          </w:p>
        </w:tc>
        <w:tc>
          <w:tcPr>
            <w:tcW w:w="16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14" w:type="dxa"/>
            <w:tcBorders/>
            <w:shd w:fill="auto" w:val="clear"/>
            <w:vAlign w:val="bottom"/>
          </w:tcPr>
          <w:p>
            <w:pPr>
              <w:pStyle w:val="TableContents"/>
              <w:spacing w:before="0" w:after="0"/>
              <w:ind w:left="0" w:right="0" w:hanging="0"/>
              <w:jc w:val="center"/>
              <w:rPr/>
            </w:pPr>
            <w:r>
              <w:rPr/>
              <w:t> </w:t>
            </w:r>
          </w:p>
        </w:tc>
      </w:tr>
      <w:tr>
        <w:trPr/>
        <w:tc>
          <w:tcPr>
            <w:tcW w:w="3128"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jc w:val="center"/>
              <w:rPr/>
            </w:pPr>
            <w:r>
              <w:rPr/>
              <w:t> </w:t>
            </w:r>
          </w:p>
        </w:tc>
        <w:tc>
          <w:tcPr>
            <w:tcW w:w="16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22" w:type="dxa"/>
            <w:tcBorders/>
            <w:shd w:fill="auto" w:val="clear"/>
            <w:vAlign w:val="bottom"/>
          </w:tcPr>
          <w:p>
            <w:pPr>
              <w:pStyle w:val="TableContents"/>
              <w:spacing w:before="0" w:after="0"/>
              <w:ind w:left="0" w:right="0" w:hanging="0"/>
              <w:jc w:val="center"/>
              <w:rPr/>
            </w:pPr>
            <w:r>
              <w:rPr/>
              <w:t> </w:t>
            </w:r>
          </w:p>
        </w:tc>
        <w:tc>
          <w:tcPr>
            <w:tcW w:w="16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14" w:type="dxa"/>
            <w:tcBorders/>
            <w:shd w:fill="auto" w:val="clear"/>
            <w:vAlign w:val="bottom"/>
          </w:tcPr>
          <w:p>
            <w:pPr>
              <w:pStyle w:val="TableContents"/>
              <w:spacing w:before="0" w:after="0"/>
              <w:ind w:left="0" w:right="0" w:hanging="0"/>
              <w:jc w:val="center"/>
              <w:rPr/>
            </w:pPr>
            <w:r>
              <w:rPr/>
              <w:t> </w:t>
            </w:r>
          </w:p>
        </w:tc>
      </w:tr>
      <w:tr>
        <w:trPr/>
        <w:tc>
          <w:tcPr>
            <w:tcW w:w="3128" w:type="dxa"/>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jc w:val="center"/>
              <w:rPr/>
            </w:pPr>
            <w:r>
              <w:rPr/>
              <w:t> </w:t>
            </w:r>
          </w:p>
        </w:tc>
        <w:tc>
          <w:tcPr>
            <w:tcW w:w="340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4" w:type="dxa"/>
            <w:tcBorders/>
            <w:shd w:fill="auto" w:val="clear"/>
            <w:vAlign w:val="bottom"/>
          </w:tcPr>
          <w:p>
            <w:pPr>
              <w:pStyle w:val="TableContents"/>
              <w:spacing w:before="0" w:after="0"/>
              <w:ind w:left="0" w:right="0" w:hanging="0"/>
              <w:jc w:val="center"/>
              <w:rPr/>
            </w:pPr>
            <w:r>
              <w:rPr/>
              <w:t> </w:t>
            </w:r>
          </w:p>
        </w:tc>
      </w:tr>
      <w:tr>
        <w:trPr/>
        <w:tc>
          <w:tcPr>
            <w:tcW w:w="3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90" w:type="dxa"/>
            <w:tcBorders/>
            <w:shd w:fill="CCEEFF" w:val="clear"/>
            <w:vAlign w:val="bottom"/>
          </w:tcPr>
          <w:p>
            <w:pPr>
              <w:pStyle w:val="TableContents"/>
              <w:spacing w:before="0" w:after="0"/>
              <w:ind w:left="0" w:right="0" w:hanging="0"/>
              <w:rPr/>
            </w:pPr>
            <w:r>
              <w:rPr/>
              <w:t> </w:t>
            </w:r>
          </w:p>
        </w:tc>
        <w:tc>
          <w:tcPr>
            <w:tcW w:w="3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122" w:type="dxa"/>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2,017</w:t>
            </w:r>
          </w:p>
        </w:tc>
        <w:tc>
          <w:tcPr>
            <w:tcW w:w="114" w:type="dxa"/>
            <w:tcBorders/>
            <w:shd w:fill="CCEEFF" w:val="clear"/>
            <w:vAlign w:val="bottom"/>
          </w:tcPr>
          <w:p>
            <w:pPr>
              <w:pStyle w:val="TableContents"/>
              <w:spacing w:before="0" w:after="0"/>
              <w:ind w:left="0" w:right="0" w:hanging="0"/>
              <w:rPr/>
            </w:pPr>
            <w:r>
              <w:rPr/>
              <w:t> </w:t>
            </w:r>
          </w:p>
        </w:tc>
      </w:tr>
      <w:tr>
        <w:trPr/>
        <w:tc>
          <w:tcPr>
            <w:tcW w:w="3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90" w:type="dxa"/>
            <w:tcBorders/>
            <w:shd w:fill="auto" w:val="clear"/>
            <w:vAlign w:val="bottom"/>
          </w:tcPr>
          <w:p>
            <w:pPr>
              <w:pStyle w:val="TableContents"/>
              <w:spacing w:before="0" w:after="0"/>
              <w:ind w:left="0" w:right="0" w:hanging="0"/>
              <w:rPr/>
            </w:pPr>
            <w:r>
              <w:rPr/>
              <w:t> </w:t>
            </w:r>
          </w:p>
        </w:tc>
        <w:tc>
          <w:tcPr>
            <w:tcW w:w="16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Current income tax benefit (expense) </w:t>
            </w:r>
          </w:p>
        </w:tc>
        <w:tc>
          <w:tcPr>
            <w:tcW w:w="90" w:type="dxa"/>
            <w:tcBorders/>
            <w:shd w:fill="CCEEFF" w:val="clear"/>
            <w:vAlign w:val="bottom"/>
          </w:tcPr>
          <w:p>
            <w:pPr>
              <w:pStyle w:val="TableContents"/>
              <w:spacing w:before="0" w:after="0"/>
              <w:ind w:left="0" w:right="0" w:hanging="0"/>
              <w:rPr/>
            </w:pPr>
            <w:r>
              <w:rPr/>
              <w:t> </w:t>
            </w:r>
          </w:p>
        </w:tc>
        <w:tc>
          <w:tcPr>
            <w:tcW w:w="16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Distributions to noncontrolling interests </w:t>
            </w:r>
          </w:p>
        </w:tc>
        <w:tc>
          <w:tcPr>
            <w:tcW w:w="90" w:type="dxa"/>
            <w:tcBorders/>
            <w:shd w:fill="auto" w:val="clear"/>
            <w:vAlign w:val="bottom"/>
          </w:tcPr>
          <w:p>
            <w:pPr>
              <w:pStyle w:val="TableContents"/>
              <w:spacing w:before="0" w:after="0"/>
              <w:ind w:left="0" w:right="0" w:hanging="0"/>
              <w:rPr/>
            </w:pPr>
            <w:r>
              <w:rPr/>
              <w:t> </w:t>
            </w:r>
          </w:p>
        </w:tc>
        <w:tc>
          <w:tcPr>
            <w:tcW w:w="16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expenditures </w:t>
            </w:r>
          </w:p>
        </w:tc>
        <w:tc>
          <w:tcPr>
            <w:tcW w:w="90" w:type="dxa"/>
            <w:tcBorders/>
            <w:shd w:fill="CCEEFF" w:val="clear"/>
            <w:vAlign w:val="bottom"/>
          </w:tcPr>
          <w:p>
            <w:pPr>
              <w:pStyle w:val="TableContents"/>
              <w:spacing w:before="0" w:after="0"/>
              <w:ind w:left="0" w:right="0" w:hanging="0"/>
              <w:rPr/>
            </w:pPr>
            <w:r>
              <w:rPr/>
              <w:t> </w:t>
            </w:r>
          </w:p>
        </w:tc>
        <w:tc>
          <w:tcPr>
            <w:tcW w:w="16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net </w:t>
            </w:r>
          </w:p>
        </w:tc>
        <w:tc>
          <w:tcPr>
            <w:tcW w:w="90" w:type="dxa"/>
            <w:tcBorders/>
            <w:shd w:fill="auto" w:val="clear"/>
            <w:vAlign w:val="bottom"/>
          </w:tcPr>
          <w:p>
            <w:pPr>
              <w:pStyle w:val="TableContents"/>
              <w:spacing w:before="0" w:after="0"/>
              <w:ind w:left="0" w:right="0" w:hanging="0"/>
              <w:rPr/>
            </w:pPr>
            <w:r>
              <w:rPr/>
              <w:t> </w:t>
            </w:r>
          </w:p>
        </w:tc>
        <w:tc>
          <w:tcPr>
            <w:tcW w:w="16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2" w:type="dxa"/>
            <w:tcBorders/>
            <w:shd w:fill="auto" w:val="clear"/>
            <w:vAlign w:val="bottom"/>
          </w:tcPr>
          <w:p>
            <w:pPr>
              <w:pStyle w:val="TableContents"/>
              <w:spacing w:before="0" w:after="0"/>
              <w:ind w:left="0" w:right="0" w:hanging="0"/>
              <w:rPr/>
            </w:pPr>
            <w:r>
              <w:rPr/>
              <w:t> </w:t>
            </w:r>
          </w:p>
        </w:tc>
        <w:tc>
          <w:tcPr>
            <w:tcW w:w="16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4" w:type="dxa"/>
            <w:tcBorders/>
            <w:shd w:fill="auto" w:val="clear"/>
            <w:vAlign w:val="bottom"/>
          </w:tcPr>
          <w:p>
            <w:pPr>
              <w:pStyle w:val="TableContents"/>
              <w:spacing w:before="0" w:after="0"/>
              <w:ind w:left="0" w:right="0" w:hanging="0"/>
              <w:rPr/>
            </w:pPr>
            <w:r>
              <w:rPr/>
              <w:t> </w:t>
            </w:r>
          </w:p>
        </w:tc>
      </w:tr>
      <w:tr>
        <w:trPr/>
        <w:tc>
          <w:tcPr>
            <w:tcW w:w="3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Implied DCF </w:t>
            </w:r>
          </w:p>
        </w:tc>
        <w:tc>
          <w:tcPr>
            <w:tcW w:w="90" w:type="dxa"/>
            <w:tcBorders/>
            <w:shd w:fill="CCEEFF" w:val="clear"/>
            <w:vAlign w:val="bottom"/>
          </w:tcPr>
          <w:p>
            <w:pPr>
              <w:pStyle w:val="TableContents"/>
              <w:spacing w:before="0" w:after="0"/>
              <w:ind w:left="0" w:right="0" w:hanging="0"/>
              <w:rPr/>
            </w:pPr>
            <w:r>
              <w:rPr/>
              <w:t> </w:t>
            </w:r>
          </w:p>
        </w:tc>
        <w:tc>
          <w:tcPr>
            <w:tcW w:w="3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122" w:type="dxa"/>
            <w:tcBorders/>
            <w:shd w:fill="CCEEFF" w:val="clear"/>
            <w:vAlign w:val="bottom"/>
          </w:tcPr>
          <w:p>
            <w:pPr>
              <w:pStyle w:val="TableContents"/>
              <w:spacing w:before="0" w:after="0"/>
              <w:ind w:left="0" w:right="0" w:hanging="0"/>
              <w:rPr/>
            </w:pPr>
            <w:r>
              <w:rPr/>
              <w:t> </w:t>
            </w:r>
          </w:p>
        </w:tc>
        <w:tc>
          <w:tcPr>
            <w:tcW w:w="2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1,463</w:t>
            </w:r>
          </w:p>
        </w:tc>
        <w:tc>
          <w:tcPr>
            <w:tcW w:w="11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 xml:space="preserve">Equity Compensation Plans. </w:t>
      </w:r>
      <w:r>
        <w:rPr>
          <w:rFonts w:ascii="Times New Roman" w:hAnsi="Times New Roman"/>
          <w:sz w:val="17"/>
        </w:rPr>
        <w:t>The majority of grants outstanding under our various equity compensation plans contain vesting criteria 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November 5, 2012, estimated vesting dates range from November 2012 to May 2019 and annualized distribution levels range from $1.925 to $2.40. For some awards, a percentage of any units remaining unvested as of a certain date will vest on such date and all others will be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October 4, 2012, we declared an annualized distribution of $2.17 payable on November 14, 2012 to our unitholders of record as of November 2, 2012. For the purposes of guidance, we have made the assessment that a $2.35 distribution level is probable of occurring, and accordingly, guidance includes an accrual over the applicable service period at an assumed market price of $46.00 per unit as well as an accrual associated with awards that will vest on a certain date. The actual amount of equity compensation expense in any given period will be directly influenced by (i) our unit price at the end of each reporting period, (ii) our unit price on the vesting date, (iii) the probability assessment regarding distributions, and (iv) new equity compensation award grants. For example, a $2.00 change in the unit price during the fourth-quarter would change the fourth-quarter equity compensation expense by approximately $4 million. Therefore, actual net income could differ from our projections.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w:t>
      </w:r>
      <w:r>
        <w:rPr>
          <w:rFonts w:ascii="Times New Roman" w:hAnsi="Times New Roman"/>
        </w:rPr>
        <w:t xml:space="preserve">       </w:t>
      </w:r>
      <w:r>
        <w:rPr>
          <w:rFonts w:ascii="Times New Roman" w:hAnsi="Times New Roman"/>
          <w:i/>
          <w:sz w:val="17"/>
        </w:rPr>
        <w:t>Reconciliation of Net Income to EBIT and EBITDA.</w:t>
      </w:r>
      <w:r>
        <w:rPr>
          <w:rFonts w:ascii="Times New Roman" w:hAnsi="Times New Roman"/>
        </w:rPr>
        <w:t xml:space="preserve"> </w:t>
      </w:r>
      <w:r>
        <w:rPr>
          <w:rFonts w:ascii="Times New Roman" w:hAnsi="Times New Roman"/>
          <w:sz w:val="17"/>
        </w:rPr>
        <w:t>The following table reconciles net income to EBIT and EBITDA for the nine-month period ending September 30, 2012 and three-month and twelve-month periods ending December 31, 2012.</w:t>
      </w:r>
    </w:p>
    <w:p>
      <w:pPr>
        <w:pStyle w:val="TextBody"/>
        <w:spacing w:before="0" w:after="0"/>
        <w:ind w:left="0" w:right="0" w:hanging="0"/>
        <w:jc w:val="center"/>
        <w:rPr/>
      </w:pPr>
      <w:r>
        <w:rPr/>
        <w:t> </w:t>
      </w:r>
    </w:p>
    <w:tbl>
      <w:tblPr>
        <w:tblW w:w="4000" w:type="pct"/>
        <w:jc w:val="left"/>
        <w:tblInd w:w="0" w:type="dxa"/>
        <w:tblCellMar>
          <w:top w:w="0" w:type="dxa"/>
          <w:left w:w="0" w:type="dxa"/>
          <w:bottom w:w="0" w:type="dxa"/>
          <w:right w:w="0" w:type="dxa"/>
        </w:tblCellMar>
      </w:tblPr>
      <w:tblGrid>
        <w:gridCol w:w="2812"/>
        <w:gridCol w:w="156"/>
        <w:gridCol w:w="159"/>
        <w:gridCol w:w="864"/>
        <w:gridCol w:w="156"/>
        <w:gridCol w:w="143"/>
        <w:gridCol w:w="698"/>
        <w:gridCol w:w="164"/>
        <w:gridCol w:w="143"/>
        <w:gridCol w:w="699"/>
        <w:gridCol w:w="156"/>
        <w:gridCol w:w="129"/>
        <w:gridCol w:w="745"/>
        <w:gridCol w:w="156"/>
        <w:gridCol w:w="129"/>
        <w:gridCol w:w="746"/>
        <w:gridCol w:w="109"/>
      </w:tblGrid>
      <w:tr>
        <w:trPr/>
        <w:tc>
          <w:tcPr>
            <w:tcW w:w="2812"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56" w:type="dxa"/>
            <w:tcBorders/>
            <w:shd w:fill="auto" w:val="clear"/>
            <w:vAlign w:val="bottom"/>
          </w:tcPr>
          <w:p>
            <w:pPr>
              <w:pStyle w:val="TableContents"/>
              <w:spacing w:before="0" w:after="0"/>
              <w:ind w:left="0" w:right="0" w:hanging="0"/>
              <w:jc w:val="center"/>
              <w:rPr/>
            </w:pPr>
            <w:r>
              <w:rPr/>
              <w:t> </w:t>
            </w:r>
          </w:p>
        </w:tc>
        <w:tc>
          <w:tcPr>
            <w:tcW w:w="3908"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09" w:type="dxa"/>
            <w:tcBorders/>
            <w:shd w:fill="auto" w:val="clear"/>
            <w:vAlign w:val="bottom"/>
          </w:tcPr>
          <w:p>
            <w:pPr>
              <w:pStyle w:val="TableContents"/>
              <w:spacing w:before="0" w:after="0"/>
              <w:ind w:left="0" w:right="0" w:hanging="0"/>
              <w:jc w:val="center"/>
              <w:rPr/>
            </w:pPr>
            <w:r>
              <w:rPr/>
              <w:t> </w:t>
            </w:r>
          </w:p>
        </w:tc>
      </w:tr>
      <w:tr>
        <w:trPr/>
        <w:tc>
          <w:tcPr>
            <w:tcW w:w="2812"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102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9 Months</w:t>
            </w:r>
          </w:p>
        </w:tc>
        <w:tc>
          <w:tcPr>
            <w:tcW w:w="156" w:type="dxa"/>
            <w:tcBorders/>
            <w:shd w:fill="auto" w:val="clear"/>
            <w:vAlign w:val="bottom"/>
          </w:tcPr>
          <w:p>
            <w:pPr>
              <w:pStyle w:val="TableContents"/>
              <w:spacing w:before="0" w:after="0"/>
              <w:ind w:left="0" w:right="0" w:hanging="0"/>
              <w:jc w:val="center"/>
              <w:rPr/>
            </w:pPr>
            <w:r>
              <w:rPr/>
              <w:t> </w:t>
            </w:r>
          </w:p>
        </w:tc>
        <w:tc>
          <w:tcPr>
            <w:tcW w:w="184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5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05"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09" w:type="dxa"/>
            <w:tcBorders/>
            <w:shd w:fill="auto" w:val="clear"/>
            <w:vAlign w:val="bottom"/>
          </w:tcPr>
          <w:p>
            <w:pPr>
              <w:pStyle w:val="TableContents"/>
              <w:spacing w:before="0" w:after="0"/>
              <w:ind w:left="0" w:right="0" w:hanging="0"/>
              <w:jc w:val="center"/>
              <w:rPr/>
            </w:pPr>
            <w:r>
              <w:rPr/>
              <w:t> </w:t>
            </w:r>
          </w:p>
        </w:tc>
      </w:tr>
      <w:tr>
        <w:trPr/>
        <w:tc>
          <w:tcPr>
            <w:tcW w:w="2812"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102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56" w:type="dxa"/>
            <w:tcBorders/>
            <w:shd w:fill="auto" w:val="clear"/>
            <w:vAlign w:val="bottom"/>
          </w:tcPr>
          <w:p>
            <w:pPr>
              <w:pStyle w:val="TableContents"/>
              <w:spacing w:before="0" w:after="0"/>
              <w:ind w:left="0" w:right="0" w:hanging="0"/>
              <w:jc w:val="center"/>
              <w:rPr/>
            </w:pPr>
            <w:r>
              <w:rPr/>
              <w:t> </w:t>
            </w:r>
          </w:p>
        </w:tc>
        <w:tc>
          <w:tcPr>
            <w:tcW w:w="184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156" w:type="dxa"/>
            <w:tcBorders/>
            <w:shd w:fill="auto" w:val="clear"/>
            <w:vAlign w:val="bottom"/>
          </w:tcPr>
          <w:p>
            <w:pPr>
              <w:pStyle w:val="TableContents"/>
              <w:spacing w:before="0" w:after="0"/>
              <w:ind w:left="0" w:right="0" w:hanging="0"/>
              <w:jc w:val="center"/>
              <w:rPr/>
            </w:pPr>
            <w:r>
              <w:rPr/>
              <w:t> </w:t>
            </w:r>
          </w:p>
        </w:tc>
        <w:tc>
          <w:tcPr>
            <w:tcW w:w="190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109" w:type="dxa"/>
            <w:tcBorders/>
            <w:shd w:fill="auto" w:val="clear"/>
            <w:vAlign w:val="bottom"/>
          </w:tcPr>
          <w:p>
            <w:pPr>
              <w:pStyle w:val="TableContents"/>
              <w:spacing w:before="0" w:after="0"/>
              <w:ind w:left="0" w:right="0" w:hanging="0"/>
              <w:jc w:val="center"/>
              <w:rPr/>
            </w:pPr>
            <w:r>
              <w:rPr/>
              <w:t> </w:t>
            </w:r>
          </w:p>
        </w:tc>
      </w:tr>
      <w:tr>
        <w:trPr/>
        <w:tc>
          <w:tcPr>
            <w:tcW w:w="2812"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2012</w:t>
            </w:r>
          </w:p>
        </w:tc>
        <w:tc>
          <w:tcPr>
            <w:tcW w:w="156" w:type="dxa"/>
            <w:tcBorders/>
            <w:shd w:fill="auto" w:val="clear"/>
            <w:vAlign w:val="bottom"/>
          </w:tcPr>
          <w:p>
            <w:pPr>
              <w:pStyle w:val="TableContents"/>
              <w:spacing w:before="0" w:after="0"/>
              <w:ind w:left="0" w:right="0" w:hanging="0"/>
              <w:jc w:val="center"/>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6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4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56" w:type="dxa"/>
            <w:tcBorders/>
            <w:shd w:fill="auto" w:val="clear"/>
            <w:vAlign w:val="bottom"/>
          </w:tcPr>
          <w:p>
            <w:pPr>
              <w:pStyle w:val="TableContents"/>
              <w:spacing w:before="0" w:after="0"/>
              <w:ind w:left="0" w:right="0" w:hanging="0"/>
              <w:jc w:val="center"/>
              <w:rPr/>
            </w:pPr>
            <w:r>
              <w:rPr/>
              <w:t> </w:t>
            </w:r>
          </w:p>
        </w:tc>
        <w:tc>
          <w:tcPr>
            <w:tcW w:w="8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5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7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09" w:type="dxa"/>
            <w:tcBorders/>
            <w:shd w:fill="auto" w:val="clear"/>
            <w:vAlign w:val="bottom"/>
          </w:tcPr>
          <w:p>
            <w:pPr>
              <w:pStyle w:val="TableContents"/>
              <w:spacing w:before="0" w:after="0"/>
              <w:ind w:left="0" w:right="0" w:hanging="0"/>
              <w:jc w:val="center"/>
              <w:rPr/>
            </w:pPr>
            <w:r>
              <w:rPr/>
              <w:t> </w:t>
            </w:r>
          </w:p>
        </w:tc>
      </w:tr>
      <w:tr>
        <w:trPr/>
        <w:tc>
          <w:tcPr>
            <w:tcW w:w="2812"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center"/>
              <w:rPr/>
            </w:pPr>
            <w:r>
              <w:rPr/>
              <w:t> </w:t>
            </w:r>
          </w:p>
        </w:tc>
        <w:tc>
          <w:tcPr>
            <w:tcW w:w="5087" w:type="dxa"/>
            <w:gridSpan w:val="1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09" w:type="dxa"/>
            <w:tcBorders/>
            <w:shd w:fill="auto" w:val="clear"/>
            <w:vAlign w:val="bottom"/>
          </w:tcPr>
          <w:p>
            <w:pPr>
              <w:pStyle w:val="TableContents"/>
              <w:spacing w:before="0" w:after="0"/>
              <w:ind w:left="0" w:right="0" w:hanging="0"/>
              <w:jc w:val="center"/>
              <w:rPr/>
            </w:pPr>
            <w:r>
              <w:rPr/>
              <w:t> </w:t>
            </w:r>
          </w:p>
        </w:tc>
      </w:tr>
      <w:tr>
        <w:trPr/>
        <w:tc>
          <w:tcPr>
            <w:tcW w:w="281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EBITDA</w:t>
            </w:r>
          </w:p>
        </w:tc>
        <w:tc>
          <w:tcPr>
            <w:tcW w:w="156"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c>
          <w:tcPr>
            <w:tcW w:w="842"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874"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pPr>
            <w:r>
              <w:rPr/>
              <w:t> </w:t>
            </w:r>
          </w:p>
        </w:tc>
        <w:tc>
          <w:tcPr>
            <w:tcW w:w="109" w:type="dxa"/>
            <w:tcBorders/>
            <w:shd w:fill="CCEEFF" w:val="clear"/>
            <w:vAlign w:val="bottom"/>
          </w:tcPr>
          <w:p>
            <w:pPr>
              <w:pStyle w:val="TableContents"/>
              <w:spacing w:before="0" w:after="0"/>
              <w:ind w:left="0" w:right="0" w:hanging="0"/>
              <w:rPr/>
            </w:pPr>
            <w:r>
              <w:rPr/>
              <w:t> </w:t>
            </w:r>
          </w:p>
        </w:tc>
      </w:tr>
      <w:tr>
        <w:trPr/>
        <w:tc>
          <w:tcPr>
            <w:tcW w:w="28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156"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156"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w:t>
            </w:r>
          </w:p>
        </w:tc>
        <w:tc>
          <w:tcPr>
            <w:tcW w:w="164"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w:t>
            </w:r>
          </w:p>
        </w:tc>
        <w:tc>
          <w:tcPr>
            <w:tcW w:w="156"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1,090</w:t>
            </w:r>
          </w:p>
        </w:tc>
        <w:tc>
          <w:tcPr>
            <w:tcW w:w="156"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1,152</w:t>
            </w:r>
          </w:p>
        </w:tc>
        <w:tc>
          <w:tcPr>
            <w:tcW w:w="109" w:type="dxa"/>
            <w:tcBorders/>
            <w:shd w:fill="auto" w:val="clear"/>
            <w:vAlign w:val="bottom"/>
          </w:tcPr>
          <w:p>
            <w:pPr>
              <w:pStyle w:val="TableContents"/>
              <w:spacing w:before="0" w:after="0"/>
              <w:ind w:left="0" w:right="0" w:hanging="0"/>
              <w:rPr/>
            </w:pPr>
            <w:r>
              <w:rPr/>
              <w:t> </w:t>
            </w:r>
          </w:p>
        </w:tc>
      </w:tr>
      <w:tr>
        <w:trPr/>
        <w:tc>
          <w:tcPr>
            <w:tcW w:w="28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156"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56"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64" w:type="dxa"/>
            <w:tcBorders/>
            <w:shd w:fill="CCEEFF" w:val="clear"/>
            <w:vAlign w:val="bottom"/>
          </w:tcPr>
          <w:p>
            <w:pPr>
              <w:pStyle w:val="TableContents"/>
              <w:spacing w:before="0" w:after="0"/>
              <w:ind w:left="0" w:right="0" w:hanging="0"/>
              <w:rPr/>
            </w:pPr>
            <w:r>
              <w:rPr/>
              <w:t> </w:t>
            </w:r>
          </w:p>
        </w:tc>
        <w:tc>
          <w:tcPr>
            <w:tcW w:w="8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56" w:type="dxa"/>
            <w:tcBorders/>
            <w:shd w:fill="CCEEFF" w:val="clear"/>
            <w:vAlign w:val="bottom"/>
          </w:tcPr>
          <w:p>
            <w:pPr>
              <w:pStyle w:val="TableContents"/>
              <w:spacing w:before="0" w:after="0"/>
              <w:ind w:left="0" w:right="0" w:hanging="0"/>
              <w:rPr/>
            </w:pPr>
            <w:r>
              <w:rPr/>
              <w:t> </w:t>
            </w:r>
          </w:p>
        </w:tc>
        <w:tc>
          <w:tcPr>
            <w:tcW w:w="8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15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109" w:type="dxa"/>
            <w:tcBorders/>
            <w:shd w:fill="CCEEFF" w:val="clear"/>
            <w:vAlign w:val="bottom"/>
          </w:tcPr>
          <w:p>
            <w:pPr>
              <w:pStyle w:val="TableContents"/>
              <w:spacing w:before="0" w:after="0"/>
              <w:ind w:left="0" w:right="0" w:hanging="0"/>
              <w:rPr/>
            </w:pPr>
            <w:r>
              <w:rPr/>
              <w:t> </w:t>
            </w:r>
          </w:p>
        </w:tc>
      </w:tr>
      <w:tr>
        <w:trPr/>
        <w:tc>
          <w:tcPr>
            <w:tcW w:w="28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 (benefit)</w:t>
            </w:r>
          </w:p>
        </w:tc>
        <w:tc>
          <w:tcPr>
            <w:tcW w:w="156" w:type="dxa"/>
            <w:tcBorders/>
            <w:shd w:fill="auto" w:val="cle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56" w:type="dxa"/>
            <w:tcBorders/>
            <w:shd w:fill="auto"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64" w:type="dxa"/>
            <w:tcBorders/>
            <w:shd w:fill="auto" w:val="clear"/>
            <w:vAlign w:val="bottom"/>
          </w:tcPr>
          <w:p>
            <w:pPr>
              <w:pStyle w:val="TableContents"/>
              <w:spacing w:before="0" w:after="0"/>
              <w:ind w:left="0" w:right="0" w:hanging="0"/>
              <w:rPr/>
            </w:pPr>
            <w:r>
              <w:rPr/>
              <w:t> </w:t>
            </w:r>
          </w:p>
        </w:tc>
        <w:tc>
          <w:tcPr>
            <w:tcW w:w="8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56" w:type="dxa"/>
            <w:tcBorders/>
            <w:shd w:fill="auto" w:val="clear"/>
            <w:vAlign w:val="bottom"/>
          </w:tcPr>
          <w:p>
            <w:pPr>
              <w:pStyle w:val="TableContents"/>
              <w:spacing w:before="0" w:after="0"/>
              <w:ind w:left="0" w:right="0" w:hanging="0"/>
              <w:rPr/>
            </w:pPr>
            <w:r>
              <w:rPr/>
              <w:t> </w:t>
            </w:r>
          </w:p>
        </w:tc>
        <w:tc>
          <w:tcPr>
            <w:tcW w:w="8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56" w:type="dxa"/>
            <w:tcBorders/>
            <w:shd w:fill="auto" w:val="clear"/>
            <w:vAlign w:val="bottom"/>
          </w:tcPr>
          <w:p>
            <w:pPr>
              <w:pStyle w:val="TableContents"/>
              <w:spacing w:before="0" w:after="0"/>
              <w:ind w:left="0" w:right="0" w:hanging="0"/>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09" w:type="dxa"/>
            <w:tcBorders/>
            <w:shd w:fill="auto" w:val="clear"/>
            <w:vAlign w:val="bottom"/>
          </w:tcPr>
          <w:p>
            <w:pPr>
              <w:pStyle w:val="TableContents"/>
              <w:spacing w:before="0" w:after="0"/>
              <w:ind w:left="0" w:right="0" w:hanging="0"/>
              <w:rPr/>
            </w:pPr>
            <w:r>
              <w:rPr/>
              <w:t> </w:t>
            </w:r>
          </w:p>
        </w:tc>
      </w:tr>
      <w:tr>
        <w:trPr/>
        <w:tc>
          <w:tcPr>
            <w:tcW w:w="28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 </w:t>
            </w:r>
          </w:p>
        </w:tc>
        <w:tc>
          <w:tcPr>
            <w:tcW w:w="156" w:type="dxa"/>
            <w:tcBorders/>
            <w:shd w:fill="CCEEFF" w:val="clear"/>
            <w:vAlign w:val="bottom"/>
          </w:tcPr>
          <w:p>
            <w:pPr>
              <w:pStyle w:val="TableContents"/>
              <w:spacing w:before="0" w:after="0"/>
              <w:ind w:left="0" w:right="0" w:hanging="0"/>
              <w:rPr/>
            </w:pPr>
            <w:r>
              <w:rPr/>
              <w:t> </w:t>
            </w:r>
          </w:p>
        </w:tc>
        <w:tc>
          <w:tcPr>
            <w:tcW w:w="10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1,054</w:t>
            </w:r>
          </w:p>
        </w:tc>
        <w:tc>
          <w:tcPr>
            <w:tcW w:w="156" w:type="dxa"/>
            <w:tcBorders/>
            <w:shd w:fill="CCEEFF" w:val="clear"/>
            <w:vAlign w:val="bottom"/>
          </w:tcPr>
          <w:p>
            <w:pPr>
              <w:pStyle w:val="TableContents"/>
              <w:spacing w:before="0" w:after="0"/>
              <w:ind w:left="0" w:right="0" w:hanging="0"/>
              <w:rPr/>
            </w:pPr>
            <w:r>
              <w:rPr/>
              <w:t> </w:t>
            </w:r>
          </w:p>
        </w:tc>
        <w:tc>
          <w:tcPr>
            <w:tcW w:w="8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164" w:type="dxa"/>
            <w:tcBorders/>
            <w:shd w:fill="CCEEFF" w:val="clear"/>
            <w:vAlign w:val="bottom"/>
          </w:tcPr>
          <w:p>
            <w:pPr>
              <w:pStyle w:val="TableContents"/>
              <w:spacing w:before="0" w:after="0"/>
              <w:ind w:left="0" w:right="0" w:hanging="0"/>
              <w:rPr/>
            </w:pPr>
            <w:r>
              <w:rPr/>
              <w:t> </w:t>
            </w:r>
          </w:p>
        </w:tc>
        <w:tc>
          <w:tcPr>
            <w:tcW w:w="8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156" w:type="dxa"/>
            <w:tcBorders/>
            <w:shd w:fill="CCEEFF" w:val="clear"/>
            <w:vAlign w:val="bottom"/>
          </w:tcPr>
          <w:p>
            <w:pPr>
              <w:pStyle w:val="TableContents"/>
              <w:spacing w:before="0" w:after="0"/>
              <w:ind w:left="0" w:right="0" w:hanging="0"/>
              <w:rPr/>
            </w:pPr>
            <w:r>
              <w:rPr/>
              <w:t> </w:t>
            </w:r>
          </w:p>
        </w:tc>
        <w:tc>
          <w:tcPr>
            <w:tcW w:w="8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1,450</w:t>
            </w:r>
          </w:p>
        </w:tc>
        <w:tc>
          <w:tcPr>
            <w:tcW w:w="156"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1,504</w:t>
            </w:r>
          </w:p>
        </w:tc>
        <w:tc>
          <w:tcPr>
            <w:tcW w:w="109" w:type="dxa"/>
            <w:tcBorders/>
            <w:shd w:fill="CCEEFF" w:val="clear"/>
            <w:vAlign w:val="bottom"/>
          </w:tcPr>
          <w:p>
            <w:pPr>
              <w:pStyle w:val="TableContents"/>
              <w:spacing w:before="0" w:after="0"/>
              <w:ind w:left="0" w:right="0" w:hanging="0"/>
              <w:rPr/>
            </w:pPr>
            <w:r>
              <w:rPr/>
              <w:t> </w:t>
            </w:r>
          </w:p>
        </w:tc>
      </w:tr>
      <w:tr>
        <w:trPr/>
        <w:tc>
          <w:tcPr>
            <w:tcW w:w="28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56" w:type="dxa"/>
            <w:tcBorders/>
            <w:shd w:fill="auto" w:val="clear"/>
            <w:vAlign w:val="bottom"/>
          </w:tcPr>
          <w:p>
            <w:pPr>
              <w:pStyle w:val="TableContents"/>
              <w:spacing w:before="0" w:after="0"/>
              <w:ind w:left="0" w:right="0" w:hanging="0"/>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56" w:type="dxa"/>
            <w:tcBorders/>
            <w:shd w:fill="auto" w:val="clear"/>
            <w:vAlign w:val="bottom"/>
          </w:tcPr>
          <w:p>
            <w:pPr>
              <w:pStyle w:val="TableContents"/>
              <w:spacing w:before="0" w:after="0"/>
              <w:ind w:left="0" w:right="0" w:hanging="0"/>
              <w:rPr/>
            </w:pPr>
            <w:r>
              <w:rPr/>
              <w:t> </w:t>
            </w:r>
          </w:p>
        </w:tc>
        <w:tc>
          <w:tcPr>
            <w:tcW w:w="8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64" w:type="dxa"/>
            <w:tcBorders/>
            <w:shd w:fill="auto" w:val="clear"/>
            <w:vAlign w:val="bottom"/>
          </w:tcPr>
          <w:p>
            <w:pPr>
              <w:pStyle w:val="TableContents"/>
              <w:spacing w:before="0" w:after="0"/>
              <w:ind w:left="0" w:right="0" w:hanging="0"/>
              <w:rPr/>
            </w:pPr>
            <w:r>
              <w:rPr/>
              <w:t> </w:t>
            </w:r>
          </w:p>
        </w:tc>
        <w:tc>
          <w:tcPr>
            <w:tcW w:w="8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56" w:type="dxa"/>
            <w:tcBorders/>
            <w:shd w:fill="auto" w:val="clear"/>
            <w:vAlign w:val="bottom"/>
          </w:tcPr>
          <w:p>
            <w:pPr>
              <w:pStyle w:val="TableContents"/>
              <w:spacing w:before="0" w:after="0"/>
              <w:ind w:left="0" w:right="0" w:hanging="0"/>
              <w:rPr/>
            </w:pPr>
            <w:r>
              <w:rPr/>
              <w:t> </w:t>
            </w:r>
          </w:p>
        </w:tc>
        <w:tc>
          <w:tcPr>
            <w:tcW w:w="8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444</w:t>
            </w:r>
          </w:p>
        </w:tc>
        <w:tc>
          <w:tcPr>
            <w:tcW w:w="156" w:type="dxa"/>
            <w:tcBorders/>
            <w:shd w:fill="auto" w:val="clear"/>
            <w:vAlign w:val="bottom"/>
          </w:tcPr>
          <w:p>
            <w:pPr>
              <w:pStyle w:val="TableContents"/>
              <w:spacing w:before="0" w:after="0"/>
              <w:ind w:left="0" w:right="0" w:hanging="0"/>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w:t>
            </w:r>
          </w:p>
        </w:tc>
        <w:tc>
          <w:tcPr>
            <w:tcW w:w="109" w:type="dxa"/>
            <w:tcBorders/>
            <w:shd w:fill="auto" w:val="clear"/>
            <w:vAlign w:val="bottom"/>
          </w:tcPr>
          <w:p>
            <w:pPr>
              <w:pStyle w:val="TableContents"/>
              <w:spacing w:before="0" w:after="0"/>
              <w:ind w:left="0" w:right="0" w:hanging="0"/>
              <w:rPr/>
            </w:pPr>
            <w:r>
              <w:rPr/>
              <w:t> </w:t>
            </w:r>
          </w:p>
        </w:tc>
      </w:tr>
      <w:tr>
        <w:trPr/>
        <w:tc>
          <w:tcPr>
            <w:tcW w:w="28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EBITDA </w:t>
            </w:r>
          </w:p>
        </w:tc>
        <w:tc>
          <w:tcPr>
            <w:tcW w:w="156" w:type="dxa"/>
            <w:tcBorders/>
            <w:shd w:fill="CCEEFF" w:val="clear"/>
            <w:vAlign w:val="bottom"/>
          </w:tcPr>
          <w:p>
            <w:pPr>
              <w:pStyle w:val="TableContents"/>
              <w:spacing w:before="0" w:after="0"/>
              <w:ind w:left="0" w:right="0" w:hanging="0"/>
              <w:rPr/>
            </w:pPr>
            <w:r>
              <w:rPr/>
              <w:t> </w:t>
            </w:r>
          </w:p>
        </w:tc>
        <w:tc>
          <w:tcPr>
            <w:tcW w:w="15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w:t>
            </w:r>
          </w:p>
        </w:tc>
        <w:tc>
          <w:tcPr>
            <w:tcW w:w="156"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w:t>
            </w:r>
          </w:p>
        </w:tc>
        <w:tc>
          <w:tcPr>
            <w:tcW w:w="164"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534</w:t>
            </w:r>
          </w:p>
        </w:tc>
        <w:tc>
          <w:tcPr>
            <w:tcW w:w="156"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1,894</w:t>
            </w:r>
          </w:p>
        </w:tc>
        <w:tc>
          <w:tcPr>
            <w:tcW w:w="156"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1,944</w:t>
            </w:r>
          </w:p>
        </w:tc>
        <w:tc>
          <w:tcPr>
            <w:tcW w:w="10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230719_7056"/>
      <w:bookmarkEnd w:id="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Preliminary 2013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preliminary adjusted EBITDA guidance for 2013 is based on (i)  operating and financial performance of our existing assets that is assumed to be generally in line with recent performance trends, appropriately adjusted for known and expected developments as well as estimated market conditions, (ii) achievement of targeted performance levels for recent acquisitions and (iii) contributions from expansion capital projects in line with our expectations. In addition, our preliminary 2013 guidance does not include any forecast for acquisitions that we may commit to after the date hereof.  The following table summarizes the range of selected key financial data of our preliminary guidance for calendar year 2013.</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Preliminary Calendar 2013 Guidance (in millions)</w:t>
      </w:r>
    </w:p>
    <w:p>
      <w:pPr>
        <w:pStyle w:val="TextBody"/>
        <w:spacing w:before="0" w:after="0"/>
        <w:ind w:left="0" w:right="0" w:hanging="0"/>
        <w:rPr/>
      </w:pPr>
      <w:r>
        <w:rPr/>
        <w:t> </w:t>
      </w:r>
    </w:p>
    <w:tbl>
      <w:tblPr>
        <w:tblW w:w="3000" w:type="pct"/>
        <w:jc w:val="left"/>
        <w:tblInd w:w="0" w:type="dxa"/>
        <w:tblCellMar>
          <w:top w:w="0" w:type="dxa"/>
          <w:left w:w="0" w:type="dxa"/>
          <w:bottom w:w="0" w:type="dxa"/>
          <w:right w:w="0" w:type="dxa"/>
        </w:tblCellMar>
      </w:tblPr>
      <w:tblGrid>
        <w:gridCol w:w="3070"/>
        <w:gridCol w:w="231"/>
        <w:gridCol w:w="110"/>
        <w:gridCol w:w="1130"/>
        <w:gridCol w:w="243"/>
        <w:gridCol w:w="110"/>
        <w:gridCol w:w="1130"/>
        <w:gridCol w:w="99"/>
      </w:tblGrid>
      <w:tr>
        <w:trPr/>
        <w:tc>
          <w:tcPr>
            <w:tcW w:w="3070"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43" w:type="dxa"/>
            <w:tcBorders/>
            <w:shd w:fill="auto" w:val="clear"/>
            <w:vAlign w:val="bottom"/>
          </w:tcPr>
          <w:p>
            <w:pPr>
              <w:pStyle w:val="TableContents"/>
              <w:spacing w:before="0" w:after="0"/>
              <w:ind w:left="0" w:right="0" w:hanging="0"/>
              <w:jc w:val="center"/>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99" w:type="dxa"/>
            <w:tcBorders/>
            <w:shd w:fill="auto" w:val="clear"/>
            <w:vAlign w:val="bottom"/>
          </w:tcPr>
          <w:p>
            <w:pPr>
              <w:pStyle w:val="TableContents"/>
              <w:spacing w:before="0" w:after="0"/>
              <w:ind w:left="0" w:right="0" w:hanging="0"/>
              <w:jc w:val="center"/>
              <w:rPr/>
            </w:pPr>
            <w:r>
              <w:rPr/>
              <w:t> </w:t>
            </w:r>
          </w:p>
        </w:tc>
      </w:tr>
      <w:tr>
        <w:trPr/>
        <w:tc>
          <w:tcPr>
            <w:tcW w:w="30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3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1,875</w:t>
            </w:r>
          </w:p>
        </w:tc>
        <w:tc>
          <w:tcPr>
            <w:tcW w:w="24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1,975</w:t>
            </w:r>
          </w:p>
        </w:tc>
        <w:tc>
          <w:tcPr>
            <w:tcW w:w="99" w:type="dxa"/>
            <w:tcBorders/>
            <w:shd w:fill="CCEEFF" w:val="clear"/>
            <w:vAlign w:val="bottom"/>
          </w:tcPr>
          <w:p>
            <w:pPr>
              <w:pStyle w:val="TableContents"/>
              <w:spacing w:before="0" w:after="0"/>
              <w:ind w:left="0" w:right="0" w:hanging="0"/>
              <w:rPr/>
            </w:pPr>
            <w:r>
              <w:rPr/>
              <w:t> </w:t>
            </w:r>
          </w:p>
        </w:tc>
      </w:tr>
      <w:tr>
        <w:trPr/>
        <w:tc>
          <w:tcPr>
            <w:tcW w:w="30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231"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benefit (expense)</w:t>
            </w:r>
          </w:p>
        </w:tc>
        <w:tc>
          <w:tcPr>
            <w:tcW w:w="231"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w:t>
            </w:r>
          </w:p>
        </w:tc>
        <w:tc>
          <w:tcPr>
            <w:tcW w:w="231"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 expenditures</w:t>
            </w:r>
          </w:p>
        </w:tc>
        <w:tc>
          <w:tcPr>
            <w:tcW w:w="231" w:type="dxa"/>
            <w:tcBorders/>
            <w:shd w:fill="CCEEFF" w:val="clear"/>
            <w:vAlign w:val="bottom"/>
          </w:tcPr>
          <w:p>
            <w:pPr>
              <w:pStyle w:val="TableContents"/>
              <w:spacing w:before="0" w:after="0"/>
              <w:ind w:left="0" w:right="0" w:hanging="0"/>
              <w:rPr/>
            </w:pPr>
            <w:r>
              <w:rPr/>
              <w:t> </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31" w:type="dxa"/>
            <w:tcBorders/>
            <w:shd w:fill="auto"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3" w:type="dxa"/>
            <w:tcBorders/>
            <w:shd w:fill="auto" w:val="clear"/>
            <w:vAlign w:val="bottom"/>
          </w:tcPr>
          <w:p>
            <w:pPr>
              <w:pStyle w:val="TableContents"/>
              <w:spacing w:before="0" w:after="0"/>
              <w:ind w:left="0" w:right="0" w:hanging="0"/>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99" w:type="dxa"/>
            <w:tcBorders/>
            <w:shd w:fill="auto" w:val="clear"/>
            <w:vAlign w:val="bottom"/>
          </w:tcPr>
          <w:p>
            <w:pPr>
              <w:pStyle w:val="TableContents"/>
              <w:spacing w:before="0" w:after="0"/>
              <w:ind w:left="0" w:right="0" w:hanging="0"/>
              <w:rPr/>
            </w:pPr>
            <w:r>
              <w:rPr/>
              <w:t> </w:t>
            </w:r>
          </w:p>
        </w:tc>
      </w:tr>
      <w:tr>
        <w:trPr/>
        <w:tc>
          <w:tcPr>
            <w:tcW w:w="30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31" w:type="dxa"/>
            <w:tcBorders/>
            <w:shd w:fill="CCEEFF" w:val="clear"/>
            <w:vAlign w:val="bottom"/>
          </w:tcPr>
          <w:p>
            <w:pPr>
              <w:pStyle w:val="TableContents"/>
              <w:spacing w:before="0" w:after="0"/>
              <w:ind w:left="0" w:right="0" w:hanging="0"/>
              <w:rPr/>
            </w:pPr>
            <w:r>
              <w:rPr/>
              <w:t> </w:t>
            </w:r>
          </w:p>
        </w:tc>
        <w:tc>
          <w:tcPr>
            <w:tcW w:w="124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1,280</w:t>
            </w:r>
          </w:p>
        </w:tc>
        <w:tc>
          <w:tcPr>
            <w:tcW w:w="243" w:type="dxa"/>
            <w:tcBorders/>
            <w:shd w:fill="CCEEFF" w:val="clear"/>
            <w:vAlign w:val="bottom"/>
          </w:tcPr>
          <w:p>
            <w:pPr>
              <w:pStyle w:val="TableContents"/>
              <w:spacing w:before="0" w:after="0"/>
              <w:ind w:left="0" w:right="0" w:hanging="0"/>
              <w:rPr/>
            </w:pPr>
            <w:r>
              <w:rPr/>
              <w:t> </w:t>
            </w:r>
          </w:p>
        </w:tc>
        <w:tc>
          <w:tcPr>
            <w:tcW w:w="124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1,424</w:t>
            </w:r>
          </w:p>
        </w:tc>
        <w:tc>
          <w:tcPr>
            <w:tcW w:w="99" w:type="dxa"/>
            <w:tcBorders/>
            <w:shd w:fill="CCEEFF" w:val="clear"/>
            <w:vAlign w:val="bottom"/>
          </w:tcPr>
          <w:p>
            <w:pPr>
              <w:pStyle w:val="TableContents"/>
              <w:spacing w:before="0" w:after="0"/>
              <w:ind w:left="0" w:right="0" w:hanging="0"/>
              <w:rPr/>
            </w:pPr>
            <w:r>
              <w:rPr/>
              <w:t> </w:t>
            </w:r>
          </w:p>
        </w:tc>
      </w:tr>
      <w:tr>
        <w:trPr/>
        <w:tc>
          <w:tcPr>
            <w:tcW w:w="3070"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pPr>
            <w:r>
              <w:rPr/>
              <w:t> </w:t>
            </w:r>
          </w:p>
        </w:tc>
        <w:tc>
          <w:tcPr>
            <w:tcW w:w="243" w:type="dxa"/>
            <w:tcBorders/>
            <w:shd w:fill="auto" w:val="clear"/>
            <w:vAlign w:val="bottom"/>
          </w:tcPr>
          <w:p>
            <w:pPr>
              <w:pStyle w:val="TableContents"/>
              <w:spacing w:before="0" w:after="0"/>
              <w:ind w:left="0" w:right="0" w:hanging="0"/>
              <w:rPr/>
            </w:pPr>
            <w:r>
              <w:rPr/>
              <w:t> </w:t>
            </w:r>
          </w:p>
        </w:tc>
        <w:tc>
          <w:tcPr>
            <w:tcW w:w="1240" w:type="dxa"/>
            <w:gridSpan w:val="2"/>
            <w:tcBorders/>
            <w:shd w:fill="auto" w:val="clear"/>
            <w:vAlign w:val="bottom"/>
          </w:tcPr>
          <w:p>
            <w:pPr>
              <w:pStyle w:val="TableContents"/>
              <w:spacing w:before="0" w:after="0"/>
              <w:ind w:left="0" w:right="0" w:hanging="0"/>
              <w:jc w:val="right"/>
              <w:rPr/>
            </w:pPr>
            <w:r>
              <w:rPr/>
              <w:t> </w:t>
            </w:r>
          </w:p>
        </w:tc>
        <w:tc>
          <w:tcPr>
            <w:tcW w:w="99" w:type="dxa"/>
            <w:tcBorders/>
            <w:shd w:fill="auto" w:val="clear"/>
            <w:vAlign w:val="bottom"/>
          </w:tcPr>
          <w:p>
            <w:pPr>
              <w:pStyle w:val="TableContents"/>
              <w:spacing w:before="0" w:after="0"/>
              <w:ind w:left="0" w:right="0" w:hanging="0"/>
              <w:rPr/>
            </w:pPr>
            <w:r>
              <w:rPr/>
              <w:t> </w:t>
            </w:r>
          </w:p>
        </w:tc>
      </w:tr>
      <w:tr>
        <w:trPr/>
        <w:tc>
          <w:tcPr>
            <w:tcW w:w="30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3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900</w:t>
            </w:r>
          </w:p>
        </w:tc>
        <w:tc>
          <w:tcPr>
            <w:tcW w:w="24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1,100</w:t>
            </w:r>
          </w:p>
        </w:tc>
        <w:tc>
          <w:tcPr>
            <w:tcW w:w="9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preliminary guidance for interest expense is based on our capital structure as of September 30, 2012 and adjusted for estimated equity issuances under our continuous equity offering program, approved capital projects for 2012, and the assumption that 2013 capital projects will range between $900 million and $1.1 billion. Our preliminary guidance for maintenance capital expenditures is based on our estimated average level of recurring expenditures of approximately $170 million. Our preliminary guidance for adjusted net income and adjusted EBITDA does not include a forecast of selected items impacting comparability, such as equity compensation expense, as it is impractical to forecast such items.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230933_5335"/>
      <w:bookmarkEnd w:id="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or delays in implementing or capitalizing,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230947_5796"/>
      <w:bookmarkEnd w:id="1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1" w:name="PB_11_230952_2897"/>
      <w:bookmarkEnd w:id="1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5"/>
        <w:gridCol w:w="411"/>
        <w:gridCol w:w="721"/>
        <w:gridCol w:w="3918"/>
      </w:tblGrid>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 P., its sole member</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5, 2012</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Charles Kingswell-Smith</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3918"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Title: </w:t>
            </w:r>
          </w:p>
        </w:tc>
        <w:tc>
          <w:tcPr>
            <w:tcW w:w="3918"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Vice President and Treasurer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12" w:name="PB_12_231107_3020"/>
      <w:bookmarkEnd w:id="12"/>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3" w:name="a12-25616_1ex99d1.htm"/>
      <w:bookmarkStart w:id="14" w:name="ksa1225616_1ex99d1"/>
      <w:bookmarkEnd w:id="13"/>
      <w:bookmarkEnd w:id="14"/>
      <w:r>
        <w:rPr>
          <w:rFonts w:ascii="Times New Roman" w:hAnsi="Times New Roman"/>
          <w:b/>
          <w:sz w:val="17"/>
        </w:rPr>
        <w:t>Exhibit 99.1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drawing>
                <wp:inline distT="0" distB="0" distL="0" distR="0">
                  <wp:extent cx="24003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0300" cy="733425"/>
                          </a:xfrm>
                          <a:prstGeom prst="rect">
                            <a:avLst/>
                          </a:prstGeom>
                        </pic:spPr>
                      </pic:pic>
                    </a:graphicData>
                  </a:graphic>
                </wp:inline>
              </w:drawing>
            </w:r>
          </w:p>
        </w:tc>
        <w:tc>
          <w:tcPr>
            <w:tcW w:w="5103" w:type="dxa"/>
            <w:tcBorders/>
            <w:shd w:fill="auto" w:val="clear"/>
            <w:vAlign w:val="center"/>
          </w:tcPr>
          <w:p>
            <w:pPr>
              <w:pStyle w:val="TableContents"/>
              <w:spacing w:before="0" w:after="0"/>
              <w:ind w:left="0" w:right="0" w:hanging="0"/>
              <w:jc w:val="right"/>
              <w:rPr/>
            </w:pPr>
            <w:r>
              <w:rPr/>
              <w:drawing>
                <wp:inline distT="0" distB="0" distL="0" distR="0">
                  <wp:extent cx="2695575"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95575" cy="809625"/>
                          </a:xfrm>
                          <a:prstGeom prst="rect">
                            <a:avLst/>
                          </a:prstGeom>
                        </pic:spPr>
                      </pic:pic>
                    </a:graphicData>
                  </a:graphic>
                </wp:inline>
              </w:drawing>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Reports</w:t>
      </w:r>
    </w:p>
    <w:p>
      <w:pPr>
        <w:pStyle w:val="TextBody"/>
        <w:spacing w:before="0" w:after="0"/>
        <w:ind w:left="0" w:right="0" w:hanging="0"/>
        <w:jc w:val="center"/>
        <w:rPr>
          <w:rFonts w:ascii="Times New Roman" w:hAnsi="Times New Roman"/>
          <w:b/>
          <w:sz w:val="17"/>
        </w:rPr>
      </w:pPr>
      <w:r>
        <w:rPr>
          <w:rFonts w:ascii="Times New Roman" w:hAnsi="Times New Roman"/>
          <w:b/>
          <w:sz w:val="17"/>
        </w:rPr>
        <w:t>Third-Quarter 2012 Results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November 5, 2012) Plains All American Pipeline, L.P. (NYSE: PAA) today reported net income attributable to Plains for the third quarter of 2012 of $165 million, or $0.27 per diluted limited partner unit.  These results include the impact of non-cash asset impairment charges totaling $125 million, primarily related to the Partnerships determination not to proceed with the development of the Pier 400 terminal project in California.  Such results compare to net income attributable to Plains of $281 million, or $0.74 per diluted limited partner unit for the third quarter of 2011.  The Partnership reported earnings before interest, taxes, depreciation and amortization (EBITDA) of $470 million for the third quarter of 2012, compared to reported EBITDA of $421 million for the third quarter of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reported results include the impact of items that affect comparability between reporting periods.   The impact of items impacting comparability are excluded from adjusted results, as detailed in the table below. Accordingly, the Partnerships third-quarter 2012 adjusted net income attributable to Plains, adjusted net income per diluted limited partner unit and adjusted EBITDA were $322 million, $0.73 and $502 million, respectively.  The comparable amounts for the third quarter of 2011 were $274 million, $0.71 and $414 million. (See the section of this release entitled Non-GAAP Financial Measures and the attached tables for discussion of EBITDA and other non-GAAP financial measures and their reconciliation to the most directly comparable GAAP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Continuing a multi-quarter trend, PAA delivered strong adjusted results for the third quarter of 2012, said Greg L. Armstrong, Chairman and CEO of Plains All American.  The environment for crude oil production growth in North America remains very favorable and we continue to experience strong demand for our assets and services. As a result, we have increased our midpoint guidance for adjusted EBITDA to slightly over $2 billion for the full year of 2012, representing a 7% increase over our previous guidance midpoint for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also expanding our asset base to meet the growing needs of our customers.  Thus far in 2012, we have invested approximately $2.5 billion in organic growth projects and acquisitions and expect to incrementally invest over $1 billion in organic growth projects through the end of 2013.  These investments provide meaningful visibility for increased baseline cash flow and distributions to unitholders.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Armstrong added, In addition to delivering solid operating and financial results, we ended the quarter with a strong balance sheet, credit metrics favorable to our targets and approximately $2.4 billion of committed liquidity.  As a result, we are well positioned to finance our growth while maintaining a solid financial position.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bookmarkStart w:id="15" w:name="PB_2_191653_5335"/>
      <w:bookmarkEnd w:id="15"/>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items that the Partnership believes impact comparability of financial results between reporting periods (amounts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548"/>
        <w:gridCol w:w="205"/>
        <w:gridCol w:w="134"/>
        <w:gridCol w:w="804"/>
        <w:gridCol w:w="216"/>
        <w:gridCol w:w="134"/>
        <w:gridCol w:w="782"/>
        <w:gridCol w:w="211"/>
        <w:gridCol w:w="129"/>
        <w:gridCol w:w="787"/>
        <w:gridCol w:w="213"/>
        <w:gridCol w:w="129"/>
        <w:gridCol w:w="787"/>
        <w:gridCol w:w="126"/>
      </w:tblGrid>
      <w:tr>
        <w:trPr/>
        <w:tc>
          <w:tcPr>
            <w:tcW w:w="5548"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07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1" w:type="dxa"/>
            <w:tcBorders/>
            <w:shd w:fill="auto" w:val="clear"/>
            <w:vAlign w:val="bottom"/>
          </w:tcPr>
          <w:p>
            <w:pPr>
              <w:pStyle w:val="TableContents"/>
              <w:spacing w:before="0" w:after="0"/>
              <w:ind w:left="0" w:right="0" w:hanging="0"/>
              <w:jc w:val="center"/>
              <w:rPr/>
            </w:pPr>
            <w:r>
              <w:rPr/>
              <w:t> </w:t>
            </w:r>
          </w:p>
        </w:tc>
        <w:tc>
          <w:tcPr>
            <w:tcW w:w="204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6" w:type="dxa"/>
            <w:tcBorders/>
            <w:shd w:fill="auto" w:val="clear"/>
            <w:vAlign w:val="bottom"/>
          </w:tcPr>
          <w:p>
            <w:pPr>
              <w:pStyle w:val="TableContents"/>
              <w:spacing w:before="0" w:after="0"/>
              <w:ind w:left="0" w:right="0" w:hanging="0"/>
              <w:jc w:val="center"/>
              <w:rPr/>
            </w:pPr>
            <w:r>
              <w:rPr/>
              <w:t> </w:t>
            </w:r>
          </w:p>
        </w:tc>
      </w:tr>
      <w:tr>
        <w:trPr/>
        <w:tc>
          <w:tcPr>
            <w:tcW w:w="5548"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07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1" w:type="dxa"/>
            <w:tcBorders/>
            <w:shd w:fill="auto" w:val="clear"/>
            <w:vAlign w:val="bottom"/>
          </w:tcPr>
          <w:p>
            <w:pPr>
              <w:pStyle w:val="TableContents"/>
              <w:spacing w:before="0" w:after="0"/>
              <w:ind w:left="0" w:right="0" w:hanging="0"/>
              <w:jc w:val="center"/>
              <w:rPr/>
            </w:pPr>
            <w:r>
              <w:rPr/>
              <w:t> </w:t>
            </w:r>
          </w:p>
        </w:tc>
        <w:tc>
          <w:tcPr>
            <w:tcW w:w="204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6" w:type="dxa"/>
            <w:tcBorders/>
            <w:shd w:fill="auto" w:val="clear"/>
            <w:vAlign w:val="bottom"/>
          </w:tcPr>
          <w:p>
            <w:pPr>
              <w:pStyle w:val="TableContents"/>
              <w:spacing w:before="0" w:after="0"/>
              <w:ind w:left="0" w:right="0" w:hanging="0"/>
              <w:jc w:val="center"/>
              <w:rPr/>
            </w:pPr>
            <w:r>
              <w:rPr/>
              <w:t> </w:t>
            </w:r>
          </w:p>
        </w:tc>
      </w:tr>
      <w:tr>
        <w:trPr/>
        <w:tc>
          <w:tcPr>
            <w:tcW w:w="5548"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9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1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1" w:type="dxa"/>
            <w:tcBorders/>
            <w:shd w:fill="auto" w:val="clear"/>
            <w:vAlign w:val="bottom"/>
          </w:tcPr>
          <w:p>
            <w:pPr>
              <w:pStyle w:val="TableContents"/>
              <w:spacing w:before="0" w:after="0"/>
              <w:ind w:left="0" w:right="0" w:hanging="0"/>
              <w:jc w:val="center"/>
              <w:rPr/>
            </w:pPr>
            <w:r>
              <w:rPr/>
              <w:t> </w:t>
            </w:r>
          </w:p>
        </w:tc>
        <w:tc>
          <w:tcPr>
            <w:tcW w:w="9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1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6" w:type="dxa"/>
            <w:tcBorders/>
            <w:shd w:fill="auto" w:val="clear"/>
            <w:vAlign w:val="bottom"/>
          </w:tcPr>
          <w:p>
            <w:pPr>
              <w:pStyle w:val="TableContents"/>
              <w:spacing w:before="0" w:after="0"/>
              <w:ind w:left="0" w:right="0" w:hanging="0"/>
              <w:jc w:val="center"/>
              <w:rPr/>
            </w:pPr>
            <w:r>
              <w:rPr/>
              <w:t> </w:t>
            </w:r>
          </w:p>
        </w:tc>
      </w:tr>
      <w:tr>
        <w:trPr/>
        <w:tc>
          <w:tcPr>
            <w:tcW w:w="5548" w:type="dxa"/>
            <w:tcBorders/>
            <w:shd w:fill="CCEEFF" w:val="clear"/>
            <w:vAlign w:val="center"/>
          </w:tcPr>
          <w:p>
            <w:pPr>
              <w:pStyle w:val="TableContents"/>
              <w:spacing w:before="0" w:after="0"/>
              <w:ind w:left="0" w:right="0" w:hanging="0"/>
              <w:rPr/>
            </w:pPr>
            <w:r>
              <w:rPr>
                <w:rFonts w:ascii="Times New Roman" w:hAnsi="Times New Roman"/>
                <w:b/>
                <w:sz w:val="17"/>
              </w:rPr>
              <w:t>Selected Items Impacting Comparability - Income / (Loss)</w:t>
            </w:r>
            <w:r>
              <w:rPr/>
              <w:t xml:space="preserve"> </w:t>
            </w:r>
            <w:r>
              <w:rPr>
                <w:b/>
                <w:sz w:val="11"/>
              </w:rPr>
              <w:t>(1) (2)</w:t>
            </w:r>
            <w:r>
              <w:rPr>
                <w:b/>
                <w:sz w:val="17"/>
              </w:rPr>
              <w:t>:</w:t>
            </w:r>
          </w:p>
        </w:tc>
        <w:tc>
          <w:tcPr>
            <w:tcW w:w="205" w:type="dxa"/>
            <w:tcBorders/>
            <w:shd w:fill="CCEEFF" w:val="clear"/>
            <w:vAlign w:val="bottom"/>
          </w:tcPr>
          <w:p>
            <w:pPr>
              <w:pStyle w:val="TableContents"/>
              <w:spacing w:before="0" w:after="0"/>
              <w:ind w:left="0" w:right="0" w:hanging="0"/>
              <w:rPr/>
            </w:pPr>
            <w:r>
              <w:rPr/>
              <w:t> </w:t>
            </w:r>
          </w:p>
        </w:tc>
        <w:tc>
          <w:tcPr>
            <w:tcW w:w="938"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16"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16"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16"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5548" w:type="dxa"/>
            <w:tcBorders/>
            <w:shd w:fill="auto" w:val="clear"/>
            <w:vAlign w:val="center"/>
          </w:tcPr>
          <w:p>
            <w:pPr>
              <w:pStyle w:val="TableContents"/>
              <w:spacing w:before="0" w:after="0"/>
              <w:ind w:left="0" w:right="0" w:hanging="0"/>
              <w:rPr/>
            </w:pPr>
            <w:r>
              <w:rPr>
                <w:rFonts w:ascii="Times New Roman" w:hAnsi="Times New Roman"/>
                <w:sz w:val="17"/>
              </w:rPr>
              <w:t xml:space="preserve">Gains/(losses) from derivative activities net of inventory valuation adjustments </w:t>
            </w:r>
            <w:r>
              <w:rPr>
                <w:sz w:val="11"/>
              </w:rPr>
              <w:t>(3)</w:t>
            </w:r>
          </w:p>
        </w:tc>
        <w:tc>
          <w:tcPr>
            <w:tcW w:w="205"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1"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126" w:type="dxa"/>
            <w:tcBorders/>
            <w:shd w:fill="auto" w:val="clear"/>
            <w:vAlign w:val="bottom"/>
          </w:tcPr>
          <w:p>
            <w:pPr>
              <w:pStyle w:val="TableContents"/>
              <w:spacing w:before="0" w:after="0"/>
              <w:ind w:left="0" w:right="0" w:hanging="0"/>
              <w:rPr/>
            </w:pPr>
            <w:r>
              <w:rPr/>
              <w:t> </w:t>
            </w:r>
          </w:p>
        </w:tc>
      </w:tr>
      <w:tr>
        <w:trPr/>
        <w:tc>
          <w:tcPr>
            <w:tcW w:w="5548" w:type="dxa"/>
            <w:tcBorders/>
            <w:shd w:fill="CCEEFF" w:val="clear"/>
            <w:vAlign w:val="center"/>
          </w:tcPr>
          <w:p>
            <w:pPr>
              <w:pStyle w:val="TableContents"/>
              <w:spacing w:before="0" w:after="0"/>
              <w:ind w:left="0" w:right="0" w:hanging="0"/>
              <w:rPr/>
            </w:pPr>
            <w:r>
              <w:rPr>
                <w:rFonts w:ascii="Times New Roman" w:hAnsi="Times New Roman"/>
                <w:sz w:val="17"/>
              </w:rPr>
              <w:t xml:space="preserve">Asset impairments </w:t>
            </w:r>
            <w:r>
              <w:rPr>
                <w:sz w:val="11"/>
              </w:rPr>
              <w:t>(4)</w:t>
            </w:r>
          </w:p>
        </w:tc>
        <w:tc>
          <w:tcPr>
            <w:tcW w:w="205" w:type="dxa"/>
            <w:tcBorders/>
            <w:shd w:fill="CCEEFF" w:val="clear"/>
            <w:vAlign w:val="bottom"/>
          </w:tcPr>
          <w:p>
            <w:pPr>
              <w:pStyle w:val="TableContents"/>
              <w:spacing w:before="0" w:after="0"/>
              <w:ind w:left="0" w:right="0" w:hanging="0"/>
              <w:rPr/>
            </w:pPr>
            <w:r>
              <w:rPr/>
              <w:t> </w:t>
            </w:r>
          </w:p>
        </w:tc>
        <w:tc>
          <w:tcPr>
            <w:tcW w:w="9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9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6" w:type="dxa"/>
            <w:tcBorders/>
            <w:shd w:fill="CCEEFF" w:val="clear"/>
            <w:vAlign w:val="bottom"/>
          </w:tcPr>
          <w:p>
            <w:pPr>
              <w:pStyle w:val="TableContents"/>
              <w:spacing w:before="0" w:after="0"/>
              <w:ind w:left="0" w:right="0" w:hanging="0"/>
              <w:rPr/>
            </w:pPr>
            <w:r>
              <w:rPr/>
              <w:t> </w:t>
            </w:r>
          </w:p>
        </w:tc>
      </w:tr>
      <w:tr>
        <w:trPr/>
        <w:tc>
          <w:tcPr>
            <w:tcW w:w="5548" w:type="dxa"/>
            <w:tcBorders/>
            <w:shd w:fill="auto" w:val="clear"/>
            <w:vAlign w:val="center"/>
          </w:tcPr>
          <w:p>
            <w:pPr>
              <w:pStyle w:val="TableContents"/>
              <w:spacing w:before="0" w:after="0"/>
              <w:ind w:left="0" w:right="0" w:hanging="0"/>
              <w:rPr/>
            </w:pPr>
            <w:r>
              <w:rPr>
                <w:rFonts w:ascii="Times New Roman" w:hAnsi="Times New Roman"/>
                <w:sz w:val="17"/>
              </w:rPr>
              <w:t xml:space="preserve">Equity compensation expense </w:t>
            </w:r>
            <w:r>
              <w:rPr>
                <w:sz w:val="11"/>
              </w:rPr>
              <w:t>(5)</w:t>
            </w:r>
          </w:p>
        </w:tc>
        <w:tc>
          <w:tcPr>
            <w:tcW w:w="205" w:type="dxa"/>
            <w:tcBorders/>
            <w:shd w:fill="auto" w:val="clear"/>
            <w:vAlign w:val="bottom"/>
          </w:tcPr>
          <w:p>
            <w:pPr>
              <w:pStyle w:val="TableContents"/>
              <w:spacing w:before="0" w:after="0"/>
              <w:ind w:left="0" w:right="0" w:hanging="0"/>
              <w:rPr/>
            </w:pPr>
            <w:r>
              <w:rPr/>
              <w:t> </w:t>
            </w:r>
          </w:p>
        </w:tc>
        <w:tc>
          <w:tcPr>
            <w:tcW w:w="9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4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205" w:type="dxa"/>
            <w:tcBorders/>
            <w:shd w:fill="CCEEFF" w:val="clear"/>
            <w:vAlign w:val="bottom"/>
          </w:tcPr>
          <w:p>
            <w:pPr>
              <w:pStyle w:val="TableContents"/>
              <w:spacing w:before="0" w:after="0"/>
              <w:ind w:left="0" w:right="0" w:hanging="0"/>
              <w:rPr/>
            </w:pPr>
            <w:r>
              <w:rPr/>
              <w:t> </w:t>
            </w:r>
          </w:p>
        </w:tc>
        <w:tc>
          <w:tcPr>
            <w:tcW w:w="9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9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9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9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4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Net gain/(loss) on foreign currency revaluation </w:t>
            </w:r>
          </w:p>
        </w:tc>
        <w:tc>
          <w:tcPr>
            <w:tcW w:w="205" w:type="dxa"/>
            <w:tcBorders/>
            <w:shd w:fill="auto" w:val="clear"/>
            <w:vAlign w:val="bottom"/>
          </w:tcPr>
          <w:p>
            <w:pPr>
              <w:pStyle w:val="TableContents"/>
              <w:spacing w:before="0" w:after="0"/>
              <w:ind w:left="0" w:right="0" w:hanging="0"/>
              <w:rPr/>
            </w:pPr>
            <w:r>
              <w:rPr/>
              <w:t> </w:t>
            </w:r>
          </w:p>
        </w:tc>
        <w:tc>
          <w:tcPr>
            <w:tcW w:w="9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6" w:type="dxa"/>
            <w:tcBorders/>
            <w:shd w:fill="auto" w:val="clear"/>
            <w:vAlign w:val="bottom"/>
          </w:tcPr>
          <w:p>
            <w:pPr>
              <w:pStyle w:val="TableContents"/>
              <w:spacing w:before="0" w:after="0"/>
              <w:ind w:left="0" w:right="0" w:hanging="0"/>
              <w:rPr/>
            </w:pPr>
            <w:r>
              <w:rPr/>
              <w:t> </w:t>
            </w:r>
          </w:p>
        </w:tc>
        <w:tc>
          <w:tcPr>
            <w:tcW w:w="9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4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205" w:type="dxa"/>
            <w:tcBorders/>
            <w:shd w:fill="CCEEFF" w:val="clear"/>
            <w:vAlign w:val="bottom"/>
          </w:tcPr>
          <w:p>
            <w:pPr>
              <w:pStyle w:val="TableContents"/>
              <w:spacing w:before="0" w:after="0"/>
              <w:ind w:left="0" w:right="0" w:hanging="0"/>
              <w:rPr/>
            </w:pPr>
            <w:r>
              <w:rPr/>
              <w:t> </w:t>
            </w:r>
          </w:p>
        </w:tc>
        <w:tc>
          <w:tcPr>
            <w:tcW w:w="9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9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9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48" w:type="dxa"/>
            <w:tcBorders/>
            <w:shd w:fill="auto" w:val="clear"/>
            <w:vAlign w:val="center"/>
          </w:tcPr>
          <w:p>
            <w:pPr>
              <w:pStyle w:val="TableContents"/>
              <w:spacing w:before="0" w:after="0"/>
              <w:ind w:left="0" w:right="0" w:hanging="0"/>
              <w:rPr/>
            </w:pPr>
            <w:r>
              <w:rPr>
                <w:rFonts w:ascii="Times New Roman" w:hAnsi="Times New Roman"/>
                <w:sz w:val="17"/>
              </w:rPr>
              <w:t>Other</w:t>
            </w:r>
            <w:r>
              <w:rPr/>
              <w:t xml:space="preserve"> </w:t>
            </w:r>
            <w:r>
              <w:rPr>
                <w:sz w:val="11"/>
              </w:rPr>
              <w:t>(6)</w:t>
            </w:r>
          </w:p>
        </w:tc>
        <w:tc>
          <w:tcPr>
            <w:tcW w:w="205" w:type="dxa"/>
            <w:tcBorders/>
            <w:shd w:fill="auto" w:val="clear"/>
            <w:vAlign w:val="bottom"/>
          </w:tcPr>
          <w:p>
            <w:pPr>
              <w:pStyle w:val="TableContents"/>
              <w:spacing w:before="0" w:after="0"/>
              <w:ind w:left="0" w:right="0" w:hanging="0"/>
              <w:rPr/>
            </w:pPr>
            <w:r>
              <w:rPr/>
              <w:t> </w:t>
            </w:r>
          </w:p>
        </w:tc>
        <w:tc>
          <w:tcPr>
            <w:tcW w:w="9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9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9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auto" w:val="clear"/>
            <w:vAlign w:val="bottom"/>
          </w:tcPr>
          <w:p>
            <w:pPr>
              <w:pStyle w:val="TableContents"/>
              <w:spacing w:before="0" w:after="0"/>
              <w:ind w:left="0" w:right="0" w:hanging="0"/>
              <w:rPr/>
            </w:pPr>
            <w:r>
              <w:rPr/>
              <w:t> </w:t>
            </w:r>
          </w:p>
        </w:tc>
        <w:tc>
          <w:tcPr>
            <w:tcW w:w="91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6" w:type="dxa"/>
            <w:tcBorders/>
            <w:shd w:fill="auto" w:val="clear"/>
            <w:vAlign w:val="bottom"/>
          </w:tcPr>
          <w:p>
            <w:pPr>
              <w:pStyle w:val="TableContents"/>
              <w:spacing w:before="0" w:after="0"/>
              <w:ind w:left="0" w:right="0" w:hanging="0"/>
              <w:rPr/>
            </w:pPr>
            <w:r>
              <w:rPr/>
              <w:t> </w:t>
            </w:r>
          </w:p>
        </w:tc>
      </w:tr>
      <w:tr>
        <w:trPr/>
        <w:tc>
          <w:tcPr>
            <w:tcW w:w="554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05"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48"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938"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1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1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16"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554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basic net income per limited partner unit </w:t>
            </w:r>
          </w:p>
        </w:tc>
        <w:tc>
          <w:tcPr>
            <w:tcW w:w="205"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(0.46</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0.02</w:t>
            </w:r>
          </w:p>
        </w:tc>
        <w:tc>
          <w:tcPr>
            <w:tcW w:w="211"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(0.64</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4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diluted net income per limited partner unit </w:t>
            </w:r>
          </w:p>
        </w:tc>
        <w:tc>
          <w:tcPr>
            <w:tcW w:w="205"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211"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(0.63</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Per-unit amounts are presented as adjusted for the two-for-one unit split effected on October 1, 2012.</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net of inventory valuation adjustments.</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Asset impairments are reflected in Depreciation and amortization on our Consolidated Statements of Operations and do not impact the comparability of EBITDA.</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Equity compensation expense for the three and nine months ended September 30, 2012 and 2011 excludes the portion of equity compensation expense represented by grants under our Long-term Incentive Plans (LTIPs) that, pursuant to the terms of the grant, will be settled in cash only and have no impact on diluted units.</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Includes other immaterial selected items impacting comparability, as well as the noncontrolling interests portion of selected items.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bookmarkStart w:id="16" w:name="PB_3_191653_5796"/>
      <w:bookmarkEnd w:id="1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certain selected financial information by segment for the third quarter (amounts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86"/>
        <w:gridCol w:w="105"/>
        <w:gridCol w:w="261"/>
        <w:gridCol w:w="1008"/>
        <w:gridCol w:w="180"/>
        <w:gridCol w:w="181"/>
        <w:gridCol w:w="679"/>
        <w:gridCol w:w="180"/>
        <w:gridCol w:w="169"/>
        <w:gridCol w:w="843"/>
        <w:gridCol w:w="180"/>
        <w:gridCol w:w="261"/>
        <w:gridCol w:w="1008"/>
        <w:gridCol w:w="179"/>
        <w:gridCol w:w="181"/>
        <w:gridCol w:w="679"/>
        <w:gridCol w:w="180"/>
        <w:gridCol w:w="169"/>
        <w:gridCol w:w="843"/>
        <w:gridCol w:w="133"/>
      </w:tblGrid>
      <w:tr>
        <w:trPr/>
        <w:tc>
          <w:tcPr>
            <w:tcW w:w="2786"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3501"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80" w:type="dxa"/>
            <w:tcBorders/>
            <w:shd w:fill="auto" w:val="clear"/>
            <w:vAlign w:val="bottom"/>
          </w:tcPr>
          <w:p>
            <w:pPr>
              <w:pStyle w:val="TableContents"/>
              <w:spacing w:before="0" w:after="0"/>
              <w:ind w:left="0" w:right="0" w:hanging="0"/>
              <w:jc w:val="center"/>
              <w:rPr/>
            </w:pPr>
            <w:r>
              <w:rPr/>
              <w:t> </w:t>
            </w:r>
          </w:p>
        </w:tc>
        <w:tc>
          <w:tcPr>
            <w:tcW w:w="3500"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2786"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350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2012</w:t>
            </w:r>
          </w:p>
        </w:tc>
        <w:tc>
          <w:tcPr>
            <w:tcW w:w="180" w:type="dxa"/>
            <w:tcBorders/>
            <w:shd w:fill="auto" w:val="clear"/>
            <w:vAlign w:val="bottom"/>
          </w:tcPr>
          <w:p>
            <w:pPr>
              <w:pStyle w:val="TableContents"/>
              <w:spacing w:before="0" w:after="0"/>
              <w:ind w:left="0" w:right="0" w:hanging="0"/>
              <w:jc w:val="center"/>
              <w:rPr/>
            </w:pPr>
            <w:r>
              <w:rPr/>
              <w:t> </w:t>
            </w:r>
          </w:p>
        </w:tc>
        <w:tc>
          <w:tcPr>
            <w:tcW w:w="3500"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2011</w:t>
            </w:r>
          </w:p>
        </w:tc>
        <w:tc>
          <w:tcPr>
            <w:tcW w:w="133" w:type="dxa"/>
            <w:tcBorders/>
            <w:shd w:fill="auto" w:val="clear"/>
            <w:vAlign w:val="bottom"/>
          </w:tcPr>
          <w:p>
            <w:pPr>
              <w:pStyle w:val="TableContents"/>
              <w:spacing w:before="0" w:after="0"/>
              <w:ind w:left="0" w:right="0" w:hanging="0"/>
              <w:jc w:val="center"/>
              <w:rPr/>
            </w:pPr>
            <w:r>
              <w:rPr/>
              <w:t> </w:t>
            </w:r>
          </w:p>
        </w:tc>
      </w:tr>
      <w:tr>
        <w:trPr/>
        <w:tc>
          <w:tcPr>
            <w:tcW w:w="2786"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269" w:type="dxa"/>
            <w:gridSpan w:val="2"/>
            <w:tcBorders/>
            <w:shd w:fill="auto" w:val="clear"/>
            <w:vAlign w:val="bottom"/>
          </w:tcPr>
          <w:p>
            <w:pPr>
              <w:pStyle w:val="TableContents"/>
              <w:spacing w:before="0" w:after="0"/>
              <w:ind w:left="0" w:right="0" w:hanging="0"/>
              <w:jc w:val="center"/>
              <w:rPr/>
            </w:pPr>
            <w:r>
              <w:rPr/>
              <w:t> </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80" w:type="dxa"/>
            <w:tcBorders/>
            <w:shd w:fill="auto" w:val="clear"/>
            <w:vAlign w:val="bottom"/>
          </w:tcPr>
          <w:p>
            <w:pPr>
              <w:pStyle w:val="TableContents"/>
              <w:spacing w:before="0" w:after="0"/>
              <w:ind w:left="0" w:right="0" w:hanging="0"/>
              <w:jc w:val="center"/>
              <w:rPr/>
            </w:pPr>
            <w:r>
              <w:rPr/>
              <w:t> </w:t>
            </w:r>
          </w:p>
        </w:tc>
        <w:tc>
          <w:tcPr>
            <w:tcW w:w="1269" w:type="dxa"/>
            <w:gridSpan w:val="2"/>
            <w:tcBorders/>
            <w:shd w:fill="auto" w:val="clear"/>
            <w:vAlign w:val="bottom"/>
          </w:tcPr>
          <w:p>
            <w:pPr>
              <w:pStyle w:val="TableContents"/>
              <w:spacing w:before="0" w:after="0"/>
              <w:ind w:left="0" w:right="0" w:hanging="0"/>
              <w:jc w:val="center"/>
              <w:rPr/>
            </w:pPr>
            <w:r>
              <w:rPr/>
              <w:t> </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33" w:type="dxa"/>
            <w:tcBorders/>
            <w:shd w:fill="auto" w:val="clear"/>
            <w:vAlign w:val="bottom"/>
          </w:tcPr>
          <w:p>
            <w:pPr>
              <w:pStyle w:val="TableContents"/>
              <w:spacing w:before="0" w:after="0"/>
              <w:ind w:left="0" w:right="0" w:hanging="0"/>
              <w:jc w:val="center"/>
              <w:rPr/>
            </w:pPr>
            <w:r>
              <w:rPr/>
              <w:t> </w:t>
            </w:r>
          </w:p>
        </w:tc>
      </w:tr>
      <w:tr>
        <w:trPr/>
        <w:tc>
          <w:tcPr>
            <w:tcW w:w="2786"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0" w:type="dxa"/>
            <w:tcBorders/>
            <w:shd w:fill="auto" w:val="clear"/>
            <w:vAlign w:val="bottom"/>
          </w:tcPr>
          <w:p>
            <w:pPr>
              <w:pStyle w:val="TableContents"/>
              <w:spacing w:before="0" w:after="0"/>
              <w:ind w:left="0" w:right="0" w:hanging="0"/>
              <w:jc w:val="center"/>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0" w:type="dxa"/>
            <w:tcBorders/>
            <w:shd w:fill="auto" w:val="clear"/>
            <w:vAlign w:val="bottom"/>
          </w:tcPr>
          <w:p>
            <w:pPr>
              <w:pStyle w:val="TableContents"/>
              <w:spacing w:before="0" w:after="0"/>
              <w:ind w:left="0" w:right="0" w:hanging="0"/>
              <w:jc w:val="center"/>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80" w:type="dxa"/>
            <w:tcBorders/>
            <w:shd w:fill="auto" w:val="clear"/>
            <w:vAlign w:val="bottom"/>
          </w:tcPr>
          <w:p>
            <w:pPr>
              <w:pStyle w:val="TableContents"/>
              <w:spacing w:before="0" w:after="0"/>
              <w:ind w:left="0" w:right="0" w:hanging="0"/>
              <w:jc w:val="center"/>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9" w:type="dxa"/>
            <w:tcBorders/>
            <w:shd w:fill="auto" w:val="clear"/>
            <w:vAlign w:val="bottom"/>
          </w:tcPr>
          <w:p>
            <w:pPr>
              <w:pStyle w:val="TableContents"/>
              <w:spacing w:before="0" w:after="0"/>
              <w:ind w:left="0" w:right="0" w:hanging="0"/>
              <w:jc w:val="center"/>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0" w:type="dxa"/>
            <w:tcBorders/>
            <w:shd w:fill="auto" w:val="clear"/>
            <w:vAlign w:val="bottom"/>
          </w:tcPr>
          <w:p>
            <w:pPr>
              <w:pStyle w:val="TableContents"/>
              <w:spacing w:before="0" w:after="0"/>
              <w:ind w:left="0" w:right="0" w:hanging="0"/>
              <w:jc w:val="center"/>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3" w:type="dxa"/>
            <w:tcBorders/>
            <w:shd w:fill="auto" w:val="clear"/>
            <w:vAlign w:val="bottom"/>
          </w:tcPr>
          <w:p>
            <w:pPr>
              <w:pStyle w:val="TableContents"/>
              <w:spacing w:before="0" w:after="0"/>
              <w:ind w:left="0" w:right="0" w:hanging="0"/>
              <w:jc w:val="center"/>
              <w:rPr/>
            </w:pPr>
            <w:r>
              <w:rPr/>
              <w:t> </w:t>
            </w:r>
          </w:p>
        </w:tc>
      </w:tr>
      <w:tr>
        <w:trPr/>
        <w:tc>
          <w:tcPr>
            <w:tcW w:w="2786"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05"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80"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180"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9,049</w:t>
            </w:r>
          </w:p>
        </w:tc>
        <w:tc>
          <w:tcPr>
            <w:tcW w:w="180"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179"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80"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8,545</w:t>
            </w:r>
          </w:p>
        </w:tc>
        <w:tc>
          <w:tcPr>
            <w:tcW w:w="133" w:type="dxa"/>
            <w:tcBorders/>
            <w:shd w:fill="CCEEFF" w:val="clear"/>
            <w:vAlign w:val="bottom"/>
          </w:tcPr>
          <w:p>
            <w:pPr>
              <w:pStyle w:val="TableContents"/>
              <w:spacing w:before="0" w:after="0"/>
              <w:ind w:left="0" w:right="0" w:hanging="0"/>
              <w:rPr/>
            </w:pPr>
            <w:r>
              <w:rPr/>
              <w:t> </w:t>
            </w:r>
          </w:p>
        </w:tc>
      </w:tr>
      <w:tr>
        <w:trPr/>
        <w:tc>
          <w:tcPr>
            <w:tcW w:w="2786"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05"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(8,776</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(8,259</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86"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expense) </w:t>
            </w:r>
            <w:r>
              <w:rPr>
                <w:sz w:val="11"/>
              </w:rPr>
              <w:t>(1)</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operations</w:t>
            </w:r>
          </w:p>
        </w:tc>
        <w:tc>
          <w:tcPr>
            <w:tcW w:w="105"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auto" w:val="clear"/>
            <w:vAlign w:val="bottom"/>
          </w:tcPr>
          <w:p>
            <w:pPr>
              <w:pStyle w:val="TableContents"/>
              <w:spacing w:before="0" w:after="0"/>
              <w:ind w:left="0" w:right="0" w:hanging="0"/>
              <w:rPr/>
            </w:pPr>
            <w:r>
              <w:rPr/>
              <w:t> </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expense) </w:t>
            </w:r>
            <w:r>
              <w:rPr>
                <w:sz w:val="11"/>
              </w:rPr>
              <w:t>(2)</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general and administrative</w:t>
            </w:r>
          </w:p>
        </w:tc>
        <w:tc>
          <w:tcPr>
            <w:tcW w:w="105"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0" w:type="dxa"/>
            <w:tcBorders/>
            <w:shd w:fill="CCEEFF"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9" w:type="dxa"/>
            <w:tcBorders/>
            <w:shd w:fill="CCEEFF"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pPr>
            <w:r>
              <w:rPr/>
              <w:t> </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05" w:type="dxa"/>
            <w:tcBorders/>
            <w:shd w:fill="auto" w:val="clear"/>
            <w:vAlign w:val="bottom"/>
          </w:tcPr>
          <w:p>
            <w:pPr>
              <w:pStyle w:val="TableContents"/>
              <w:spacing w:before="0" w:after="0"/>
              <w:ind w:left="0" w:right="0" w:hanging="0"/>
              <w:rPr/>
            </w:pPr>
            <w:r>
              <w:rPr/>
              <w:t> </w:t>
            </w:r>
          </w:p>
        </w:tc>
        <w:tc>
          <w:tcPr>
            <w:tcW w:w="2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80"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80"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3"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80" w:type="dxa"/>
            <w:tcBorders/>
            <w:shd w:fill="auto" w:val="clear"/>
            <w:vAlign w:val="bottom"/>
          </w:tcPr>
          <w:p>
            <w:pPr>
              <w:pStyle w:val="TableContents"/>
              <w:spacing w:before="0" w:after="0"/>
              <w:ind w:left="0" w:right="0" w:hanging="0"/>
              <w:rPr/>
            </w:pPr>
            <w:r>
              <w:rPr/>
              <w:t> </w:t>
            </w:r>
          </w:p>
        </w:tc>
        <w:tc>
          <w:tcPr>
            <w:tcW w:w="2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7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80"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3"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33"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pPr>
            <w:r>
              <w:rPr>
                <w:rFonts w:ascii="Times New Roman" w:hAnsi="Times New Roman"/>
                <w:sz w:val="17"/>
              </w:rPr>
              <w:t>Selected items impacting comparability of segment profit</w:t>
            </w:r>
            <w:r>
              <w:rPr/>
              <w:t xml:space="preserve"> </w:t>
            </w:r>
            <w:r>
              <w:rPr>
                <w:sz w:val="11"/>
              </w:rPr>
              <w:t>(3)</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0" w:type="dxa"/>
            <w:tcBorders/>
            <w:shd w:fill="CCEEFF"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0"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80"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9" w:type="dxa"/>
            <w:tcBorders/>
            <w:shd w:fill="CCEEFF"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0"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05"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80"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80" w:type="dxa"/>
            <w:tcBorders/>
            <w:shd w:fill="auto" w:val="clear"/>
            <w:vAlign w:val="bottom"/>
          </w:tcPr>
          <w:p>
            <w:pPr>
              <w:pStyle w:val="TableContents"/>
              <w:spacing w:before="0" w:after="0"/>
              <w:ind w:left="0" w:right="0" w:hanging="0"/>
              <w:rPr/>
            </w:pPr>
            <w:r>
              <w:rPr/>
              <w:t> </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80"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79"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80" w:type="dxa"/>
            <w:tcBorders/>
            <w:shd w:fill="auto" w:val="clear"/>
            <w:vAlign w:val="bottom"/>
          </w:tcPr>
          <w:p>
            <w:pPr>
              <w:pStyle w:val="TableContents"/>
              <w:spacing w:before="0" w:after="0"/>
              <w:ind w:left="0" w:right="0" w:hanging="0"/>
              <w:rPr/>
            </w:pPr>
            <w:r>
              <w:rPr/>
              <w:t> </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33"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05"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80"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0" w:type="dxa"/>
            <w:tcBorders/>
            <w:shd w:fill="auto" w:val="clear"/>
            <w:vAlign w:val="bottom"/>
          </w:tcPr>
          <w:p>
            <w:pPr>
              <w:pStyle w:val="TableContents"/>
              <w:spacing w:before="0" w:after="0"/>
              <w:ind w:left="0" w:right="0" w:hanging="0"/>
              <w:rPr/>
            </w:pPr>
            <w:r>
              <w:rPr/>
              <w:t> </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0"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9"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0" w:type="dxa"/>
            <w:tcBorders/>
            <w:shd w:fill="auto" w:val="clear"/>
            <w:vAlign w:val="bottom"/>
          </w:tcPr>
          <w:p>
            <w:pPr>
              <w:pStyle w:val="TableContents"/>
              <w:spacing w:before="0" w:after="0"/>
              <w:ind w:left="0" w:right="0" w:hanging="0"/>
              <w:rPr/>
            </w:pPr>
            <w:r>
              <w:rPr/>
              <w:t> </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86"/>
        <w:gridCol w:w="105"/>
        <w:gridCol w:w="210"/>
        <w:gridCol w:w="1059"/>
        <w:gridCol w:w="180"/>
        <w:gridCol w:w="181"/>
        <w:gridCol w:w="679"/>
        <w:gridCol w:w="180"/>
        <w:gridCol w:w="153"/>
        <w:gridCol w:w="859"/>
        <w:gridCol w:w="179"/>
        <w:gridCol w:w="261"/>
        <w:gridCol w:w="1008"/>
        <w:gridCol w:w="180"/>
        <w:gridCol w:w="181"/>
        <w:gridCol w:w="679"/>
        <w:gridCol w:w="180"/>
        <w:gridCol w:w="153"/>
        <w:gridCol w:w="859"/>
        <w:gridCol w:w="133"/>
      </w:tblGrid>
      <w:tr>
        <w:trPr/>
        <w:tc>
          <w:tcPr>
            <w:tcW w:w="2786"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3501"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79" w:type="dxa"/>
            <w:tcBorders/>
            <w:shd w:fill="auto" w:val="clear"/>
            <w:vAlign w:val="bottom"/>
          </w:tcPr>
          <w:p>
            <w:pPr>
              <w:pStyle w:val="TableContents"/>
              <w:spacing w:before="0" w:after="0"/>
              <w:ind w:left="0" w:right="0" w:hanging="0"/>
              <w:jc w:val="center"/>
              <w:rPr/>
            </w:pPr>
            <w:r>
              <w:rPr/>
              <w:t> </w:t>
            </w:r>
          </w:p>
        </w:tc>
        <w:tc>
          <w:tcPr>
            <w:tcW w:w="3501"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2786"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350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2012</w:t>
            </w:r>
          </w:p>
        </w:tc>
        <w:tc>
          <w:tcPr>
            <w:tcW w:w="179" w:type="dxa"/>
            <w:tcBorders/>
            <w:shd w:fill="auto" w:val="clear"/>
            <w:vAlign w:val="bottom"/>
          </w:tcPr>
          <w:p>
            <w:pPr>
              <w:pStyle w:val="TableContents"/>
              <w:spacing w:before="0" w:after="0"/>
              <w:ind w:left="0" w:right="0" w:hanging="0"/>
              <w:jc w:val="center"/>
              <w:rPr/>
            </w:pPr>
            <w:r>
              <w:rPr/>
              <w:t> </w:t>
            </w:r>
          </w:p>
        </w:tc>
        <w:tc>
          <w:tcPr>
            <w:tcW w:w="350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2011</w:t>
            </w:r>
          </w:p>
        </w:tc>
        <w:tc>
          <w:tcPr>
            <w:tcW w:w="133" w:type="dxa"/>
            <w:tcBorders/>
            <w:shd w:fill="auto" w:val="clear"/>
            <w:vAlign w:val="bottom"/>
          </w:tcPr>
          <w:p>
            <w:pPr>
              <w:pStyle w:val="TableContents"/>
              <w:spacing w:before="0" w:after="0"/>
              <w:ind w:left="0" w:right="0" w:hanging="0"/>
              <w:jc w:val="center"/>
              <w:rPr/>
            </w:pPr>
            <w:r>
              <w:rPr/>
              <w:t> </w:t>
            </w:r>
          </w:p>
        </w:tc>
      </w:tr>
      <w:tr>
        <w:trPr/>
        <w:tc>
          <w:tcPr>
            <w:tcW w:w="2786"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269" w:type="dxa"/>
            <w:gridSpan w:val="2"/>
            <w:tcBorders/>
            <w:shd w:fill="auto" w:val="clear"/>
            <w:vAlign w:val="bottom"/>
          </w:tcPr>
          <w:p>
            <w:pPr>
              <w:pStyle w:val="TableContents"/>
              <w:spacing w:before="0" w:after="0"/>
              <w:ind w:left="0" w:right="0" w:hanging="0"/>
              <w:jc w:val="center"/>
              <w:rPr/>
            </w:pPr>
            <w:r>
              <w:rPr/>
              <w:t> </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79" w:type="dxa"/>
            <w:tcBorders/>
            <w:shd w:fill="auto" w:val="clear"/>
            <w:vAlign w:val="bottom"/>
          </w:tcPr>
          <w:p>
            <w:pPr>
              <w:pStyle w:val="TableContents"/>
              <w:spacing w:before="0" w:after="0"/>
              <w:ind w:left="0" w:right="0" w:hanging="0"/>
              <w:jc w:val="center"/>
              <w:rPr/>
            </w:pPr>
            <w:r>
              <w:rPr/>
              <w:t> </w:t>
            </w:r>
          </w:p>
        </w:tc>
        <w:tc>
          <w:tcPr>
            <w:tcW w:w="1269" w:type="dxa"/>
            <w:gridSpan w:val="2"/>
            <w:tcBorders/>
            <w:shd w:fill="auto" w:val="clear"/>
            <w:vAlign w:val="bottom"/>
          </w:tcPr>
          <w:p>
            <w:pPr>
              <w:pStyle w:val="TableContents"/>
              <w:spacing w:before="0" w:after="0"/>
              <w:ind w:left="0" w:right="0" w:hanging="0"/>
              <w:jc w:val="center"/>
              <w:rPr/>
            </w:pPr>
            <w:r>
              <w:rPr/>
              <w:t> </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33" w:type="dxa"/>
            <w:tcBorders/>
            <w:shd w:fill="auto" w:val="clear"/>
            <w:vAlign w:val="bottom"/>
          </w:tcPr>
          <w:p>
            <w:pPr>
              <w:pStyle w:val="TableContents"/>
              <w:spacing w:before="0" w:after="0"/>
              <w:ind w:left="0" w:right="0" w:hanging="0"/>
              <w:jc w:val="center"/>
              <w:rPr/>
            </w:pPr>
            <w:r>
              <w:rPr/>
              <w:t> </w:t>
            </w:r>
          </w:p>
        </w:tc>
      </w:tr>
      <w:tr>
        <w:trPr/>
        <w:tc>
          <w:tcPr>
            <w:tcW w:w="2786"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0" w:type="dxa"/>
            <w:tcBorders/>
            <w:shd w:fill="auto" w:val="clear"/>
            <w:vAlign w:val="bottom"/>
          </w:tcPr>
          <w:p>
            <w:pPr>
              <w:pStyle w:val="TableContents"/>
              <w:spacing w:before="0" w:after="0"/>
              <w:ind w:left="0" w:right="0" w:hanging="0"/>
              <w:jc w:val="center"/>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0" w:type="dxa"/>
            <w:tcBorders/>
            <w:shd w:fill="auto" w:val="clear"/>
            <w:vAlign w:val="bottom"/>
          </w:tcPr>
          <w:p>
            <w:pPr>
              <w:pStyle w:val="TableContents"/>
              <w:spacing w:before="0" w:after="0"/>
              <w:ind w:left="0" w:right="0" w:hanging="0"/>
              <w:jc w:val="center"/>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79" w:type="dxa"/>
            <w:tcBorders/>
            <w:shd w:fill="auto" w:val="clear"/>
            <w:vAlign w:val="bottom"/>
          </w:tcPr>
          <w:p>
            <w:pPr>
              <w:pStyle w:val="TableContents"/>
              <w:spacing w:before="0" w:after="0"/>
              <w:ind w:left="0" w:right="0" w:hanging="0"/>
              <w:jc w:val="center"/>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0" w:type="dxa"/>
            <w:tcBorders/>
            <w:shd w:fill="auto" w:val="clear"/>
            <w:vAlign w:val="bottom"/>
          </w:tcPr>
          <w:p>
            <w:pPr>
              <w:pStyle w:val="TableContents"/>
              <w:spacing w:before="0" w:after="0"/>
              <w:ind w:left="0" w:right="0" w:hanging="0"/>
              <w:jc w:val="center"/>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80" w:type="dxa"/>
            <w:tcBorders/>
            <w:shd w:fill="auto" w:val="clear"/>
            <w:vAlign w:val="bottom"/>
          </w:tcPr>
          <w:p>
            <w:pPr>
              <w:pStyle w:val="TableContents"/>
              <w:spacing w:before="0" w:after="0"/>
              <w:ind w:left="0" w:right="0" w:hanging="0"/>
              <w:jc w:val="center"/>
              <w:rPr/>
            </w:pPr>
            <w:r>
              <w:rPr/>
              <w:t> </w:t>
            </w:r>
          </w:p>
        </w:tc>
        <w:tc>
          <w:tcPr>
            <w:tcW w:w="10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3" w:type="dxa"/>
            <w:tcBorders/>
            <w:shd w:fill="auto" w:val="clear"/>
            <w:vAlign w:val="bottom"/>
          </w:tcPr>
          <w:p>
            <w:pPr>
              <w:pStyle w:val="TableContents"/>
              <w:spacing w:before="0" w:after="0"/>
              <w:ind w:left="0" w:right="0" w:hanging="0"/>
              <w:jc w:val="center"/>
              <w:rPr/>
            </w:pPr>
            <w:r>
              <w:rPr/>
              <w:t> </w:t>
            </w:r>
          </w:p>
        </w:tc>
      </w:tr>
      <w:tr>
        <w:trPr/>
        <w:tc>
          <w:tcPr>
            <w:tcW w:w="2786"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05"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180"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w:t>
            </w:r>
          </w:p>
        </w:tc>
        <w:tc>
          <w:tcPr>
            <w:tcW w:w="180"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27,368</w:t>
            </w:r>
          </w:p>
        </w:tc>
        <w:tc>
          <w:tcPr>
            <w:tcW w:w="179"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864</w:t>
            </w:r>
          </w:p>
        </w:tc>
        <w:tc>
          <w:tcPr>
            <w:tcW w:w="180"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80"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24,567</w:t>
            </w:r>
          </w:p>
        </w:tc>
        <w:tc>
          <w:tcPr>
            <w:tcW w:w="133" w:type="dxa"/>
            <w:tcBorders/>
            <w:shd w:fill="CCEEFF" w:val="clear"/>
            <w:vAlign w:val="bottom"/>
          </w:tcPr>
          <w:p>
            <w:pPr>
              <w:pStyle w:val="TableContents"/>
              <w:spacing w:before="0" w:after="0"/>
              <w:ind w:left="0" w:right="0" w:hanging="0"/>
              <w:rPr/>
            </w:pPr>
            <w:r>
              <w:rPr/>
              <w:t> </w:t>
            </w:r>
          </w:p>
        </w:tc>
      </w:tr>
      <w:tr>
        <w:trPr/>
        <w:tc>
          <w:tcPr>
            <w:tcW w:w="2786"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05"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(26,414</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(23,794</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86"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expense) </w:t>
            </w:r>
            <w:r>
              <w:rPr>
                <w:sz w:val="11"/>
              </w:rPr>
              <w:t>(1)</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operations</w:t>
            </w:r>
          </w:p>
        </w:tc>
        <w:tc>
          <w:tcPr>
            <w:tcW w:w="105"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86"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expense) </w:t>
            </w:r>
            <w:r>
              <w:rPr>
                <w:sz w:val="11"/>
              </w:rPr>
              <w:t>(2)</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general and administrative</w:t>
            </w:r>
          </w:p>
        </w:tc>
        <w:tc>
          <w:tcPr>
            <w:tcW w:w="105"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80" w:type="dxa"/>
            <w:tcBorders/>
            <w:shd w:fill="CCEEFF"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0" w:type="dxa"/>
            <w:tcBorders/>
            <w:shd w:fill="CCEEFF"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pPr>
            <w:r>
              <w:rPr/>
              <w:t> </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05"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80"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80"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79" w:type="dxa"/>
            <w:tcBorders/>
            <w:shd w:fill="auto" w:val="clear"/>
            <w:vAlign w:val="bottom"/>
          </w:tcPr>
          <w:p>
            <w:pPr>
              <w:pStyle w:val="TableContents"/>
              <w:spacing w:before="0" w:after="0"/>
              <w:ind w:left="0" w:right="0" w:hanging="0"/>
              <w:rPr/>
            </w:pPr>
            <w:r>
              <w:rPr/>
              <w:t> </w:t>
            </w:r>
          </w:p>
        </w:tc>
        <w:tc>
          <w:tcPr>
            <w:tcW w:w="2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180"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80"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133"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pPr>
            <w:r>
              <w:rPr>
                <w:rFonts w:ascii="Times New Roman" w:hAnsi="Times New Roman"/>
                <w:sz w:val="17"/>
              </w:rPr>
              <w:t>Selected items impacting comparability of segment profit</w:t>
            </w:r>
            <w:r>
              <w:rPr/>
              <w:t xml:space="preserve"> </w:t>
            </w:r>
            <w:r>
              <w:rPr>
                <w:sz w:val="11"/>
              </w:rPr>
              <w:t>(3)</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80" w:type="dxa"/>
            <w:tcBorders/>
            <w:shd w:fill="CCEEFF"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0"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79"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80" w:type="dxa"/>
            <w:tcBorders/>
            <w:shd w:fill="CCEEFF"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0" w:type="dxa"/>
            <w:tcBorders/>
            <w:shd w:fill="CCEEFF" w:val="clear"/>
            <w:vAlign w:val="bottom"/>
          </w:tcPr>
          <w:p>
            <w:pPr>
              <w:pStyle w:val="TableContents"/>
              <w:spacing w:before="0" w:after="0"/>
              <w:ind w:left="0" w:right="0" w:hanging="0"/>
              <w:rPr/>
            </w:pPr>
            <w:r>
              <w:rPr/>
              <w:t> </w:t>
            </w:r>
          </w:p>
        </w:tc>
        <w:tc>
          <w:tcPr>
            <w:tcW w:w="10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05" w:type="dxa"/>
            <w:tcBorders/>
            <w:shd w:fill="auto" w:val="cle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543</w:t>
            </w:r>
          </w:p>
        </w:tc>
        <w:tc>
          <w:tcPr>
            <w:tcW w:w="180"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80"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w:t>
            </w:r>
          </w:p>
        </w:tc>
        <w:tc>
          <w:tcPr>
            <w:tcW w:w="179"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180"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w:t>
            </w:r>
          </w:p>
        </w:tc>
        <w:tc>
          <w:tcPr>
            <w:tcW w:w="180"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133" w:type="dxa"/>
            <w:tcBorders/>
            <w:shd w:fill="auto" w:val="clear"/>
            <w:vAlign w:val="bottom"/>
          </w:tcPr>
          <w:p>
            <w:pPr>
              <w:pStyle w:val="TableContents"/>
              <w:spacing w:before="0" w:after="0"/>
              <w:ind w:left="0" w:right="0" w:hanging="0"/>
              <w:rPr/>
            </w:pPr>
            <w:r>
              <w:rPr/>
              <w:t> </w:t>
            </w:r>
          </w:p>
        </w:tc>
      </w:tr>
      <w:tr>
        <w:trPr/>
        <w:tc>
          <w:tcPr>
            <w:tcW w:w="2786"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79"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80" w:type="dxa"/>
            <w:tcBorders/>
            <w:shd w:fill="CCEEFF" w:val="clear"/>
            <w:vAlign w:val="bottom"/>
          </w:tcPr>
          <w:p>
            <w:pPr>
              <w:pStyle w:val="TableContents"/>
              <w:spacing w:before="0" w:after="0"/>
              <w:ind w:left="0" w:right="0" w:hanging="0"/>
              <w:rPr/>
            </w:pPr>
            <w:r>
              <w:rPr/>
              <w:t> </w:t>
            </w:r>
          </w:p>
        </w:tc>
        <w:tc>
          <w:tcPr>
            <w:tcW w:w="1012"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05" w:type="dxa"/>
            <w:tcBorders/>
            <w:shd w:fill="auto" w:val="clear"/>
            <w:vAlign w:val="bottom"/>
          </w:tcPr>
          <w:p>
            <w:pPr>
              <w:pStyle w:val="TableContents"/>
              <w:spacing w:before="0" w:after="0"/>
              <w:ind w:left="0" w:right="0" w:hanging="0"/>
              <w:rPr/>
            </w:pPr>
            <w:r>
              <w:rPr/>
              <w:t> </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80"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80"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9"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80"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0"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intersegment amounts.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 Includes acquisition-related expenses for both the 2012 and 2011 periods.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bookmarkStart w:id="17" w:name="PB_4_191653_2897"/>
      <w:bookmarkEnd w:id="17"/>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Transportation segment profit in the third quarter of 2012 increased by 23% over comparable 2011 results.  This increase was primarily driven by higher revenues from acquisitions completed late in 2011 and early in 2012, organic growth capacity expansions, increased pipeline volumes and higher average pipeline tariffs.  These increases in revenue were partially offset by higher operating and general and administrative expenses, commensurate with the growth of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Facilities segment profit in the third quarter of 2012 increased 48% over comparable 2011 results.  This increased profitability is primarily related to capacity additions from the BP NGL acquisition and recently completed organic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Supply and Logistics segment profit in the third quarter of 2012 increased 5% over comparable 2011 results.  This increase was primarily due to favorable crude oil market conditions and increased crude oil lease gathering and NGL sales volumes.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basic weighted average units outstanding for the third quarter of 2012 was 329 million units (331 million diluted) as compared to 299 million units (300 million diluted) in last years third quarter.  At the end of the third quarter, the Partnership had approximately 331.6 million units outstanding. These amounts have been adjusted for the two-for-one unit split effected on October 1, 2012.  The Partnership had long-term debt of approximately $5.8 billion and a long-term debt-to-total capitalization ratio of 46% at the end of the third quarter.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has declared a quarterly distribution of $0.5425 per unit ($2.17 per unit on an annualized basis) payable November 14, 2012, on its outstanding limited partner units.  This distribution represents an increase of approximately 9.0% over the quarterly distribution paid in November 2011 and an increase of approximately 1.9% over the quarterly distribution paid in August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hold a conference call at 9:00 AM (Central) on November 6, 2012 (see details below).  Prior to this conference call, the Partnership will furnish a current report on Form 8-K, which will include material in this press release and financial and operational guidance for the fourth-quarter and full-year 2012 as well as preliminary financial guidance for 2013.  A copy of the Form 8-K will be available on the Partnerships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in its evaluation of past performance and prospects for the future. These measures include adjusted EBITDA and implied distributable cash flow (DCF).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These additional financial measures are reconciled from the most directly comparable measures as reported in accordance with GAAP, and should be viewed in addition to, and not in lieu of, our consolidated financial statements and footnotes.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A full analysis of these types of variations are not separately identified in this release, but will be discussed, as applicable, in managements discussion and analysis of operating results in our Quarterly Report on Form 10-Q.</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bookmarkStart w:id="18" w:name="PB_5_191653_3020"/>
      <w:bookmarkEnd w:id="18"/>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host a conference call at 9:00 AM (Central) on Tuesday, November 6, 2012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third-quarter 2012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fourth-quarter and full-year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Preliminary 2013 adjusted EBITDA guidance and growth capital investments;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Webcast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Alternatively, you may access the live conference call by dialing toll free (800) 230-1085. International callers should dial (612) 332-0226.  No password is required. You may access the slide presentation accompanying the conference call a few minutes prior to the call under the Conference Call Summaries portion of the Conference Calls tab of the Investor Relations section of PAAs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 475-6701, or, for international callers, (320) 365-3844, and replay access code 260375.  The replay will be available beginning Tuesday, November 6, 2012, at approximately 11:00 AM (Central) and continue until 11:59 PM (Central) Thursday, December 6, 2012.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bookmarkStart w:id="19" w:name="PB_6_191653_7748"/>
      <w:bookmarkEnd w:id="19"/>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the successful integration and future performance of acquired assets or businesses and the risks associated with operating in lines of business that are distinct and separate from our historical operations; failure to implement or capitalize, or delays in implementing or capitalizing, on planned internal growth projects; unanticipated changes in crude oil market structure, grade differentials and volatility (or lack thereof);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environmental liabilities or events that are not covered by an indemnity, insurance or existing reserves; abrupt or severe declines or interruptions in outer continental shelf production located offshore California and transported on our pipeline systems; shortages or cost increases of supplies, materials or labor; 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the effects of competition; interruptions in service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(NYSE: PNG), PAA owns and operates natural gas storage facilities. PAA is headquartered in Houston, Texas.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bookmarkStart w:id="20" w:name="PB_7_192017_8627"/>
      <w:bookmarkEnd w:id="20"/>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CONSOLIDATED STATEMENTS OF OPERATIONS</w:t>
      </w:r>
      <w:r>
        <w:rPr>
          <w:rFonts w:ascii="Times New Roman" w:hAnsi="Times New Roman"/>
        </w:rPr>
        <w:t xml:space="preserve"> </w:t>
      </w:r>
      <w:r>
        <w:rPr>
          <w:rFonts w:ascii="Times New Roman" w:hAnsi="Times New Roman"/>
          <w:b/>
          <w:sz w:val="11"/>
        </w:rPr>
        <w:t>(1)</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054"/>
        <w:gridCol w:w="207"/>
        <w:gridCol w:w="119"/>
        <w:gridCol w:w="674"/>
        <w:gridCol w:w="212"/>
        <w:gridCol w:w="119"/>
        <w:gridCol w:w="675"/>
        <w:gridCol w:w="211"/>
        <w:gridCol w:w="118"/>
        <w:gridCol w:w="684"/>
        <w:gridCol w:w="211"/>
        <w:gridCol w:w="118"/>
        <w:gridCol w:w="684"/>
        <w:gridCol w:w="119"/>
      </w:tblGrid>
      <w:tr>
        <w:trPr/>
        <w:tc>
          <w:tcPr>
            <w:tcW w:w="605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79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1" w:type="dxa"/>
            <w:tcBorders/>
            <w:shd w:fill="auto" w:val="clear"/>
            <w:vAlign w:val="bottom"/>
          </w:tcPr>
          <w:p>
            <w:pPr>
              <w:pStyle w:val="TableContents"/>
              <w:spacing w:before="0" w:after="0"/>
              <w:ind w:left="0" w:right="0" w:hanging="0"/>
              <w:jc w:val="center"/>
              <w:rPr/>
            </w:pPr>
            <w:r>
              <w:rPr/>
              <w:t> </w:t>
            </w:r>
          </w:p>
        </w:tc>
        <w:tc>
          <w:tcPr>
            <w:tcW w:w="181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19" w:type="dxa"/>
            <w:tcBorders/>
            <w:shd w:fill="auto" w:val="clear"/>
            <w:vAlign w:val="bottom"/>
          </w:tcPr>
          <w:p>
            <w:pPr>
              <w:pStyle w:val="TableContents"/>
              <w:spacing w:before="0" w:after="0"/>
              <w:ind w:left="0" w:right="0" w:hanging="0"/>
              <w:jc w:val="center"/>
              <w:rPr/>
            </w:pPr>
            <w:r>
              <w:rPr/>
              <w:t> </w:t>
            </w:r>
          </w:p>
        </w:tc>
      </w:tr>
      <w:tr>
        <w:trPr/>
        <w:tc>
          <w:tcPr>
            <w:tcW w:w="605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79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1" w:type="dxa"/>
            <w:tcBorders/>
            <w:shd w:fill="auto" w:val="clear"/>
            <w:vAlign w:val="bottom"/>
          </w:tcPr>
          <w:p>
            <w:pPr>
              <w:pStyle w:val="TableContents"/>
              <w:spacing w:before="0" w:after="0"/>
              <w:ind w:left="0" w:right="0" w:hanging="0"/>
              <w:jc w:val="center"/>
              <w:rPr/>
            </w:pPr>
            <w:r>
              <w:rPr/>
              <w:t> </w:t>
            </w:r>
          </w:p>
        </w:tc>
        <w:tc>
          <w:tcPr>
            <w:tcW w:w="181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19" w:type="dxa"/>
            <w:tcBorders/>
            <w:shd w:fill="auto" w:val="clear"/>
            <w:vAlign w:val="bottom"/>
          </w:tcPr>
          <w:p>
            <w:pPr>
              <w:pStyle w:val="TableContents"/>
              <w:spacing w:before="0" w:after="0"/>
              <w:ind w:left="0" w:right="0" w:hanging="0"/>
              <w:jc w:val="center"/>
              <w:rPr/>
            </w:pPr>
            <w:r>
              <w:rPr/>
              <w:t> </w:t>
            </w:r>
          </w:p>
        </w:tc>
      </w:tr>
      <w:tr>
        <w:trPr/>
        <w:tc>
          <w:tcPr>
            <w:tcW w:w="605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7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9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1" w:type="dxa"/>
            <w:tcBorders/>
            <w:shd w:fill="auto" w:val="clear"/>
            <w:vAlign w:val="bottom"/>
          </w:tcPr>
          <w:p>
            <w:pPr>
              <w:pStyle w:val="TableContents"/>
              <w:spacing w:before="0" w:after="0"/>
              <w:ind w:left="0" w:right="0" w:hanging="0"/>
              <w:jc w:val="center"/>
              <w:rPr/>
            </w:pPr>
            <w:r>
              <w:rPr/>
              <w:t> </w:t>
            </w:r>
          </w:p>
        </w:tc>
        <w:tc>
          <w:tcPr>
            <w:tcW w:w="8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0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19" w:type="dxa"/>
            <w:tcBorders/>
            <w:shd w:fill="auto" w:val="clear"/>
            <w:vAlign w:val="bottom"/>
          </w:tcPr>
          <w:p>
            <w:pPr>
              <w:pStyle w:val="TableContents"/>
              <w:spacing w:before="0" w:after="0"/>
              <w:ind w:left="0" w:right="0" w:hanging="0"/>
              <w:jc w:val="center"/>
              <w:rPr/>
            </w:pPr>
            <w:r>
              <w:rPr/>
              <w:t> </w:t>
            </w:r>
          </w:p>
        </w:tc>
      </w:tr>
      <w:tr>
        <w:trPr/>
        <w:tc>
          <w:tcPr>
            <w:tcW w:w="605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07"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9,354</w:t>
            </w:r>
          </w:p>
        </w:tc>
        <w:tc>
          <w:tcPr>
            <w:tcW w:w="212" w:type="dxa"/>
            <w:tcBorders/>
            <w:shd w:fill="CCEEFF" w:val="clear"/>
            <w:vAlign w:val="bottom"/>
          </w:tcPr>
          <w:p>
            <w:pPr>
              <w:pStyle w:val="TableContents"/>
              <w:spacing w:before="0" w:after="0"/>
              <w:ind w:left="0" w:right="0" w:hanging="0"/>
              <w:rPr/>
            </w:pPr>
            <w:r>
              <w:rPr/>
              <w:t> </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8,837</w:t>
            </w:r>
          </w:p>
        </w:tc>
        <w:tc>
          <w:tcPr>
            <w:tcW w:w="211"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28,358</w:t>
            </w:r>
          </w:p>
        </w:tc>
        <w:tc>
          <w:tcPr>
            <w:tcW w:w="211"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25,390</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07"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8,524</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8,142</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25,855</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23,423</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207"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2"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860</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bottom"/>
          </w:tcPr>
          <w:p>
            <w:pPr>
              <w:pStyle w:val="TableContents"/>
              <w:spacing w:before="0" w:after="0"/>
              <w:ind w:left="0" w:right="0" w:hanging="0"/>
              <w:rPr/>
            </w:pPr>
            <w:r>
              <w:rPr>
                <w:rFonts w:ascii="Times New Roman" w:hAnsi="Times New Roman"/>
                <w:sz w:val="17"/>
              </w:rPr>
              <w:t xml:space="preserve">Depreciation and amortization </w:t>
            </w:r>
            <w:r>
              <w:rPr>
                <w:sz w:val="11"/>
              </w:rPr>
              <w:t>(2)</w:t>
            </w:r>
          </w:p>
        </w:tc>
        <w:tc>
          <w:tcPr>
            <w:tcW w:w="207"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12"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costs and expenses </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9,107</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8,480</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27,335</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24,451</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1,023</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939</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07"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2"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0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07" w:type="dxa"/>
            <w:tcBorders/>
            <w:shd w:fill="CCEEFF" w:val="clear"/>
            <w:vAlign w:val="bottom"/>
          </w:tcPr>
          <w:p>
            <w:pPr>
              <w:pStyle w:val="TableContents"/>
              <w:spacing w:before="0" w:after="0"/>
              <w:ind w:left="0" w:right="0" w:hanging="0"/>
              <w:rPr/>
            </w:pPr>
            <w:r>
              <w:rPr/>
              <w:t> </w:t>
            </w:r>
          </w:p>
        </w:tc>
        <w:tc>
          <w:tcPr>
            <w:tcW w:w="7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2" w:type="dxa"/>
            <w:tcBorders/>
            <w:shd w:fill="CCEEFF" w:val="clear"/>
            <w:vAlign w:val="bottom"/>
          </w:tcPr>
          <w:p>
            <w:pPr>
              <w:pStyle w:val="TableContents"/>
              <w:spacing w:before="0" w:after="0"/>
              <w:ind w:left="0" w:right="0" w:hanging="0"/>
              <w:rPr/>
            </w:pPr>
            <w:r>
              <w:rPr/>
              <w:t> </w:t>
            </w:r>
          </w:p>
        </w:tc>
        <w:tc>
          <w:tcPr>
            <w:tcW w:w="7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05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07"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12"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840</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734</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0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(expense)/benefit</w:t>
            </w:r>
          </w:p>
        </w:tc>
        <w:tc>
          <w:tcPr>
            <w:tcW w:w="207" w:type="dxa"/>
            <w:tcBorders/>
            <w:shd w:fill="CCEEFF" w:val="clear"/>
            <w:vAlign w:val="bottom"/>
          </w:tcPr>
          <w:p>
            <w:pPr>
              <w:pStyle w:val="TableContents"/>
              <w:spacing w:before="0" w:after="0"/>
              <w:ind w:left="0" w:right="0" w:hanging="0"/>
              <w:rPr/>
            </w:pPr>
            <w:r>
              <w:rPr/>
              <w:t> </w:t>
            </w:r>
          </w:p>
        </w:tc>
        <w:tc>
          <w:tcPr>
            <w:tcW w:w="7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05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07"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2"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05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0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07"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07"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2" w:type="dxa"/>
            <w:tcBorders/>
            <w:shd w:fill="auto" w:val="clear"/>
            <w:vAlign w:val="bottom"/>
          </w:tcPr>
          <w:p>
            <w:pPr>
              <w:pStyle w:val="TableContents"/>
              <w:spacing w:before="0" w:after="0"/>
              <w:ind w:left="0" w:right="0" w:hanging="0"/>
              <w:rPr/>
            </w:pPr>
            <w:r>
              <w:rPr/>
              <w:t> </w:t>
            </w:r>
          </w:p>
        </w:tc>
        <w:tc>
          <w:tcPr>
            <w:tcW w:w="1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211"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0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0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07"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2" w:type="dxa"/>
            <w:tcBorders/>
            <w:shd w:fill="CCEEFF" w:val="clear"/>
            <w:vAlign w:val="bottom"/>
          </w:tcPr>
          <w:p>
            <w:pPr>
              <w:pStyle w:val="TableContents"/>
              <w:spacing w:before="0" w:after="0"/>
              <w:ind w:left="0" w:right="0" w:hanging="0"/>
              <w:rPr/>
            </w:pPr>
            <w:r>
              <w:rPr/>
              <w:t> </w:t>
            </w:r>
          </w:p>
        </w:tc>
        <w:tc>
          <w:tcPr>
            <w:tcW w:w="1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1"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07" w:type="dxa"/>
            <w:tcBorders/>
            <w:shd w:fill="CCEEFF" w:val="clear"/>
            <w:vAlign w:val="bottom"/>
          </w:tcPr>
          <w:p>
            <w:pPr>
              <w:pStyle w:val="TableContents"/>
              <w:spacing w:before="0" w:after="0"/>
              <w:ind w:left="0" w:right="0" w:hanging="0"/>
              <w:rPr/>
            </w:pPr>
            <w:r>
              <w:rPr/>
              <w:t> </w:t>
            </w:r>
          </w:p>
        </w:tc>
        <w:tc>
          <w:tcPr>
            <w:tcW w:w="79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12" w:type="dxa"/>
            <w:tcBorders/>
            <w:shd w:fill="CCEEFF" w:val="clear"/>
            <w:vAlign w:val="bottom"/>
          </w:tcPr>
          <w:p>
            <w:pPr>
              <w:pStyle w:val="TableContents"/>
              <w:spacing w:before="0" w:after="0"/>
              <w:ind w:left="0" w:right="0" w:hanging="0"/>
              <w:rPr/>
            </w:pPr>
            <w:r>
              <w:rPr/>
              <w:t> </w:t>
            </w:r>
          </w:p>
        </w:tc>
        <w:tc>
          <w:tcPr>
            <w:tcW w:w="79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119" w:type="dxa"/>
            <w:tcBorders/>
            <w:shd w:fill="CCEEFF" w:val="clear"/>
            <w:vAlign w:val="bottom"/>
          </w:tcPr>
          <w:p>
            <w:pPr>
              <w:pStyle w:val="TableContents"/>
              <w:spacing w:before="0" w:after="0"/>
              <w:ind w:left="0" w:right="0" w:hanging="0"/>
              <w:rPr/>
            </w:pPr>
            <w:r>
              <w:rPr/>
              <w:t> </w:t>
            </w:r>
          </w:p>
        </w:tc>
      </w:tr>
      <w:tr>
        <w:trPr/>
        <w:tc>
          <w:tcPr>
            <w:tcW w:w="605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02"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605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07" w:type="dxa"/>
            <w:tcBorders/>
            <w:shd w:fill="CCEEFF" w:val="clear"/>
            <w:vAlign w:val="bottom"/>
          </w:tcPr>
          <w:p>
            <w:pPr>
              <w:pStyle w:val="TableContents"/>
              <w:spacing w:before="0" w:after="0"/>
              <w:ind w:left="0" w:right="0" w:hanging="0"/>
              <w:rPr/>
            </w:pPr>
            <w:r>
              <w:rPr/>
              <w:t> </w:t>
            </w:r>
          </w:p>
        </w:tc>
        <w:tc>
          <w:tcPr>
            <w:tcW w:w="79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12" w:type="dxa"/>
            <w:tcBorders/>
            <w:shd w:fill="CCEEFF" w:val="clear"/>
            <w:vAlign w:val="bottom"/>
          </w:tcPr>
          <w:p>
            <w:pPr>
              <w:pStyle w:val="TableContents"/>
              <w:spacing w:before="0" w:after="0"/>
              <w:ind w:left="0" w:right="0" w:hanging="0"/>
              <w:rPr/>
            </w:pPr>
            <w:r>
              <w:rPr/>
              <w:t> </w:t>
            </w:r>
          </w:p>
        </w:tc>
        <w:tc>
          <w:tcPr>
            <w:tcW w:w="79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11" w:type="dxa"/>
            <w:tcBorders/>
            <w:shd w:fill="CCEEFF" w:val="clear"/>
            <w:vAlign w:val="bottom"/>
          </w:tcPr>
          <w:p>
            <w:pPr>
              <w:pStyle w:val="TableContents"/>
              <w:spacing w:before="0" w:after="0"/>
              <w:ind w:left="0" w:right="0" w:hanging="0"/>
              <w:rPr/>
            </w:pPr>
            <w:r>
              <w:rPr/>
              <w:t> </w:t>
            </w:r>
          </w:p>
        </w:tc>
        <w:tc>
          <w:tcPr>
            <w:tcW w:w="80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1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Unit and per-unit amounts are presented as adjusted for the two-for-one unit split effected on October 1, 2012.</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For both the three and nine months ended September 30, 2012, includes impairment losses of approximately $125 million, primarily related to the Pier 400 terminal project.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bookmarkStart w:id="21" w:name="PB_8_192017_7906"/>
      <w:bookmarkEnd w:id="21"/>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09"/>
        <w:gridCol w:w="204"/>
        <w:gridCol w:w="1020"/>
        <w:gridCol w:w="203"/>
        <w:gridCol w:w="1020"/>
        <w:gridCol w:w="204"/>
        <w:gridCol w:w="1020"/>
        <w:gridCol w:w="204"/>
        <w:gridCol w:w="1020"/>
        <w:gridCol w:w="101"/>
      </w:tblGrid>
      <w:tr>
        <w:trPr/>
        <w:tc>
          <w:tcPr>
            <w:tcW w:w="5209"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24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4" w:type="dxa"/>
            <w:tcBorders/>
            <w:shd w:fill="auto" w:val="clear"/>
            <w:vAlign w:val="bottom"/>
          </w:tcPr>
          <w:p>
            <w:pPr>
              <w:pStyle w:val="TableContents"/>
              <w:spacing w:before="0" w:after="0"/>
              <w:ind w:left="0" w:right="0" w:hanging="0"/>
              <w:jc w:val="center"/>
              <w:rPr/>
            </w:pPr>
            <w:r>
              <w:rPr/>
              <w:t> </w:t>
            </w:r>
          </w:p>
        </w:tc>
        <w:tc>
          <w:tcPr>
            <w:tcW w:w="224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01" w:type="dxa"/>
            <w:tcBorders/>
            <w:shd w:fill="auto" w:val="clear"/>
            <w:vAlign w:val="bottom"/>
          </w:tcPr>
          <w:p>
            <w:pPr>
              <w:pStyle w:val="TableContents"/>
              <w:spacing w:before="0" w:after="0"/>
              <w:ind w:left="0" w:right="0" w:hanging="0"/>
              <w:jc w:val="center"/>
              <w:rPr/>
            </w:pPr>
            <w:r>
              <w:rPr/>
              <w:t> </w:t>
            </w:r>
          </w:p>
        </w:tc>
      </w:tr>
      <w:tr>
        <w:trPr/>
        <w:tc>
          <w:tcPr>
            <w:tcW w:w="5209"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24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4" w:type="dxa"/>
            <w:tcBorders/>
            <w:shd w:fill="auto" w:val="clear"/>
            <w:vAlign w:val="bottom"/>
          </w:tcPr>
          <w:p>
            <w:pPr>
              <w:pStyle w:val="TableContents"/>
              <w:spacing w:before="0" w:after="0"/>
              <w:ind w:left="0" w:right="0" w:hanging="0"/>
              <w:jc w:val="center"/>
              <w:rPr/>
            </w:pPr>
            <w:r>
              <w:rPr/>
              <w:t> </w:t>
            </w:r>
          </w:p>
        </w:tc>
        <w:tc>
          <w:tcPr>
            <w:tcW w:w="224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01" w:type="dxa"/>
            <w:tcBorders/>
            <w:shd w:fill="auto" w:val="clear"/>
            <w:vAlign w:val="bottom"/>
          </w:tcPr>
          <w:p>
            <w:pPr>
              <w:pStyle w:val="TableContents"/>
              <w:spacing w:before="0" w:after="0"/>
              <w:ind w:left="0" w:right="0" w:hanging="0"/>
              <w:jc w:val="center"/>
              <w:rPr/>
            </w:pPr>
            <w:r>
              <w:rPr/>
              <w:t> </w:t>
            </w:r>
          </w:p>
        </w:tc>
      </w:tr>
      <w:tr>
        <w:trPr/>
        <w:tc>
          <w:tcPr>
            <w:tcW w:w="5209"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OPERATING DATA</w:t>
            </w:r>
            <w:r>
              <w:rPr/>
              <w:t> </w:t>
            </w:r>
            <w:r>
              <w:rPr>
                <w:b/>
                <w:sz w:val="8"/>
              </w:rPr>
              <w:t>(1)</w:t>
            </w:r>
          </w:p>
        </w:tc>
        <w:tc>
          <w:tcPr>
            <w:tcW w:w="204" w:type="dxa"/>
            <w:tcBorders/>
            <w:shd w:fill="auto" w:val="clear"/>
            <w:vAlign w:val="bottom"/>
          </w:tcPr>
          <w:p>
            <w:pPr>
              <w:pStyle w:val="TableContents"/>
              <w:spacing w:before="0" w:after="0"/>
              <w:ind w:left="0" w:right="0" w:hanging="0"/>
              <w:jc w:val="center"/>
              <w:rPr/>
            </w:pPr>
            <w:r>
              <w:rPr/>
              <w:t> </w:t>
            </w:r>
          </w:p>
        </w:tc>
        <w:tc>
          <w:tcPr>
            <w:tcW w:w="102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4" w:type="dxa"/>
            <w:tcBorders/>
            <w:shd w:fill="auto" w:val="clear"/>
            <w:vAlign w:val="bottom"/>
          </w:tcPr>
          <w:p>
            <w:pPr>
              <w:pStyle w:val="TableContents"/>
              <w:spacing w:before="0" w:after="0"/>
              <w:ind w:left="0" w:right="0" w:hanging="0"/>
              <w:jc w:val="center"/>
              <w:rPr/>
            </w:pPr>
            <w:r>
              <w:rPr/>
              <w:t> </w:t>
            </w:r>
          </w:p>
        </w:tc>
        <w:tc>
          <w:tcPr>
            <w:tcW w:w="102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01" w:type="dxa"/>
            <w:tcBorders/>
            <w:shd w:fill="auto" w:val="clear"/>
            <w:vAlign w:val="bottom"/>
          </w:tcPr>
          <w:p>
            <w:pPr>
              <w:pStyle w:val="TableContents"/>
              <w:spacing w:before="0" w:after="0"/>
              <w:ind w:left="0" w:right="0" w:hanging="0"/>
              <w:jc w:val="center"/>
              <w:rPr/>
            </w:pPr>
            <w:r>
              <w:rPr/>
              <w:t> </w:t>
            </w:r>
          </w:p>
        </w:tc>
      </w:tr>
      <w:tr>
        <w:trPr/>
        <w:tc>
          <w:tcPr>
            <w:tcW w:w="5209" w:type="dxa"/>
            <w:tcBorders/>
            <w:shd w:fill="auto" w:val="clear"/>
            <w:vAlign w:val="cente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in thousands of barrels):</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Pipelines</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3"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w:t>
            </w:r>
          </w:p>
        </w:tc>
        <w:tc>
          <w:tcPr>
            <w:tcW w:w="203"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432</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03"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3"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(2)</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03"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pPr>
            <w:r>
              <w:rPr>
                <w:rFonts w:ascii="Times New Roman" w:hAnsi="Times New Roman"/>
                <w:sz w:val="17"/>
              </w:rPr>
              <w:t xml:space="preserve">Permian Basin Area Systems </w:t>
            </w:r>
            <w:r>
              <w:rPr>
                <w:sz w:val="11"/>
              </w:rPr>
              <w:t>(2)</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203"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bottom"/>
          </w:tcPr>
          <w:p>
            <w:pPr>
              <w:pStyle w:val="TableContents"/>
              <w:spacing w:before="0" w:after="0"/>
              <w:ind w:left="0" w:right="0" w:hanging="0"/>
              <w:rPr/>
            </w:pPr>
            <w:r>
              <w:rPr>
                <w:rFonts w:ascii="Times New Roman" w:hAnsi="Times New Roman"/>
                <w:sz w:val="17"/>
              </w:rPr>
              <w:t xml:space="preserve">Mid-Continent Area Systems </w:t>
            </w:r>
            <w:r>
              <w:rPr>
                <w:sz w:val="11"/>
              </w:rPr>
              <w:t>(2)</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03"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3"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03"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3"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1,141</w:t>
            </w:r>
          </w:p>
        </w:tc>
        <w:tc>
          <w:tcPr>
            <w:tcW w:w="203"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1,096</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1,140</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1,063</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03"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Pipelines</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03"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3,423</w:t>
            </w:r>
          </w:p>
        </w:tc>
        <w:tc>
          <w:tcPr>
            <w:tcW w:w="203"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2,916</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3,317</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2,922</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03"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3,530</w:t>
            </w:r>
          </w:p>
        </w:tc>
        <w:tc>
          <w:tcPr>
            <w:tcW w:w="203"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3,025</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3,420</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3,026</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center"/>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NGL storage (average monthly capacity in millions of barrels)</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3"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03"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fractionation (average throughput in thousands of barrels per day)</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3"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pPr>
            <w:r>
              <w:rPr>
                <w:rFonts w:ascii="Times New Roman" w:hAnsi="Times New Roman"/>
                <w:sz w:val="17"/>
              </w:rPr>
              <w:t xml:space="preserve">Facilities activities total (average monthly capacity in millions of barrels) </w:t>
            </w:r>
            <w:r>
              <w:rPr>
                <w:sz w:val="11"/>
              </w:rPr>
              <w:t>(3)</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03"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center"/>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pPr>
            <w:r>
              <w:rPr/>
              <w:t> </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Supply and Logistics activities (average daily volumes in thousands of barrels):</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pPr>
            <w:r>
              <w:rPr/>
              <w:t> </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811</w:t>
            </w:r>
          </w:p>
        </w:tc>
        <w:tc>
          <w:tcPr>
            <w:tcW w:w="203"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748</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808</w:t>
            </w:r>
          </w:p>
        </w:tc>
        <w:tc>
          <w:tcPr>
            <w:tcW w:w="204" w:type="dxa"/>
            <w:tcBorders/>
            <w:shd w:fill="CCEEFF" w:val="clear"/>
            <w:vAlign w:val="bottom"/>
          </w:tcPr>
          <w:p>
            <w:pPr>
              <w:pStyle w:val="TableContents"/>
              <w:spacing w:before="0" w:after="0"/>
              <w:ind w:left="0" w:right="0" w:hanging="0"/>
              <w:rPr/>
            </w:pPr>
            <w:r>
              <w:rPr/>
              <w:t> </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731</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03"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204" w:type="dxa"/>
            <w:tcBorders/>
            <w:shd w:fill="auto" w:val="clear"/>
            <w:vAlign w:val="bottom"/>
          </w:tcPr>
          <w:p>
            <w:pPr>
              <w:pStyle w:val="TableContents"/>
              <w:spacing w:before="0" w:after="0"/>
              <w:ind w:left="0" w:right="0" w:hanging="0"/>
              <w:rPr/>
            </w:pPr>
            <w:r>
              <w:rPr/>
              <w:t> </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01" w:type="dxa"/>
            <w:tcBorders/>
            <w:shd w:fill="auto" w:val="clear"/>
            <w:vAlign w:val="bottom"/>
          </w:tcPr>
          <w:p>
            <w:pPr>
              <w:pStyle w:val="TableContents"/>
              <w:spacing w:before="0" w:after="0"/>
              <w:ind w:left="0" w:right="0" w:hanging="0"/>
              <w:rPr/>
            </w:pPr>
            <w:r>
              <w:rPr/>
              <w:t> </w:t>
            </w:r>
          </w:p>
        </w:tc>
      </w:tr>
      <w:tr>
        <w:trPr/>
        <w:tc>
          <w:tcPr>
            <w:tcW w:w="5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3"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4" w:type="dxa"/>
            <w:tcBorders/>
            <w:shd w:fill="CCEEFF" w:val="clear"/>
            <w:vAlign w:val="bottom"/>
          </w:tcPr>
          <w:p>
            <w:pPr>
              <w:pStyle w:val="TableContents"/>
              <w:spacing w:before="0" w:after="0"/>
              <w:ind w:left="0" w:right="0" w:hanging="0"/>
              <w:rPr/>
            </w:pPr>
            <w:r>
              <w:rPr/>
              <w:t> </w:t>
            </w:r>
          </w:p>
        </w:tc>
        <w:tc>
          <w:tcPr>
            <w:tcW w:w="102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01" w:type="dxa"/>
            <w:tcBorders/>
            <w:shd w:fill="CCEEFF" w:val="clear"/>
            <w:vAlign w:val="bottom"/>
          </w:tcPr>
          <w:p>
            <w:pPr>
              <w:pStyle w:val="TableContents"/>
              <w:spacing w:before="0" w:after="0"/>
              <w:ind w:left="0" w:right="0" w:hanging="0"/>
              <w:rPr/>
            </w:pPr>
            <w:r>
              <w:rPr/>
              <w:t> </w:t>
            </w:r>
          </w:p>
        </w:tc>
      </w:tr>
      <w:tr>
        <w:trPr/>
        <w:tc>
          <w:tcPr>
            <w:tcW w:w="5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activities total</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203"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204" w:type="dxa"/>
            <w:tcBorders/>
            <w:shd w:fill="auto" w:val="clear"/>
            <w:vAlign w:val="bottom"/>
          </w:tcPr>
          <w:p>
            <w:pPr>
              <w:pStyle w:val="TableContents"/>
              <w:spacing w:before="0" w:after="0"/>
              <w:ind w:left="0" w:right="0" w:hanging="0"/>
              <w:rPr/>
            </w:pPr>
            <w:r>
              <w:rPr/>
              <w:t> </w:t>
            </w:r>
          </w:p>
        </w:tc>
        <w:tc>
          <w:tcPr>
            <w:tcW w:w="102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856</w:t>
            </w:r>
          </w:p>
        </w:tc>
        <w:tc>
          <w:tcPr>
            <w:tcW w:w="10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Volumes associated with acquisitions represent total volumes for the number of days or months we actually owned the assets divided by the number of days or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aggregate of multiple systems in the respective areas.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Facilities total is calculated as the sum of: (i) crude oil, refined products and NGL storage capacity; (ii) natural gas storage capacity divided by 6 to account for the 6:1 mcf of gas to crude Btu equivalent ratio and further divided by 1,000 to convert to monthly volumes in millions; and (iii) NGL fractionation volumes multiplied by the number of days in the period and divided by the number of months in the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bookmarkStart w:id="22" w:name="PB_9_192017_3736"/>
      <w:bookmarkEnd w:id="22"/>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02"/>
        <w:gridCol w:w="210"/>
        <w:gridCol w:w="147"/>
        <w:gridCol w:w="1192"/>
        <w:gridCol w:w="210"/>
        <w:gridCol w:w="144"/>
        <w:gridCol w:w="1178"/>
        <w:gridCol w:w="122"/>
      </w:tblGrid>
      <w:tr>
        <w:trPr/>
        <w:tc>
          <w:tcPr>
            <w:tcW w:w="700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0" w:type="dxa"/>
            <w:tcBorders/>
            <w:shd w:fill="auto" w:val="clear"/>
            <w:vAlign w:val="bottom"/>
          </w:tcPr>
          <w:p>
            <w:pPr>
              <w:pStyle w:val="TableContents"/>
              <w:spacing w:before="0" w:after="0"/>
              <w:ind w:left="0" w:right="0" w:hanging="0"/>
              <w:jc w:val="center"/>
              <w:rPr/>
            </w:pPr>
            <w:r>
              <w:rPr/>
              <w:t> </w:t>
            </w:r>
          </w:p>
        </w:tc>
        <w:tc>
          <w:tcPr>
            <w:tcW w:w="132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2" w:type="dxa"/>
            <w:tcBorders/>
            <w:shd w:fill="auto" w:val="clear"/>
            <w:vAlign w:val="bottom"/>
          </w:tcPr>
          <w:p>
            <w:pPr>
              <w:pStyle w:val="TableContents"/>
              <w:spacing w:before="0" w:after="0"/>
              <w:ind w:left="0" w:right="0" w:hanging="0"/>
              <w:jc w:val="center"/>
              <w:rPr/>
            </w:pPr>
            <w:r>
              <w:rPr/>
              <w:t> </w:t>
            </w:r>
          </w:p>
        </w:tc>
      </w:tr>
      <w:tr>
        <w:trPr/>
        <w:tc>
          <w:tcPr>
            <w:tcW w:w="700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0" w:type="dxa"/>
            <w:tcBorders/>
            <w:shd w:fill="auto" w:val="clear"/>
            <w:vAlign w:val="bottom"/>
          </w:tcPr>
          <w:p>
            <w:pPr>
              <w:pStyle w:val="TableContents"/>
              <w:spacing w:before="0" w:after="0"/>
              <w:ind w:left="0" w:right="0" w:hanging="0"/>
              <w:jc w:val="center"/>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2" w:type="dxa"/>
            <w:tcBorders/>
            <w:shd w:fill="auto" w:val="clear"/>
            <w:vAlign w:val="bottom"/>
          </w:tcPr>
          <w:p>
            <w:pPr>
              <w:pStyle w:val="TableContents"/>
              <w:spacing w:before="0" w:after="0"/>
              <w:ind w:left="0" w:right="0" w:hanging="0"/>
              <w:jc w:val="center"/>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Current assets </w:t>
            </w:r>
          </w:p>
        </w:tc>
        <w:tc>
          <w:tcPr>
            <w:tcW w:w="21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4,813</w:t>
            </w:r>
          </w:p>
        </w:tc>
        <w:tc>
          <w:tcPr>
            <w:tcW w:w="210"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4,351</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9,348</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7,740</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2,119</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1,854</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289</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546</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18,187</w:t>
            </w:r>
          </w:p>
        </w:tc>
        <w:tc>
          <w:tcPr>
            <w:tcW w:w="210"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4,886</w:t>
            </w:r>
          </w:p>
        </w:tc>
        <w:tc>
          <w:tcPr>
            <w:tcW w:w="210"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4,511</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5,511</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4,262</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565</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11,262</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9,407</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6,420</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5,450</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6,925</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18,187</w:t>
            </w:r>
          </w:p>
        </w:tc>
        <w:tc>
          <w:tcPr>
            <w:tcW w:w="210"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bookmarkStart w:id="23" w:name="PB_10_192017_9621"/>
      <w:bookmarkEnd w:id="23"/>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CREDIT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868"/>
        <w:gridCol w:w="210"/>
        <w:gridCol w:w="154"/>
        <w:gridCol w:w="1212"/>
        <w:gridCol w:w="251"/>
        <w:gridCol w:w="150"/>
        <w:gridCol w:w="1196"/>
        <w:gridCol w:w="164"/>
      </w:tblGrid>
      <w:tr>
        <w:trPr/>
        <w:tc>
          <w:tcPr>
            <w:tcW w:w="6868"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6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51" w:type="dxa"/>
            <w:tcBorders/>
            <w:shd w:fill="auto" w:val="clear"/>
            <w:vAlign w:val="bottom"/>
          </w:tcPr>
          <w:p>
            <w:pPr>
              <w:pStyle w:val="TableContents"/>
              <w:spacing w:before="0" w:after="0"/>
              <w:ind w:left="0" w:right="0" w:hanging="0"/>
              <w:jc w:val="center"/>
              <w:rPr/>
            </w:pPr>
            <w:r>
              <w:rPr/>
              <w:t> </w:t>
            </w:r>
          </w:p>
        </w:tc>
        <w:tc>
          <w:tcPr>
            <w:tcW w:w="134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64" w:type="dxa"/>
            <w:tcBorders/>
            <w:shd w:fill="auto" w:val="clear"/>
            <w:vAlign w:val="bottom"/>
          </w:tcPr>
          <w:p>
            <w:pPr>
              <w:pStyle w:val="TableContents"/>
              <w:spacing w:before="0" w:after="0"/>
              <w:ind w:left="0" w:right="0" w:hanging="0"/>
              <w:jc w:val="center"/>
              <w:rPr/>
            </w:pPr>
            <w:r>
              <w:rPr/>
              <w:t> </w:t>
            </w:r>
          </w:p>
        </w:tc>
      </w:tr>
      <w:tr>
        <w:trPr/>
        <w:tc>
          <w:tcPr>
            <w:tcW w:w="6868"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51" w:type="dxa"/>
            <w:tcBorders/>
            <w:shd w:fill="auto" w:val="clear"/>
            <w:vAlign w:val="bottom"/>
          </w:tcPr>
          <w:p>
            <w:pPr>
              <w:pStyle w:val="TableContents"/>
              <w:spacing w:before="0" w:after="0"/>
              <w:ind w:left="0" w:right="0" w:hanging="0"/>
              <w:jc w:val="center"/>
              <w:rPr/>
            </w:pPr>
            <w:r>
              <w:rPr/>
              <w:t> </w:t>
            </w:r>
          </w:p>
        </w:tc>
        <w:tc>
          <w:tcPr>
            <w:tcW w:w="13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64" w:type="dxa"/>
            <w:tcBorders/>
            <w:shd w:fill="auto" w:val="clear"/>
            <w:vAlign w:val="bottom"/>
          </w:tcPr>
          <w:p>
            <w:pPr>
              <w:pStyle w:val="TableContents"/>
              <w:spacing w:before="0" w:after="0"/>
              <w:ind w:left="0" w:right="0" w:hanging="0"/>
              <w:jc w:val="center"/>
              <w:rPr/>
            </w:pPr>
            <w:r>
              <w:rPr/>
              <w:t> </w:t>
            </w:r>
          </w:p>
        </w:tc>
      </w:tr>
      <w:tr>
        <w:trPr/>
        <w:tc>
          <w:tcPr>
            <w:tcW w:w="68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10"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834</w:t>
            </w:r>
          </w:p>
        </w:tc>
        <w:tc>
          <w:tcPr>
            <w:tcW w:w="251"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679</w:t>
            </w:r>
          </w:p>
        </w:tc>
        <w:tc>
          <w:tcPr>
            <w:tcW w:w="164" w:type="dxa"/>
            <w:tcBorders/>
            <w:shd w:fill="CCEEFF" w:val="clear"/>
            <w:vAlign w:val="bottom"/>
          </w:tcPr>
          <w:p>
            <w:pPr>
              <w:pStyle w:val="TableContents"/>
              <w:spacing w:before="0" w:after="0"/>
              <w:ind w:left="0" w:right="0" w:hanging="0"/>
              <w:rPr/>
            </w:pPr>
            <w:r>
              <w:rPr/>
              <w:t> </w:t>
            </w:r>
          </w:p>
        </w:tc>
      </w:tr>
      <w:tr>
        <w:trPr/>
        <w:tc>
          <w:tcPr>
            <w:tcW w:w="68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0" w:type="dxa"/>
            <w:tcBorders/>
            <w:shd w:fill="auto" w:val="clear"/>
            <w:vAlign w:val="bottom"/>
          </w:tcPr>
          <w:p>
            <w:pPr>
              <w:pStyle w:val="TableContents"/>
              <w:spacing w:before="0" w:after="0"/>
              <w:ind w:left="0" w:right="0" w:hanging="0"/>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5,811</w:t>
            </w:r>
          </w:p>
        </w:tc>
        <w:tc>
          <w:tcPr>
            <w:tcW w:w="251" w:type="dxa"/>
            <w:tcBorders/>
            <w:shd w:fill="auto" w:val="clear"/>
            <w:vAlign w:val="bottom"/>
          </w:tcPr>
          <w:p>
            <w:pPr>
              <w:pStyle w:val="TableContents"/>
              <w:spacing w:before="0" w:after="0"/>
              <w:ind w:left="0" w:right="0" w:hanging="0"/>
              <w:rPr/>
            </w:pPr>
            <w:r>
              <w:rPr/>
              <w:t> </w:t>
            </w:r>
          </w:p>
        </w:tc>
        <w:tc>
          <w:tcPr>
            <w:tcW w:w="13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4,520</w:t>
            </w:r>
          </w:p>
        </w:tc>
        <w:tc>
          <w:tcPr>
            <w:tcW w:w="164" w:type="dxa"/>
            <w:tcBorders/>
            <w:shd w:fill="auto" w:val="clear"/>
            <w:vAlign w:val="bottom"/>
          </w:tcPr>
          <w:p>
            <w:pPr>
              <w:pStyle w:val="TableContents"/>
              <w:spacing w:before="0" w:after="0"/>
              <w:ind w:left="0" w:right="0" w:hanging="0"/>
              <w:rPr/>
            </w:pPr>
            <w:r>
              <w:rPr/>
              <w:t> </w:t>
            </w:r>
          </w:p>
        </w:tc>
      </w:tr>
      <w:tr>
        <w:trPr/>
        <w:tc>
          <w:tcPr>
            <w:tcW w:w="68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10"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6,645</w:t>
            </w:r>
          </w:p>
        </w:tc>
        <w:tc>
          <w:tcPr>
            <w:tcW w:w="251"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5,199</w:t>
            </w:r>
          </w:p>
        </w:tc>
        <w:tc>
          <w:tcPr>
            <w:tcW w:w="164" w:type="dxa"/>
            <w:tcBorders/>
            <w:shd w:fill="CCEEFF" w:val="clear"/>
            <w:vAlign w:val="bottom"/>
          </w:tcPr>
          <w:p>
            <w:pPr>
              <w:pStyle w:val="TableContents"/>
              <w:spacing w:before="0" w:after="0"/>
              <w:ind w:left="0" w:right="0" w:hanging="0"/>
              <w:rPr/>
            </w:pPr>
            <w:r>
              <w:rPr/>
              <w:t> </w:t>
            </w:r>
          </w:p>
        </w:tc>
      </w:tr>
      <w:tr>
        <w:trPr/>
        <w:tc>
          <w:tcPr>
            <w:tcW w:w="6868"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r>
      <w:tr>
        <w:trPr/>
        <w:tc>
          <w:tcPr>
            <w:tcW w:w="68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5,811</w:t>
            </w:r>
          </w:p>
        </w:tc>
        <w:tc>
          <w:tcPr>
            <w:tcW w:w="251"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4,520</w:t>
            </w:r>
          </w:p>
        </w:tc>
        <w:tc>
          <w:tcPr>
            <w:tcW w:w="164" w:type="dxa"/>
            <w:tcBorders/>
            <w:shd w:fill="CCEEFF" w:val="clear"/>
            <w:vAlign w:val="bottom"/>
          </w:tcPr>
          <w:p>
            <w:pPr>
              <w:pStyle w:val="TableContents"/>
              <w:spacing w:before="0" w:after="0"/>
              <w:ind w:left="0" w:right="0" w:hanging="0"/>
              <w:rPr/>
            </w:pPr>
            <w:r>
              <w:rPr/>
              <w:t> </w:t>
            </w:r>
          </w:p>
        </w:tc>
      </w:tr>
      <w:tr>
        <w:trPr/>
        <w:tc>
          <w:tcPr>
            <w:tcW w:w="68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10" w:type="dxa"/>
            <w:tcBorders/>
            <w:shd w:fill="auto" w:val="clear"/>
            <w:vAlign w:val="bottom"/>
          </w:tcPr>
          <w:p>
            <w:pPr>
              <w:pStyle w:val="TableContents"/>
              <w:spacing w:before="0" w:after="0"/>
              <w:ind w:left="0" w:right="0" w:hanging="0"/>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6,925</w:t>
            </w:r>
          </w:p>
        </w:tc>
        <w:tc>
          <w:tcPr>
            <w:tcW w:w="251" w:type="dxa"/>
            <w:tcBorders/>
            <w:shd w:fill="auto" w:val="clear"/>
            <w:vAlign w:val="bottom"/>
          </w:tcPr>
          <w:p>
            <w:pPr>
              <w:pStyle w:val="TableContents"/>
              <w:spacing w:before="0" w:after="0"/>
              <w:ind w:left="0" w:right="0" w:hanging="0"/>
              <w:rPr/>
            </w:pPr>
            <w:r>
              <w:rPr/>
              <w:t> </w:t>
            </w:r>
          </w:p>
        </w:tc>
        <w:tc>
          <w:tcPr>
            <w:tcW w:w="13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164" w:type="dxa"/>
            <w:tcBorders/>
            <w:shd w:fill="auto" w:val="clear"/>
            <w:vAlign w:val="bottom"/>
          </w:tcPr>
          <w:p>
            <w:pPr>
              <w:pStyle w:val="TableContents"/>
              <w:spacing w:before="0" w:after="0"/>
              <w:ind w:left="0" w:right="0" w:hanging="0"/>
              <w:rPr/>
            </w:pPr>
            <w:r>
              <w:rPr/>
              <w:t> </w:t>
            </w:r>
          </w:p>
        </w:tc>
      </w:tr>
      <w:tr>
        <w:trPr/>
        <w:tc>
          <w:tcPr>
            <w:tcW w:w="68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10"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12,736</w:t>
            </w:r>
          </w:p>
        </w:tc>
        <w:tc>
          <w:tcPr>
            <w:tcW w:w="251"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10,494</w:t>
            </w:r>
          </w:p>
        </w:tc>
        <w:tc>
          <w:tcPr>
            <w:tcW w:w="164" w:type="dxa"/>
            <w:tcBorders/>
            <w:shd w:fill="CCEEFF" w:val="clear"/>
            <w:vAlign w:val="bottom"/>
          </w:tcPr>
          <w:p>
            <w:pPr>
              <w:pStyle w:val="TableContents"/>
              <w:spacing w:before="0" w:after="0"/>
              <w:ind w:left="0" w:right="0" w:hanging="0"/>
              <w:rPr/>
            </w:pPr>
            <w:r>
              <w:rPr/>
              <w:t> </w:t>
            </w:r>
          </w:p>
        </w:tc>
      </w:tr>
      <w:tr>
        <w:trPr/>
        <w:tc>
          <w:tcPr>
            <w:tcW w:w="68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10"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13,570</w:t>
            </w:r>
          </w:p>
        </w:tc>
        <w:tc>
          <w:tcPr>
            <w:tcW w:w="251" w:type="dxa"/>
            <w:tcBorders/>
            <w:shd w:fill="auto" w:val="clear"/>
            <w:vAlign w:val="bottom"/>
          </w:tcPr>
          <w:p>
            <w:pPr>
              <w:pStyle w:val="TableContents"/>
              <w:spacing w:before="0" w:after="0"/>
              <w:ind w:left="0" w:right="0" w:hanging="0"/>
              <w:rPr/>
            </w:pPr>
            <w:r>
              <w:rPr/>
              <w:t> </w:t>
            </w:r>
          </w:p>
        </w:tc>
        <w:tc>
          <w:tcPr>
            <w:tcW w:w="1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11,173</w:t>
            </w:r>
          </w:p>
        </w:tc>
        <w:tc>
          <w:tcPr>
            <w:tcW w:w="164" w:type="dxa"/>
            <w:tcBorders/>
            <w:shd w:fill="auto" w:val="clear"/>
            <w:vAlign w:val="bottom"/>
          </w:tcPr>
          <w:p>
            <w:pPr>
              <w:pStyle w:val="TableContents"/>
              <w:spacing w:before="0" w:after="0"/>
              <w:ind w:left="0" w:right="0" w:hanging="0"/>
              <w:rPr/>
            </w:pPr>
            <w:r>
              <w:rPr/>
              <w:t> </w:t>
            </w:r>
          </w:p>
        </w:tc>
      </w:tr>
      <w:tr>
        <w:trPr/>
        <w:tc>
          <w:tcPr>
            <w:tcW w:w="6868"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pPr>
            <w:r>
              <w:rPr/>
              <w:t> </w:t>
            </w:r>
          </w:p>
        </w:tc>
        <w:tc>
          <w:tcPr>
            <w:tcW w:w="251"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r>
      <w:tr>
        <w:trPr/>
        <w:tc>
          <w:tcPr>
            <w:tcW w:w="68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debt-to-total book capitalization</w:t>
            </w:r>
          </w:p>
        </w:tc>
        <w:tc>
          <w:tcPr>
            <w:tcW w:w="21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8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debt-to-total book capitalization, including short-term debt</w:t>
            </w:r>
          </w:p>
        </w:tc>
        <w:tc>
          <w:tcPr>
            <w:tcW w:w="21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bookmarkStart w:id="24" w:name="PB_11_192719_141"/>
      <w:bookmarkEnd w:id="24"/>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COMPUTATION OF BASIC AND DILUTED EARNINGS PER LIMITED PARTNER UNIT</w:t>
      </w:r>
      <w:r>
        <w:rPr>
          <w:rFonts w:ascii="Times New Roman" w:hAnsi="Times New Roman"/>
        </w:rPr>
        <w:t xml:space="preserve"> </w:t>
      </w:r>
      <w:r>
        <w:rPr>
          <w:rFonts w:ascii="Times New Roman" w:hAnsi="Times New Roman"/>
          <w:b/>
          <w:sz w:val="11"/>
        </w:rPr>
        <w:t>(1)</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79"/>
        <w:gridCol w:w="207"/>
        <w:gridCol w:w="143"/>
        <w:gridCol w:w="896"/>
        <w:gridCol w:w="222"/>
        <w:gridCol w:w="143"/>
        <w:gridCol w:w="898"/>
        <w:gridCol w:w="214"/>
        <w:gridCol w:w="140"/>
        <w:gridCol w:w="887"/>
        <w:gridCol w:w="219"/>
        <w:gridCol w:w="140"/>
        <w:gridCol w:w="888"/>
        <w:gridCol w:w="129"/>
      </w:tblGrid>
      <w:tr>
        <w:trPr/>
        <w:tc>
          <w:tcPr>
            <w:tcW w:w="507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30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4" w:type="dxa"/>
            <w:tcBorders/>
            <w:shd w:fill="auto" w:val="clear"/>
            <w:vAlign w:val="bottom"/>
          </w:tcPr>
          <w:p>
            <w:pPr>
              <w:pStyle w:val="TableContents"/>
              <w:spacing w:before="0" w:after="0"/>
              <w:ind w:left="0" w:right="0" w:hanging="0"/>
              <w:jc w:val="center"/>
              <w:rPr/>
            </w:pPr>
            <w:r>
              <w:rPr/>
              <w:t> </w:t>
            </w:r>
          </w:p>
        </w:tc>
        <w:tc>
          <w:tcPr>
            <w:tcW w:w="227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9" w:type="dxa"/>
            <w:tcBorders/>
            <w:shd w:fill="auto" w:val="clear"/>
            <w:vAlign w:val="bottom"/>
          </w:tcPr>
          <w:p>
            <w:pPr>
              <w:pStyle w:val="TableContents"/>
              <w:spacing w:before="0" w:after="0"/>
              <w:ind w:left="0" w:right="0" w:hanging="0"/>
              <w:jc w:val="center"/>
              <w:rPr/>
            </w:pPr>
            <w:r>
              <w:rPr/>
              <w:t> </w:t>
            </w:r>
          </w:p>
        </w:tc>
      </w:tr>
      <w:tr>
        <w:trPr/>
        <w:tc>
          <w:tcPr>
            <w:tcW w:w="507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30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4" w:type="dxa"/>
            <w:tcBorders/>
            <w:shd w:fill="auto" w:val="clear"/>
            <w:vAlign w:val="bottom"/>
          </w:tcPr>
          <w:p>
            <w:pPr>
              <w:pStyle w:val="TableContents"/>
              <w:spacing w:before="0" w:after="0"/>
              <w:ind w:left="0" w:right="0" w:hanging="0"/>
              <w:jc w:val="center"/>
              <w:rPr/>
            </w:pPr>
            <w:r>
              <w:rPr/>
              <w:t> </w:t>
            </w:r>
          </w:p>
        </w:tc>
        <w:tc>
          <w:tcPr>
            <w:tcW w:w="227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9" w:type="dxa"/>
            <w:tcBorders/>
            <w:shd w:fill="auto" w:val="clear"/>
            <w:vAlign w:val="bottom"/>
          </w:tcPr>
          <w:p>
            <w:pPr>
              <w:pStyle w:val="TableContents"/>
              <w:spacing w:before="0" w:after="0"/>
              <w:ind w:left="0" w:right="0" w:hanging="0"/>
              <w:jc w:val="center"/>
              <w:rPr/>
            </w:pPr>
            <w:r>
              <w:rPr/>
              <w:t> </w:t>
            </w:r>
          </w:p>
        </w:tc>
      </w:tr>
      <w:tr>
        <w:trPr/>
        <w:tc>
          <w:tcPr>
            <w:tcW w:w="507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0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4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vAlign w:val="bottom"/>
          </w:tcPr>
          <w:p>
            <w:pPr>
              <w:pStyle w:val="TableContents"/>
              <w:spacing w:before="0" w:after="0"/>
              <w:ind w:left="0" w:right="0" w:hanging="0"/>
              <w:jc w:val="center"/>
              <w:rPr/>
            </w:pPr>
            <w:r>
              <w:rPr/>
              <w:t> </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9" w:type="dxa"/>
            <w:tcBorders/>
            <w:shd w:fill="auto" w:val="clear"/>
            <w:vAlign w:val="bottom"/>
          </w:tcPr>
          <w:p>
            <w:pPr>
              <w:pStyle w:val="TableContents"/>
              <w:spacing w:before="0" w:after="0"/>
              <w:ind w:left="0" w:right="0" w:hanging="0"/>
              <w:jc w:val="center"/>
              <w:rPr/>
            </w:pPr>
            <w:r>
              <w:rPr/>
              <w:t> </w:t>
            </w:r>
          </w:p>
        </w:tc>
      </w:tr>
      <w:tr>
        <w:trPr/>
        <w:tc>
          <w:tcPr>
            <w:tcW w:w="507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Numerator for Basic and Diluted Net Income per Limited Partner Unit:</w:t>
            </w:r>
          </w:p>
        </w:tc>
        <w:tc>
          <w:tcPr>
            <w:tcW w:w="207" w:type="dxa"/>
            <w:tcBorders/>
            <w:shd w:fill="CCEEFF" w:val="clear"/>
            <w:vAlign w:val="bottom"/>
          </w:tcPr>
          <w:p>
            <w:pPr>
              <w:pStyle w:val="TableContents"/>
              <w:spacing w:before="0" w:after="0"/>
              <w:ind w:left="0" w:right="0" w:hanging="0"/>
              <w:rPr/>
            </w:pPr>
            <w:r>
              <w:rPr/>
              <w:t> </w:t>
            </w:r>
          </w:p>
        </w:tc>
        <w:tc>
          <w:tcPr>
            <w:tcW w:w="1039"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28"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50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07"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22"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4"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219"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129" w:type="dxa"/>
            <w:tcBorders/>
            <w:shd w:fill="auto" w:val="clear"/>
            <w:vAlign w:val="bottom"/>
          </w:tcPr>
          <w:p>
            <w:pPr>
              <w:pStyle w:val="TableContents"/>
              <w:spacing w:before="0" w:after="0"/>
              <w:ind w:left="0" w:right="0" w:hanging="0"/>
              <w:rPr/>
            </w:pPr>
            <w:r>
              <w:rPr/>
              <w:t> </w:t>
            </w:r>
          </w:p>
        </w:tc>
      </w:tr>
      <w:tr>
        <w:trPr/>
        <w:tc>
          <w:tcPr>
            <w:tcW w:w="5079"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(2)</w:t>
            </w:r>
          </w:p>
        </w:tc>
        <w:tc>
          <w:tcPr>
            <w:tcW w:w="207" w:type="dxa"/>
            <w:tcBorders/>
            <w:shd w:fill="CCEEFF" w:val="clear"/>
            <w:vAlign w:val="bottom"/>
          </w:tcPr>
          <w:p>
            <w:pPr>
              <w:pStyle w:val="TableContents"/>
              <w:spacing w:before="0" w:after="0"/>
              <w:ind w:left="0" w:right="0" w:hanging="0"/>
              <w:rPr/>
            </w:pPr>
            <w:r>
              <w:rPr/>
              <w:t> </w:t>
            </w:r>
          </w:p>
        </w:tc>
        <w:tc>
          <w:tcPr>
            <w:tcW w:w="10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79"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(2)</w:t>
            </w:r>
          </w:p>
        </w:tc>
        <w:tc>
          <w:tcPr>
            <w:tcW w:w="207" w:type="dxa"/>
            <w:tcBorders/>
            <w:shd w:fill="auto" w:val="clear"/>
            <w:vAlign w:val="bottom"/>
          </w:tcPr>
          <w:p>
            <w:pPr>
              <w:pStyle w:val="TableContents"/>
              <w:spacing w:before="0" w:after="0"/>
              <w:ind w:left="0" w:right="0" w:hanging="0"/>
              <w:rPr/>
            </w:pPr>
            <w:r>
              <w:rPr/>
              <w:t> </w:t>
            </w:r>
          </w:p>
        </w:tc>
        <w:tc>
          <w:tcPr>
            <w:tcW w:w="10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07" w:type="dxa"/>
            <w:tcBorders/>
            <w:shd w:fill="CCEEFF" w:val="clear"/>
            <w:vAlign w:val="bottom"/>
          </w:tcPr>
          <w:p>
            <w:pPr>
              <w:pStyle w:val="TableContents"/>
              <w:spacing w:before="0" w:after="0"/>
              <w:ind w:left="0" w:right="0" w:hanging="0"/>
              <w:rPr/>
            </w:pPr>
            <w:r>
              <w:rPr/>
              <w:t> </w:t>
            </w:r>
          </w:p>
        </w:tc>
        <w:tc>
          <w:tcPr>
            <w:tcW w:w="10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22"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4"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219" w:type="dxa"/>
            <w:tcBorders/>
            <w:shd w:fill="CCEEFF" w:val="clear"/>
            <w:vAlign w:val="bottom"/>
          </w:tcPr>
          <w:p>
            <w:pPr>
              <w:pStyle w:val="TableContents"/>
              <w:spacing w:before="0" w:after="0"/>
              <w:ind w:left="0" w:right="0" w:hanging="0"/>
              <w:rPr/>
            </w:pPr>
            <w:r>
              <w:rPr/>
              <w:t> </w:t>
            </w:r>
          </w:p>
        </w:tc>
        <w:tc>
          <w:tcPr>
            <w:tcW w:w="10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129" w:type="dxa"/>
            <w:tcBorders/>
            <w:shd w:fill="CCEEFF" w:val="clear"/>
            <w:vAlign w:val="bottom"/>
          </w:tcPr>
          <w:p>
            <w:pPr>
              <w:pStyle w:val="TableContents"/>
              <w:spacing w:before="0" w:after="0"/>
              <w:ind w:left="0" w:right="0" w:hanging="0"/>
              <w:rPr/>
            </w:pPr>
            <w:r>
              <w:rPr/>
              <w:t> </w:t>
            </w:r>
          </w:p>
        </w:tc>
      </w:tr>
      <w:tr>
        <w:trPr/>
        <w:tc>
          <w:tcPr>
            <w:tcW w:w="5079"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(2)</w:t>
            </w:r>
          </w:p>
        </w:tc>
        <w:tc>
          <w:tcPr>
            <w:tcW w:w="207" w:type="dxa"/>
            <w:tcBorders/>
            <w:shd w:fill="auto" w:val="clear"/>
            <w:vAlign w:val="bottom"/>
          </w:tcPr>
          <w:p>
            <w:pPr>
              <w:pStyle w:val="TableContents"/>
              <w:spacing w:before="0" w:after="0"/>
              <w:ind w:left="0" w:right="0" w:hanging="0"/>
              <w:rPr/>
            </w:pPr>
            <w:r>
              <w:rPr/>
              <w:t> </w:t>
            </w:r>
          </w:p>
        </w:tc>
        <w:tc>
          <w:tcPr>
            <w:tcW w:w="10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pPr>
            <w:r>
              <w:rPr/>
              <w:t> </w:t>
            </w:r>
          </w:p>
        </w:tc>
      </w:tr>
      <w:tr>
        <w:trPr/>
        <w:tc>
          <w:tcPr>
            <w:tcW w:w="50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07"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22"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4"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w:t>
            </w:r>
          </w:p>
        </w:tc>
        <w:tc>
          <w:tcPr>
            <w:tcW w:w="219"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129" w:type="dxa"/>
            <w:tcBorders/>
            <w:shd w:fill="CCEEFF" w:val="clear"/>
            <w:vAlign w:val="bottom"/>
          </w:tcPr>
          <w:p>
            <w:pPr>
              <w:pStyle w:val="TableContents"/>
              <w:spacing w:before="0" w:after="0"/>
              <w:ind w:left="0" w:right="0" w:hanging="0"/>
              <w:rPr/>
            </w:pPr>
            <w:r>
              <w:rPr/>
              <w:t> </w:t>
            </w:r>
          </w:p>
        </w:tc>
      </w:tr>
      <w:tr>
        <w:trPr/>
        <w:tc>
          <w:tcPr>
            <w:tcW w:w="5079"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039" w:type="dxa"/>
            <w:gridSpan w:val="2"/>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027"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28" w:type="dxa"/>
            <w:gridSpan w:val="2"/>
            <w:tcBorders/>
            <w:shd w:fill="auto" w:val="clear"/>
            <w:vAlign w:val="bottom"/>
          </w:tcPr>
          <w:p>
            <w:pPr>
              <w:pStyle w:val="TableContents"/>
              <w:spacing w:before="0" w:after="0"/>
              <w:ind w:left="0" w:right="0" w:hanging="0"/>
              <w:jc w:val="right"/>
              <w:rPr/>
            </w:pPr>
            <w:r>
              <w:rPr/>
              <w:t> </w:t>
            </w:r>
          </w:p>
        </w:tc>
        <w:tc>
          <w:tcPr>
            <w:tcW w:w="129" w:type="dxa"/>
            <w:tcBorders/>
            <w:shd w:fill="auto" w:val="clear"/>
            <w:vAlign w:val="bottom"/>
          </w:tcPr>
          <w:p>
            <w:pPr>
              <w:pStyle w:val="TableContents"/>
              <w:spacing w:before="0" w:after="0"/>
              <w:ind w:left="0" w:right="0" w:hanging="0"/>
              <w:rPr/>
            </w:pPr>
            <w:r>
              <w:rPr/>
              <w:t> </w:t>
            </w:r>
          </w:p>
        </w:tc>
      </w:tr>
      <w:tr>
        <w:trPr/>
        <w:tc>
          <w:tcPr>
            <w:tcW w:w="507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Denominator for Basic and Diluted Net Income per Limited Partner Unit:</w:t>
            </w:r>
          </w:p>
        </w:tc>
        <w:tc>
          <w:tcPr>
            <w:tcW w:w="207" w:type="dxa"/>
            <w:tcBorders/>
            <w:shd w:fill="CCEEFF" w:val="clear"/>
            <w:vAlign w:val="bottom"/>
          </w:tcPr>
          <w:p>
            <w:pPr>
              <w:pStyle w:val="TableContents"/>
              <w:spacing w:before="0" w:after="0"/>
              <w:ind w:left="0" w:right="0" w:hanging="0"/>
              <w:rPr/>
            </w:pPr>
            <w:r>
              <w:rPr/>
              <w:t> </w:t>
            </w:r>
          </w:p>
        </w:tc>
        <w:tc>
          <w:tcPr>
            <w:tcW w:w="1039"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28"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50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07" w:type="dxa"/>
            <w:tcBorders/>
            <w:shd w:fill="auto" w:val="clear"/>
            <w:vAlign w:val="bottom"/>
          </w:tcPr>
          <w:p>
            <w:pPr>
              <w:pStyle w:val="TableContents"/>
              <w:spacing w:before="0" w:after="0"/>
              <w:ind w:left="0" w:right="0" w:hanging="0"/>
              <w:rPr/>
            </w:pPr>
            <w:r>
              <w:rPr/>
              <w:t> </w:t>
            </w:r>
          </w:p>
        </w:tc>
        <w:tc>
          <w:tcPr>
            <w:tcW w:w="10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22"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214" w:type="dxa"/>
            <w:tcBorders/>
            <w:shd w:fill="auto" w:val="clear"/>
            <w:vAlign w:val="bottom"/>
          </w:tcPr>
          <w:p>
            <w:pPr>
              <w:pStyle w:val="TableContents"/>
              <w:spacing w:before="0" w:after="0"/>
              <w:ind w:left="0" w:right="0" w:hanging="0"/>
              <w:rPr/>
            </w:pPr>
            <w:r>
              <w:rPr/>
              <w:t> </w:t>
            </w:r>
          </w:p>
        </w:tc>
        <w:tc>
          <w:tcPr>
            <w:tcW w:w="10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19" w:type="dxa"/>
            <w:tcBorders/>
            <w:shd w:fill="auto" w:val="clear"/>
            <w:vAlign w:val="bottom"/>
          </w:tcPr>
          <w:p>
            <w:pPr>
              <w:pStyle w:val="TableContents"/>
              <w:spacing w:before="0" w:after="0"/>
              <w:ind w:left="0" w:right="0" w:hanging="0"/>
              <w:rPr/>
            </w:pPr>
            <w:r>
              <w:rPr/>
              <w:t> </w:t>
            </w:r>
          </w:p>
        </w:tc>
        <w:tc>
          <w:tcPr>
            <w:tcW w:w="10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129" w:type="dxa"/>
            <w:tcBorders/>
            <w:shd w:fill="auto" w:val="clear"/>
            <w:vAlign w:val="bottom"/>
          </w:tcPr>
          <w:p>
            <w:pPr>
              <w:pStyle w:val="TableContents"/>
              <w:spacing w:before="0" w:after="0"/>
              <w:ind w:left="0" w:right="0" w:hanging="0"/>
              <w:rPr/>
            </w:pPr>
            <w:r>
              <w:rPr/>
              <w:t> </w:t>
            </w:r>
          </w:p>
        </w:tc>
      </w:tr>
      <w:tr>
        <w:trPr/>
        <w:tc>
          <w:tcPr>
            <w:tcW w:w="5079" w:type="dxa"/>
            <w:tcBorders/>
            <w:shd w:fill="CCEEFF" w:val="clear"/>
            <w:vAlign w:val="bottom"/>
          </w:tcPr>
          <w:p>
            <w:pPr>
              <w:pStyle w:val="TableContents"/>
              <w:spacing w:before="0" w:after="0"/>
              <w:ind w:left="0" w:right="0" w:hanging="0"/>
              <w:rPr/>
            </w:pPr>
            <w:r>
              <w:rPr>
                <w:rFonts w:ascii="Times New Roman" w:hAnsi="Times New Roman"/>
                <w:sz w:val="17"/>
              </w:rPr>
              <w:t xml:space="preserve">Effect of dilutive securities: Weighted average LTIP units </w:t>
            </w:r>
            <w:r>
              <w:rPr>
                <w:sz w:val="11"/>
              </w:rPr>
              <w:t>(3)</w:t>
            </w:r>
          </w:p>
        </w:tc>
        <w:tc>
          <w:tcPr>
            <w:tcW w:w="207" w:type="dxa"/>
            <w:tcBorders/>
            <w:shd w:fill="CCEEFF" w:val="clear"/>
            <w:vAlign w:val="bottom"/>
          </w:tcPr>
          <w:p>
            <w:pPr>
              <w:pStyle w:val="TableContents"/>
              <w:spacing w:before="0" w:after="0"/>
              <w:ind w:left="0" w:right="0" w:hanging="0"/>
              <w:rPr/>
            </w:pPr>
            <w:r>
              <w:rPr/>
              <w:t> </w:t>
            </w:r>
          </w:p>
        </w:tc>
        <w:tc>
          <w:tcPr>
            <w:tcW w:w="10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2" w:type="dxa"/>
            <w:tcBorders/>
            <w:shd w:fill="CCEEFF" w:val="clear"/>
            <w:vAlign w:val="bottom"/>
          </w:tcPr>
          <w:p>
            <w:pPr>
              <w:pStyle w:val="TableContents"/>
              <w:spacing w:before="0" w:after="0"/>
              <w:ind w:left="0" w:right="0" w:hanging="0"/>
              <w:rPr/>
            </w:pPr>
            <w:r>
              <w:rPr/>
              <w:t> </w:t>
            </w:r>
          </w:p>
        </w:tc>
        <w:tc>
          <w:tcPr>
            <w:tcW w:w="10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pPr>
            <w:r>
              <w:rPr/>
              <w:t> </w:t>
            </w:r>
          </w:p>
        </w:tc>
        <w:tc>
          <w:tcPr>
            <w:tcW w:w="10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9" w:type="dxa"/>
            <w:tcBorders/>
            <w:shd w:fill="CCEEFF" w:val="clear"/>
            <w:vAlign w:val="bottom"/>
          </w:tcPr>
          <w:p>
            <w:pPr>
              <w:pStyle w:val="TableContents"/>
              <w:spacing w:before="0" w:after="0"/>
              <w:ind w:left="0" w:right="0" w:hanging="0"/>
              <w:rPr/>
            </w:pPr>
            <w:r>
              <w:rPr/>
              <w:t> </w:t>
            </w:r>
          </w:p>
        </w:tc>
        <w:tc>
          <w:tcPr>
            <w:tcW w:w="10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9" w:type="dxa"/>
            <w:tcBorders/>
            <w:shd w:fill="CCEEFF" w:val="clear"/>
            <w:vAlign w:val="bottom"/>
          </w:tcPr>
          <w:p>
            <w:pPr>
              <w:pStyle w:val="TableContents"/>
              <w:spacing w:before="0" w:after="0"/>
              <w:ind w:left="0" w:right="0" w:hanging="0"/>
              <w:rPr/>
            </w:pPr>
            <w:r>
              <w:rPr/>
              <w:t> </w:t>
            </w:r>
          </w:p>
        </w:tc>
      </w:tr>
      <w:tr>
        <w:trPr/>
        <w:tc>
          <w:tcPr>
            <w:tcW w:w="50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07" w:type="dxa"/>
            <w:tcBorders/>
            <w:shd w:fill="auto" w:val="clear"/>
            <w:vAlign w:val="bottom"/>
          </w:tcPr>
          <w:p>
            <w:pPr>
              <w:pStyle w:val="TableContents"/>
              <w:spacing w:before="0" w:after="0"/>
              <w:ind w:left="0" w:right="0" w:hanging="0"/>
              <w:rPr/>
            </w:pPr>
            <w:r>
              <w:rPr/>
              <w:t> </w:t>
            </w:r>
          </w:p>
        </w:tc>
        <w:tc>
          <w:tcPr>
            <w:tcW w:w="103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22" w:type="dxa"/>
            <w:tcBorders/>
            <w:shd w:fill="auto" w:val="clear"/>
            <w:vAlign w:val="bottom"/>
          </w:tcPr>
          <w:p>
            <w:pPr>
              <w:pStyle w:val="TableContents"/>
              <w:spacing w:before="0" w:after="0"/>
              <w:ind w:left="0" w:right="0" w:hanging="0"/>
              <w:rPr/>
            </w:pPr>
            <w:r>
              <w:rPr/>
              <w:t> </w:t>
            </w:r>
          </w:p>
        </w:tc>
        <w:tc>
          <w:tcPr>
            <w:tcW w:w="104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4" w:type="dxa"/>
            <w:tcBorders/>
            <w:shd w:fill="auto" w:val="clear"/>
            <w:vAlign w:val="bottom"/>
          </w:tcPr>
          <w:p>
            <w:pPr>
              <w:pStyle w:val="TableContents"/>
              <w:spacing w:before="0" w:after="0"/>
              <w:ind w:left="0" w:right="0" w:hanging="0"/>
              <w:rPr/>
            </w:pPr>
            <w:r>
              <w:rPr/>
              <w:t> </w:t>
            </w:r>
          </w:p>
        </w:tc>
        <w:tc>
          <w:tcPr>
            <w:tcW w:w="102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19" w:type="dxa"/>
            <w:tcBorders/>
            <w:shd w:fill="auto" w:val="clear"/>
            <w:vAlign w:val="bottom"/>
          </w:tcPr>
          <w:p>
            <w:pPr>
              <w:pStyle w:val="TableContents"/>
              <w:spacing w:before="0" w:after="0"/>
              <w:ind w:left="0" w:right="0" w:hanging="0"/>
              <w:rPr/>
            </w:pPr>
            <w:r>
              <w:rPr/>
              <w:t> </w:t>
            </w:r>
          </w:p>
        </w:tc>
        <w:tc>
          <w:tcPr>
            <w:tcW w:w="102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29" w:type="dxa"/>
            <w:tcBorders/>
            <w:shd w:fill="auto" w:val="clear"/>
            <w:vAlign w:val="bottom"/>
          </w:tcPr>
          <w:p>
            <w:pPr>
              <w:pStyle w:val="TableContents"/>
              <w:spacing w:before="0" w:after="0"/>
              <w:ind w:left="0" w:right="0" w:hanging="0"/>
              <w:rPr/>
            </w:pPr>
            <w:r>
              <w:rPr/>
              <w:t> </w:t>
            </w:r>
          </w:p>
        </w:tc>
      </w:tr>
      <w:tr>
        <w:trPr/>
        <w:tc>
          <w:tcPr>
            <w:tcW w:w="5079"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039"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28"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50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net income per limited partner unit </w:t>
            </w:r>
          </w:p>
        </w:tc>
        <w:tc>
          <w:tcPr>
            <w:tcW w:w="207"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22"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214"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219"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w:t>
            </w:r>
          </w:p>
        </w:tc>
        <w:tc>
          <w:tcPr>
            <w:tcW w:w="129" w:type="dxa"/>
            <w:tcBorders/>
            <w:shd w:fill="auto" w:val="clear"/>
            <w:vAlign w:val="bottom"/>
          </w:tcPr>
          <w:p>
            <w:pPr>
              <w:pStyle w:val="TableContents"/>
              <w:spacing w:before="0" w:after="0"/>
              <w:ind w:left="0" w:right="0" w:hanging="0"/>
              <w:rPr/>
            </w:pPr>
            <w:r>
              <w:rPr/>
              <w:t> </w:t>
            </w:r>
          </w:p>
        </w:tc>
      </w:tr>
      <w:tr>
        <w:trPr/>
        <w:tc>
          <w:tcPr>
            <w:tcW w:w="5079"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039" w:type="dxa"/>
            <w:gridSpan w:val="2"/>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28" w:type="dxa"/>
            <w:gridSpan w:val="2"/>
            <w:tcBorders/>
            <w:shd w:fill="CCEEFF" w:val="clear"/>
            <w:vAlign w:val="bottom"/>
          </w:tcPr>
          <w:p>
            <w:pPr>
              <w:pStyle w:val="TableContents"/>
              <w:spacing w:before="0" w:after="0"/>
              <w:ind w:left="0" w:right="0" w:hanging="0"/>
              <w:jc w:val="right"/>
              <w:rPr/>
            </w:pPr>
            <w:r>
              <w:rPr/>
              <w:t> </w:t>
            </w:r>
          </w:p>
        </w:tc>
        <w:tc>
          <w:tcPr>
            <w:tcW w:w="129" w:type="dxa"/>
            <w:tcBorders/>
            <w:shd w:fill="CCEEFF" w:val="clear"/>
            <w:vAlign w:val="bottom"/>
          </w:tcPr>
          <w:p>
            <w:pPr>
              <w:pStyle w:val="TableContents"/>
              <w:spacing w:before="0" w:after="0"/>
              <w:ind w:left="0" w:right="0" w:hanging="0"/>
              <w:rPr/>
            </w:pPr>
            <w:r>
              <w:rPr/>
              <w:t> </w:t>
            </w:r>
          </w:p>
        </w:tc>
      </w:tr>
      <w:tr>
        <w:trPr/>
        <w:tc>
          <w:tcPr>
            <w:tcW w:w="50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net income per limited partner unit </w:t>
            </w:r>
          </w:p>
        </w:tc>
        <w:tc>
          <w:tcPr>
            <w:tcW w:w="207"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22"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214"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9"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12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Unit and per-unit amounts are presented as adjusted for the two-for-one unit split effected on October 1, 2012.</w:t>
      </w:r>
    </w:p>
    <w:p>
      <w:pPr>
        <w:pStyle w:val="TextBody"/>
        <w:spacing w:before="0" w:after="0"/>
        <w:ind w:left="0" w:right="0" w:hanging="0"/>
        <w:rPr>
          <w:rFonts w:ascii="Times New Roman" w:hAnsi="Times New Roman"/>
        </w:rPr>
      </w:pPr>
      <w:r>
        <w:rPr>
          <w:rFonts w:ascii="Times New Roman" w:hAnsi="Times New Roman"/>
          <w:sz w:val="11"/>
        </w:rPr>
        <w:t xml:space="preserve">(2)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rFonts w:ascii="Times New Roman" w:hAnsi="Times New Roman"/>
        </w:rPr>
      </w:pPr>
      <w:r>
        <w:rPr>
          <w:rFonts w:ascii="Times New Roman" w:hAnsi="Times New Roman"/>
          <w:sz w:val="11"/>
        </w:rPr>
        <w:t xml:space="preserve">(3)       </w:t>
      </w:r>
      <w:r>
        <w:rPr>
          <w:rFonts w:ascii="Times New Roman" w:hAnsi="Times New Roman"/>
          <w:sz w:val="17"/>
        </w:rPr>
        <w:t>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bookmarkStart w:id="25" w:name="PB_12_192719_7608"/>
      <w:bookmarkEnd w:id="25"/>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26"/>
        <w:gridCol w:w="203"/>
        <w:gridCol w:w="162"/>
        <w:gridCol w:w="899"/>
        <w:gridCol w:w="216"/>
        <w:gridCol w:w="162"/>
        <w:gridCol w:w="900"/>
        <w:gridCol w:w="212"/>
        <w:gridCol w:w="141"/>
        <w:gridCol w:w="908"/>
        <w:gridCol w:w="204"/>
        <w:gridCol w:w="141"/>
        <w:gridCol w:w="909"/>
        <w:gridCol w:w="122"/>
      </w:tblGrid>
      <w:tr>
        <w:trPr/>
        <w:tc>
          <w:tcPr>
            <w:tcW w:w="5026"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233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2" w:type="dxa"/>
            <w:tcBorders/>
            <w:shd w:fill="auto" w:val="clear"/>
            <w:vAlign w:val="bottom"/>
          </w:tcPr>
          <w:p>
            <w:pPr>
              <w:pStyle w:val="TableContents"/>
              <w:spacing w:before="0" w:after="0"/>
              <w:ind w:left="0" w:right="0" w:hanging="0"/>
              <w:jc w:val="center"/>
              <w:rPr/>
            </w:pPr>
            <w:r>
              <w:rPr/>
              <w:t> </w:t>
            </w:r>
          </w:p>
        </w:tc>
        <w:tc>
          <w:tcPr>
            <w:tcW w:w="230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2" w:type="dxa"/>
            <w:tcBorders/>
            <w:shd w:fill="auto" w:val="clear"/>
            <w:vAlign w:val="bottom"/>
          </w:tcPr>
          <w:p>
            <w:pPr>
              <w:pStyle w:val="TableContents"/>
              <w:spacing w:before="0" w:after="0"/>
              <w:ind w:left="0" w:right="0" w:hanging="0"/>
              <w:jc w:val="center"/>
              <w:rPr/>
            </w:pPr>
            <w:r>
              <w:rPr/>
              <w:t> </w:t>
            </w:r>
          </w:p>
        </w:tc>
      </w:tr>
      <w:tr>
        <w:trPr/>
        <w:tc>
          <w:tcPr>
            <w:tcW w:w="5026"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233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2" w:type="dxa"/>
            <w:tcBorders/>
            <w:shd w:fill="auto" w:val="clear"/>
            <w:vAlign w:val="bottom"/>
          </w:tcPr>
          <w:p>
            <w:pPr>
              <w:pStyle w:val="TableContents"/>
              <w:spacing w:before="0" w:after="0"/>
              <w:ind w:left="0" w:right="0" w:hanging="0"/>
              <w:jc w:val="center"/>
              <w:rPr/>
            </w:pPr>
            <w:r>
              <w:rPr/>
              <w:t> </w:t>
            </w:r>
          </w:p>
        </w:tc>
        <w:tc>
          <w:tcPr>
            <w:tcW w:w="230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2" w:type="dxa"/>
            <w:tcBorders/>
            <w:shd w:fill="auto" w:val="clear"/>
            <w:vAlign w:val="bottom"/>
          </w:tcPr>
          <w:p>
            <w:pPr>
              <w:pStyle w:val="TableContents"/>
              <w:spacing w:before="0" w:after="0"/>
              <w:ind w:left="0" w:right="0" w:hanging="0"/>
              <w:jc w:val="center"/>
              <w:rPr/>
            </w:pPr>
            <w:r>
              <w:rPr/>
              <w:t> </w:t>
            </w:r>
          </w:p>
        </w:tc>
      </w:tr>
      <w:tr>
        <w:trPr/>
        <w:tc>
          <w:tcPr>
            <w:tcW w:w="5026"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0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6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2" w:type="dxa"/>
            <w:tcBorders/>
            <w:shd w:fill="auto" w:val="clear"/>
            <w:vAlign w:val="bottom"/>
          </w:tcPr>
          <w:p>
            <w:pPr>
              <w:pStyle w:val="TableContents"/>
              <w:spacing w:before="0" w:after="0"/>
              <w:ind w:left="0" w:right="0" w:hanging="0"/>
              <w:jc w:val="center"/>
              <w:rPr/>
            </w:pPr>
            <w:r>
              <w:rPr/>
              <w:t> </w:t>
            </w:r>
          </w:p>
        </w:tc>
        <w:tc>
          <w:tcPr>
            <w:tcW w:w="10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2" w:type="dxa"/>
            <w:tcBorders/>
            <w:shd w:fill="auto" w:val="clear"/>
            <w:vAlign w:val="bottom"/>
          </w:tcPr>
          <w:p>
            <w:pPr>
              <w:pStyle w:val="TableContents"/>
              <w:spacing w:before="0" w:after="0"/>
              <w:ind w:left="0" w:right="0" w:hanging="0"/>
              <w:jc w:val="center"/>
              <w:rPr/>
            </w:pPr>
            <w:r>
              <w:rPr/>
              <w:t> </w:t>
            </w:r>
          </w:p>
        </w:tc>
      </w:tr>
      <w:tr>
        <w:trPr/>
        <w:tc>
          <w:tcPr>
            <w:tcW w:w="502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to earnings before interest, taxes, depreciation and amortization (EBITDA) and excluding selected items impacting comparability (Adjusted EBITDA) reconciliations</w:t>
            </w:r>
          </w:p>
        </w:tc>
        <w:tc>
          <w:tcPr>
            <w:tcW w:w="203" w:type="dxa"/>
            <w:tcBorders/>
            <w:shd w:fill="CCEEFF" w:val="clear"/>
            <w:vAlign w:val="bottom"/>
          </w:tcPr>
          <w:p>
            <w:pPr>
              <w:pStyle w:val="TableContents"/>
              <w:spacing w:before="0" w:after="0"/>
              <w:ind w:left="0" w:right="0" w:hanging="0"/>
              <w:rPr/>
            </w:pPr>
            <w:r>
              <w:rPr/>
              <w:t> </w:t>
            </w:r>
          </w:p>
        </w:tc>
        <w:tc>
          <w:tcPr>
            <w:tcW w:w="106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062"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49"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502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03"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6"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2"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20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706</w:t>
            </w:r>
          </w:p>
        </w:tc>
        <w:tc>
          <w:tcPr>
            <w:tcW w:w="122" w:type="dxa"/>
            <w:tcBorders/>
            <w:shd w:fill="auto" w:val="clear"/>
            <w:vAlign w:val="bottom"/>
          </w:tcPr>
          <w:p>
            <w:pPr>
              <w:pStyle w:val="TableContents"/>
              <w:spacing w:before="0" w:after="0"/>
              <w:ind w:left="0" w:right="0" w:hanging="0"/>
              <w:rPr/>
            </w:pPr>
            <w:r>
              <w:rPr/>
              <w:t> </w:t>
            </w:r>
          </w:p>
        </w:tc>
      </w:tr>
      <w:tr>
        <w:trPr/>
        <w:tc>
          <w:tcPr>
            <w:tcW w:w="502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03" w:type="dxa"/>
            <w:tcBorders/>
            <w:shd w:fill="CCEEFF" w:val="clear"/>
            <w:vAlign w:val="bottom"/>
          </w:tcPr>
          <w:p>
            <w:pPr>
              <w:pStyle w:val="TableContents"/>
              <w:spacing w:before="0" w:after="0"/>
              <w:ind w:left="0" w:right="0" w:hanging="0"/>
              <w:rPr/>
            </w:pPr>
            <w:r>
              <w:rPr/>
              <w:t> </w:t>
            </w:r>
          </w:p>
        </w:tc>
        <w:tc>
          <w:tcPr>
            <w:tcW w:w="10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6" w:type="dxa"/>
            <w:tcBorders/>
            <w:shd w:fill="CCEEFF" w:val="clear"/>
            <w:vAlign w:val="bottom"/>
          </w:tcPr>
          <w:p>
            <w:pPr>
              <w:pStyle w:val="TableContents"/>
              <w:spacing w:before="0" w:after="0"/>
              <w:ind w:left="0" w:right="0" w:hanging="0"/>
              <w:rPr/>
            </w:pPr>
            <w:r>
              <w:rPr/>
              <w:t> </w:t>
            </w:r>
          </w:p>
        </w:tc>
        <w:tc>
          <w:tcPr>
            <w:tcW w:w="10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2" w:type="dxa"/>
            <w:tcBorders/>
            <w:shd w:fill="CCEEFF" w:val="clear"/>
            <w:vAlign w:val="bottom"/>
          </w:tcPr>
          <w:p>
            <w:pPr>
              <w:pStyle w:val="TableContents"/>
              <w:spacing w:before="0" w:after="0"/>
              <w:ind w:left="0" w:right="0" w:hanging="0"/>
              <w:rPr/>
            </w:pPr>
            <w:r>
              <w:rPr/>
              <w:t> </w:t>
            </w:r>
          </w:p>
        </w:tc>
        <w:tc>
          <w:tcPr>
            <w:tcW w:w="10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04"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22" w:type="dxa"/>
            <w:tcBorders/>
            <w:shd w:fill="CCEEFF" w:val="clear"/>
            <w:vAlign w:val="bottom"/>
          </w:tcPr>
          <w:p>
            <w:pPr>
              <w:pStyle w:val="TableContents"/>
              <w:spacing w:before="0" w:after="0"/>
              <w:ind w:left="0" w:right="0" w:hanging="0"/>
              <w:rPr/>
            </w:pPr>
            <w:r>
              <w:rPr/>
              <w:t> </w:t>
            </w:r>
          </w:p>
        </w:tc>
      </w:tr>
      <w:tr>
        <w:trPr/>
        <w:tc>
          <w:tcPr>
            <w:tcW w:w="502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Income tax expense</w:t>
            </w:r>
          </w:p>
        </w:tc>
        <w:tc>
          <w:tcPr>
            <w:tcW w:w="203" w:type="dxa"/>
            <w:tcBorders/>
            <w:shd w:fill="auto" w:val="clear"/>
            <w:vAlign w:val="bottom"/>
          </w:tcPr>
          <w:p>
            <w:pPr>
              <w:pStyle w:val="TableContents"/>
              <w:spacing w:before="0" w:after="0"/>
              <w:ind w:left="0" w:right="0" w:hanging="0"/>
              <w:rPr/>
            </w:pPr>
            <w:r>
              <w:rPr/>
              <w:t> </w:t>
            </w:r>
          </w:p>
        </w:tc>
        <w:tc>
          <w:tcPr>
            <w:tcW w:w="10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6" w:type="dxa"/>
            <w:tcBorders/>
            <w:shd w:fill="auto" w:val="clear"/>
            <w:vAlign w:val="bottom"/>
          </w:tcPr>
          <w:p>
            <w:pPr>
              <w:pStyle w:val="TableContents"/>
              <w:spacing w:before="0" w:after="0"/>
              <w:ind w:left="0" w:right="0" w:hanging="0"/>
              <w:rPr/>
            </w:pPr>
            <w:r>
              <w:rPr/>
              <w:t> </w:t>
            </w:r>
          </w:p>
        </w:tc>
        <w:tc>
          <w:tcPr>
            <w:tcW w:w="10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2" w:type="dxa"/>
            <w:tcBorders/>
            <w:shd w:fill="auto" w:val="clear"/>
            <w:vAlign w:val="bottom"/>
          </w:tcPr>
          <w:p>
            <w:pPr>
              <w:pStyle w:val="TableContents"/>
              <w:spacing w:before="0" w:after="0"/>
              <w:ind w:left="0" w:right="0" w:hanging="0"/>
              <w:rPr/>
            </w:pPr>
            <w:r>
              <w:rPr/>
              <w:t> </w:t>
            </w:r>
          </w:p>
        </w:tc>
        <w:tc>
          <w:tcPr>
            <w:tcW w:w="10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04"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22" w:type="dxa"/>
            <w:tcBorders/>
            <w:shd w:fill="auto" w:val="clear"/>
            <w:vAlign w:val="bottom"/>
          </w:tcPr>
          <w:p>
            <w:pPr>
              <w:pStyle w:val="TableContents"/>
              <w:spacing w:before="0" w:after="0"/>
              <w:ind w:left="0" w:right="0" w:hanging="0"/>
              <w:rPr/>
            </w:pPr>
            <w:r>
              <w:rPr/>
              <w:t> </w:t>
            </w:r>
          </w:p>
        </w:tc>
      </w:tr>
      <w:tr>
        <w:trPr/>
        <w:tc>
          <w:tcPr>
            <w:tcW w:w="502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03" w:type="dxa"/>
            <w:tcBorders/>
            <w:shd w:fill="CCEEFF" w:val="clear"/>
            <w:vAlign w:val="bottom"/>
          </w:tcPr>
          <w:p>
            <w:pPr>
              <w:pStyle w:val="TableContents"/>
              <w:spacing w:before="0" w:after="0"/>
              <w:ind w:left="0" w:right="0" w:hanging="0"/>
              <w:rPr/>
            </w:pPr>
            <w:r>
              <w:rPr/>
              <w:t> </w:t>
            </w:r>
          </w:p>
        </w:tc>
        <w:tc>
          <w:tcPr>
            <w:tcW w:w="10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16" w:type="dxa"/>
            <w:tcBorders/>
            <w:shd w:fill="CCEEFF" w:val="clear"/>
            <w:vAlign w:val="bottom"/>
          </w:tcPr>
          <w:p>
            <w:pPr>
              <w:pStyle w:val="TableContents"/>
              <w:spacing w:before="0" w:after="0"/>
              <w:ind w:left="0" w:right="0" w:hanging="0"/>
              <w:rPr/>
            </w:pPr>
            <w:r>
              <w:rPr/>
              <w:t> </w:t>
            </w:r>
          </w:p>
        </w:tc>
        <w:tc>
          <w:tcPr>
            <w:tcW w:w="10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2" w:type="dxa"/>
            <w:tcBorders/>
            <w:shd w:fill="CCEEFF" w:val="clear"/>
            <w:vAlign w:val="bottom"/>
          </w:tcPr>
          <w:p>
            <w:pPr>
              <w:pStyle w:val="TableContents"/>
              <w:spacing w:before="0" w:after="0"/>
              <w:ind w:left="0" w:right="0" w:hanging="0"/>
              <w:rPr/>
            </w:pPr>
            <w:r>
              <w:rPr/>
              <w:t> </w:t>
            </w:r>
          </w:p>
        </w:tc>
        <w:tc>
          <w:tcPr>
            <w:tcW w:w="10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204" w:type="dxa"/>
            <w:tcBorders/>
            <w:shd w:fill="CCEEFF"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22" w:type="dxa"/>
            <w:tcBorders/>
            <w:shd w:fill="CCEEFF" w:val="clear"/>
            <w:vAlign w:val="bottom"/>
          </w:tcPr>
          <w:p>
            <w:pPr>
              <w:pStyle w:val="TableContents"/>
              <w:spacing w:before="0" w:after="0"/>
              <w:ind w:left="0" w:right="0" w:hanging="0"/>
              <w:rPr/>
            </w:pPr>
            <w:r>
              <w:rPr/>
              <w:t> </w:t>
            </w:r>
          </w:p>
        </w:tc>
      </w:tr>
      <w:tr>
        <w:trPr/>
        <w:tc>
          <w:tcPr>
            <w:tcW w:w="502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3"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216"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212"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w:t>
            </w:r>
          </w:p>
        </w:tc>
        <w:tc>
          <w:tcPr>
            <w:tcW w:w="204"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1,115</w:t>
            </w:r>
          </w:p>
        </w:tc>
        <w:tc>
          <w:tcPr>
            <w:tcW w:w="122" w:type="dxa"/>
            <w:tcBorders/>
            <w:shd w:fill="auto" w:val="clear"/>
            <w:vAlign w:val="bottom"/>
          </w:tcPr>
          <w:p>
            <w:pPr>
              <w:pStyle w:val="TableContents"/>
              <w:spacing w:before="0" w:after="0"/>
              <w:ind w:left="0" w:right="0" w:hanging="0"/>
              <w:rPr/>
            </w:pPr>
            <w:r>
              <w:rPr/>
              <w:t> </w:t>
            </w:r>
          </w:p>
        </w:tc>
      </w:tr>
      <w:tr>
        <w:trPr/>
        <w:tc>
          <w:tcPr>
            <w:tcW w:w="5026" w:type="dxa"/>
            <w:tcBorders/>
            <w:shd w:fill="CCEEFF" w:val="clear"/>
            <w:vAlign w:val="bottom"/>
          </w:tcPr>
          <w:p>
            <w:pPr>
              <w:pStyle w:val="TableContents"/>
              <w:spacing w:before="0" w:after="0"/>
              <w:ind w:left="0" w:right="0" w:hanging="0"/>
              <w:rPr/>
            </w:pPr>
            <w:r>
              <w:rPr>
                <w:rFonts w:ascii="Times New Roman" w:hAnsi="Times New Roman"/>
                <w:sz w:val="17"/>
              </w:rPr>
              <w:t xml:space="preserve">Selected items impacting comparability of EBITDA </w:t>
            </w:r>
            <w:r>
              <w:rPr>
                <w:sz w:val="11"/>
              </w:rPr>
              <w:t>(1)</w:t>
            </w:r>
          </w:p>
        </w:tc>
        <w:tc>
          <w:tcPr>
            <w:tcW w:w="203" w:type="dxa"/>
            <w:tcBorders/>
            <w:shd w:fill="CCEEFF" w:val="clear"/>
            <w:vAlign w:val="bottom"/>
          </w:tcPr>
          <w:p>
            <w:pPr>
              <w:pStyle w:val="TableContents"/>
              <w:spacing w:before="0" w:after="0"/>
              <w:ind w:left="0" w:right="0" w:hanging="0"/>
              <w:rPr/>
            </w:pPr>
            <w:r>
              <w:rPr/>
              <w:t> </w:t>
            </w:r>
          </w:p>
        </w:tc>
        <w:tc>
          <w:tcPr>
            <w:tcW w:w="10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6" w:type="dxa"/>
            <w:tcBorders/>
            <w:shd w:fill="CCEEFF" w:val="clear"/>
            <w:vAlign w:val="bottom"/>
          </w:tcPr>
          <w:p>
            <w:pPr>
              <w:pStyle w:val="TableContents"/>
              <w:spacing w:before="0" w:after="0"/>
              <w:ind w:left="0" w:right="0" w:hanging="0"/>
              <w:rPr/>
            </w:pPr>
            <w:r>
              <w:rPr/>
              <w:t> </w:t>
            </w:r>
          </w:p>
        </w:tc>
        <w:tc>
          <w:tcPr>
            <w:tcW w:w="10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04" w:type="dxa"/>
            <w:tcBorders/>
            <w:shd w:fill="CCEEFF"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2" w:type="dxa"/>
            <w:tcBorders/>
            <w:shd w:fill="CCEEFF" w:val="clear"/>
            <w:vAlign w:val="bottom"/>
          </w:tcPr>
          <w:p>
            <w:pPr>
              <w:pStyle w:val="TableContents"/>
              <w:spacing w:before="0" w:after="0"/>
              <w:ind w:left="0" w:right="0" w:hanging="0"/>
              <w:rPr/>
            </w:pPr>
            <w:r>
              <w:rPr/>
              <w:t> </w:t>
            </w:r>
          </w:p>
        </w:tc>
      </w:tr>
      <w:tr>
        <w:trPr/>
        <w:tc>
          <w:tcPr>
            <w:tcW w:w="502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3" w:type="dxa"/>
            <w:tcBorders/>
            <w:shd w:fill="auto" w:val="clear"/>
            <w:vAlign w:val="bottom"/>
          </w:tcPr>
          <w:p>
            <w:pPr>
              <w:pStyle w:val="TableContents"/>
              <w:spacing w:before="0" w:after="0"/>
              <w:ind w:left="0" w:right="0" w:hanging="0"/>
              <w:rPr/>
            </w:pPr>
            <w:r>
              <w:rPr/>
              <w:t> </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216" w:type="dxa"/>
            <w:tcBorders/>
            <w:shd w:fill="auto" w:val="clear"/>
            <w:vAlign w:val="bottom"/>
          </w:tcPr>
          <w:p>
            <w:pPr>
              <w:pStyle w:val="TableContents"/>
              <w:spacing w:before="0" w:after="0"/>
              <w:ind w:left="0" w:right="0" w:hanging="0"/>
              <w:rPr/>
            </w:pPr>
            <w:r>
              <w:rPr/>
              <w:t> </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212"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1,497</w:t>
            </w:r>
          </w:p>
        </w:tc>
        <w:tc>
          <w:tcPr>
            <w:tcW w:w="204"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1,128</w:t>
            </w:r>
          </w:p>
        </w:tc>
        <w:tc>
          <w:tcPr>
            <w:tcW w:w="12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15"/>
        <w:gridCol w:w="204"/>
        <w:gridCol w:w="158"/>
        <w:gridCol w:w="896"/>
        <w:gridCol w:w="228"/>
        <w:gridCol w:w="158"/>
        <w:gridCol w:w="897"/>
        <w:gridCol w:w="213"/>
        <w:gridCol w:w="138"/>
        <w:gridCol w:w="906"/>
        <w:gridCol w:w="214"/>
        <w:gridCol w:w="138"/>
        <w:gridCol w:w="907"/>
        <w:gridCol w:w="133"/>
      </w:tblGrid>
      <w:tr>
        <w:trPr/>
        <w:tc>
          <w:tcPr>
            <w:tcW w:w="5015"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33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3" w:type="dxa"/>
            <w:tcBorders/>
            <w:shd w:fill="auto" w:val="clear"/>
            <w:vAlign w:val="bottom"/>
          </w:tcPr>
          <w:p>
            <w:pPr>
              <w:pStyle w:val="TableContents"/>
              <w:spacing w:before="0" w:after="0"/>
              <w:ind w:left="0" w:right="0" w:hanging="0"/>
              <w:jc w:val="center"/>
              <w:rPr/>
            </w:pPr>
            <w:r>
              <w:rPr/>
              <w:t> </w:t>
            </w:r>
          </w:p>
        </w:tc>
        <w:tc>
          <w:tcPr>
            <w:tcW w:w="230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5015"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33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3" w:type="dxa"/>
            <w:tcBorders/>
            <w:shd w:fill="auto" w:val="clear"/>
            <w:vAlign w:val="bottom"/>
          </w:tcPr>
          <w:p>
            <w:pPr>
              <w:pStyle w:val="TableContents"/>
              <w:spacing w:before="0" w:after="0"/>
              <w:ind w:left="0" w:right="0" w:hanging="0"/>
              <w:jc w:val="center"/>
              <w:rPr/>
            </w:pPr>
            <w:r>
              <w:rPr/>
              <w:t> </w:t>
            </w:r>
          </w:p>
        </w:tc>
        <w:tc>
          <w:tcPr>
            <w:tcW w:w="230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3" w:type="dxa"/>
            <w:tcBorders/>
            <w:shd w:fill="auto" w:val="clear"/>
            <w:vAlign w:val="bottom"/>
          </w:tcPr>
          <w:p>
            <w:pPr>
              <w:pStyle w:val="TableContents"/>
              <w:spacing w:before="0" w:after="0"/>
              <w:ind w:left="0" w:right="0" w:hanging="0"/>
              <w:jc w:val="center"/>
              <w:rPr/>
            </w:pPr>
            <w:r>
              <w:rPr/>
              <w:t> </w:t>
            </w:r>
          </w:p>
        </w:tc>
      </w:tr>
      <w:tr>
        <w:trPr/>
        <w:tc>
          <w:tcPr>
            <w:tcW w:w="5015"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0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3" w:type="dxa"/>
            <w:tcBorders/>
            <w:shd w:fill="auto" w:val="clear"/>
            <w:vAlign w:val="bottom"/>
          </w:tcPr>
          <w:p>
            <w:pPr>
              <w:pStyle w:val="TableContents"/>
              <w:spacing w:before="0" w:after="0"/>
              <w:ind w:left="0" w:right="0" w:hanging="0"/>
              <w:jc w:val="center"/>
              <w:rPr/>
            </w:pPr>
            <w:r>
              <w:rPr/>
              <w:t> </w:t>
            </w:r>
          </w:p>
        </w:tc>
        <w:tc>
          <w:tcPr>
            <w:tcW w:w="10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4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3" w:type="dxa"/>
            <w:tcBorders/>
            <w:shd w:fill="auto" w:val="clear"/>
            <w:vAlign w:val="bottom"/>
          </w:tcPr>
          <w:p>
            <w:pPr>
              <w:pStyle w:val="TableContents"/>
              <w:spacing w:before="0" w:after="0"/>
              <w:ind w:left="0" w:right="0" w:hanging="0"/>
              <w:jc w:val="center"/>
              <w:rPr/>
            </w:pPr>
            <w:r>
              <w:rPr/>
              <w:t> </w:t>
            </w:r>
          </w:p>
        </w:tc>
      </w:tr>
      <w:tr>
        <w:trPr/>
        <w:tc>
          <w:tcPr>
            <w:tcW w:w="501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 to Implied Distributable Cash Flow (DCF)</w:t>
            </w:r>
          </w:p>
        </w:tc>
        <w:tc>
          <w:tcPr>
            <w:tcW w:w="204"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055"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04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045"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501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4"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228"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213"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1,497</w:t>
            </w:r>
          </w:p>
        </w:tc>
        <w:tc>
          <w:tcPr>
            <w:tcW w:w="214"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1,128</w:t>
            </w:r>
          </w:p>
        </w:tc>
        <w:tc>
          <w:tcPr>
            <w:tcW w:w="133" w:type="dxa"/>
            <w:tcBorders/>
            <w:shd w:fill="auto" w:val="clear"/>
            <w:vAlign w:val="bottom"/>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4"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4"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04"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04"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8" w:type="dxa"/>
            <w:tcBorders/>
            <w:shd w:fill="auto" w:val="clear"/>
            <w:vAlign w:val="bottom"/>
          </w:tcPr>
          <w:p>
            <w:pPr>
              <w:pStyle w:val="TableContents"/>
              <w:spacing w:before="0" w:after="0"/>
              <w:ind w:left="0" w:right="0" w:hanging="0"/>
              <w:rPr/>
            </w:pPr>
            <w:r>
              <w:rPr/>
              <w:t> </w:t>
            </w:r>
          </w:p>
        </w:tc>
        <w:tc>
          <w:tcPr>
            <w:tcW w:w="10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auto" w:val="clear"/>
            <w:vAlign w:val="bottom"/>
          </w:tcPr>
          <w:p>
            <w:pPr>
              <w:pStyle w:val="TableContents"/>
              <w:spacing w:before="0" w:after="0"/>
              <w:ind w:left="0" w:right="0" w:hanging="0"/>
              <w:rPr/>
            </w:pPr>
            <w:r>
              <w:rPr/>
              <w:t> </w:t>
            </w:r>
          </w:p>
        </w:tc>
        <w:tc>
          <w:tcPr>
            <w:tcW w:w="10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auto" w:val="clear"/>
            <w:vAlign w:val="bottom"/>
          </w:tcPr>
          <w:p>
            <w:pPr>
              <w:pStyle w:val="TableContents"/>
              <w:spacing w:before="0" w:after="0"/>
              <w:ind w:left="0" w:right="0" w:hanging="0"/>
              <w:rPr/>
            </w:pPr>
            <w:r>
              <w:rPr/>
              <w:t> </w:t>
            </w:r>
          </w:p>
        </w:tc>
        <w:tc>
          <w:tcPr>
            <w:tcW w:w="10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3" w:type="dxa"/>
            <w:tcBorders/>
            <w:shd w:fill="auto" w:val="clear"/>
            <w:vAlign w:val="bottom"/>
          </w:tcPr>
          <w:p>
            <w:pPr>
              <w:pStyle w:val="TableContents"/>
              <w:spacing w:before="0" w:after="0"/>
              <w:ind w:left="0" w:right="0" w:hanging="0"/>
              <w:rPr/>
            </w:pPr>
            <w:r>
              <w:rPr/>
              <w:t> </w:t>
            </w:r>
          </w:p>
        </w:tc>
      </w:tr>
      <w:tr>
        <w:trPr/>
        <w:tc>
          <w:tcPr>
            <w:tcW w:w="5015" w:type="dxa"/>
            <w:tcBorders/>
            <w:shd w:fill="CCEEFF" w:val="clear"/>
            <w:vAlign w:val="center"/>
          </w:tcPr>
          <w:p>
            <w:pPr>
              <w:pStyle w:val="TableContents"/>
              <w:spacing w:before="0" w:after="0"/>
              <w:ind w:left="0" w:right="0" w:hanging="0"/>
              <w:rPr/>
            </w:pPr>
            <w:r>
              <w:rPr>
                <w:rFonts w:ascii="Times New Roman" w:hAnsi="Times New Roman"/>
                <w:sz w:val="17"/>
              </w:rPr>
              <w:t>Distributions to noncontrolling interests</w:t>
            </w:r>
            <w:r>
              <w:rPr/>
              <w:t xml:space="preserve"> </w:t>
            </w:r>
            <w:r>
              <w:rPr>
                <w:sz w:val="11"/>
              </w:rPr>
              <w:t>(1)</w:t>
            </w:r>
          </w:p>
        </w:tc>
        <w:tc>
          <w:tcPr>
            <w:tcW w:w="204"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4" w:type="dxa"/>
            <w:tcBorders/>
            <w:shd w:fill="auto" w:val="clear"/>
            <w:vAlign w:val="bottom"/>
          </w:tcPr>
          <w:p>
            <w:pPr>
              <w:pStyle w:val="TableContents"/>
              <w:spacing w:before="0" w:after="0"/>
              <w:ind w:left="0" w:right="0" w:hanging="0"/>
              <w:rPr/>
            </w:pPr>
            <w:r>
              <w:rPr/>
              <w:t> </w:t>
            </w:r>
          </w:p>
        </w:tc>
        <w:tc>
          <w:tcPr>
            <w:tcW w:w="10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8" w:type="dxa"/>
            <w:tcBorders/>
            <w:shd w:fill="auto" w:val="clear"/>
            <w:vAlign w:val="bottom"/>
          </w:tcPr>
          <w:p>
            <w:pPr>
              <w:pStyle w:val="TableContents"/>
              <w:spacing w:before="0" w:after="0"/>
              <w:ind w:left="0" w:right="0" w:hanging="0"/>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auto" w:val="clear"/>
            <w:vAlign w:val="bottom"/>
          </w:tcPr>
          <w:p>
            <w:pPr>
              <w:pStyle w:val="TableContents"/>
              <w:spacing w:before="0" w:after="0"/>
              <w:ind w:left="0" w:right="0" w:hanging="0"/>
              <w:rPr/>
            </w:pPr>
            <w:r>
              <w:rPr/>
              <w:t> </w:t>
            </w:r>
          </w:p>
        </w:tc>
        <w:tc>
          <w:tcPr>
            <w:tcW w:w="10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0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04"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28"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213"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214"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w:t>
            </w:r>
          </w:p>
        </w:tc>
        <w:tc>
          <w:tcPr>
            <w:tcW w:w="13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 xml:space="preserve">(1)       </w:t>
      </w:r>
      <w:r>
        <w:rPr>
          <w:rFonts w:ascii="Times New Roman" w:hAnsi="Times New Roman"/>
          <w:sz w:val="17"/>
        </w:rPr>
        <w:t>Includes distributions that pertain to the current quarters net income and are to be paid in the subsequent quarter.</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17"/>
        <w:gridCol w:w="205"/>
        <w:gridCol w:w="157"/>
        <w:gridCol w:w="896"/>
        <w:gridCol w:w="228"/>
        <w:gridCol w:w="157"/>
        <w:gridCol w:w="898"/>
        <w:gridCol w:w="213"/>
        <w:gridCol w:w="137"/>
        <w:gridCol w:w="906"/>
        <w:gridCol w:w="214"/>
        <w:gridCol w:w="136"/>
        <w:gridCol w:w="907"/>
        <w:gridCol w:w="134"/>
      </w:tblGrid>
      <w:tr>
        <w:trPr/>
        <w:tc>
          <w:tcPr>
            <w:tcW w:w="501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33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3" w:type="dxa"/>
            <w:tcBorders/>
            <w:shd w:fill="auto" w:val="clear"/>
            <w:vAlign w:val="bottom"/>
          </w:tcPr>
          <w:p>
            <w:pPr>
              <w:pStyle w:val="TableContents"/>
              <w:spacing w:before="0" w:after="0"/>
              <w:ind w:left="0" w:right="0" w:hanging="0"/>
              <w:jc w:val="center"/>
              <w:rPr/>
            </w:pPr>
            <w:r>
              <w:rPr/>
              <w:t> </w:t>
            </w:r>
          </w:p>
        </w:tc>
        <w:tc>
          <w:tcPr>
            <w:tcW w:w="230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4" w:type="dxa"/>
            <w:tcBorders/>
            <w:shd w:fill="auto" w:val="clear"/>
            <w:vAlign w:val="bottom"/>
          </w:tcPr>
          <w:p>
            <w:pPr>
              <w:pStyle w:val="TableContents"/>
              <w:spacing w:before="0" w:after="0"/>
              <w:ind w:left="0" w:right="0" w:hanging="0"/>
              <w:jc w:val="center"/>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33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3" w:type="dxa"/>
            <w:tcBorders/>
            <w:shd w:fill="auto" w:val="clear"/>
            <w:vAlign w:val="bottom"/>
          </w:tcPr>
          <w:p>
            <w:pPr>
              <w:pStyle w:val="TableContents"/>
              <w:spacing w:before="0" w:after="0"/>
              <w:ind w:left="0" w:right="0" w:hanging="0"/>
              <w:jc w:val="center"/>
              <w:rPr/>
            </w:pPr>
            <w:r>
              <w:rPr/>
              <w:t> </w:t>
            </w:r>
          </w:p>
        </w:tc>
        <w:tc>
          <w:tcPr>
            <w:tcW w:w="230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4" w:type="dxa"/>
            <w:tcBorders/>
            <w:shd w:fill="auto" w:val="clear"/>
            <w:vAlign w:val="bottom"/>
          </w:tcPr>
          <w:p>
            <w:pPr>
              <w:pStyle w:val="TableContents"/>
              <w:spacing w:before="0" w:after="0"/>
              <w:ind w:left="0" w:right="0" w:hanging="0"/>
              <w:jc w:val="center"/>
              <w:rPr/>
            </w:pPr>
            <w:r>
              <w:rPr/>
              <w:t> </w:t>
            </w:r>
          </w:p>
        </w:tc>
      </w:tr>
      <w:tr>
        <w:trPr/>
        <w:tc>
          <w:tcPr>
            <w:tcW w:w="501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3" w:type="dxa"/>
            <w:tcBorders/>
            <w:shd w:fill="auto" w:val="clear"/>
            <w:vAlign w:val="bottom"/>
          </w:tcPr>
          <w:p>
            <w:pPr>
              <w:pStyle w:val="TableContents"/>
              <w:spacing w:before="0" w:after="0"/>
              <w:ind w:left="0" w:right="0" w:hanging="0"/>
              <w:jc w:val="center"/>
              <w:rPr/>
            </w:pPr>
            <w:r>
              <w:rPr/>
              <w:t> </w:t>
            </w:r>
          </w:p>
        </w:tc>
        <w:tc>
          <w:tcPr>
            <w:tcW w:w="10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4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4" w:type="dxa"/>
            <w:tcBorders/>
            <w:shd w:fill="auto" w:val="clear"/>
            <w:vAlign w:val="bottom"/>
          </w:tcPr>
          <w:p>
            <w:pPr>
              <w:pStyle w:val="TableContents"/>
              <w:spacing w:before="0" w:after="0"/>
              <w:ind w:left="0" w:right="0" w:hanging="0"/>
              <w:jc w:val="center"/>
              <w:rPr/>
            </w:pPr>
            <w:r>
              <w:rPr/>
              <w:t> </w:t>
            </w:r>
          </w:p>
        </w:tc>
      </w:tr>
      <w:tr>
        <w:trPr/>
        <w:tc>
          <w:tcPr>
            <w:tcW w:w="5017"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0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055"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043"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043"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5"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228"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213"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w:t>
            </w:r>
          </w:p>
        </w:tc>
        <w:tc>
          <w:tcPr>
            <w:tcW w:w="214"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1,115</w:t>
            </w:r>
          </w:p>
        </w:tc>
        <w:tc>
          <w:tcPr>
            <w:tcW w:w="134"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0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5"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0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28" w:type="dxa"/>
            <w:tcBorders/>
            <w:shd w:fill="CCEEFF" w:val="clear"/>
            <w:vAlign w:val="bottom"/>
          </w:tcPr>
          <w:p>
            <w:pPr>
              <w:pStyle w:val="TableContents"/>
              <w:spacing w:before="0" w:after="0"/>
              <w:ind w:left="0" w:right="0" w:hanging="0"/>
              <w:rPr/>
            </w:pPr>
            <w:r>
              <w:rPr/>
              <w:t> </w:t>
            </w:r>
          </w:p>
        </w:tc>
        <w:tc>
          <w:tcPr>
            <w:tcW w:w="10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213" w:type="dxa"/>
            <w:tcBorders/>
            <w:shd w:fill="CCEEFF" w:val="clear"/>
            <w:vAlign w:val="bottom"/>
          </w:tcPr>
          <w:p>
            <w:pPr>
              <w:pStyle w:val="TableContents"/>
              <w:spacing w:before="0" w:after="0"/>
              <w:ind w:left="0" w:right="0" w:hanging="0"/>
              <w:rPr/>
            </w:pPr>
            <w:r>
              <w:rPr/>
              <w:t> </w:t>
            </w:r>
          </w:p>
        </w:tc>
        <w:tc>
          <w:tcPr>
            <w:tcW w:w="10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796</w:t>
            </w:r>
          </w:p>
        </w:tc>
        <w:tc>
          <w:tcPr>
            <w:tcW w:w="134"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05"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1055"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043"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043"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501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05" w:type="dxa"/>
            <w:tcBorders/>
            <w:shd w:fill="CCEEFF" w:val="clear"/>
            <w:vAlign w:val="bottom"/>
          </w:tcPr>
          <w:p>
            <w:pPr>
              <w:pStyle w:val="TableContents"/>
              <w:spacing w:before="0" w:after="0"/>
              <w:ind w:left="0" w:right="0" w:hanging="0"/>
              <w:rPr/>
            </w:pPr>
            <w:r>
              <w:rPr/>
              <w:t> </w:t>
            </w:r>
          </w:p>
        </w:tc>
        <w:tc>
          <w:tcPr>
            <w:tcW w:w="10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8" w:type="dxa"/>
            <w:tcBorders/>
            <w:shd w:fill="CCEEFF" w:val="clear"/>
            <w:vAlign w:val="bottom"/>
          </w:tcPr>
          <w:p>
            <w:pPr>
              <w:pStyle w:val="TableContents"/>
              <w:spacing w:before="0" w:after="0"/>
              <w:ind w:left="0" w:right="0" w:hanging="0"/>
              <w:rPr/>
            </w:pPr>
            <w:r>
              <w:rPr/>
              <w:t> </w:t>
            </w:r>
          </w:p>
        </w:tc>
        <w:tc>
          <w:tcPr>
            <w:tcW w:w="10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3" w:type="dxa"/>
            <w:tcBorders/>
            <w:shd w:fill="CCEEFF" w:val="clear"/>
            <w:vAlign w:val="bottom"/>
          </w:tcPr>
          <w:p>
            <w:pPr>
              <w:pStyle w:val="TableContents"/>
              <w:spacing w:before="0" w:after="0"/>
              <w:ind w:left="0" w:right="0" w:hanging="0"/>
              <w:rPr/>
            </w:pPr>
            <w:r>
              <w:rPr/>
              <w:t> </w:t>
            </w:r>
          </w:p>
        </w:tc>
        <w:tc>
          <w:tcPr>
            <w:tcW w:w="10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4" w:type="dxa"/>
            <w:tcBorders/>
            <w:shd w:fill="CCEEFF" w:val="clear"/>
            <w:vAlign w:val="bottom"/>
          </w:tcPr>
          <w:p>
            <w:pPr>
              <w:pStyle w:val="TableContents"/>
              <w:spacing w:before="0" w:after="0"/>
              <w:ind w:left="0" w:right="0" w:hanging="0"/>
              <w:rPr/>
            </w:pPr>
            <w:r>
              <w:rPr/>
              <w:t> </w:t>
            </w:r>
          </w:p>
        </w:tc>
        <w:tc>
          <w:tcPr>
            <w:tcW w:w="10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34" w:type="dxa"/>
            <w:tcBorders/>
            <w:shd w:fill="CCEEFF" w:val="clear"/>
            <w:vAlign w:val="bottom"/>
          </w:tcPr>
          <w:p>
            <w:pPr>
              <w:pStyle w:val="TableContents"/>
              <w:spacing w:before="0" w:after="0"/>
              <w:ind w:left="0" w:right="0" w:hanging="0"/>
              <w:rPr/>
            </w:pPr>
            <w:r>
              <w:rPr/>
              <w:t> </w:t>
            </w:r>
          </w:p>
        </w:tc>
      </w:tr>
      <w:tr>
        <w:trPr/>
        <w:tc>
          <w:tcPr>
            <w:tcW w:w="5017"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05"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w:t>
            </w:r>
          </w:p>
        </w:tc>
        <w:tc>
          <w:tcPr>
            <w:tcW w:w="228"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780</w:t>
            </w:r>
          </w:p>
        </w:tc>
        <w:tc>
          <w:tcPr>
            <w:tcW w:w="213"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880</w:t>
            </w:r>
          </w:p>
        </w:tc>
        <w:tc>
          <w:tcPr>
            <w:tcW w:w="214"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1,752</w:t>
            </w:r>
          </w:p>
        </w:tc>
        <w:tc>
          <w:tcPr>
            <w:tcW w:w="13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jc w:val="center"/>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13</w:t>
      </w:r>
      <w:bookmarkStart w:id="26" w:name="PB_13_192719_8146"/>
      <w:bookmarkEnd w:id="26"/>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FINANCIAL DATA RECONCILIATIONS</w:t>
      </w:r>
      <w:r>
        <w:rPr>
          <w:rFonts w:ascii="Times New Roman" w:hAnsi="Times New Roman"/>
        </w:rPr>
        <w:t xml:space="preserve"> </w:t>
      </w:r>
      <w:r>
        <w:rPr>
          <w:rFonts w:ascii="Times New Roman" w:hAnsi="Times New Roman"/>
          <w:b/>
          <w:sz w:val="11"/>
        </w:rPr>
        <w:t>(1)</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 (continued)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7"/>
        <w:gridCol w:w="211"/>
        <w:gridCol w:w="143"/>
        <w:gridCol w:w="910"/>
        <w:gridCol w:w="225"/>
        <w:gridCol w:w="143"/>
        <w:gridCol w:w="911"/>
        <w:gridCol w:w="218"/>
        <w:gridCol w:w="140"/>
        <w:gridCol w:w="901"/>
        <w:gridCol w:w="223"/>
        <w:gridCol w:w="140"/>
        <w:gridCol w:w="902"/>
        <w:gridCol w:w="131"/>
      </w:tblGrid>
      <w:tr>
        <w:trPr/>
        <w:tc>
          <w:tcPr>
            <w:tcW w:w="50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33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8" w:type="dxa"/>
            <w:tcBorders/>
            <w:shd w:fill="auto" w:val="clear"/>
            <w:vAlign w:val="bottom"/>
          </w:tcPr>
          <w:p>
            <w:pPr>
              <w:pStyle w:val="TableContents"/>
              <w:spacing w:before="0" w:after="0"/>
              <w:ind w:left="0" w:right="0" w:hanging="0"/>
              <w:jc w:val="center"/>
              <w:rPr/>
            </w:pPr>
            <w:r>
              <w:rPr/>
              <w:t> </w:t>
            </w:r>
          </w:p>
        </w:tc>
        <w:tc>
          <w:tcPr>
            <w:tcW w:w="230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1" w:type="dxa"/>
            <w:tcBorders/>
            <w:shd w:fill="auto" w:val="clear"/>
            <w:vAlign w:val="bottom"/>
          </w:tcPr>
          <w:p>
            <w:pPr>
              <w:pStyle w:val="TableContents"/>
              <w:spacing w:before="0" w:after="0"/>
              <w:ind w:left="0" w:right="0" w:hanging="0"/>
              <w:jc w:val="center"/>
              <w:rPr/>
            </w:pPr>
            <w:r>
              <w:rPr/>
              <w:t> </w:t>
            </w:r>
          </w:p>
        </w:tc>
      </w:tr>
      <w:tr>
        <w:trPr/>
        <w:tc>
          <w:tcPr>
            <w:tcW w:w="50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33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8" w:type="dxa"/>
            <w:tcBorders/>
            <w:shd w:fill="auto" w:val="clear"/>
            <w:vAlign w:val="bottom"/>
          </w:tcPr>
          <w:p>
            <w:pPr>
              <w:pStyle w:val="TableContents"/>
              <w:spacing w:before="0" w:after="0"/>
              <w:ind w:left="0" w:right="0" w:hanging="0"/>
              <w:jc w:val="center"/>
              <w:rPr/>
            </w:pPr>
            <w:r>
              <w:rPr/>
              <w:t> </w:t>
            </w:r>
          </w:p>
        </w:tc>
        <w:tc>
          <w:tcPr>
            <w:tcW w:w="230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1" w:type="dxa"/>
            <w:tcBorders/>
            <w:shd w:fill="auto" w:val="clear"/>
            <w:vAlign w:val="bottom"/>
          </w:tcPr>
          <w:p>
            <w:pPr>
              <w:pStyle w:val="TableContents"/>
              <w:spacing w:before="0" w:after="0"/>
              <w:ind w:left="0" w:right="0" w:hanging="0"/>
              <w:jc w:val="center"/>
              <w:rPr/>
            </w:pPr>
            <w:r>
              <w:rPr/>
              <w:t> </w:t>
            </w:r>
          </w:p>
        </w:tc>
      </w:tr>
      <w:tr>
        <w:trPr/>
        <w:tc>
          <w:tcPr>
            <w:tcW w:w="50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8" w:type="dxa"/>
            <w:tcBorders/>
            <w:shd w:fill="auto" w:val="clear"/>
            <w:vAlign w:val="bottom"/>
          </w:tcPr>
          <w:p>
            <w:pPr>
              <w:pStyle w:val="TableContents"/>
              <w:spacing w:before="0" w:after="0"/>
              <w:ind w:left="0" w:right="0" w:hanging="0"/>
              <w:jc w:val="center"/>
              <w:rPr/>
            </w:pPr>
            <w:r>
              <w:rPr/>
              <w:t> </w:t>
            </w:r>
          </w:p>
        </w:tc>
        <w:tc>
          <w:tcPr>
            <w:tcW w:w="10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4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1" w:type="dxa"/>
            <w:tcBorders/>
            <w:shd w:fill="auto" w:val="clear"/>
            <w:vAlign w:val="bottom"/>
          </w:tcPr>
          <w:p>
            <w:pPr>
              <w:pStyle w:val="TableContents"/>
              <w:spacing w:before="0" w:after="0"/>
              <w:ind w:left="0" w:right="0" w:hanging="0"/>
              <w:jc w:val="center"/>
              <w:rPr/>
            </w:pPr>
            <w:r>
              <w:rPr/>
              <w:t> </w:t>
            </w:r>
          </w:p>
        </w:tc>
      </w:tr>
      <w:tr>
        <w:trPr/>
        <w:tc>
          <w:tcPr>
            <w:tcW w:w="500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Adjusted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50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25"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8"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223"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131" w:type="dxa"/>
            <w:tcBorders/>
            <w:shd w:fill="auto" w:val="clear"/>
            <w:vAlign w:val="bottom"/>
          </w:tcPr>
          <w:p>
            <w:pPr>
              <w:pStyle w:val="TableContents"/>
              <w:spacing w:before="0" w:after="0"/>
              <w:ind w:left="0" w:right="0" w:hanging="0"/>
              <w:rPr/>
            </w:pPr>
            <w:r>
              <w:rPr/>
              <w:t> </w:t>
            </w:r>
          </w:p>
        </w:tc>
      </w:tr>
      <w:tr>
        <w:trPr/>
        <w:tc>
          <w:tcPr>
            <w:tcW w:w="500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11" w:type="dxa"/>
            <w:tcBorders/>
            <w:shd w:fill="CCEEFF" w:val="clear"/>
            <w:vAlign w:val="bottom"/>
          </w:tcPr>
          <w:p>
            <w:pPr>
              <w:pStyle w:val="TableContents"/>
              <w:spacing w:before="0" w:after="0"/>
              <w:ind w:left="0" w:right="0" w:hanging="0"/>
              <w:rPr/>
            </w:pPr>
            <w:r>
              <w:rPr/>
              <w:t> </w:t>
            </w:r>
          </w:p>
        </w:tc>
        <w:tc>
          <w:tcPr>
            <w:tcW w:w="10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25" w:type="dxa"/>
            <w:tcBorders/>
            <w:shd w:fill="CCEEFF" w:val="clear"/>
            <w:vAlign w:val="bottom"/>
          </w:tcPr>
          <w:p>
            <w:pPr>
              <w:pStyle w:val="TableContents"/>
              <w:spacing w:before="0" w:after="0"/>
              <w:ind w:left="0" w:right="0" w:hanging="0"/>
              <w:rPr/>
            </w:pPr>
            <w:r>
              <w:rPr/>
              <w:t> </w:t>
            </w:r>
          </w:p>
        </w:tc>
        <w:tc>
          <w:tcPr>
            <w:tcW w:w="10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23" w:type="dxa"/>
            <w:tcBorders/>
            <w:shd w:fill="CCEEFF" w:val="clear"/>
            <w:vAlign w:val="bottom"/>
          </w:tcPr>
          <w:p>
            <w:pPr>
              <w:pStyle w:val="TableContents"/>
              <w:spacing w:before="0" w:after="0"/>
              <w:ind w:left="0" w:right="0" w:hanging="0"/>
              <w:rPr/>
            </w:pPr>
            <w:r>
              <w:rPr/>
              <w:t> </w:t>
            </w:r>
          </w:p>
        </w:tc>
        <w:tc>
          <w:tcPr>
            <w:tcW w:w="10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1" w:type="dxa"/>
            <w:tcBorders/>
            <w:shd w:fill="CCEEFF" w:val="clear"/>
            <w:vAlign w:val="bottom"/>
          </w:tcPr>
          <w:p>
            <w:pPr>
              <w:pStyle w:val="TableContents"/>
              <w:spacing w:before="0" w:after="0"/>
              <w:ind w:left="0" w:right="0" w:hanging="0"/>
              <w:rPr/>
            </w:pPr>
            <w:r>
              <w:rPr/>
              <w:t> </w:t>
            </w:r>
          </w:p>
        </w:tc>
      </w:tr>
      <w:tr>
        <w:trPr/>
        <w:tc>
          <w:tcPr>
            <w:tcW w:w="50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1"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25"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18"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985</w:t>
            </w:r>
          </w:p>
        </w:tc>
        <w:tc>
          <w:tcPr>
            <w:tcW w:w="223"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699</w:t>
            </w:r>
          </w:p>
        </w:tc>
        <w:tc>
          <w:tcPr>
            <w:tcW w:w="131" w:type="dxa"/>
            <w:tcBorders/>
            <w:shd w:fill="auto" w:val="clear"/>
            <w:vAlign w:val="bottom"/>
          </w:tcPr>
          <w:p>
            <w:pPr>
              <w:pStyle w:val="TableContents"/>
              <w:spacing w:before="0" w:after="0"/>
              <w:ind w:left="0" w:right="0" w:hanging="0"/>
              <w:rPr/>
            </w:pPr>
            <w:r>
              <w:rPr/>
              <w:t> </w:t>
            </w:r>
          </w:p>
        </w:tc>
      </w:tr>
      <w:tr>
        <w:trPr/>
        <w:tc>
          <w:tcPr>
            <w:tcW w:w="5007"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(2)</w:t>
            </w:r>
          </w:p>
        </w:tc>
        <w:tc>
          <w:tcPr>
            <w:tcW w:w="211"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07"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(2)</w:t>
            </w:r>
          </w:p>
        </w:tc>
        <w:tc>
          <w:tcPr>
            <w:tcW w:w="211" w:type="dxa"/>
            <w:tcBorders/>
            <w:shd w:fill="auto" w:val="clear"/>
            <w:vAlign w:val="bottom"/>
          </w:tcPr>
          <w:p>
            <w:pPr>
              <w:pStyle w:val="TableContents"/>
              <w:spacing w:before="0" w:after="0"/>
              <w:ind w:left="0" w:right="0" w:hanging="0"/>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available to limited partners</w:t>
            </w:r>
          </w:p>
        </w:tc>
        <w:tc>
          <w:tcPr>
            <w:tcW w:w="211"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w:t>
            </w:r>
          </w:p>
        </w:tc>
        <w:tc>
          <w:tcPr>
            <w:tcW w:w="225"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18"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761</w:t>
            </w:r>
          </w:p>
        </w:tc>
        <w:tc>
          <w:tcPr>
            <w:tcW w:w="223"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131" w:type="dxa"/>
            <w:tcBorders/>
            <w:shd w:fill="CCEEFF" w:val="clear"/>
            <w:vAlign w:val="bottom"/>
          </w:tcPr>
          <w:p>
            <w:pPr>
              <w:pStyle w:val="TableContents"/>
              <w:spacing w:before="0" w:after="0"/>
              <w:ind w:left="0" w:right="0" w:hanging="0"/>
              <w:rPr/>
            </w:pPr>
            <w:r>
              <w:rPr/>
              <w:t> </w:t>
            </w:r>
          </w:p>
        </w:tc>
      </w:tr>
      <w:tr>
        <w:trPr/>
        <w:tc>
          <w:tcPr>
            <w:tcW w:w="5007"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(2)</w:t>
            </w:r>
          </w:p>
        </w:tc>
        <w:tc>
          <w:tcPr>
            <w:tcW w:w="211" w:type="dxa"/>
            <w:tcBorders/>
            <w:shd w:fill="auto" w:val="clear"/>
            <w:vAlign w:val="bottom"/>
          </w:tcPr>
          <w:p>
            <w:pPr>
              <w:pStyle w:val="TableContents"/>
              <w:spacing w:before="0" w:after="0"/>
              <w:ind w:left="0" w:right="0" w:hanging="0"/>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0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auto" w:val="clear"/>
            <w:vAlign w:val="bottom"/>
          </w:tcPr>
          <w:p>
            <w:pPr>
              <w:pStyle w:val="TableContents"/>
              <w:spacing w:before="0" w:after="0"/>
              <w:ind w:left="0" w:right="0" w:hanging="0"/>
              <w:rPr/>
            </w:pPr>
            <w:r>
              <w:rPr/>
              <w:t> </w:t>
            </w:r>
          </w:p>
        </w:tc>
      </w:tr>
      <w:tr>
        <w:trPr/>
        <w:tc>
          <w:tcPr>
            <w:tcW w:w="50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1"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25"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18"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756</w:t>
            </w:r>
          </w:p>
        </w:tc>
        <w:tc>
          <w:tcPr>
            <w:tcW w:w="223"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131" w:type="dxa"/>
            <w:tcBorders/>
            <w:shd w:fill="CCEEFF" w:val="clear"/>
            <w:vAlign w:val="bottom"/>
          </w:tcPr>
          <w:p>
            <w:pPr>
              <w:pStyle w:val="TableContents"/>
              <w:spacing w:before="0" w:after="0"/>
              <w:ind w:left="0" w:right="0" w:hanging="0"/>
              <w:rPr/>
            </w:pPr>
            <w:r>
              <w:rPr/>
              <w:t> </w:t>
            </w:r>
          </w:p>
        </w:tc>
      </w:tr>
      <w:tr>
        <w:trPr/>
        <w:tc>
          <w:tcPr>
            <w:tcW w:w="50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25"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218"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23"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131" w:type="dxa"/>
            <w:tcBorders/>
            <w:shd w:fill="CCEEFF" w:val="clear"/>
            <w:vAlign w:val="bottom"/>
          </w:tcPr>
          <w:p>
            <w:pPr>
              <w:pStyle w:val="TableContents"/>
              <w:spacing w:before="0" w:after="0"/>
              <w:ind w:left="0" w:right="0" w:hanging="0"/>
              <w:rPr/>
            </w:pPr>
            <w:r>
              <w:rPr/>
              <w:t> </w:t>
            </w:r>
          </w:p>
        </w:tc>
      </w:tr>
      <w:tr>
        <w:trPr/>
        <w:tc>
          <w:tcPr>
            <w:tcW w:w="50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adjusted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0.73</w:t>
            </w:r>
          </w:p>
        </w:tc>
        <w:tc>
          <w:tcPr>
            <w:tcW w:w="225"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0.72</w:t>
            </w:r>
          </w:p>
        </w:tc>
        <w:tc>
          <w:tcPr>
            <w:tcW w:w="218"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23"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31" w:type="dxa"/>
            <w:tcBorders/>
            <w:shd w:fill="CCEEFF" w:val="clear"/>
            <w:vAlign w:val="bottom"/>
          </w:tcPr>
          <w:p>
            <w:pPr>
              <w:pStyle w:val="TableContents"/>
              <w:spacing w:before="0" w:after="0"/>
              <w:ind w:left="0" w:right="0" w:hanging="0"/>
              <w:rPr/>
            </w:pPr>
            <w:r>
              <w:rPr/>
              <w:t> </w:t>
            </w:r>
          </w:p>
        </w:tc>
      </w:tr>
      <w:tr>
        <w:trPr/>
        <w:tc>
          <w:tcPr>
            <w:tcW w:w="50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0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50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25"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8"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223"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131" w:type="dxa"/>
            <w:tcBorders/>
            <w:shd w:fill="auto" w:val="clear"/>
            <w:vAlign w:val="bottom"/>
          </w:tcPr>
          <w:p>
            <w:pPr>
              <w:pStyle w:val="TableContents"/>
              <w:spacing w:before="0" w:after="0"/>
              <w:ind w:left="0" w:right="0" w:hanging="0"/>
              <w:rPr/>
            </w:pPr>
            <w:r>
              <w:rPr/>
              <w:t> </w:t>
            </w:r>
          </w:p>
        </w:tc>
      </w:tr>
      <w:tr>
        <w:trPr/>
        <w:tc>
          <w:tcPr>
            <w:tcW w:w="5007"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11" w:type="dxa"/>
            <w:tcBorders/>
            <w:shd w:fill="CCEEFF" w:val="clear"/>
            <w:vAlign w:val="bottom"/>
          </w:tcPr>
          <w:p>
            <w:pPr>
              <w:pStyle w:val="TableContents"/>
              <w:spacing w:before="0" w:after="0"/>
              <w:ind w:left="0" w:right="0" w:hanging="0"/>
              <w:rPr/>
            </w:pPr>
            <w:r>
              <w:rPr/>
              <w:t> </w:t>
            </w:r>
          </w:p>
        </w:tc>
        <w:tc>
          <w:tcPr>
            <w:tcW w:w="105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25" w:type="dxa"/>
            <w:tcBorders/>
            <w:shd w:fill="CCEEFF" w:val="clear"/>
            <w:vAlign w:val="bottom"/>
          </w:tcPr>
          <w:p>
            <w:pPr>
              <w:pStyle w:val="TableContents"/>
              <w:spacing w:before="0" w:after="0"/>
              <w:ind w:left="0" w:right="0" w:hanging="0"/>
              <w:rPr/>
            </w:pPr>
            <w:r>
              <w:rPr/>
              <w:t> </w:t>
            </w:r>
          </w:p>
        </w:tc>
        <w:tc>
          <w:tcPr>
            <w:tcW w:w="10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23" w:type="dxa"/>
            <w:tcBorders/>
            <w:shd w:fill="CCEEFF" w:val="clear"/>
            <w:vAlign w:val="bottom"/>
          </w:tcPr>
          <w:p>
            <w:pPr>
              <w:pStyle w:val="TableContents"/>
              <w:spacing w:before="0" w:after="0"/>
              <w:ind w:left="0" w:right="0" w:hanging="0"/>
              <w:rPr/>
            </w:pPr>
            <w:r>
              <w:rPr/>
              <w:t> </w:t>
            </w:r>
          </w:p>
        </w:tc>
        <w:tc>
          <w:tcPr>
            <w:tcW w:w="10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1" w:type="dxa"/>
            <w:tcBorders/>
            <w:shd w:fill="CCEEFF" w:val="clear"/>
            <w:vAlign w:val="bottom"/>
          </w:tcPr>
          <w:p>
            <w:pPr>
              <w:pStyle w:val="TableContents"/>
              <w:spacing w:before="0" w:after="0"/>
              <w:ind w:left="0" w:right="0" w:hanging="0"/>
              <w:rPr/>
            </w:pPr>
            <w:r>
              <w:rPr/>
              <w:t> </w:t>
            </w:r>
          </w:p>
        </w:tc>
      </w:tr>
      <w:tr>
        <w:trPr/>
        <w:tc>
          <w:tcPr>
            <w:tcW w:w="50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1"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25"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18"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985</w:t>
            </w:r>
          </w:p>
        </w:tc>
        <w:tc>
          <w:tcPr>
            <w:tcW w:w="223"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699</w:t>
            </w:r>
          </w:p>
        </w:tc>
        <w:tc>
          <w:tcPr>
            <w:tcW w:w="131" w:type="dxa"/>
            <w:tcBorders/>
            <w:shd w:fill="auto" w:val="clear"/>
            <w:vAlign w:val="bottom"/>
          </w:tcPr>
          <w:p>
            <w:pPr>
              <w:pStyle w:val="TableContents"/>
              <w:spacing w:before="0" w:after="0"/>
              <w:ind w:left="0" w:right="0" w:hanging="0"/>
              <w:rPr/>
            </w:pPr>
            <w:r>
              <w:rPr/>
              <w:t> </w:t>
            </w:r>
          </w:p>
        </w:tc>
      </w:tr>
      <w:tr>
        <w:trPr/>
        <w:tc>
          <w:tcPr>
            <w:tcW w:w="5007"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(2)</w:t>
            </w:r>
          </w:p>
        </w:tc>
        <w:tc>
          <w:tcPr>
            <w:tcW w:w="211"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07"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(2)</w:t>
            </w:r>
          </w:p>
        </w:tc>
        <w:tc>
          <w:tcPr>
            <w:tcW w:w="211" w:type="dxa"/>
            <w:tcBorders/>
            <w:shd w:fill="auto" w:val="clear"/>
            <w:vAlign w:val="bottom"/>
          </w:tcPr>
          <w:p>
            <w:pPr>
              <w:pStyle w:val="TableContents"/>
              <w:spacing w:before="0" w:after="0"/>
              <w:ind w:left="0" w:right="0" w:hanging="0"/>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available to limited partners</w:t>
            </w:r>
          </w:p>
        </w:tc>
        <w:tc>
          <w:tcPr>
            <w:tcW w:w="211"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w:t>
            </w:r>
          </w:p>
        </w:tc>
        <w:tc>
          <w:tcPr>
            <w:tcW w:w="225"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18"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761</w:t>
            </w:r>
          </w:p>
        </w:tc>
        <w:tc>
          <w:tcPr>
            <w:tcW w:w="223"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131" w:type="dxa"/>
            <w:tcBorders/>
            <w:shd w:fill="CCEEFF" w:val="clear"/>
            <w:vAlign w:val="bottom"/>
          </w:tcPr>
          <w:p>
            <w:pPr>
              <w:pStyle w:val="TableContents"/>
              <w:spacing w:before="0" w:after="0"/>
              <w:ind w:left="0" w:right="0" w:hanging="0"/>
              <w:rPr/>
            </w:pPr>
            <w:r>
              <w:rPr/>
              <w:t> </w:t>
            </w:r>
          </w:p>
        </w:tc>
      </w:tr>
      <w:tr>
        <w:trPr/>
        <w:tc>
          <w:tcPr>
            <w:tcW w:w="5007"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(2)</w:t>
            </w:r>
          </w:p>
        </w:tc>
        <w:tc>
          <w:tcPr>
            <w:tcW w:w="211" w:type="dxa"/>
            <w:tcBorders/>
            <w:shd w:fill="auto" w:val="clear"/>
            <w:vAlign w:val="bottom"/>
          </w:tcPr>
          <w:p>
            <w:pPr>
              <w:pStyle w:val="TableContents"/>
              <w:spacing w:before="0" w:after="0"/>
              <w:ind w:left="0" w:right="0" w:hanging="0"/>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0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auto" w:val="clear"/>
            <w:vAlign w:val="bottom"/>
          </w:tcPr>
          <w:p>
            <w:pPr>
              <w:pStyle w:val="TableContents"/>
              <w:spacing w:before="0" w:after="0"/>
              <w:ind w:left="0" w:right="0" w:hanging="0"/>
              <w:rPr/>
            </w:pPr>
            <w:r>
              <w:rPr/>
              <w:t> </w:t>
            </w:r>
          </w:p>
        </w:tc>
      </w:tr>
      <w:tr>
        <w:trPr/>
        <w:tc>
          <w:tcPr>
            <w:tcW w:w="50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1"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225"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18"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758</w:t>
            </w:r>
          </w:p>
        </w:tc>
        <w:tc>
          <w:tcPr>
            <w:tcW w:w="223"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131" w:type="dxa"/>
            <w:tcBorders/>
            <w:shd w:fill="CCEEFF" w:val="clear"/>
            <w:vAlign w:val="bottom"/>
          </w:tcPr>
          <w:p>
            <w:pPr>
              <w:pStyle w:val="TableContents"/>
              <w:spacing w:before="0" w:after="0"/>
              <w:ind w:left="0" w:right="0" w:hanging="0"/>
              <w:rPr/>
            </w:pPr>
            <w:r>
              <w:rPr/>
              <w:t> </w:t>
            </w:r>
          </w:p>
        </w:tc>
      </w:tr>
      <w:tr>
        <w:trPr/>
        <w:tc>
          <w:tcPr>
            <w:tcW w:w="50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25" w:type="dxa"/>
            <w:tcBorders/>
            <w:shd w:fill="CCEEFF" w:val="clear"/>
            <w:vAlign w:val="bottom"/>
          </w:tcPr>
          <w:p>
            <w:pPr>
              <w:pStyle w:val="TableContents"/>
              <w:spacing w:before="0" w:after="0"/>
              <w:ind w:left="0" w:right="0" w:hanging="0"/>
              <w:rPr/>
            </w:pPr>
            <w:r>
              <w:rPr/>
              <w:t> </w:t>
            </w:r>
          </w:p>
        </w:tc>
        <w:tc>
          <w:tcPr>
            <w:tcW w:w="10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8" w:type="dxa"/>
            <w:tcBorders/>
            <w:shd w:fill="CCEEFF" w:val="clear"/>
            <w:vAlign w:val="bottom"/>
          </w:tcPr>
          <w:p>
            <w:pPr>
              <w:pStyle w:val="TableContents"/>
              <w:spacing w:before="0" w:after="0"/>
              <w:ind w:left="0" w:right="0" w:hanging="0"/>
              <w:rPr/>
            </w:pPr>
            <w:r>
              <w:rPr/>
              <w:t> </w:t>
            </w:r>
          </w:p>
        </w:tc>
        <w:tc>
          <w:tcPr>
            <w:tcW w:w="10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23"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31" w:type="dxa"/>
            <w:tcBorders/>
            <w:shd w:fill="CCEEFF" w:val="clear"/>
            <w:vAlign w:val="bottom"/>
          </w:tcPr>
          <w:p>
            <w:pPr>
              <w:pStyle w:val="TableContents"/>
              <w:spacing w:before="0" w:after="0"/>
              <w:ind w:left="0" w:right="0" w:hanging="0"/>
              <w:rPr/>
            </w:pPr>
            <w:r>
              <w:rPr/>
              <w:t> </w:t>
            </w:r>
          </w:p>
        </w:tc>
      </w:tr>
      <w:tr>
        <w:trPr/>
        <w:tc>
          <w:tcPr>
            <w:tcW w:w="500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4"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41"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adjusted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0.73</w:t>
            </w:r>
          </w:p>
        </w:tc>
        <w:tc>
          <w:tcPr>
            <w:tcW w:w="225"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0.71</w:t>
            </w:r>
          </w:p>
        </w:tc>
        <w:tc>
          <w:tcPr>
            <w:tcW w:w="218"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23"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Unit and per-unit amounts are presented as adjusted for the two-for-one unit split effected on October 1, 2012.</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Contacts</w:t>
      </w:r>
      <w:r>
        <w:rPr>
          <w:rFonts w:ascii="Times New Roman" w:hAnsi="Times New Roman"/>
        </w:rPr>
        <w:t xml:space="preserve"> </w:t>
      </w:r>
      <w:r>
        <w:rPr>
          <w:rFonts w:ascii="Times New Roman" w:hAnsi="Times New Roman"/>
          <w:sz w:val="17"/>
        </w:rPr>
        <w: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561"/>
        <w:gridCol w:w="3749"/>
        <w:gridCol w:w="4895"/>
      </w:tblGrid>
      <w:tr>
        <w:trPr/>
        <w:tc>
          <w:tcPr>
            <w:tcW w:w="1561" w:type="dxa"/>
            <w:tcBorders/>
            <w:shd w:fill="auto" w:val="clear"/>
          </w:tcPr>
          <w:p>
            <w:pPr>
              <w:pStyle w:val="TableContents"/>
              <w:spacing w:before="0" w:after="0"/>
              <w:ind w:left="0" w:right="0" w:hanging="0"/>
              <w:rPr/>
            </w:pPr>
            <w:r>
              <w:rPr/>
              <w:t> </w:t>
            </w:r>
          </w:p>
        </w:tc>
        <w:tc>
          <w:tcPr>
            <w:tcW w:w="3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Roy I. Lamoreaux</w:t>
            </w:r>
          </w:p>
        </w:tc>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1561" w:type="dxa"/>
            <w:tcBorders/>
            <w:shd w:fill="auto" w:val="clear"/>
          </w:tcPr>
          <w:p>
            <w:pPr>
              <w:pStyle w:val="TableContents"/>
              <w:spacing w:before="0" w:after="0"/>
              <w:ind w:left="0" w:right="0" w:hanging="0"/>
              <w:rPr/>
            </w:pPr>
            <w:r>
              <w:rPr/>
              <w:t> </w:t>
            </w:r>
          </w:p>
        </w:tc>
        <w:tc>
          <w:tcPr>
            <w:tcW w:w="3749"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1561" w:type="dxa"/>
            <w:tcBorders/>
            <w:shd w:fill="auto" w:val="clear"/>
          </w:tcPr>
          <w:p>
            <w:pPr>
              <w:pStyle w:val="TableContents"/>
              <w:spacing w:before="0" w:after="0"/>
              <w:ind w:left="0" w:right="0" w:hanging="0"/>
              <w:rPr/>
            </w:pPr>
            <w:r>
              <w:rPr/>
              <w:t> </w:t>
            </w:r>
          </w:p>
        </w:tc>
        <w:tc>
          <w:tcPr>
            <w:tcW w:w="3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Investor Relations</w:t>
            </w:r>
          </w:p>
        </w:tc>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CFO</w:t>
            </w:r>
          </w:p>
        </w:tc>
      </w:tr>
      <w:tr>
        <w:trPr/>
        <w:tc>
          <w:tcPr>
            <w:tcW w:w="1561" w:type="dxa"/>
            <w:tcBorders/>
            <w:shd w:fill="auto" w:val="clear"/>
          </w:tcPr>
          <w:p>
            <w:pPr>
              <w:pStyle w:val="TableContents"/>
              <w:spacing w:before="0" w:after="0"/>
              <w:ind w:left="0" w:right="0" w:hanging="0"/>
              <w:rPr/>
            </w:pPr>
            <w:r>
              <w:rPr/>
              <w:t> </w:t>
            </w:r>
          </w:p>
        </w:tc>
        <w:tc>
          <w:tcPr>
            <w:tcW w:w="3749" w:type="dxa"/>
            <w:tcBorders/>
            <w:shd w:fill="auto" w:val="clear"/>
          </w:tcPr>
          <w:p>
            <w:pPr>
              <w:pStyle w:val="TableContents"/>
              <w:spacing w:before="0" w:after="0"/>
              <w:ind w:left="0" w:right="0" w:hanging="0"/>
              <w:rPr/>
            </w:pPr>
            <w:r>
              <w:rPr/>
              <w:t> </w:t>
            </w:r>
          </w:p>
        </w:tc>
        <w:tc>
          <w:tcPr>
            <w:tcW w:w="4895" w:type="dxa"/>
            <w:tcBorders/>
            <w:shd w:fill="auto" w:val="clear"/>
          </w:tcPr>
          <w:p>
            <w:pPr>
              <w:pStyle w:val="TableContents"/>
              <w:spacing w:before="0" w:after="0"/>
              <w:ind w:left="0" w:right="0" w:hanging="0"/>
              <w:rPr/>
            </w:pPr>
            <w:r>
              <w:rPr/>
              <w:t> </w:t>
            </w:r>
          </w:p>
        </w:tc>
      </w:tr>
      <w:tr>
        <w:trPr/>
        <w:tc>
          <w:tcPr>
            <w:tcW w:w="1561" w:type="dxa"/>
            <w:tcBorders/>
            <w:shd w:fill="auto" w:val="clear"/>
          </w:tcPr>
          <w:p>
            <w:pPr>
              <w:pStyle w:val="TableContents"/>
              <w:spacing w:before="0" w:after="0"/>
              <w:ind w:left="0" w:right="0" w:hanging="0"/>
              <w:rPr/>
            </w:pPr>
            <w:r>
              <w:rPr/>
              <w:t> </w:t>
            </w:r>
          </w:p>
        </w:tc>
        <w:tc>
          <w:tcPr>
            <w:tcW w:w="3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 646-4222  (800) 564-3036</w:t>
            </w:r>
          </w:p>
        </w:tc>
        <w:tc>
          <w:tcPr>
            <w:tcW w:w="48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(800) 564-3036</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10041</Words>
  <CharactersWithSpaces>64489</CharactersWithSpaces>
  <Paragraphs>4369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