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8, 2012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February 8, 2012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Plains All American Pipeline, L.P. (the “Partnership”) today issued a press release reporting its fourth-quarter and annual 2011 results. We are furnishing the press release, attached as Exhibit 99.1, pursuant to Item 2.02 and Item 7.01 of Form 8-K. Pursuant to Item 7.01, we are providing first-quarter and full year 2012 detailed guidance for financial performance.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First Quarter and Full Year 2012 Guidance</w:t>
      </w:r>
    </w:p>
    <w:p>
      <w:pPr>
        <w:spacing w:after="0" w:line="229"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10 below, we reconcile net income to EBIT and EBITDA for the 2012 guidance periods presented. Cash flow from operating activities is the other most comparable GAAP measure. We do not, however, reconcile cash flows from operating activities to EBIT and EBITDA, because such reconciliations are impractical for a forecasted period. We encourage you to visit our website at </w:t>
      </w:r>
      <w:r>
        <w:rPr>
          <w:rFonts w:ascii="Arial" w:cs="Arial" w:eastAsia="Arial" w:hAnsi="Arial"/>
          <w:sz w:val="16"/>
          <w:szCs w:val="16"/>
          <w:i w:val="1"/>
          <w:iCs w:val="1"/>
          <w:color w:val="auto"/>
        </w:rPr>
        <w:t xml:space="preserve">www.paalp.com </w:t>
      </w:r>
      <w:r>
        <w:rPr>
          <w:rFonts w:ascii="Arial" w:cs="Arial" w:eastAsia="Arial" w:hAnsi="Arial"/>
          <w:sz w:val="16"/>
          <w:szCs w:val="16"/>
          <w:color w:val="auto"/>
        </w:rPr>
        <w:t>(in particular the section entitled “Non-GAAP Reconciliations”), which presents a historical reconciliation of EBIT and EBITDA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commonly used non-GAAP financial measures. In addition, we have highlighted the impact of (i) equity compensation expense and</w:t>
      </w:r>
    </w:p>
    <w:p>
      <w:pPr>
        <w:spacing w:after="0" w:line="4" w:lineRule="exact"/>
        <w:rPr>
          <w:sz w:val="24"/>
          <w:szCs w:val="24"/>
          <w:color w:val="auto"/>
        </w:rPr>
      </w:pPr>
    </w:p>
    <w:p>
      <w:pPr>
        <w:ind w:right="20" w:firstLine="8"/>
        <w:spacing w:after="0" w:line="261"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 related expenses. Due to the nature of the selected items, certain of the selected items impacting comparability may impact certain non-GAAP financial measures but not impact other non-GAAP financial measures.</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line="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based our guidance for the three-month period ending March 31, 2012 and twelve-month period ending December 31, 2012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or LPG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February 7, 2012. We undertake no obligation to publicly update or revise any forward-looking statements.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 2011 PAA announced it had signed a definitive agreement to acquire BP’s Canadian NGL and LPG business (“BP NGL acquisition”). For purposes of preparing this guidance we have assumed that the acquisition closes on April 1, 2012 and thus we have included no benefit from the acquisition in our guidance for the three months ending March 31, 2012. The projections for the acquisition included in this document, including the segment and volume specific detail, are preliminary and may change or be refined after the acquisition closes.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 xml:space="preserve">Guidance </w:t>
            </w:r>
            <w:r>
              <w:rPr>
                <w:rFonts w:ascii="Arial" w:cs="Arial" w:eastAsia="Arial" w:hAnsi="Arial"/>
                <w:sz w:val="8"/>
                <w:szCs w:val="8"/>
                <w:b w:val="1"/>
                <w:bCs w:val="1"/>
                <w:color w:val="auto"/>
              </w:rPr>
              <w:t>(1)</w:t>
            </w: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80" w:type="dxa"/>
            <w:vAlign w:val="bottom"/>
            <w:gridSpan w:val="3"/>
          </w:tcPr>
          <w:p>
            <w:pPr>
              <w:jc w:val="right"/>
              <w:ind w:right="311"/>
              <w:spacing w:after="0" w:line="119" w:lineRule="exact"/>
              <w:rPr>
                <w:sz w:val="20"/>
                <w:szCs w:val="20"/>
                <w:color w:val="auto"/>
              </w:rPr>
            </w:pPr>
            <w:r>
              <w:rPr>
                <w:rFonts w:ascii="Arial" w:cs="Arial" w:eastAsia="Arial" w:hAnsi="Arial"/>
                <w:sz w:val="13"/>
                <w:szCs w:val="13"/>
                <w:b w:val="1"/>
                <w:bCs w:val="1"/>
                <w:color w:val="auto"/>
              </w:rPr>
              <w:t>3 Months Ending</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20" w:type="dxa"/>
            <w:vAlign w:val="bottom"/>
            <w:gridSpan w:val="5"/>
          </w:tcPr>
          <w:p>
            <w:pPr>
              <w:jc w:val="right"/>
              <w:ind w:right="611"/>
              <w:spacing w:after="0" w:line="119" w:lineRule="exact"/>
              <w:rPr>
                <w:sz w:val="20"/>
                <w:szCs w:val="20"/>
                <w:color w:val="auto"/>
              </w:rPr>
            </w:pPr>
            <w:r>
              <w:rPr>
                <w:rFonts w:ascii="Arial" w:cs="Arial" w:eastAsia="Arial" w:hAnsi="Arial"/>
                <w:sz w:val="13"/>
                <w:szCs w:val="13"/>
                <w:b w:val="1"/>
                <w:bCs w:val="1"/>
                <w:color w:val="auto"/>
              </w:rPr>
              <w:t>12 Months Ending</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March 31, 2012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December 31, 2012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Low</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Profit</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w w:val="94"/>
              </w:rPr>
              <w:t>Net revenues (including equity earnings from unconsolidated entities)</w:t>
            </w:r>
          </w:p>
        </w:tc>
        <w:tc>
          <w:tcPr>
            <w:tcW w:w="96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692</w:t>
            </w: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720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2,955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Field operating costs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(245)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3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Plains</w:t>
            </w:r>
          </w:p>
        </w:tc>
        <w:tc>
          <w:tcPr>
            <w:tcW w:w="22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3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3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line="216" w:lineRule="exact"/>
              <w:rPr>
                <w:sz w:val="20"/>
                <w:szCs w:val="20"/>
                <w:color w:val="auto"/>
              </w:rPr>
            </w:pPr>
            <w:r>
              <w:rPr>
                <w:rFonts w:ascii="Arial" w:cs="Arial" w:eastAsia="Arial" w:hAnsi="Arial"/>
                <w:sz w:val="18"/>
                <w:szCs w:val="18"/>
                <w:color w:val="auto"/>
              </w:rPr>
              <w:t xml:space="preserve">Net Income to Limited Partners </w:t>
            </w:r>
            <w:r>
              <w:rPr>
                <w:rFonts w:ascii="Arial" w:cs="Arial" w:eastAsia="Arial" w:hAnsi="Arial"/>
                <w:sz w:val="23"/>
                <w:szCs w:val="23"/>
                <w:color w:val="auto"/>
                <w:vertAlign w:val="superscript"/>
              </w:rPr>
              <w:t>(2)</w:t>
            </w:r>
          </w:p>
        </w:tc>
        <w:tc>
          <w:tcPr>
            <w:tcW w:w="96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780" w:type="dxa"/>
            <w:vAlign w:val="bottom"/>
          </w:tcPr>
          <w:p>
            <w:pPr>
              <w:jc w:val="right"/>
              <w:ind w:right="591"/>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Basic Net Income Per Limited Partner Unit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Weighted Average Units Outstanding</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7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Per Unit</w:t>
            </w:r>
          </w:p>
        </w:tc>
        <w:tc>
          <w:tcPr>
            <w:tcW w:w="9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0.98</w:t>
            </w: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1.28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Borders>
              <w:left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Net Income Per Limited Partner Unit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Weighted Average Units Outstanding</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7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Per Unit</w:t>
            </w:r>
          </w:p>
        </w:tc>
        <w:tc>
          <w:tcPr>
            <w:tcW w:w="9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0.97</w:t>
            </w: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6"/>
              </w:rPr>
              <w:t>1.27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w:t>
            </w:r>
          </w:p>
        </w:tc>
        <w:tc>
          <w:tcPr>
            <w:tcW w:w="9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300</w:t>
            </w: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362</w:t>
            </w:r>
          </w:p>
        </w:tc>
        <w:tc>
          <w:tcPr>
            <w:tcW w:w="300" w:type="dxa"/>
            <w:vAlign w:val="bottom"/>
            <w:vMerge w:val="continue"/>
          </w:tcPr>
          <w:p>
            <w:pPr>
              <w:spacing w:after="0"/>
              <w:rPr>
                <w:sz w:val="20"/>
                <w:szCs w:val="20"/>
                <w:color w:val="auto"/>
              </w:rPr>
            </w:pPr>
          </w:p>
        </w:tc>
        <w:tc>
          <w:tcPr>
            <w:tcW w:w="780" w:type="dxa"/>
            <w:vAlign w:val="bottom"/>
            <w:tcBorders>
              <w:bottom w:val="single" w:sz="8" w:color="auto"/>
            </w:tcBorders>
          </w:tcPr>
          <w:p>
            <w:pPr>
              <w:jc w:val="right"/>
              <w:ind w:right="591"/>
              <w:spacing w:after="0" w:line="196" w:lineRule="exact"/>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402</w:t>
            </w:r>
          </w:p>
        </w:tc>
        <w:tc>
          <w:tcPr>
            <w:tcW w:w="30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1,510</w:t>
            </w:r>
          </w:p>
        </w:tc>
        <w:tc>
          <w:tcPr>
            <w:tcW w:w="1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1,660</w:t>
            </w:r>
          </w:p>
        </w:tc>
        <w:tc>
          <w:tcPr>
            <w:tcW w:w="2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top w:val="single" w:sz="8" w:color="CCEEFF"/>
              <w:left w:val="single" w:sz="8" w:color="CCEEFF"/>
              <w:bottom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CCEEFF"/>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CCEEFF"/>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left w:val="single" w:sz="8" w:color="auto"/>
            </w:tcBorders>
          </w:tcPr>
          <w:p>
            <w:pPr>
              <w:spacing w:after="0"/>
              <w:rPr>
                <w:sz w:val="20"/>
                <w:szCs w:val="20"/>
                <w:color w:val="auto"/>
              </w:rPr>
            </w:pPr>
            <w:r>
              <w:rPr>
                <w:rFonts w:ascii="Arial" w:cs="Arial" w:eastAsia="Arial" w:hAnsi="Arial"/>
                <w:sz w:val="18"/>
                <w:szCs w:val="18"/>
                <w:b w:val="1"/>
                <w:bCs w:val="1"/>
                <w:color w:val="auto"/>
              </w:rPr>
              <w:t>Selected Items Impacting Comparability</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Equity compensation expense</w:t>
            </w:r>
          </w:p>
        </w:tc>
        <w:tc>
          <w:tcPr>
            <w:tcW w:w="9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Acquisition related expenses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left w:val="single" w:sz="8" w:color="auto"/>
            </w:tcBorders>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Selected Items Impacting Comparability of Net Income attributable to</w:t>
            </w: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tcBorders>
              <w:left w:val="single" w:sz="8" w:color="auto"/>
            </w:tcBorders>
            <w:vMerge w:val="continue"/>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780" w:type="dxa"/>
            <w:vAlign w:val="bottom"/>
            <w:vMerge w:val="restart"/>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300" w:type="dxa"/>
            <w:vAlign w:val="bottom"/>
            <w:vMerge w:val="restart"/>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360" w:type="dxa"/>
            <w:vAlign w:val="bottom"/>
            <w:gridSpan w:val="2"/>
            <w:vMerge w:val="restart"/>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Plains</w:t>
            </w:r>
          </w:p>
        </w:tc>
        <w:tc>
          <w:tcPr>
            <w:tcW w:w="96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lef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558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5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Excluding Selected Items Impacting Comparability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Adjusted Segment Profit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Transportation</w:t>
            </w:r>
          </w:p>
        </w:tc>
        <w:tc>
          <w:tcPr>
            <w:tcW w:w="9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78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Facilities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Supply and Logistics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left w:val="single" w:sz="8" w:color="auto"/>
            </w:tcBorders>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left w:val="single" w:sz="8" w:color="auto"/>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left w:val="single" w:sz="8" w:color="auto"/>
            </w:tcBorders>
            <w:vMerge w:val="restart"/>
          </w:tcPr>
          <w:p>
            <w:pPr>
              <w:ind w:left="180"/>
              <w:spacing w:after="0"/>
              <w:rPr>
                <w:sz w:val="20"/>
                <w:szCs w:val="20"/>
                <w:color w:val="auto"/>
              </w:rPr>
            </w:pPr>
            <w:r>
              <w:rPr>
                <w:rFonts w:ascii="Arial" w:cs="Arial" w:eastAsia="Arial" w:hAnsi="Arial"/>
                <w:sz w:val="18"/>
                <w:szCs w:val="18"/>
                <w:color w:val="auto"/>
              </w:rPr>
              <w:t>Adjusted Net Income attributable to Plains</w:t>
            </w:r>
          </w:p>
        </w:tc>
        <w:tc>
          <w:tcPr>
            <w:tcW w:w="22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left w:val="single" w:sz="8" w:color="auto"/>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c>
          <w:tcPr>
            <w:tcW w:w="30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auto"/>
            </w:tcBorders>
          </w:tcPr>
          <w:p>
            <w:pPr>
              <w:jc w:val="right"/>
              <w:ind w:right="591"/>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w:t>
            </w: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1,069</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left w:val="single" w:sz="8" w:color="auto"/>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Adjusted Basic Net Income per Limited Partner Unit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3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91"/>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1.39</w:t>
            </w: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left w:val="single" w:sz="8" w:color="auto"/>
            </w:tcBorders>
            <w:vMerge w:val="restart"/>
          </w:tcPr>
          <w:p>
            <w:pPr>
              <w:ind w:left="180"/>
              <w:spacing w:after="0"/>
              <w:rPr>
                <w:sz w:val="20"/>
                <w:szCs w:val="20"/>
                <w:color w:val="auto"/>
              </w:rPr>
            </w:pPr>
            <w:r>
              <w:rPr>
                <w:rFonts w:ascii="Arial" w:cs="Arial" w:eastAsia="Arial" w:hAnsi="Arial"/>
                <w:sz w:val="18"/>
                <w:szCs w:val="18"/>
                <w:color w:val="auto"/>
              </w:rPr>
              <w:t>Adjusted Diluted Net Income per Limited Partner Unit</w:t>
            </w:r>
          </w:p>
        </w:tc>
        <w:tc>
          <w:tcPr>
            <w:tcW w:w="22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left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300" w:type="dxa"/>
            <w:vAlign w:val="bottom"/>
            <w:vMerge w:val="continue"/>
          </w:tcPr>
          <w:p>
            <w:pPr>
              <w:spacing w:after="0"/>
              <w:rPr>
                <w:sz w:val="17"/>
                <w:szCs w:val="17"/>
                <w:color w:val="auto"/>
              </w:rPr>
            </w:pPr>
          </w:p>
        </w:tc>
        <w:tc>
          <w:tcPr>
            <w:tcW w:w="780" w:type="dxa"/>
            <w:vAlign w:val="bottom"/>
            <w:tcBorders>
              <w:bottom w:val="single" w:sz="8" w:color="auto"/>
            </w:tcBorders>
          </w:tcPr>
          <w:p>
            <w:pPr>
              <w:jc w:val="right"/>
              <w:ind w:right="591"/>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1.38</w:t>
            </w:r>
          </w:p>
        </w:tc>
        <w:tc>
          <w:tcPr>
            <w:tcW w:w="30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3.79</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4.91</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58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60" w:hanging="452"/>
        <w:spacing w:after="0" w:line="234" w:lineRule="auto"/>
        <w:tabs>
          <w:tab w:leader="none" w:pos="46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The projected average foreign exchange rate is $1.00 Canadian to $1.00 U.S. for the three-month period ending March 31, 2012 and twelve-month period ending December 31, 2012. The rate as of February 7, 2012 was $0.99 Canadian to $1.00 U.S. A $0.05 change in the FX rate will impact annual adjusted EBITDA by approximately $12 million.</w:t>
      </w:r>
    </w:p>
    <w:p>
      <w:pPr>
        <w:spacing w:after="0" w:line="1" w:lineRule="exact"/>
        <w:rPr>
          <w:rFonts w:ascii="Arial" w:cs="Arial" w:eastAsia="Arial" w:hAnsi="Arial"/>
          <w:sz w:val="23"/>
          <w:szCs w:val="23"/>
          <w:color w:val="auto"/>
          <w:vertAlign w:val="superscript"/>
        </w:rPr>
      </w:pPr>
    </w:p>
    <w:p>
      <w:pPr>
        <w:ind w:left="460" w:hanging="452"/>
        <w:spacing w:after="0" w:line="214" w:lineRule="auto"/>
        <w:tabs>
          <w:tab w:leader="none" w:pos="46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We calculate net income available to limited partners based on the distributions pertaining to the current period’s net income. After adjusting for the</w:t>
      </w:r>
    </w:p>
    <w:p>
      <w:pPr>
        <w:sectPr>
          <w:pgSz w:w="11900" w:h="16843" w:orient="portrait"/>
          <w:cols w:equalWidth="0" w:num="1">
            <w:col w:w="11440"/>
          </w:cols>
          <w:pgMar w:left="240" w:top="341" w:right="219" w:bottom="0" w:gutter="0" w:footer="0" w:header="0"/>
        </w:sectPr>
      </w:pPr>
    </w:p>
    <w:bookmarkStart w:id="2" w:name="page3"/>
    <w:bookmarkEnd w:id="2"/>
    <w:p>
      <w:pPr>
        <w:ind w:left="460" w:right="100"/>
        <w:spacing w:after="0" w:line="277" w:lineRule="auto"/>
        <w:rPr>
          <w:sz w:val="20"/>
          <w:szCs w:val="20"/>
          <w:color w:val="auto"/>
        </w:rPr>
      </w:pPr>
      <w:r>
        <w:rPr>
          <w:rFonts w:ascii="Arial" w:cs="Arial" w:eastAsia="Arial" w:hAnsi="Arial"/>
          <w:sz w:val="18"/>
          <w:szCs w:val="18"/>
          <w:color w:val="auto"/>
        </w:rPr>
        <w:t>appropriate periods distributions, the remaining undistributed earnings or excess distributions over earnings, if any, are allocated to the general partner and limited partners in accordance with the contractual terms of the partnership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Definitions.</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FASB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NGL or LPG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(GP)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and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(including equity earnings, as applicable) less field operating costs and segment general and 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Accounting Standards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liquids or liquefied petroleum gas and other natural gas-related petroleum products (primarily propane and butane)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the context requires, “general partner” refers to any or all of (i) PAA GP LLC, the owner of our 2% general partner interest,</w:t>
      </w:r>
    </w:p>
    <w:p>
      <w:pPr>
        <w:spacing w:after="0" w:line="32" w:lineRule="exact"/>
        <w:rPr>
          <w:sz w:val="20"/>
          <w:szCs w:val="20"/>
          <w:color w:val="auto"/>
        </w:rPr>
      </w:pPr>
    </w:p>
    <w:p>
      <w:pPr>
        <w:sectPr>
          <w:pgSz w:w="11900" w:h="16838" w:orient="portrait"/>
          <w:cols w:equalWidth="0" w:num="2">
            <w:col w:w="1520" w:space="680"/>
            <w:col w:w="9200"/>
          </w:cols>
          <w:pgMar w:left="240" w:top="125" w:right="259" w:bottom="0" w:gutter="0" w:footer="0" w:header="0"/>
          <w:type w:val="continuous"/>
        </w:sectPr>
      </w:pPr>
    </w:p>
    <w:p>
      <w:pPr>
        <w:ind w:left="2200" w:right="520" w:firstLine="9"/>
        <w:spacing w:after="0" w:line="261" w:lineRule="auto"/>
        <w:tabs>
          <w:tab w:leader="none" w:pos="2465" w:val="left"/>
        </w:tabs>
        <w:numPr>
          <w:ilvl w:val="2"/>
          <w:numId w:val="4"/>
        </w:numPr>
        <w:rPr>
          <w:rFonts w:ascii="Arial" w:cs="Arial" w:eastAsia="Arial" w:hAnsi="Arial"/>
          <w:sz w:val="18"/>
          <w:szCs w:val="18"/>
          <w:color w:val="auto"/>
        </w:rPr>
      </w:pPr>
      <w:r>
        <w:rPr>
          <w:rFonts w:ascii="Arial" w:cs="Arial" w:eastAsia="Arial" w:hAnsi="Arial"/>
          <w:sz w:val="18"/>
          <w:szCs w:val="18"/>
          <w:color w:val="auto"/>
        </w:rPr>
        <w:t>Plains AAP, L.P., the sole member of PAA GP LLC and owner of our incentive distribution rights and (iii) Plains All American GP LLC, the general partner of Plains AAP, L.P.</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73"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(i) Transportation, (ii) Facilities and (iii) Supply and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is 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hanging="324"/>
        <w:spacing w:after="0" w:line="279" w:lineRule="auto"/>
        <w:tabs>
          <w:tab w:leader="none" w:pos="983"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Transportation. </w:t>
      </w:r>
      <w:r>
        <w:rPr>
          <w:rFonts w:ascii="Arial" w:cs="Arial" w:eastAsia="Arial" w:hAnsi="Arial"/>
          <w:sz w:val="17"/>
          <w:szCs w:val="17"/>
          <w:color w:val="auto"/>
        </w:rPr>
        <w:t>Our transportation segment operations generally consist of fee-based activities associated with transporting crude oil and refined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on pipelines, gathering systems, trucks and barges. We generate revenue through a combination of tariffs, third-party leases of pipeline capacity and transportation fees. Our transportation segment also includes our equity earnings from our investments in the Butte, Frontier and White Cliffs pipeline systems and Settoon Towing, in which we own non-controlling interests.</w:t>
      </w:r>
    </w:p>
    <w:p>
      <w:pPr>
        <w:spacing w:after="0" w:line="171" w:lineRule="exact"/>
        <w:rPr>
          <w:rFonts w:ascii="Arial" w:cs="Arial" w:eastAsia="Arial" w:hAnsi="Arial"/>
          <w:sz w:val="17"/>
          <w:szCs w:val="17"/>
          <w:color w:val="auto"/>
        </w:rPr>
      </w:pPr>
    </w:p>
    <w:p>
      <w:pPr>
        <w:ind w:left="980" w:right="180"/>
        <w:spacing w:after="0" w:line="273" w:lineRule="auto"/>
        <w:rPr>
          <w:rFonts w:ascii="Arial" w:cs="Arial" w:eastAsia="Arial" w:hAnsi="Arial"/>
          <w:sz w:val="17"/>
          <w:szCs w:val="17"/>
          <w:color w:val="auto"/>
        </w:rPr>
      </w:pPr>
      <w:r>
        <w:rPr>
          <w:rFonts w:ascii="Arial" w:cs="Arial" w:eastAsia="Arial" w:hAnsi="Arial"/>
          <w:sz w:val="17"/>
          <w:szCs w:val="17"/>
          <w:color w:val="auto"/>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spacing w:after="0" w:line="178" w:lineRule="exact"/>
        <w:rPr>
          <w:rFonts w:ascii="Arial" w:cs="Arial" w:eastAsia="Arial" w:hAnsi="Arial"/>
          <w:sz w:val="17"/>
          <w:szCs w:val="17"/>
          <w:color w:val="auto"/>
        </w:rPr>
      </w:pPr>
    </w:p>
    <w:p>
      <w:pPr>
        <w:ind w:left="980" w:right="120"/>
        <w:spacing w:after="0" w:line="277" w:lineRule="auto"/>
        <w:rPr>
          <w:rFonts w:ascii="Arial" w:cs="Arial" w:eastAsia="Arial" w:hAnsi="Arial"/>
          <w:sz w:val="17"/>
          <w:szCs w:val="17"/>
          <w:color w:val="auto"/>
        </w:rPr>
      </w:pPr>
      <w:r>
        <w:rPr>
          <w:rFonts w:ascii="Arial" w:cs="Arial" w:eastAsia="Arial" w:hAnsi="Arial"/>
          <w:sz w:val="18"/>
          <w:szCs w:val="18"/>
          <w:color w:val="auto"/>
        </w:rPr>
        <w:t>The following table summarizes our total pipeline volumes and highlights major systems that are significant either in total volumes transported or in contribution to total transportation segment profit.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Guidance</w:t>
            </w:r>
          </w:p>
        </w:tc>
        <w:tc>
          <w:tcPr>
            <w:tcW w:w="1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19"/>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Pr>
          <w:p>
            <w:pPr>
              <w:spacing w:after="0"/>
              <w:rPr>
                <w:sz w:val="10"/>
                <w:szCs w:val="10"/>
                <w:color w:val="auto"/>
              </w:rPr>
            </w:pPr>
          </w:p>
        </w:tc>
        <w:tc>
          <w:tcPr>
            <w:tcW w:w="120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rPr>
              <w:t>Twelve Months</w:t>
            </w:r>
          </w:p>
        </w:tc>
        <w:tc>
          <w:tcPr>
            <w:tcW w:w="340" w:type="dxa"/>
            <w:vAlign w:val="bottom"/>
            <w:gridSpan w:val="2"/>
          </w:tcPr>
          <w:p>
            <w:pPr>
              <w:spacing w:after="0"/>
              <w:rPr>
                <w:sz w:val="10"/>
                <w:szCs w:val="10"/>
                <w:color w:val="auto"/>
              </w:rPr>
            </w:pPr>
          </w:p>
        </w:tc>
      </w:tr>
      <w:tr>
        <w:trPr>
          <w:trHeight w:val="149"/>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Ending</w:t>
            </w:r>
          </w:p>
        </w:tc>
        <w:tc>
          <w:tcPr>
            <w:tcW w:w="160" w:type="dxa"/>
            <w:vAlign w:val="bottom"/>
          </w:tcPr>
          <w:p>
            <w:pPr>
              <w:spacing w:after="0"/>
              <w:rPr>
                <w:sz w:val="12"/>
                <w:szCs w:val="12"/>
                <w:color w:val="auto"/>
              </w:rPr>
            </w:pPr>
          </w:p>
        </w:tc>
        <w:tc>
          <w:tcPr>
            <w:tcW w:w="15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Mar 31, 2012</w:t>
            </w:r>
          </w:p>
        </w:tc>
        <w:tc>
          <w:tcPr>
            <w:tcW w:w="160" w:type="dxa"/>
            <w:vAlign w:val="bottom"/>
          </w:tcPr>
          <w:p>
            <w:pPr>
              <w:spacing w:after="0"/>
              <w:rPr>
                <w:sz w:val="14"/>
                <w:szCs w:val="14"/>
                <w:color w:val="auto"/>
              </w:rPr>
            </w:pPr>
          </w:p>
        </w:tc>
        <w:tc>
          <w:tcPr>
            <w:tcW w:w="15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Dec 31, 2012</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(000 Bbls/d)</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All American</w:t>
            </w: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Basin</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32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Capline</w:t>
            </w: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Line 63 / 2000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Permian Basin Area Systems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Mid-Continent Area Systems </w:t>
            </w:r>
            <w:r>
              <w:rPr>
                <w:rFonts w:ascii="Arial" w:cs="Arial" w:eastAsia="Arial" w:hAnsi="Arial"/>
                <w:sz w:val="23"/>
                <w:szCs w:val="23"/>
                <w:color w:val="auto"/>
                <w:vertAlign w:val="superscript"/>
              </w:rPr>
              <w:t>(1)</w:t>
            </w: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Manito</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Rainbow</w:t>
            </w: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Rangeland</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Refined Products</w:t>
            </w:r>
          </w:p>
        </w:tc>
        <w:tc>
          <w:tcPr>
            <w:tcW w:w="18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w:t>
            </w:r>
          </w:p>
        </w:tc>
        <w:tc>
          <w:tcPr>
            <w:tcW w:w="320" w:type="dxa"/>
            <w:vAlign w:val="bottom"/>
            <w:shd w:val="clear" w:color="auto" w:fill="CCEEFF"/>
          </w:tcPr>
          <w:p>
            <w:pPr>
              <w:spacing w:after="0"/>
              <w:rPr>
                <w:sz w:val="18"/>
                <w:szCs w:val="18"/>
                <w:color w:val="auto"/>
              </w:rPr>
            </w:pPr>
          </w:p>
        </w:tc>
      </w:tr>
      <w:tr>
        <w:trPr>
          <w:trHeight w:val="210"/>
        </w:trPr>
        <w:tc>
          <w:tcPr>
            <w:tcW w:w="4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r>
      <w:tr>
        <w:trPr>
          <w:trHeight w:val="250"/>
        </w:trPr>
        <w:tc>
          <w:tcPr>
            <w:tcW w:w="49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3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r>
      <w:tr>
        <w:trPr>
          <w:trHeight w:val="170"/>
        </w:trPr>
        <w:tc>
          <w:tcPr>
            <w:tcW w:w="4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Segment Profit per Barrel ($/Bbl)</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Excluding Selected Items Impacting Comparability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0.52</w:t>
            </w:r>
            <w:r>
              <w:rPr>
                <w:rFonts w:ascii="Arial" w:cs="Arial" w:eastAsia="Arial" w:hAnsi="Arial"/>
                <w:sz w:val="11"/>
                <w:szCs w:val="11"/>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0.60</w:t>
            </w:r>
            <w:r>
              <w:rPr>
                <w:rFonts w:ascii="Arial" w:cs="Arial" w:eastAsia="Arial" w:hAnsi="Arial"/>
                <w:sz w:val="11"/>
                <w:szCs w:val="11"/>
                <w:color w:val="auto"/>
              </w:rPr>
              <w:t>(3)</w:t>
            </w: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aggregate of multiple systems in their respective areas.</w:t>
      </w:r>
    </w:p>
    <w:p>
      <w:pPr>
        <w:spacing w:after="0" w:line="1" w:lineRule="exact"/>
        <w:rPr>
          <w:rFonts w:ascii="Arial" w:cs="Arial" w:eastAsia="Arial" w:hAnsi="Arial"/>
          <w:sz w:val="23"/>
          <w:szCs w:val="23"/>
          <w:color w:val="auto"/>
          <w:vertAlign w:val="superscript"/>
        </w:rPr>
      </w:pPr>
    </w:p>
    <w:p>
      <w:pPr>
        <w:ind w:left="460" w:hanging="452"/>
        <w:spacing w:after="0" w:line="230" w:lineRule="auto"/>
        <w:tabs>
          <w:tab w:leader="none" w:pos="464"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Twelve months ending December 31, 2012 reflect the preliminary volume forecast for the BP NGL acquisition with an assumed closing date of April 1, 2012. Such forecast is preliminary and subject to change as we finalize the applicable segment disclosures and volume/profit drivers.</w:t>
      </w:r>
    </w:p>
    <w:p>
      <w:pPr>
        <w:ind w:left="460" w:hanging="452"/>
        <w:spacing w:after="0" w:line="196" w:lineRule="auto"/>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ectPr>
          <w:pgSz w:w="11900" w:h="16838" w:orient="portrait"/>
          <w:cols w:equalWidth="0" w:num="1">
            <w:col w:w="11400"/>
          </w:cols>
          <w:pgMar w:left="240" w:top="125" w:right="259" w:bottom="0" w:gutter="0" w:footer="0" w:header="0"/>
          <w:type w:val="continuous"/>
        </w:sectPr>
      </w:pPr>
    </w:p>
    <w:bookmarkStart w:id="3" w:name="page4"/>
    <w:bookmarkEnd w:id="3"/>
    <w:p>
      <w:pPr>
        <w:ind w:left="972" w:right="240" w:hanging="324"/>
        <w:spacing w:after="0" w:line="286" w:lineRule="auto"/>
        <w:tabs>
          <w:tab w:leader="none" w:pos="972"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Facilities</w:t>
      </w:r>
      <w:r>
        <w:rPr>
          <w:rFonts w:ascii="Arial" w:cs="Arial" w:eastAsia="Arial" w:hAnsi="Arial"/>
          <w:sz w:val="17"/>
          <w:szCs w:val="17"/>
          <w:color w:val="auto"/>
        </w:rPr>
        <w:t>. Our facilities segment operations generally consist of fee-based activities associated with providing storage, terminalling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throughput services for crude oil, refined products, NGL, LPG and natural gas, as well as NGL/LPG fractionation and isomerization services. We generate revenue through a combination of month-to-month and multi-year leases and processing arrangements.</w:t>
      </w:r>
    </w:p>
    <w:p>
      <w:pPr>
        <w:spacing w:after="0" w:line="165" w:lineRule="exact"/>
        <w:rPr>
          <w:rFonts w:ascii="Arial" w:cs="Arial" w:eastAsia="Arial" w:hAnsi="Arial"/>
          <w:sz w:val="17"/>
          <w:szCs w:val="17"/>
          <w:color w:val="auto"/>
        </w:rPr>
      </w:pPr>
    </w:p>
    <w:p>
      <w:pPr>
        <w:ind w:left="972" w:right="140"/>
        <w:spacing w:after="0" w:line="277" w:lineRule="auto"/>
        <w:rPr>
          <w:rFonts w:ascii="Arial" w:cs="Arial" w:eastAsia="Arial" w:hAnsi="Arial"/>
          <w:sz w:val="17"/>
          <w:szCs w:val="17"/>
          <w:color w:val="auto"/>
        </w:rPr>
      </w:pPr>
      <w:r>
        <w:rPr>
          <w:rFonts w:ascii="Arial" w:cs="Arial" w:eastAsia="Arial" w:hAnsi="Arial"/>
          <w:sz w:val="18"/>
          <w:szCs w:val="18"/>
          <w:color w:val="auto"/>
        </w:rPr>
        <w:t>Adjusted segment profit is forecasted using the volume assumptions in the table below, priced at forecasted rates, less estimated field operating costs and G&amp;A expenses. Field operating costs do not include depreciation.</w:t>
      </w:r>
    </w:p>
    <w:p>
      <w:pPr>
        <w:sectPr>
          <w:pgSz w:w="11900" w:h="16838" w:orient="portrait"/>
          <w:cols w:equalWidth="0" w:num="1">
            <w:col w:w="11412"/>
          </w:cols>
          <w:pgMar w:left="248"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-121920</wp:posOffset>
            </wp:positionV>
            <wp:extent cx="627761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pacing w:after="0" w:line="3" w:lineRule="exact"/>
        <w:rPr>
          <w:sz w:val="20"/>
          <w:szCs w:val="20"/>
          <w:color w:val="auto"/>
        </w:rPr>
      </w:pPr>
    </w:p>
    <w:p>
      <w:pPr>
        <w:ind w:left="832"/>
        <w:spacing w:after="0"/>
        <w:rPr>
          <w:sz w:val="20"/>
          <w:szCs w:val="20"/>
          <w:color w:val="auto"/>
        </w:rPr>
      </w:pPr>
      <w:r>
        <w:rPr>
          <w:rFonts w:ascii="Arial" w:cs="Arial" w:eastAsia="Arial" w:hAnsi="Arial"/>
          <w:sz w:val="16"/>
          <w:szCs w:val="16"/>
          <w:color w:val="auto"/>
        </w:rPr>
        <w:t xml:space="preserve">Crude oil, refined products and NGL/LPG storage (MMBbls/Mo.)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0</wp:posOffset>
            </wp:positionV>
            <wp:extent cx="627761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7610" cy="163195"/>
                    </a:xfrm>
                    <a:prstGeom prst="rect">
                      <a:avLst/>
                    </a:prstGeom>
                    <a:noFill/>
                  </pic:spPr>
                </pic:pic>
              </a:graphicData>
            </a:graphic>
          </wp:anchor>
        </w:drawing>
      </w:r>
    </w:p>
    <w:p>
      <w:pPr>
        <w:spacing w:after="0" w:line="22" w:lineRule="exact"/>
        <w:rPr>
          <w:sz w:val="20"/>
          <w:szCs w:val="20"/>
          <w:color w:val="auto"/>
        </w:rPr>
      </w:pPr>
    </w:p>
    <w:p>
      <w:pPr>
        <w:ind w:left="832"/>
        <w:spacing w:after="0"/>
        <w:rPr>
          <w:sz w:val="20"/>
          <w:szCs w:val="20"/>
          <w:color w:val="auto"/>
        </w:rPr>
      </w:pPr>
      <w:r>
        <w:rPr>
          <w:rFonts w:ascii="Arial" w:cs="Arial" w:eastAsia="Arial" w:hAnsi="Arial"/>
          <w:sz w:val="18"/>
          <w:szCs w:val="18"/>
          <w:color w:val="auto"/>
        </w:rPr>
        <w:t>Natural Gas Storage (Bcf/Mo.)</w:t>
      </w:r>
    </w:p>
    <w:p>
      <w:pPr>
        <w:spacing w:after="0" w:line="1" w:lineRule="exact"/>
        <w:rPr>
          <w:sz w:val="20"/>
          <w:szCs w:val="20"/>
          <w:color w:val="auto"/>
        </w:rPr>
      </w:pPr>
    </w:p>
    <w:p>
      <w:pPr>
        <w:ind w:left="832"/>
        <w:spacing w:after="0"/>
        <w:rPr>
          <w:sz w:val="20"/>
          <w:szCs w:val="20"/>
          <w:color w:val="auto"/>
        </w:rPr>
      </w:pPr>
      <w:r>
        <w:rPr>
          <w:rFonts w:ascii="Arial" w:cs="Arial" w:eastAsia="Arial" w:hAnsi="Arial"/>
          <w:sz w:val="18"/>
          <w:szCs w:val="18"/>
          <w:color w:val="auto"/>
        </w:rPr>
        <w:t xml:space="preserve">NGL/LPG Processing (MBbl/d)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-635</wp:posOffset>
            </wp:positionV>
            <wp:extent cx="627761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ind w:left="832"/>
        <w:spacing w:after="0" w:line="208" w:lineRule="auto"/>
        <w:rPr>
          <w:sz w:val="20"/>
          <w:szCs w:val="20"/>
          <w:color w:val="auto"/>
        </w:rPr>
      </w:pPr>
      <w:r>
        <w:rPr>
          <w:rFonts w:ascii="Arial" w:cs="Arial" w:eastAsia="Arial" w:hAnsi="Arial"/>
          <w:sz w:val="18"/>
          <w:szCs w:val="18"/>
          <w:color w:val="auto"/>
        </w:rPr>
        <w:t xml:space="preserve">Facilities Activities Total </w:t>
      </w:r>
      <w:r>
        <w:rPr>
          <w:rFonts w:ascii="Arial" w:cs="Arial" w:eastAsia="Arial" w:hAnsi="Arial"/>
          <w:sz w:val="23"/>
          <w:szCs w:val="23"/>
          <w:color w:val="auto"/>
          <w:vertAlign w:val="superscript"/>
        </w:rPr>
        <w:t>(2)</w:t>
      </w:r>
    </w:p>
    <w:p>
      <w:pPr>
        <w:ind w:left="832"/>
        <w:spacing w:after="0"/>
        <w:rPr>
          <w:sz w:val="20"/>
          <w:szCs w:val="20"/>
          <w:color w:val="auto"/>
        </w:rPr>
      </w:pPr>
      <w:r>
        <w:rPr>
          <w:rFonts w:ascii="Arial" w:cs="Arial" w:eastAsia="Arial" w:hAnsi="Arial"/>
          <w:sz w:val="18"/>
          <w:szCs w:val="18"/>
          <w:color w:val="auto"/>
        </w:rPr>
        <w:t>Avg. Capacity (MMBbls/Mo.)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4445</wp:posOffset>
            </wp:positionV>
            <wp:extent cx="627761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7761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Guidance</w:t>
            </w:r>
          </w:p>
        </w:tc>
      </w:tr>
      <w:tr>
        <w:trPr>
          <w:trHeight w:val="119"/>
        </w:trPr>
        <w:tc>
          <w:tcPr>
            <w:tcW w:w="1200" w:type="dxa"/>
            <w:vAlign w:val="bottom"/>
          </w:tcPr>
          <w:p>
            <w:pPr>
              <w:jc w:val="center"/>
              <w:ind w:left="110"/>
              <w:spacing w:after="0" w:line="119" w:lineRule="exact"/>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Twelve Months</w:t>
            </w:r>
          </w:p>
        </w:tc>
      </w:tr>
      <w:tr>
        <w:trPr>
          <w:trHeight w:val="149"/>
        </w:trPr>
        <w:tc>
          <w:tcPr>
            <w:tcW w:w="1200" w:type="dxa"/>
            <w:vAlign w:val="bottom"/>
          </w:tcPr>
          <w:p>
            <w:pPr>
              <w:jc w:val="center"/>
              <w:ind w:left="110"/>
              <w:spacing w:after="0" w:line="149" w:lineRule="exact"/>
              <w:rPr>
                <w:sz w:val="20"/>
                <w:szCs w:val="20"/>
                <w:color w:val="auto"/>
              </w:rPr>
            </w:pPr>
            <w:r>
              <w:rPr>
                <w:rFonts w:ascii="Arial" w:cs="Arial" w:eastAsia="Arial" w:hAnsi="Arial"/>
                <w:sz w:val="14"/>
                <w:szCs w:val="14"/>
                <w:b w:val="1"/>
                <w:bCs w:val="1"/>
                <w:color w:val="auto"/>
                <w:w w:val="96"/>
              </w:rPr>
              <w:t>Ending</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1200" w:type="dxa"/>
            <w:vAlign w:val="bottom"/>
            <w:tcBorders>
              <w:bottom w:val="single" w:sz="8" w:color="auto"/>
            </w:tcBorders>
          </w:tcPr>
          <w:p>
            <w:pPr>
              <w:jc w:val="center"/>
              <w:ind w:left="110"/>
              <w:spacing w:after="0"/>
              <w:rPr>
                <w:sz w:val="20"/>
                <w:szCs w:val="20"/>
                <w:color w:val="auto"/>
              </w:rPr>
            </w:pPr>
            <w:r>
              <w:rPr>
                <w:rFonts w:ascii="Arial" w:cs="Arial" w:eastAsia="Arial" w:hAnsi="Arial"/>
                <w:sz w:val="14"/>
                <w:szCs w:val="14"/>
                <w:b w:val="1"/>
                <w:bCs w:val="1"/>
                <w:color w:val="auto"/>
                <w:w w:val="98"/>
              </w:rPr>
              <w:t>Mar 31, 2012</w:t>
            </w:r>
          </w:p>
        </w:tc>
        <w:tc>
          <w:tcPr>
            <w:tcW w:w="1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2012</w:t>
            </w:r>
          </w:p>
        </w:tc>
      </w:tr>
    </w:tbl>
    <w:p>
      <w:pPr>
        <w:spacing w:after="0" w:line="188" w:lineRule="exact"/>
        <w:rPr>
          <w:sz w:val="20"/>
          <w:szCs w:val="20"/>
          <w:color w:val="auto"/>
        </w:rPr>
      </w:pPr>
    </w:p>
    <w:p>
      <w:pPr>
        <w:ind w:left="1200"/>
        <w:spacing w:after="0"/>
        <w:tabs>
          <w:tab w:leader="none" w:pos="292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981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3" w:lineRule="exact"/>
        <w:rPr>
          <w:sz w:val="20"/>
          <w:szCs w:val="20"/>
          <w:color w:val="auto"/>
        </w:rPr>
      </w:pPr>
    </w:p>
    <w:p>
      <w:pPr>
        <w:ind w:left="1200"/>
        <w:spacing w:after="0"/>
        <w:tabs>
          <w:tab w:leader="none" w:pos="292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color w:val="auto"/>
        </w:rPr>
        <w:t>86</w:t>
      </w:r>
    </w:p>
    <w:p>
      <w:pPr>
        <w:spacing w:after="0" w:line="73" w:lineRule="exact"/>
        <w:rPr>
          <w:sz w:val="20"/>
          <w:szCs w:val="20"/>
          <w:color w:val="auto"/>
        </w:rPr>
      </w:pPr>
    </w:p>
    <w:p>
      <w:pPr>
        <w:jc w:val="both"/>
        <w:ind w:left="1200"/>
        <w:spacing w:after="0"/>
        <w:tabs>
          <w:tab w:leader="none" w:pos="2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981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19812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19" w:lineRule="exact"/>
        <w:rPr>
          <w:sz w:val="20"/>
          <w:szCs w:val="20"/>
          <w:color w:val="auto"/>
        </w:rPr>
      </w:pPr>
    </w:p>
    <w:p>
      <w:pPr>
        <w:jc w:val="both"/>
        <w:ind w:left="1200"/>
        <w:spacing w:after="0"/>
        <w:tabs>
          <w:tab w:leader="none" w:pos="28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981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6452" w:space="720"/>
            <w:col w:w="4240"/>
          </w:cols>
          <w:pgMar w:left="248" w:top="125" w:right="239" w:bottom="0" w:gutter="0" w:footer="0" w:header="0"/>
          <w:type w:val="continuous"/>
        </w:sectPr>
      </w:pPr>
    </w:p>
    <w:p>
      <w:pPr>
        <w:spacing w:after="0" w:line="36"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Segment Profit per Barrel ($/Bbl)</w:t>
            </w:r>
          </w:p>
        </w:tc>
        <w:tc>
          <w:tcPr>
            <w:tcW w:w="190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0.35</w:t>
            </w:r>
            <w:r>
              <w:rPr>
                <w:rFonts w:ascii="Arial" w:cs="Arial" w:eastAsia="Arial" w:hAnsi="Arial"/>
                <w:sz w:val="11"/>
                <w:szCs w:val="11"/>
                <w:color w:val="auto"/>
              </w:rPr>
              <w:t>(3)</w:t>
            </w:r>
          </w:p>
        </w:tc>
        <w:tc>
          <w:tcPr>
            <w:tcW w:w="70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0.37</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Excluding Selected Items Impacting Comparability</w:t>
            </w:r>
          </w:p>
        </w:tc>
        <w:tc>
          <w:tcPr>
            <w:tcW w:w="19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-145415</wp:posOffset>
            </wp:positionV>
            <wp:extent cx="627761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7610" cy="163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32" w:right="40" w:hanging="432"/>
        <w:spacing w:after="0" w:line="238" w:lineRule="auto"/>
        <w:tabs>
          <w:tab w:leader="none" w:pos="433"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Twelve months ending December 31, 2012 reflect the preliminary volume forecast for the BP NGL acquisition with an assumed closing date of April 1, 2012. Such forecast is preliminary and subject to change as we finalize the applicable segment disclosures and volume/profit drivers.</w:t>
      </w:r>
    </w:p>
    <w:p>
      <w:pPr>
        <w:spacing w:after="0" w:line="1" w:lineRule="exact"/>
        <w:rPr>
          <w:rFonts w:ascii="Arial" w:cs="Arial" w:eastAsia="Arial" w:hAnsi="Arial"/>
          <w:sz w:val="22"/>
          <w:szCs w:val="22"/>
          <w:color w:val="auto"/>
          <w:vertAlign w:val="superscript"/>
        </w:rPr>
      </w:pPr>
    </w:p>
    <w:p>
      <w:pPr>
        <w:jc w:val="both"/>
        <w:ind w:left="432" w:right="40" w:hanging="432"/>
        <w:spacing w:after="0" w:line="229" w:lineRule="auto"/>
        <w:tabs>
          <w:tab w:leader="none" w:pos="433"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Calculated as the sum of: (i) crude oil, refined products and NGL/LPG storage capacity; (ii) natural gas storage capacity divided by the gas to crude Btu equivalent ratio of 6 mcf of gas to 1 barrel of crude oil; and (iii) NGL/LPG processing volumes (based on estimated utilized capacity), multiplied by the number of days in the period and divided by the number of months in the period.</w:t>
      </w:r>
    </w:p>
    <w:p>
      <w:pPr>
        <w:ind w:left="432" w:hanging="432"/>
        <w:spacing w:after="0" w:line="196" w:lineRule="auto"/>
        <w:tabs>
          <w:tab w:leader="none" w:pos="432"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72" w:hanging="324"/>
        <w:spacing w:after="0"/>
        <w:tabs>
          <w:tab w:leader="none" w:pos="97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Supply and Logistics</w:t>
      </w:r>
      <w:r>
        <w:rPr>
          <w:rFonts w:ascii="Arial" w:cs="Arial" w:eastAsia="Arial" w:hAnsi="Arial"/>
          <w:sz w:val="18"/>
          <w:szCs w:val="18"/>
          <w:color w:val="auto"/>
        </w:rPr>
        <w:t>. Our supply and logistics segment operations generally consist of the following activities:</w:t>
      </w:r>
    </w:p>
    <w:p>
      <w:pPr>
        <w:spacing w:after="0" w:line="225" w:lineRule="exact"/>
        <w:rPr>
          <w:rFonts w:ascii="Arial" w:cs="Arial" w:eastAsia="Arial" w:hAnsi="Arial"/>
          <w:sz w:val="18"/>
          <w:szCs w:val="18"/>
          <w:color w:val="auto"/>
        </w:rPr>
      </w:pPr>
    </w:p>
    <w:p>
      <w:pPr>
        <w:ind w:left="1292" w:right="40" w:hanging="320"/>
        <w:spacing w:after="0" w:line="277" w:lineRule="auto"/>
        <w:tabs>
          <w:tab w:leader="none" w:pos="125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purchase of crude oil at the wellhead, the bulk purchase of crude oil at pipeline and terminal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252" w:hanging="280"/>
        <w:spacing w:after="0"/>
        <w:tabs>
          <w:tab w:leader="none" w:pos="12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NGL/LPG;</w:t>
      </w:r>
    </w:p>
    <w:p>
      <w:pPr>
        <w:spacing w:after="0" w:line="225" w:lineRule="exact"/>
        <w:rPr>
          <w:rFonts w:ascii="Arial" w:cs="Arial" w:eastAsia="Arial" w:hAnsi="Arial"/>
          <w:sz w:val="18"/>
          <w:szCs w:val="18"/>
          <w:color w:val="auto"/>
        </w:rPr>
      </w:pPr>
    </w:p>
    <w:p>
      <w:pPr>
        <w:ind w:left="1252" w:hanging="280"/>
        <w:spacing w:after="0"/>
        <w:tabs>
          <w:tab w:leader="none" w:pos="12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purchase of refined products and NGL/LPG from producers, refiners and other marketers;</w:t>
      </w:r>
    </w:p>
    <w:p>
      <w:pPr>
        <w:spacing w:after="0" w:line="225" w:lineRule="exact"/>
        <w:rPr>
          <w:rFonts w:ascii="Arial" w:cs="Arial" w:eastAsia="Arial" w:hAnsi="Arial"/>
          <w:sz w:val="18"/>
          <w:szCs w:val="18"/>
          <w:color w:val="auto"/>
        </w:rPr>
      </w:pPr>
    </w:p>
    <w:p>
      <w:pPr>
        <w:ind w:left="1292" w:hanging="320"/>
        <w:spacing w:after="0" w:line="277" w:lineRule="auto"/>
        <w:tabs>
          <w:tab w:leader="none" w:pos="125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resale or exchange of crude oil, refined products and NGL/LPG at various points along the distribution chain to refiners or other resellers to maximize profits; and</w:t>
      </w:r>
    </w:p>
    <w:p>
      <w:pPr>
        <w:spacing w:after="0" w:line="170" w:lineRule="exact"/>
        <w:rPr>
          <w:rFonts w:ascii="Arial" w:cs="Arial" w:eastAsia="Arial" w:hAnsi="Arial"/>
          <w:sz w:val="18"/>
          <w:szCs w:val="18"/>
          <w:color w:val="auto"/>
        </w:rPr>
      </w:pPr>
    </w:p>
    <w:p>
      <w:pPr>
        <w:ind w:left="1292" w:right="40" w:hanging="320"/>
        <w:spacing w:after="0" w:line="277" w:lineRule="auto"/>
        <w:tabs>
          <w:tab w:leader="none" w:pos="1256"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transportation of crude oil, refined products and NGL/LPG on trucks, barges, railcars, pipelines and ocean-going vessels to our terminals and third-party terminals.</w:t>
      </w:r>
    </w:p>
    <w:p>
      <w:pPr>
        <w:spacing w:after="0" w:line="170" w:lineRule="exact"/>
        <w:rPr>
          <w:sz w:val="20"/>
          <w:szCs w:val="20"/>
          <w:color w:val="auto"/>
        </w:rPr>
      </w:pPr>
    </w:p>
    <w:p>
      <w:pPr>
        <w:ind w:left="812" w:right="80"/>
        <w:spacing w:after="0" w:line="271" w:lineRule="auto"/>
        <w:rPr>
          <w:sz w:val="20"/>
          <w:szCs w:val="20"/>
          <w:color w:val="auto"/>
        </w:rPr>
      </w:pPr>
      <w:r>
        <w:rPr>
          <w:rFonts w:ascii="Arial" w:cs="Arial" w:eastAsia="Arial" w:hAnsi="Arial"/>
          <w:sz w:val="17"/>
          <w:szCs w:val="17"/>
          <w:color w:val="auto"/>
        </w:rPr>
        <w:t>We characterize a substantial portion of the profit generated by our supply and logistics segment as fee equivalent. This portion of the segment profit is generated by the purchase and resale of crude oil production at the wellhead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March 31, 2012 reflect the current market structure and the seasonal, weather-related variations in LPG sales. Variations in weather, market structure or volatility could cause actual results to differ materially from forecasted results.</w:t>
      </w:r>
    </w:p>
    <w:p>
      <w:pPr>
        <w:spacing w:after="0" w:line="179" w:lineRule="exact"/>
        <w:rPr>
          <w:sz w:val="20"/>
          <w:szCs w:val="20"/>
          <w:color w:val="auto"/>
        </w:rPr>
      </w:pPr>
    </w:p>
    <w:p>
      <w:pPr>
        <w:ind w:left="812" w:right="60"/>
        <w:spacing w:after="0" w:line="273" w:lineRule="auto"/>
        <w:rPr>
          <w:sz w:val="20"/>
          <w:szCs w:val="20"/>
          <w:color w:val="auto"/>
        </w:rPr>
      </w:pPr>
      <w:r>
        <w:rPr>
          <w:rFonts w:ascii="Arial" w:cs="Arial" w:eastAsia="Arial" w:hAnsi="Arial"/>
          <w:sz w:val="17"/>
          <w:szCs w:val="17"/>
          <w:color w:val="auto"/>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production declines,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spacing w:after="0" w:line="170" w:lineRule="exact"/>
        <w:rPr>
          <w:sz w:val="20"/>
          <w:szCs w:val="20"/>
          <w:color w:val="auto"/>
        </w:rPr>
      </w:pPr>
    </w:p>
    <w:tbl>
      <w:tblPr>
        <w:tblLayout w:type="fixed"/>
        <w:tblInd w:w="1292"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Guidance</w:t>
            </w:r>
          </w:p>
        </w:tc>
        <w:tc>
          <w:tcPr>
            <w:tcW w:w="1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4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Three Months</w:t>
            </w:r>
          </w:p>
        </w:tc>
        <w:tc>
          <w:tcPr>
            <w:tcW w:w="160" w:type="dxa"/>
            <w:vAlign w:val="bottom"/>
          </w:tcPr>
          <w:p>
            <w:pPr>
              <w:spacing w:after="0"/>
              <w:rPr>
                <w:sz w:val="10"/>
                <w:szCs w:val="10"/>
                <w:color w:val="auto"/>
              </w:rPr>
            </w:pPr>
          </w:p>
        </w:tc>
        <w:tc>
          <w:tcPr>
            <w:tcW w:w="120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w w:val="98"/>
              </w:rPr>
              <w:t>Twelve Months</w:t>
            </w:r>
          </w:p>
        </w:tc>
        <w:tc>
          <w:tcPr>
            <w:tcW w:w="280" w:type="dxa"/>
            <w:vAlign w:val="bottom"/>
            <w:gridSpan w:val="2"/>
          </w:tcPr>
          <w:p>
            <w:pPr>
              <w:spacing w:after="0"/>
              <w:rPr>
                <w:sz w:val="10"/>
                <w:szCs w:val="10"/>
                <w:color w:val="auto"/>
              </w:rPr>
            </w:pPr>
          </w:p>
        </w:tc>
      </w:tr>
      <w:tr>
        <w:trPr>
          <w:trHeight w:val="14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Ending</w:t>
            </w:r>
          </w:p>
        </w:tc>
        <w:tc>
          <w:tcPr>
            <w:tcW w:w="160" w:type="dxa"/>
            <w:vAlign w:val="bottom"/>
          </w:tcPr>
          <w:p>
            <w:pPr>
              <w:spacing w:after="0"/>
              <w:rPr>
                <w:sz w:val="12"/>
                <w:szCs w:val="12"/>
                <w:color w:val="auto"/>
              </w:rPr>
            </w:pPr>
          </w:p>
        </w:tc>
        <w:tc>
          <w:tcPr>
            <w:tcW w:w="14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Mar 31, 2012</w:t>
            </w:r>
          </w:p>
        </w:tc>
        <w:tc>
          <w:tcPr>
            <w:tcW w:w="160" w:type="dxa"/>
            <w:vAlign w:val="bottom"/>
          </w:tcPr>
          <w:p>
            <w:pPr>
              <w:spacing w:after="0"/>
              <w:rPr>
                <w:sz w:val="14"/>
                <w:szCs w:val="14"/>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Dec 31, 2012</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(MBbl/d)</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6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NGL/LPG Sales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Waterborne cargos</w:t>
            </w:r>
          </w:p>
        </w:tc>
        <w:tc>
          <w:tcPr>
            <w:tcW w:w="16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49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 per Barrel ($/Bbl)</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Excluding Selected Items Impacting Comparability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r>
              <w:rPr>
                <w:rFonts w:ascii="Arial" w:cs="Arial" w:eastAsia="Arial" w:hAnsi="Arial"/>
                <w:sz w:val="11"/>
                <w:szCs w:val="11"/>
                <w:color w:val="auto"/>
              </w:rPr>
              <w:t>(2)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1.17</w:t>
            </w:r>
            <w:r>
              <w:rPr>
                <w:rFonts w:ascii="Arial" w:cs="Arial" w:eastAsia="Arial" w:hAnsi="Arial"/>
                <w:sz w:val="11"/>
                <w:szCs w:val="11"/>
                <w:color w:val="auto"/>
              </w:rPr>
              <w:t>(2)</w:t>
            </w:r>
          </w:p>
        </w:tc>
      </w:tr>
      <w:tr>
        <w:trPr>
          <w:trHeight w:val="20"/>
        </w:trPr>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1412"/>
          </w:cols>
          <w:pgMar w:left="248" w:top="125" w:right="239" w:bottom="0" w:gutter="0" w:footer="0" w:header="0"/>
          <w:type w:val="continuous"/>
        </w:sectPr>
      </w:pPr>
    </w:p>
    <w:bookmarkStart w:id="4" w:name="page5"/>
    <w:bookmarkEnd w:id="4"/>
    <w:p>
      <w:pPr>
        <w:ind w:left="432" w:hanging="432"/>
        <w:spacing w:after="0" w:line="221" w:lineRule="auto"/>
        <w:tabs>
          <w:tab w:leader="none" w:pos="462"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t>Twelve months ending December 31, 2012 reflect the preliminary volume forecast for the BP NGL acquisition with an assumed closing date of April 1, 2012. Such forecast is preliminary and subject to change as we finalize the applicable segment disclosures and volume/profit drivers for the period. Additionally, it is based on our preliminary forecast of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party sales volumes as a significant portion of the supply from the BP NGL acquisition is anticipated to offset our 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party purchases for our existing (pre-acquisition) demand-based LPG business.</w:t>
      </w:r>
    </w:p>
    <w:p>
      <w:pPr>
        <w:spacing w:after="0" w:line="1" w:lineRule="exact"/>
        <w:rPr>
          <w:rFonts w:ascii="Arial" w:cs="Arial" w:eastAsia="Arial" w:hAnsi="Arial"/>
          <w:sz w:val="22"/>
          <w:szCs w:val="22"/>
          <w:color w:val="auto"/>
          <w:vertAlign w:val="superscript"/>
        </w:rPr>
      </w:pPr>
    </w:p>
    <w:p>
      <w:pPr>
        <w:ind w:left="452" w:hanging="452"/>
        <w:spacing w:after="0" w:line="194" w:lineRule="auto"/>
        <w:tabs>
          <w:tab w:leader="none" w:pos="452"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Mid-point of guidance.</w:t>
      </w:r>
    </w:p>
    <w:p>
      <w:pPr>
        <w:spacing w:after="0" w:line="202" w:lineRule="exact"/>
        <w:rPr>
          <w:sz w:val="20"/>
          <w:szCs w:val="20"/>
          <w:color w:val="auto"/>
        </w:rPr>
      </w:pPr>
    </w:p>
    <w:p>
      <w:pPr>
        <w:ind w:left="332" w:right="140" w:hanging="332"/>
        <w:spacing w:after="0" w:line="264"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vary during any one period due to gains and losses on intermittent sales of assets, asset retirement obligations, asset impairments or foreign exchange rates.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 w:right="80" w:hanging="332"/>
        <w:spacing w:after="0" w:line="255"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and Acquisitions. </w:t>
      </w:r>
      <w:r>
        <w:rPr>
          <w:rFonts w:ascii="Arial" w:cs="Arial" w:eastAsia="Arial" w:hAnsi="Arial"/>
          <w:sz w:val="18"/>
          <w:szCs w:val="18"/>
          <w:color w:val="auto"/>
        </w:rPr>
        <w:t>As stated above, this guidance includes the effect of the pending BP NGL acquisition. Although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key element of our growth strategy, the forecasted results and associated estimates do not include any forecasts for acquisitions that we may commit to after the date hereof. We forecast capital expenditures during calendar 2012 to be approximately $850 million for expansion projects with an additional $130 to $150 million for maintenance capital projects. Such amounts include post-closing capital expenditures associated with the BP NGL acquisition, but do not include acquisition costs of such transaction. Following are some of the more notable projects and forecasted expenditures for the year ending December 31, 2012:</w:t>
      </w:r>
    </w:p>
    <w:p>
      <w:pPr>
        <w:spacing w:after="0" w:line="185" w:lineRule="exact"/>
        <w:rPr>
          <w:sz w:val="20"/>
          <w:szCs w:val="20"/>
          <w:color w:val="auto"/>
        </w:rPr>
      </w:pPr>
    </w:p>
    <w:tbl>
      <w:tblPr>
        <w:tblLayout w:type="fixed"/>
        <w:tblInd w:w="1292"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Calendar 2012</w:t>
            </w:r>
          </w:p>
        </w:tc>
      </w:tr>
      <w:tr>
        <w:trPr>
          <w:trHeight w:val="142"/>
        </w:trPr>
        <w:tc>
          <w:tcPr>
            <w:tcW w:w="668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 Eagle Ford Project</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$160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Spraberry Area Pipeline Projects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 Mississippian Lime Pipeline</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PAA Natural Gas Storage (multiple projects)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 Rainbow II Pipeline</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Bakken North</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 Ross Rail Project</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St. James Phase IV</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 Shafter Expansion</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Gardendale Gathering System</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 Yorktown Terminal Project</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BP NGL Acquisition Related Projects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 Dollard Custom Treating &amp; Truck Terminal</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 Other Projects </w:t>
            </w:r>
            <w:r>
              <w:rPr>
                <w:rFonts w:ascii="Arial" w:cs="Arial" w:eastAsia="Arial" w:hAnsi="Arial"/>
                <w:sz w:val="23"/>
                <w:szCs w:val="23"/>
                <w:color w:val="auto"/>
                <w:vertAlign w:val="superscript"/>
              </w:rPr>
              <w:t>(1)</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142</w:t>
            </w:r>
          </w:p>
        </w:tc>
        <w:tc>
          <w:tcPr>
            <w:tcW w:w="100" w:type="dxa"/>
            <w:vAlign w:val="bottom"/>
            <w:shd w:val="clear" w:color="auto" w:fill="CCEEFF"/>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$850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(2)</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$50 + $100</w:t>
            </w:r>
          </w:p>
        </w:tc>
        <w:tc>
          <w:tcPr>
            <w:tcW w:w="100" w:type="dxa"/>
            <w:vAlign w:val="bottom"/>
            <w:shd w:val="clear" w:color="auto" w:fill="CCEEFF"/>
          </w:tcPr>
          <w:p>
            <w:pPr>
              <w:spacing w:after="0"/>
              <w:rPr>
                <w:sz w:val="18"/>
                <w:szCs w:val="18"/>
                <w:color w:val="auto"/>
              </w:rPr>
            </w:pPr>
          </w:p>
        </w:tc>
      </w:tr>
      <w:tr>
        <w:trPr>
          <w:trHeight w:val="250"/>
        </w:trPr>
        <w:tc>
          <w:tcPr>
            <w:tcW w:w="6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$800 - $950</w:t>
            </w:r>
          </w:p>
        </w:tc>
        <w:tc>
          <w:tcPr>
            <w:tcW w:w="100" w:type="dxa"/>
            <w:vAlign w:val="bottom"/>
            <w:tcBorders>
              <w:bottom w:val="single" w:sz="8" w:color="CCEEFF"/>
            </w:tcBorders>
          </w:tcPr>
          <w:p>
            <w:pPr>
              <w:spacing w:after="0"/>
              <w:rPr>
                <w:sz w:val="21"/>
                <w:szCs w:val="21"/>
                <w:color w:val="auto"/>
              </w:rPr>
            </w:pPr>
          </w:p>
        </w:tc>
      </w:tr>
      <w:tr>
        <w:trPr>
          <w:trHeight w:val="197"/>
        </w:trPr>
        <w:tc>
          <w:tcPr>
            <w:tcW w:w="66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$130 - $150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1292" w:hanging="320"/>
        <w:spacing w:after="0" w:line="227" w:lineRule="auto"/>
        <w:tabs>
          <w:tab w:leader="none" w:pos="1309" w:val="left"/>
        </w:tabs>
        <w:numPr>
          <w:ilvl w:val="2"/>
          <w:numId w:val="13"/>
        </w:numPr>
        <w:rPr>
          <w:rFonts w:ascii="Arial" w:cs="Arial" w:eastAsia="Arial" w:hAnsi="Arial"/>
          <w:sz w:val="23"/>
          <w:szCs w:val="23"/>
          <w:color w:val="auto"/>
          <w:vertAlign w:val="superscript"/>
        </w:rPr>
      </w:pPr>
      <w:r>
        <w:rPr>
          <w:rFonts w:ascii="Arial" w:cs="Arial" w:eastAsia="Arial" w:hAnsi="Arial"/>
          <w:sz w:val="18"/>
          <w:szCs w:val="18"/>
          <w:color w:val="auto"/>
        </w:rPr>
        <w:t>Primarily multiple, smaller projects comprised of pipeline connections, upgrades and truck stations, new tank construction and refurbishing, and carry-over of projects from prior years.</w:t>
      </w:r>
    </w:p>
    <w:p>
      <w:pPr>
        <w:spacing w:after="0" w:line="202" w:lineRule="exact"/>
        <w:rPr>
          <w:rFonts w:ascii="Arial" w:cs="Arial" w:eastAsia="Arial" w:hAnsi="Arial"/>
          <w:sz w:val="23"/>
          <w:szCs w:val="23"/>
          <w:color w:val="auto"/>
          <w:vertAlign w:val="superscript"/>
        </w:rPr>
      </w:pPr>
    </w:p>
    <w:p>
      <w:pPr>
        <w:ind w:left="1292" w:right="120" w:hanging="320"/>
        <w:spacing w:after="0" w:line="227" w:lineRule="auto"/>
        <w:tabs>
          <w:tab w:leader="none" w:pos="1309" w:val="left"/>
        </w:tabs>
        <w:numPr>
          <w:ilvl w:val="2"/>
          <w:numId w:val="13"/>
        </w:numPr>
        <w:rPr>
          <w:rFonts w:ascii="Arial" w:cs="Arial" w:eastAsia="Arial" w:hAnsi="Arial"/>
          <w:sz w:val="23"/>
          <w:szCs w:val="23"/>
          <w:color w:val="auto"/>
          <w:vertAlign w:val="superscript"/>
        </w:rPr>
      </w:pPr>
      <w:r>
        <w:rPr>
          <w:rFonts w:ascii="Arial" w:cs="Arial" w:eastAsia="Arial" w:hAnsi="Arial"/>
          <w:sz w:val="18"/>
          <w:szCs w:val="18"/>
          <w:color w:val="auto"/>
        </w:rPr>
        <w:t>Potential variation to current capital costs estimates may result from changes to project design, final cost of materials and labor and timing of incurrence of costs due to uncontrollable factors such as permits, regulatory approvals and weather.</w:t>
      </w:r>
    </w:p>
    <w:p>
      <w:pPr>
        <w:spacing w:after="0" w:line="202" w:lineRule="exact"/>
        <w:rPr>
          <w:rFonts w:ascii="Arial" w:cs="Arial" w:eastAsia="Arial" w:hAnsi="Arial"/>
          <w:sz w:val="23"/>
          <w:szCs w:val="23"/>
          <w:color w:val="auto"/>
          <w:vertAlign w:val="superscript"/>
        </w:rPr>
      </w:pPr>
    </w:p>
    <w:p>
      <w:pPr>
        <w:ind w:left="332" w:right="560" w:hanging="332"/>
        <w:spacing w:after="0" w:line="342" w:lineRule="auto"/>
        <w:tabs>
          <w:tab w:leader="none" w:pos="34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Capital Structure. </w:t>
      </w:r>
      <w:r>
        <w:rPr>
          <w:rFonts w:ascii="Arial" w:cs="Arial" w:eastAsia="Arial" w:hAnsi="Arial"/>
          <w:sz w:val="16"/>
          <w:szCs w:val="16"/>
          <w:color w:val="auto"/>
        </w:rPr>
        <w:t>This guidance is based on our capital structure as of December 31, 2011 and assumes that we access the debt and equity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during the second half of the year to provide long-term funding for the BP NGL acquisition and our expansion capital program.</w:t>
      </w:r>
    </w:p>
    <w:p>
      <w:pPr>
        <w:spacing w:after="0" w:line="123" w:lineRule="exact"/>
        <w:rPr>
          <w:rFonts w:ascii="Arial" w:cs="Arial" w:eastAsia="Arial" w:hAnsi="Arial"/>
          <w:sz w:val="16"/>
          <w:szCs w:val="16"/>
          <w:color w:val="auto"/>
        </w:rPr>
      </w:pPr>
    </w:p>
    <w:p>
      <w:pPr>
        <w:ind w:left="332" w:right="40" w:hanging="332"/>
        <w:spacing w:after="0" w:line="312" w:lineRule="auto"/>
        <w:tabs>
          <w:tab w:leader="none" w:pos="34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Debt balances are projected based on estimated cash flows, estimated distribution rates, estimated capital expenditures for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expansion projects, funding requirements for the BP NGL acquisition, expected timing of collections and payments and forecasted levels of inventory and other working capital sources and uses. Interest rate assumptions for variable-rate debt are based on the current forward LIBOR curve.</w:t>
      </w:r>
    </w:p>
    <w:p>
      <w:pPr>
        <w:spacing w:after="0" w:line="146" w:lineRule="exact"/>
        <w:rPr>
          <w:rFonts w:ascii="Arial" w:cs="Arial" w:eastAsia="Arial" w:hAnsi="Arial"/>
          <w:sz w:val="16"/>
          <w:szCs w:val="16"/>
          <w:color w:val="auto"/>
        </w:rPr>
      </w:pPr>
    </w:p>
    <w:p>
      <w:pPr>
        <w:ind w:left="332" w:right="140"/>
        <w:spacing w:after="0" w:line="257" w:lineRule="auto"/>
        <w:rPr>
          <w:rFonts w:ascii="Arial" w:cs="Arial" w:eastAsia="Arial" w:hAnsi="Arial"/>
          <w:sz w:val="16"/>
          <w:szCs w:val="16"/>
          <w:color w:val="auto"/>
        </w:rPr>
      </w:pPr>
      <w:r>
        <w:rPr>
          <w:rFonts w:ascii="Arial" w:cs="Arial" w:eastAsia="Arial" w:hAnsi="Arial"/>
          <w:sz w:val="18"/>
          <w:szCs w:val="18"/>
          <w:color w:val="auto"/>
        </w:rPr>
        <w:t>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spacing w:after="0" w:line="188" w:lineRule="exact"/>
        <w:rPr>
          <w:rFonts w:ascii="Arial" w:cs="Arial" w:eastAsia="Arial" w:hAnsi="Arial"/>
          <w:sz w:val="16"/>
          <w:szCs w:val="16"/>
          <w:color w:val="auto"/>
        </w:rPr>
      </w:pPr>
    </w:p>
    <w:p>
      <w:pPr>
        <w:jc w:val="both"/>
        <w:ind w:left="332" w:right="100" w:hanging="314"/>
        <w:spacing w:after="0" w:line="259" w:lineRule="auto"/>
        <w:tabs>
          <w:tab w:leader="none" w:pos="35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expect Canadian income tax expense to be approximately $10 million and $50 million for the three-month and twelve-month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ending March 31, 2012 and December 31, 2012, respectively, of which approximately $10 million and $55 million, respectively, is classified as current. For the twelve-month period ending December 31, 2012 we expect to have a deferred tax benefit of $5 million. All or part of the income tax expense of $50 million may result in a tax credit to our equity holders.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 w:hanging="332"/>
        <w:spacing w:after="0" w:line="277" w:lineRule="auto"/>
        <w:tabs>
          <w:tab w:leader="none" w:pos="34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Adjusted EBITDA to Implied DCF. </w:t>
      </w:r>
      <w:r>
        <w:rPr>
          <w:rFonts w:ascii="Arial" w:cs="Arial" w:eastAsia="Arial" w:hAnsi="Arial"/>
          <w:sz w:val="18"/>
          <w:szCs w:val="18"/>
          <w:color w:val="auto"/>
        </w:rPr>
        <w:t>The following table reconciles the mid-point of adjusted EBITDA to implied distributable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three-month period ending March 31, 2012 and the twelve-month period ending December 31, 2012.</w:t>
      </w:r>
    </w:p>
    <w:p>
      <w:pPr>
        <w:sectPr>
          <w:pgSz w:w="11900" w:h="16838" w:orient="portrait"/>
          <w:cols w:equalWidth="0" w:num="1">
            <w:col w:w="11392"/>
          </w:cols>
          <w:pgMar w:left="248" w:top="247" w:right="259" w:bottom="0" w:gutter="0" w:footer="0" w:header="0"/>
        </w:sectPr>
      </w:pPr>
    </w:p>
    <w:bookmarkStart w:id="5" w:name="page6"/>
    <w:bookmarkEnd w:id="5"/>
    <w:p>
      <w:pPr>
        <w:spacing w:after="0" w:line="93"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Mid-Point Guidance</w:t>
            </w:r>
          </w:p>
        </w:tc>
      </w:tr>
      <w:tr>
        <w:trPr>
          <w:trHeight w:val="119"/>
        </w:trPr>
        <w:tc>
          <w:tcPr>
            <w:tcW w:w="5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3 Months Ending</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5"/>
              <w:spacing w:after="0" w:line="119" w:lineRule="exact"/>
              <w:rPr>
                <w:sz w:val="20"/>
                <w:szCs w:val="20"/>
                <w:color w:val="auto"/>
              </w:rPr>
            </w:pPr>
            <w:r>
              <w:rPr>
                <w:rFonts w:ascii="Arial" w:cs="Arial" w:eastAsia="Arial" w:hAnsi="Arial"/>
                <w:sz w:val="13"/>
                <w:szCs w:val="13"/>
                <w:b w:val="1"/>
                <w:bCs w:val="1"/>
                <w:color w:val="auto"/>
                <w:w w:val="99"/>
              </w:rPr>
              <w:t>12 Months Ending</w:t>
            </w:r>
          </w:p>
        </w:tc>
        <w:tc>
          <w:tcPr>
            <w:tcW w:w="100" w:type="dxa"/>
            <w:vAlign w:val="bottom"/>
          </w:tcPr>
          <w:p>
            <w:pPr>
              <w:spacing w:after="0"/>
              <w:rPr>
                <w:sz w:val="10"/>
                <w:szCs w:val="10"/>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 31, 2012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 31, 2012</w:t>
            </w:r>
          </w:p>
        </w:tc>
      </w:tr>
      <w:tr>
        <w:trPr>
          <w:trHeight w:val="210"/>
        </w:trPr>
        <w:tc>
          <w:tcPr>
            <w:tcW w:w="5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Distributions to non-controlling interests</w:t>
            </w: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80" w:hanging="332"/>
        <w:spacing w:after="0" w:line="276" w:lineRule="auto"/>
        <w:tabs>
          <w:tab w:leader="none" w:pos="35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Equity Compensation Plans. </w:t>
      </w:r>
      <w:r>
        <w:rPr>
          <w:rFonts w:ascii="Arial" w:cs="Arial" w:eastAsia="Arial" w:hAnsi="Arial"/>
          <w:sz w:val="17"/>
          <w:szCs w:val="17"/>
          <w:color w:val="auto"/>
        </w:rPr>
        <w:t>The majority of grants outstanding under our various equity compensation plans contain vesting criteria that are based on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performance benchmarks and service periods. The grants will vest in various percentages, typically on the later to occur of specified vesting dates and the dates on which minimum distribution levels are reached. Among the various grants outstanding as of February 7, 2012, estimated vesting dates range from February 2012 to May 2019 and annualized distribution levels range from $3.75 to $4.80. For some awards, a percentage of any units remaining unvested as of a date certain will vest on such date and all others will be forfeited.</w:t>
      </w:r>
    </w:p>
    <w:p>
      <w:pPr>
        <w:spacing w:after="0" w:line="172" w:lineRule="exact"/>
        <w:rPr>
          <w:rFonts w:ascii="Arial" w:cs="Arial" w:eastAsia="Arial" w:hAnsi="Arial"/>
          <w:sz w:val="17"/>
          <w:szCs w:val="17"/>
          <w:color w:val="auto"/>
        </w:rPr>
      </w:pPr>
    </w:p>
    <w:p>
      <w:pPr>
        <w:ind w:left="340" w:right="60"/>
        <w:spacing w:after="0" w:line="271" w:lineRule="auto"/>
        <w:rPr>
          <w:rFonts w:ascii="Arial" w:cs="Arial" w:eastAsia="Arial" w:hAnsi="Arial"/>
          <w:sz w:val="17"/>
          <w:szCs w:val="17"/>
          <w:color w:val="auto"/>
        </w:rPr>
      </w:pPr>
      <w:r>
        <w:rPr>
          <w:rFonts w:ascii="Arial" w:cs="Arial" w:eastAsia="Arial" w:hAnsi="Arial"/>
          <w:sz w:val="17"/>
          <w:szCs w:val="17"/>
          <w:color w:val="auto"/>
        </w:rPr>
        <w:t>On January 10, 2012, we declared an annualized distribution of $4.10 payable on February 14, 2012 to our unitholders of record as of February 3, 2012. We have made the assessment that a $4.35 distribution level is probable of occurring, and accordingly, for grants that vest at annualized distribution levels of $4.35 or less, guidance includes an accrual over the applicable service period at an assumed market price of $73.00 per unit as well as an accrual associated with awards that will vest on a date certain. The actual amount of equity compensation expense amortization in any given period will be directly influenced by (i) our unit price at the end of each reporting period, (ii) our unit price on the vesting date (iii) the probability assessment regarding distributions, and (iv) new equity compensation award grants. For example, a $3.00 change in the unit price assumption at March 31, 2012 would change the first-quarter equity compensation expense by approximately $4 million and the full-year equity compensation expense by approximately $12 million. Therefore, actual net income could differ materially from our projections.</w:t>
      </w:r>
    </w:p>
    <w:p>
      <w:pPr>
        <w:spacing w:after="0" w:line="178" w:lineRule="exact"/>
        <w:rPr>
          <w:rFonts w:ascii="Arial" w:cs="Arial" w:eastAsia="Arial" w:hAnsi="Arial"/>
          <w:sz w:val="17"/>
          <w:szCs w:val="17"/>
          <w:color w:val="auto"/>
        </w:rPr>
      </w:pPr>
    </w:p>
    <w:p>
      <w:pPr>
        <w:ind w:left="340" w:right="320" w:hanging="332"/>
        <w:spacing w:after="0" w:line="277" w:lineRule="auto"/>
        <w:tabs>
          <w:tab w:leader="none" w:pos="36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 and EBITDA. </w:t>
      </w:r>
      <w:r>
        <w:rPr>
          <w:rFonts w:ascii="Arial" w:cs="Arial" w:eastAsia="Arial" w:hAnsi="Arial"/>
          <w:sz w:val="18"/>
          <w:szCs w:val="18"/>
          <w:color w:val="auto"/>
        </w:rPr>
        <w:t>The following table reconciles net income to EBIT and EBITDA for the three-month and twelve-month periods ending March 31, 2012 and December 31, 2012,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Guidance</w:t>
            </w: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19"/>
        </w:trPr>
        <w:tc>
          <w:tcPr>
            <w:tcW w:w="13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80" w:type="dxa"/>
            <w:vAlign w:val="bottom"/>
            <w:gridSpan w:val="5"/>
          </w:tcPr>
          <w:p>
            <w:pPr>
              <w:jc w:val="right"/>
              <w:ind w:right="127"/>
              <w:spacing w:after="0" w:line="119" w:lineRule="exact"/>
              <w:rPr>
                <w:sz w:val="20"/>
                <w:szCs w:val="20"/>
                <w:color w:val="auto"/>
              </w:rPr>
            </w:pPr>
            <w:r>
              <w:rPr>
                <w:rFonts w:ascii="Arial" w:cs="Arial" w:eastAsia="Arial" w:hAnsi="Arial"/>
                <w:sz w:val="13"/>
                <w:szCs w:val="13"/>
                <w:b w:val="1"/>
                <w:bCs w:val="1"/>
                <w:color w:val="auto"/>
              </w:rPr>
              <w:t>3 Months Ending</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5"/>
          </w:tcPr>
          <w:p>
            <w:pPr>
              <w:jc w:val="right"/>
              <w:ind w:right="353"/>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71"/>
        </w:trPr>
        <w:tc>
          <w:tcPr>
            <w:tcW w:w="1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80" w:type="dxa"/>
            <w:vAlign w:val="bottom"/>
            <w:gridSpan w:val="5"/>
          </w:tcPr>
          <w:p>
            <w:pPr>
              <w:jc w:val="right"/>
              <w:ind w:right="187"/>
              <w:spacing w:after="0"/>
              <w:rPr>
                <w:sz w:val="20"/>
                <w:szCs w:val="20"/>
                <w:color w:val="auto"/>
              </w:rPr>
            </w:pPr>
            <w:r>
              <w:rPr>
                <w:rFonts w:ascii="Arial" w:cs="Arial" w:eastAsia="Arial" w:hAnsi="Arial"/>
                <w:sz w:val="14"/>
                <w:szCs w:val="14"/>
                <w:b w:val="1"/>
                <w:bCs w:val="1"/>
                <w:color w:val="auto"/>
              </w:rPr>
              <w:t>March 31, 2012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 2012</w:t>
            </w:r>
          </w:p>
        </w:tc>
        <w:tc>
          <w:tcPr>
            <w:tcW w:w="180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216"/>
        </w:trPr>
        <w:tc>
          <w:tcPr>
            <w:tcW w:w="13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to EBITDA</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224</w:t>
            </w:r>
          </w:p>
        </w:tc>
        <w:tc>
          <w:tcPr>
            <w:tcW w:w="74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w:t>
            </w: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20" w:type="dxa"/>
            <w:vAlign w:val="bottom"/>
          </w:tcPr>
          <w:p>
            <w:pPr>
              <w:jc w:val="right"/>
              <w:ind w:right="25"/>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29" w:lineRule="exact"/>
        <w:rPr>
          <w:sz w:val="20"/>
          <w:szCs w:val="20"/>
          <w:color w:val="auto"/>
        </w:rPr>
      </w:pPr>
    </w:p>
    <w:p>
      <w:pPr>
        <w:ind w:right="80" w:firstLine="288"/>
        <w:spacing w:after="0" w:line="255"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spacing w:after="0" w:line="193"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consummate and integrate the BP NGL acquisition;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implement or capitalize on planned internal growth projects;</w:t>
      </w:r>
    </w:p>
    <w:p>
      <w:pPr>
        <w:spacing w:after="0" w:line="225" w:lineRule="exact"/>
        <w:rPr>
          <w:rFonts w:ascii="Arial" w:cs="Arial" w:eastAsia="Arial" w:hAnsi="Arial"/>
          <w:sz w:val="18"/>
          <w:szCs w:val="18"/>
          <w:color w:val="auto"/>
        </w:rPr>
      </w:pPr>
    </w:p>
    <w:p>
      <w:pPr>
        <w:ind w:left="300" w:hanging="274"/>
        <w:spacing w:after="0"/>
        <w:tabs>
          <w:tab w:leader="none" w:pos="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abrupt or severe declines or interruptions in outer continental shelf production located offshore California and transported on our pipeline systems;</w:t>
      </w:r>
    </w:p>
    <w:p>
      <w:pPr>
        <w:spacing w:after="0" w:line="236" w:lineRule="exact"/>
        <w:rPr>
          <w:rFonts w:ascii="Arial" w:cs="Arial" w:eastAsia="Arial" w:hAnsi="Arial"/>
          <w:sz w:val="17"/>
          <w:szCs w:val="17"/>
          <w:color w:val="auto"/>
        </w:rPr>
      </w:pPr>
    </w:p>
    <w:p>
      <w:pPr>
        <w:ind w:left="300" w:hanging="292"/>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40" w:right="160" w:hanging="332"/>
        <w:spacing w:after="0" w:line="264" w:lineRule="auto"/>
        <w:tabs>
          <w:tab w:leader="none" w:pos="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ectPr>
          <w:pgSz w:w="11900" w:h="16931" w:orient="portrait"/>
          <w:cols w:equalWidth="0" w:num="1">
            <w:col w:w="11460"/>
          </w:cols>
          <w:pgMar w:left="240" w:top="333" w:right="199" w:bottom="0" w:gutter="0" w:footer="0" w:header="0"/>
        </w:sectPr>
      </w:pPr>
    </w:p>
    <w:bookmarkStart w:id="6" w:name="page7"/>
    <w:bookmarkEnd w:id="6"/>
    <w:p>
      <w:pPr>
        <w:ind w:left="340" w:right="320" w:hanging="332"/>
        <w:spacing w:after="0" w:line="277" w:lineRule="auto"/>
        <w:tabs>
          <w:tab w:leader="none" w:pos="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260" w:hanging="332"/>
        <w:spacing w:after="0" w:line="277" w:lineRule="auto"/>
        <w:tabs>
          <w:tab w:leader="none" w:pos="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170" w:lineRule="exact"/>
        <w:rPr>
          <w:rFonts w:ascii="Arial" w:cs="Arial" w:eastAsia="Arial" w:hAnsi="Arial"/>
          <w:sz w:val="18"/>
          <w:szCs w:val="18"/>
          <w:color w:val="auto"/>
        </w:rPr>
      </w:pPr>
    </w:p>
    <w:p>
      <w:pPr>
        <w:ind w:left="340" w:right="440" w:hanging="332"/>
        <w:spacing w:after="0" w:line="277" w:lineRule="auto"/>
        <w:tabs>
          <w:tab w:leader="none" w:pos="3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74"/>
        <w:spacing w:after="0"/>
        <w:tabs>
          <w:tab w:leader="none" w:pos="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developments and circumstances at the time distributions are declared;</w:t>
      </w:r>
    </w:p>
    <w:p>
      <w:pPr>
        <w:spacing w:after="0" w:line="225" w:lineRule="exact"/>
        <w:rPr>
          <w:rFonts w:ascii="Arial" w:cs="Arial" w:eastAsia="Arial" w:hAnsi="Arial"/>
          <w:sz w:val="18"/>
          <w:szCs w:val="18"/>
          <w:color w:val="auto"/>
        </w:rPr>
      </w:pPr>
    </w:p>
    <w:p>
      <w:pPr>
        <w:ind w:left="340" w:right="760" w:hanging="332"/>
        <w:spacing w:after="0" w:line="277" w:lineRule="auto"/>
        <w:tabs>
          <w:tab w:leader="none" w:pos="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300" w:hanging="332"/>
        <w:spacing w:after="0" w:line="277" w:lineRule="auto"/>
        <w:tabs>
          <w:tab w:leader="none" w:pos="3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refined products and liquefied petroleum gas and other natural gas related petroleum products.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8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3"/>
          </w:tcPr>
          <w:p>
            <w:pPr>
              <w:ind w:left="21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760" w:type="dxa"/>
            <w:vAlign w:val="bottom"/>
          </w:tcPr>
          <w:p>
            <w:pPr>
              <w:ind w:left="21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760" w:type="dxa"/>
            <w:vAlign w:val="bottom"/>
          </w:tcPr>
          <w:p>
            <w:pPr>
              <w:ind w:left="21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760" w:type="dxa"/>
            <w:vAlign w:val="bottom"/>
          </w:tcPr>
          <w:p>
            <w:pPr>
              <w:ind w:left="2120"/>
              <w:spacing w:after="0"/>
              <w:rPr>
                <w:sz w:val="20"/>
                <w:szCs w:val="20"/>
                <w:color w:val="auto"/>
              </w:rPr>
            </w:pPr>
            <w:r>
              <w:rPr>
                <w:rFonts w:ascii="Arial" w:cs="Arial" w:eastAsia="Arial" w:hAnsi="Arial"/>
                <w:sz w:val="18"/>
                <w:szCs w:val="18"/>
                <w:color w:val="auto"/>
              </w:rPr>
              <w:t>By:</w:t>
            </w:r>
          </w:p>
        </w:tc>
        <w:tc>
          <w:tcPr>
            <w:tcW w:w="500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8, 2012</w:t>
            </w:r>
          </w:p>
        </w:tc>
        <w:tc>
          <w:tcPr>
            <w:tcW w:w="2760" w:type="dxa"/>
            <w:vAlign w:val="bottom"/>
          </w:tcPr>
          <w:p>
            <w:pPr>
              <w:ind w:left="21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Kingswell-Smith</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60"/>
              <w:spacing w:after="0" w:line="195" w:lineRule="exact"/>
              <w:rPr>
                <w:sz w:val="20"/>
                <w:szCs w:val="20"/>
                <w:color w:val="auto"/>
              </w:rPr>
            </w:pPr>
            <w:r>
              <w:rPr>
                <w:rFonts w:ascii="Arial" w:cs="Arial" w:eastAsia="Arial" w:hAnsi="Arial"/>
                <w:sz w:val="18"/>
                <w:szCs w:val="18"/>
                <w:color w:val="auto"/>
              </w:rPr>
              <w:t>Charles Kingswell-Smith</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60"/>
              <w:spacing w:after="0"/>
              <w:rPr>
                <w:sz w:val="20"/>
                <w:szCs w:val="20"/>
                <w:color w:val="auto"/>
              </w:rPr>
            </w:pP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760" w:type="dxa"/>
            <w:vAlign w:val="bottom"/>
          </w:tcPr>
          <w:p>
            <w:pPr>
              <w:ind w:left="196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169795" cy="805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80581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154940</wp:posOffset>
            </wp:positionV>
            <wp:extent cx="2461260" cy="805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612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Plains All American Pipeline, L.P. Reports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Fourth-Quarter and Full-Year 2011 Results</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(Houston — February 8, 2012) Plains All American Pipeline, L.P. (NYSE: PAA) today reported net income attributable to Plains of $278 million, or $1.37 per diluted limited partner unit, for the fourth quarter of 2011 and net income attributable to Plains of $966 million, or $4.88 per diluted limited partner unit, for the full year 2011. Net income attributable to Plains for the fourth quarter of 2010 was $142 million, or $0.67 per diluted limited partner unit, and net income attributable to Plains for the full year 2010 was $505 million, or $2.40 per diluted limited partner unit. The Partnership reported earnings before interest, taxes, depreciation and amortization (“EBITDA”) of $426 million and $1.54 billion for the respective fourth-quarter and full-year 2011 periods compared to reported EBITDA of $277 million and $1.02 billion, for the comparable 2010 periods.</w:t>
      </w:r>
    </w:p>
    <w:p>
      <w:pPr>
        <w:spacing w:after="0" w:line="17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“PAA delivered record level performance for the fourth quarter and full year of 2011 and meaningfully exceeded our public guidance ranges,” said Greg L. Armstrong, Chairman and CEO of Plains All American. “These results are a testament to the strength of PAA’s business model and strategic asset base and the outstanding execution by PAA’s employees during a period of strong fundamentals and favorable market conditions.”</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“Looking forward, PAA is well positioned to continue to deliver attractive results. During 2011, we invested $1.9 billion in expansion capital and acquisitions and we plan to invest over $2.5 billion in 2012 through our $850 million expansion capital program and our pending $1.7 billion acquisition of BP’s Canadian NGL business. PAA is also well positioned to finance this growth while maintaining a solid capital structure and a high level of liquidity. As a result of our proactive financing activities and cash generated in excess of our distributions, PAA ended the year with a strong balance sheet, over $3.5 billion of committed liquidity and favorably positioned with respect to our targeted credit profile.”</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“Based on this positioning and strong industry fundamentals, we are targeting to increase our limited partner distributions by 8% to 9% during 2012, while maintaining attractive distribution coverage levels.”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Partnership’s reported results include the impact of items that affect comparability between reporting periods. These items are excluded from adjusted results, as detailed in the table below. Accordingly, the Partnership’s fourth-quarter 2011 adjusted net income attributable to Plains, adjusted net income per diluted limited partner unit and adjusted EBITDA were $322 million, $1.65 and $471 million, respectively, as compared to fourth-quarter 2010 respective results of $187 million, $0.99 and $322 million.</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Partnership’s adjusted net income attributable to Plains, adjusted net income per diluted limited partner unit and adjusted EBITDA for the full year 2011 were $1.02 billion, $5.24 and $1.60 billion, respectively, as compared to the full-year 2010 respective results of $594 million, $3.03 and $1.11 billion. (See the section of this release entitled “Non-GAAP Financial Measures” and the attached tables for discussion of EBITDA and other non-GAAP financial measures, and reconciliations of such measures to the comparable GAAP measures.)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selected items that the Partnership believes impact comparability of financial results between reporting periods (amounts in millions, except per unit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right"/>
              <w:ind w:right="16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ind w:right="106"/>
              <w:spacing w:after="0"/>
              <w:rPr>
                <w:sz w:val="20"/>
                <w:szCs w:val="20"/>
                <w:color w:val="auto"/>
              </w:rPr>
            </w:pPr>
            <w:r>
              <w:rPr>
                <w:rFonts w:ascii="Arial" w:cs="Arial" w:eastAsia="Arial" w:hAnsi="Arial"/>
                <w:sz w:val="14"/>
                <w:szCs w:val="14"/>
                <w:b w:val="1"/>
                <w:bCs w:val="1"/>
                <w:color w:val="auto"/>
              </w:rPr>
              <w:t>Twelve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86"/>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 / (Loss)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Equity compensation expense </w:t>
            </w:r>
            <w:r>
              <w:rPr>
                <w:rFonts w:ascii="Arial" w:cs="Arial" w:eastAsia="Arial" w:hAnsi="Arial"/>
                <w:sz w:val="23"/>
                <w:szCs w:val="23"/>
                <w:color w:val="auto"/>
                <w:vertAlign w:val="superscript"/>
              </w:rPr>
              <w:t>(2)</w:t>
            </w:r>
          </w:p>
        </w:tc>
        <w:tc>
          <w:tcPr>
            <w:tcW w:w="90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86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82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Gains/(losses) from other derivative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loss on early repayment of senior notes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7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Gain/(loss) on foreign currency revaluation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Significant acquisition-related expenses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3"/>
              </w:rPr>
              <w:t>Selected items impacting comparability of net income attributable to Plains</w:t>
            </w: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GP 2% portion of selected items impacting comparability</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LP 98% portion of selected items impacting comparability</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Impact to basic net income per limited partner unit</w:t>
            </w:r>
          </w:p>
        </w:tc>
        <w:tc>
          <w:tcPr>
            <w:tcW w:w="900" w:type="dxa"/>
            <w:vAlign w:val="bottom"/>
            <w:gridSpan w:val="2"/>
          </w:tcPr>
          <w:p>
            <w:pPr>
              <w:jc w:val="right"/>
              <w:ind w:right="57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(0.28)</w:t>
            </w:r>
          </w:p>
        </w:tc>
        <w:tc>
          <w:tcPr>
            <w:tcW w:w="86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(0.31)</w:t>
            </w:r>
          </w:p>
        </w:tc>
        <w:tc>
          <w:tcPr>
            <w:tcW w:w="82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(0.37)</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(0.64)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Impact to diluted net income per limited partner unit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7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(0.28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(0.32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39"/>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(0.36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(0.63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ectPr>
          <w:pgSz w:w="11900" w:h="16838" w:orient="portrait"/>
          <w:cols w:equalWidth="0" w:num="1">
            <w:col w:w="11420"/>
          </w:cols>
          <w:pgMar w:left="240" w:top="121" w:right="239" w:bottom="0" w:gutter="0" w:footer="0" w:header="0"/>
        </w:sectPr>
      </w:pPr>
    </w:p>
    <w:bookmarkStart w:id="8" w:name="page9"/>
    <w:bookmarkEnd w:id="8"/>
    <w:p>
      <w:pPr>
        <w:ind w:right="60" w:firstLine="8"/>
        <w:spacing w:after="0" w:line="269" w:lineRule="auto"/>
        <w:tabs>
          <w:tab w:leader="none" w:pos="181"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Equity compensation expense for both the three and twelve months ended December 31, 2011 and 2010 excludes the portion of equity compensation expense represented by grants under our Long-term Incentive Plans (“LTIPs”) that, pursuant to the terms of the grant, will be settled in cash only and have no impact on diluted units.</w:t>
      </w:r>
    </w:p>
    <w:p>
      <w:pPr>
        <w:spacing w:after="0" w:line="17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other immaterial selected items impacting comparability, as well as the noncontrolling interests’ portion of selected items.</w:t>
      </w:r>
    </w:p>
    <w:p>
      <w:pPr>
        <w:spacing w:after="0" w:line="201" w:lineRule="exact"/>
        <w:rPr>
          <w:rFonts w:ascii="Arial" w:cs="Arial" w:eastAsia="Arial" w:hAnsi="Arial"/>
          <w:sz w:val="21"/>
          <w:szCs w:val="21"/>
          <w:color w:val="auto"/>
          <w:vertAlign w:val="superscript"/>
        </w:rPr>
      </w:pPr>
    </w:p>
    <w:p>
      <w:pPr>
        <w:ind w:left="5520" w:hanging="96"/>
        <w:spacing w:after="0"/>
        <w:tabs>
          <w:tab w:leader="none" w:pos="5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10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tables present certain selected financial information by segment for the fourth-quarter and full-year 2011 and 2010 reporting periods (amounts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December 31, 2010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Supply &amp;</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Supply &amp;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(8,190)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(6,823)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Equity compensation expense - operations</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G&amp;A expenses (excluding equity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expense - general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Segment profit excluding selected items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gridSpan w:val="2"/>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160</w:t>
            </w:r>
          </w:p>
        </w:tc>
        <w:tc>
          <w:tcPr>
            <w:tcW w:w="30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107</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200</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138</w:t>
            </w:r>
          </w:p>
        </w:tc>
        <w:tc>
          <w:tcPr>
            <w:tcW w:w="3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75</w:t>
            </w:r>
          </w:p>
        </w:tc>
        <w:tc>
          <w:tcPr>
            <w:tcW w:w="160" w:type="dxa"/>
            <w:vAlign w:val="bottom"/>
            <w:gridSpan w:val="2"/>
            <w:vMerge w:val="restart"/>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impacting comparability</w:t>
            </w:r>
          </w:p>
        </w:tc>
        <w:tc>
          <w:tcPr>
            <w:tcW w:w="10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Twelve Months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6"/>
          </w:tcPr>
          <w:p>
            <w:pPr>
              <w:jc w:val="center"/>
              <w:ind w:left="812"/>
              <w:spacing w:after="0"/>
              <w:rPr>
                <w:sz w:val="20"/>
                <w:szCs w:val="20"/>
                <w:color w:val="auto"/>
              </w:rPr>
            </w:pPr>
            <w:r>
              <w:rPr>
                <w:rFonts w:ascii="Arial" w:cs="Arial" w:eastAsia="Arial" w:hAnsi="Arial"/>
                <w:sz w:val="14"/>
                <w:szCs w:val="14"/>
                <w:b w:val="1"/>
                <w:bCs w:val="1"/>
                <w:color w:val="auto"/>
                <w:w w:val="92"/>
              </w:rPr>
              <w:t>Twelve Months Ended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December 31, 2011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December 31, 2010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Supply &amp;</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Supply &amp;</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(31,984)</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(24,448)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Equity compensation expense - operations</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Segment G&amp;A expenses (excluding equity</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expense - general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2"/>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Segment profit excluding selected items</w:t>
            </w: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60" w:type="dxa"/>
            <w:vAlign w:val="bottom"/>
            <w:gridSpan w:val="2"/>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595</w:t>
            </w:r>
          </w:p>
        </w:tc>
        <w:tc>
          <w:tcPr>
            <w:tcW w:w="30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381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613</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549</w:t>
            </w:r>
          </w:p>
        </w:tc>
        <w:tc>
          <w:tcPr>
            <w:tcW w:w="3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284</w:t>
            </w:r>
          </w:p>
        </w:tc>
        <w:tc>
          <w:tcPr>
            <w:tcW w:w="160" w:type="dxa"/>
            <w:vAlign w:val="bottom"/>
            <w:gridSpan w:val="2"/>
            <w:vMerge w:val="restart"/>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impacting comparability</w:t>
            </w:r>
          </w:p>
        </w:tc>
        <w:tc>
          <w:tcPr>
            <w:tcW w:w="10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86</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intersegment amounts.</w:t>
      </w:r>
    </w:p>
    <w:p>
      <w:pPr>
        <w:spacing w:after="0" w:line="82" w:lineRule="exact"/>
        <w:rPr>
          <w:rFonts w:ascii="Arial" w:cs="Arial" w:eastAsia="Arial" w:hAnsi="Arial"/>
          <w:sz w:val="21"/>
          <w:szCs w:val="21"/>
          <w:color w:val="auto"/>
          <w:vertAlign w:val="superscript"/>
        </w:rPr>
      </w:pPr>
    </w:p>
    <w:p>
      <w:pPr>
        <w:jc w:val="both"/>
        <w:ind w:right="200" w:firstLine="8"/>
        <w:spacing w:after="0" w:line="268" w:lineRule="auto"/>
        <w:tabs>
          <w:tab w:leader="none" w:pos="181"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Includes acquisition-related expenses for the 2011 periods.</w:t>
      </w:r>
    </w:p>
    <w:p>
      <w:pPr>
        <w:spacing w:after="0" w:line="4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82"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Adjusted segment profit for the Transportation segment for the fourth quarter and full year 2011 increased by approximately 16% and 8%, respectively, over comparable 2010 results. Increases for both periods were primarily driven by higher pipeline tariffs and volumes, partially offset by higher operating expenses. Full-year 2011 results include a $31 million negative impact associated with the Rainbow pipeline incident that occurred during the second quarter.</w:t>
      </w:r>
    </w:p>
    <w:p>
      <w:pPr>
        <w:spacing w:after="0" w:line="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Adjusted segment profit for the Facilities segment for the fourth quarter and full year 2011 increased by approximately 43% and 34%, respectively, over comparable 2010 results primarily due to the Southern Pines gas storage facility acquisition (closed in February 2011) and capacity increases from organic growth capital projects.</w:t>
      </w:r>
    </w:p>
    <w:p>
      <w:pPr>
        <w:sectPr>
          <w:pgSz w:w="11900" w:h="16838" w:orient="portrait"/>
          <w:cols w:equalWidth="0" w:num="1">
            <w:col w:w="11420"/>
          </w:cols>
          <w:pgMar w:left="240" w:top="125" w:right="239" w:bottom="15" w:gutter="0" w:footer="0" w:header="0"/>
        </w:sectPr>
      </w:pPr>
    </w:p>
    <w:bookmarkStart w:id="9" w:name="page10"/>
    <w:bookmarkEnd w:id="9"/>
    <w:p>
      <w:pPr>
        <w:jc w:val="both"/>
        <w:ind w:right="100" w:firstLine="648"/>
        <w:spacing w:after="0" w:line="312" w:lineRule="auto"/>
        <w:rPr>
          <w:sz w:val="20"/>
          <w:szCs w:val="20"/>
          <w:color w:val="auto"/>
        </w:rPr>
      </w:pPr>
      <w:r>
        <w:rPr>
          <w:rFonts w:ascii="Arial" w:cs="Arial" w:eastAsia="Arial" w:hAnsi="Arial"/>
          <w:sz w:val="16"/>
          <w:szCs w:val="16"/>
          <w:color w:val="auto"/>
        </w:rPr>
        <w:t>Adjusted segment profit for the Supply and Logistics segment for the fourth quarter and full year 2011 increased by approximately 83% and 121%, respectively, over comparable 2010 results primarily due to increased crude oil lease gathering volumes and margins related to high levels of drilling activity in areas that we service, the acquisition of Nexen’s Bakken crude oil business (closed in December 2010) and favorable crude oil market conditions.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Partnership’s basic weighted average units outstanding for the fourth quarter 2011 totaled 152 million (154 million diluted) as compared to 138 million (139 million diluted) in last year’s fourth quarter. On December 31, 2011, the Partnership had approximately 155.4 million units outstanding, long-term debt of approximately $4.5 billion and a long-term debt-to-total capitalization ratio of 43%.</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Partnership has declared a quarterly distribution of $1.025 per unit ($4.10 per unit on an annualized basis) payable February 14, 2012, on its outstanding limited partner units. This distribution represents an increase of approximately 7.0% over the quarterly distribution paid in February 2011 and an increase of approximately 3.0% over the quarterly distribution paid in November 2011.</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Partnership will hold a conference call at 11:00 AM (Eastern) on February 9, 2012 (see details below). Prior to this conference call, the Partnership will furnish a current report on Form 8-K, which will include material in this press release and financial and operational guidance for the first quarter and full year 2012. A copy of the Form 8-K will be available on the Partnership’s website at www.paalp.com.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that are known as “non-GAAP financial measures” in its evaluation of past performance and prospects for the future. These measures include adjusted EBITDA and implied distributable cash flow (“DCF”).</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These additional financial measures are reconciled from the most directly comparable measures as reported in accordance with GAAP, and should be viewed in addition to, and not in lieu of, our consolidated financial statements and footnotes.</w:t>
      </w:r>
    </w:p>
    <w:p>
      <w:pPr>
        <w:spacing w:after="0" w:line="16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A full analysis of these types of variations are not separately identified in this release, but will be discussed, as applicable, in management’s discussion and analysis of operating results in our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will host a conference call at 11:00 AM (Eastern) on Thursday, February 9, 2012 to discuss the following items:</w:t>
      </w:r>
    </w:p>
    <w:p>
      <w:pPr>
        <w:spacing w:after="0" w:line="225" w:lineRule="exact"/>
        <w:rPr>
          <w:sz w:val="20"/>
          <w:szCs w:val="20"/>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Partnership’s fourth-quarter and full-year 2011 performance;</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and operating guidance for the first quarter and full year 2012; and</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Partnership’s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Webcast Instructions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access the Internet webcast, please go to the Partnership’s website at www.paalp.com, choose “Investor Relations,” and then choose “Conference Calls.” Following the live webcast, the call will be archived for a period of sixty (60) days on the Partnership’s website.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ectPr>
          <w:pgSz w:w="11900" w:h="16838" w:orient="portrait"/>
          <w:cols w:equalWidth="0" w:num="1">
            <w:col w:w="11400"/>
          </w:cols>
          <w:pgMar w:left="240" w:top="125" w:right="259" w:bottom="100" w:gutter="0" w:footer="0" w:header="0"/>
        </w:sectPr>
      </w:pPr>
    </w:p>
    <w:bookmarkStart w:id="10" w:name="page11"/>
    <w:bookmarkEnd w:id="10"/>
    <w:p>
      <w:pPr>
        <w:spacing w:after="0" w:line="62"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Alternatively, you may access the live conference call by dialing toll free 800-230-1085. International callers should dial 612-288-0340.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listen to a telephonic replay of the conference call, please dial 800-475-6701, or, for international callers, 320-365-3844, and replay access code</w:t>
      </w:r>
    </w:p>
    <w:p>
      <w:pPr>
        <w:spacing w:after="0" w:line="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232108. The replay will be available beginning Thursday, February 9, 2012, at approximately 1:00 PM (Eastern) and continue until 11:59 PM (Eastern) Thursday, March 9,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consummate and integrate the BP NGL acquisition;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unanticipated changes in crude oil market structure, grade differentials and volatility (or lack thereof);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impact of current and future laws, rulings, governmental regulations, accounting standards and statements and related interpretations;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future developments and circumstances at the time distributions are declared;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Plains All American Pipeline, L.P. is a publicly traded master limited partnership engaged in the transportation, storage, terminalling and marketing of crude oil, refined products and liquefied petroleum gas and other natural gas-related petroleum products. Through its general partner interest and majority equity ownership position in PAA Natural Gas Storage, L.P. (NYSE: PNG), PAA also develops and operates natural gas storage facilities. PAA is headquartered in Houston, Texas.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00" w:type="dxa"/>
            <w:vAlign w:val="bottom"/>
            <w:gridSpan w:val="4"/>
          </w:tcPr>
          <w:p>
            <w:pPr>
              <w:jc w:val="center"/>
              <w:ind w:left="347"/>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227"/>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8,884</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7,231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34,275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8,141</w:t>
            </w: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6,688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31,564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8,525</w:t>
            </w:r>
          </w:p>
        </w:tc>
        <w:tc>
          <w:tcPr>
            <w:tcW w:w="2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7,018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32,977</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1,298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7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0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305</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1,039</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 income tax benefit/(expense)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PLAINS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PLAINS:</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40" w:type="dxa"/>
            <w:vAlign w:val="bottom"/>
          </w:tcPr>
          <w:p>
            <w:pPr>
              <w:ind w:left="160"/>
              <w:spacing w:after="0"/>
              <w:rPr>
                <w:sz w:val="20"/>
                <w:szCs w:val="20"/>
                <w:color w:val="auto"/>
              </w:rPr>
            </w:pPr>
            <w:r>
              <w:rPr>
                <w:rFonts w:ascii="Arial" w:cs="Arial" w:eastAsia="Arial" w:hAnsi="Arial"/>
                <w:sz w:val="18"/>
                <w:szCs w:val="18"/>
                <w:b w:val="1"/>
                <w:bCs w:val="1"/>
                <w:color w:val="auto"/>
              </w:rPr>
              <w:t>LIMITED PARTNERS</w:t>
            </w:r>
          </w:p>
        </w:tc>
        <w:tc>
          <w:tcPr>
            <w:tcW w:w="440" w:type="dxa"/>
            <w:vAlign w:val="bottom"/>
          </w:tcPr>
          <w:p>
            <w:pPr>
              <w:spacing w:after="0"/>
              <w:rPr>
                <w:sz w:val="22"/>
                <w:szCs w:val="22"/>
                <w:color w:val="auto"/>
              </w:rPr>
            </w:pPr>
          </w:p>
        </w:tc>
        <w:tc>
          <w:tcPr>
            <w:tcW w:w="150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2"/>
                <w:szCs w:val="22"/>
                <w:color w:val="auto"/>
              </w:rPr>
            </w:pPr>
          </w:p>
        </w:tc>
        <w:tc>
          <w:tcPr>
            <w:tcW w:w="62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730</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top w:val="single" w:sz="8" w:color="CCEEFF"/>
              <w:bottom w:val="single" w:sz="8" w:color="CCEEFF"/>
            </w:tcBorders>
            <w:shd w:val="clear" w:color="auto" w:fill="CCEEFF"/>
          </w:tcPr>
          <w:p>
            <w:pPr>
              <w:ind w:left="160"/>
              <w:spacing w:after="0" w:line="195" w:lineRule="exact"/>
              <w:rPr>
                <w:sz w:val="20"/>
                <w:szCs w:val="20"/>
                <w:color w:val="auto"/>
              </w:rPr>
            </w:pPr>
            <w:r>
              <w:rPr>
                <w:rFonts w:ascii="Arial" w:cs="Arial" w:eastAsia="Arial" w:hAnsi="Arial"/>
                <w:sz w:val="18"/>
                <w:szCs w:val="18"/>
                <w:b w:val="1"/>
                <w:bCs w:val="1"/>
                <w:color w:val="auto"/>
              </w:rPr>
              <w:t>GENERAL PARTNER</w:t>
            </w:r>
          </w:p>
        </w:tc>
        <w:tc>
          <w:tcPr>
            <w:tcW w:w="4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0.68</w:t>
            </w:r>
          </w:p>
        </w:tc>
        <w:tc>
          <w:tcPr>
            <w:tcW w:w="62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150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62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UNITS OUTSTANDING</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DILUTED WEIGHTED AVERAGE UNITS OUTSTANDING</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2"/>
          </w:tcPr>
          <w:p>
            <w:pPr>
              <w:jc w:val="right"/>
              <w:ind w:right="625"/>
              <w:spacing w:after="0"/>
              <w:rPr>
                <w:sz w:val="20"/>
                <w:szCs w:val="20"/>
                <w:color w:val="auto"/>
              </w:rPr>
            </w:pPr>
            <w:r>
              <w:rPr>
                <w:rFonts w:ascii="Arial" w:cs="Arial" w:eastAsia="Arial" w:hAnsi="Arial"/>
                <w:sz w:val="18"/>
                <w:szCs w:val="18"/>
                <w:color w:val="auto"/>
              </w:rPr>
              <w:t>- more -</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spacing w:after="0"/>
              <w:rPr>
                <w:sz w:val="18"/>
                <w:szCs w:val="18"/>
                <w:color w:val="auto"/>
              </w:rPr>
            </w:pPr>
          </w:p>
        </w:tc>
        <w:tc>
          <w:tcPr>
            <w:tcW w:w="2640" w:type="dxa"/>
            <w:vAlign w:val="bottom"/>
            <w:tcBorders>
              <w:bottom w:val="single" w:sz="8" w:color="auto"/>
            </w:tcBorders>
            <w:gridSpan w:val="7"/>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40" w:type="dxa"/>
            <w:vAlign w:val="bottom"/>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40" w:type="dxa"/>
            <w:vAlign w:val="bottom"/>
            <w:gridSpan w:val="3"/>
          </w:tcPr>
          <w:p>
            <w:pPr>
              <w:jc w:val="right"/>
              <w:ind w:right="145"/>
              <w:spacing w:after="0"/>
              <w:rPr>
                <w:sz w:val="20"/>
                <w:szCs w:val="20"/>
                <w:color w:val="auto"/>
              </w:rPr>
            </w:pPr>
            <w:r>
              <w:rPr>
                <w:rFonts w:ascii="Arial" w:cs="Arial" w:eastAsia="Arial" w:hAnsi="Arial"/>
                <w:sz w:val="18"/>
                <w:szCs w:val="18"/>
                <w:b w:val="1"/>
                <w:bCs w:val="1"/>
                <w:color w:val="auto"/>
                <w:w w:val="89"/>
              </w:rPr>
              <w:t>Houston, Texas 77002</w:t>
            </w:r>
          </w:p>
        </w:tc>
        <w:tc>
          <w:tcPr>
            <w:tcW w:w="2640" w:type="dxa"/>
            <w:vAlign w:val="bottom"/>
            <w:gridSpan w:val="7"/>
          </w:tcPr>
          <w:p>
            <w:pPr>
              <w:jc w:val="right"/>
              <w:ind w:right="145"/>
              <w:spacing w:after="0"/>
              <w:rPr>
                <w:sz w:val="20"/>
                <w:szCs w:val="20"/>
                <w:color w:val="auto"/>
              </w:rPr>
            </w:pPr>
            <w:r>
              <w:rPr>
                <w:rFonts w:ascii="Arial" w:cs="Arial" w:eastAsia="Arial" w:hAnsi="Arial"/>
                <w:sz w:val="18"/>
                <w:szCs w:val="18"/>
                <w:b w:val="1"/>
                <w:bCs w:val="1"/>
                <w:color w:val="auto"/>
              </w:rPr>
              <w:t>713-646-4100 / 800-564-3036</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7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OPERATING DATA </w:t>
      </w:r>
      <w:r>
        <w:rPr>
          <w:rFonts w:ascii="Arial" w:cs="Arial" w:eastAsia="Arial" w:hAnsi="Arial"/>
          <w:sz w:val="23"/>
          <w:szCs w:val="23"/>
          <w:u w:val="single" w:color="auto"/>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gridSpan w:val="2"/>
          </w:tcPr>
          <w:p>
            <w:pPr>
              <w:spacing w:after="0"/>
              <w:rPr>
                <w:sz w:val="12"/>
                <w:szCs w:val="12"/>
                <w:color w:val="auto"/>
              </w:rPr>
            </w:pPr>
          </w:p>
        </w:tc>
        <w:tc>
          <w:tcPr>
            <w:tcW w:w="30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activities (Average Daily Volumes in thousands of</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barrels):</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Tariff activities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 American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Basin</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463</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440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Line 63/Line 2000</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23"/>
                <w:szCs w:val="23"/>
                <w:color w:val="auto"/>
                <w:vertAlign w:val="superscript"/>
              </w:rPr>
              <w:t>(2)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40"/>
              <w:spacing w:after="0" w:line="216" w:lineRule="exact"/>
              <w:rPr>
                <w:sz w:val="20"/>
                <w:szCs w:val="20"/>
                <w:color w:val="auto"/>
              </w:rPr>
            </w:pPr>
            <w:r>
              <w:rPr>
                <w:rFonts w:ascii="Arial" w:cs="Arial" w:eastAsia="Arial" w:hAnsi="Arial"/>
                <w:sz w:val="18"/>
                <w:szCs w:val="18"/>
                <w:color w:val="auto"/>
              </w:rPr>
              <w:t xml:space="preserve">Permian Basin Area Systems </w:t>
            </w:r>
            <w:r>
              <w:rPr>
                <w:rFonts w:ascii="Arial" w:cs="Arial" w:eastAsia="Arial" w:hAnsi="Arial"/>
                <w:sz w:val="23"/>
                <w:szCs w:val="23"/>
                <w:color w:val="auto"/>
                <w:vertAlign w:val="superscript"/>
              </w:rPr>
              <w:t>(2)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Mid-Continent Area Systems </w:t>
            </w:r>
            <w:r>
              <w:rPr>
                <w:rFonts w:ascii="Arial" w:cs="Arial" w:eastAsia="Arial" w:hAnsi="Arial"/>
                <w:sz w:val="23"/>
                <w:szCs w:val="23"/>
                <w:color w:val="auto"/>
                <w:vertAlign w:val="superscript"/>
              </w:rPr>
              <w:t>(2)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Manito</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Rangeland</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Refined products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1,118</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1,021</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1,077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Tariff activities total</w:t>
            </w: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3,002</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2,890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340"/>
              <w:spacing w:after="0"/>
              <w:rPr>
                <w:sz w:val="20"/>
                <w:szCs w:val="20"/>
                <w:color w:val="auto"/>
              </w:rPr>
            </w:pPr>
            <w:r>
              <w:rPr>
                <w:rFonts w:ascii="Arial" w:cs="Arial" w:eastAsia="Arial" w:hAnsi="Arial"/>
                <w:sz w:val="18"/>
                <w:szCs w:val="18"/>
                <w:color w:val="auto"/>
              </w:rPr>
              <w:t>Trucking</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Transportation activities total</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Facilities activities (Average Monthly Volumes):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Crude oil, refined products and LPG storage (average monthly capacity in</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280" w:type="dxa"/>
            <w:vAlign w:val="bottom"/>
            <w:vMerge w:val="restart"/>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millions of barrels)</w:t>
            </w:r>
          </w:p>
        </w:tc>
        <w:tc>
          <w:tcPr>
            <w:tcW w:w="7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Natural gas storage (average monthly capacity in billions of cubic feet)</w:t>
            </w:r>
          </w:p>
        </w:tc>
        <w:tc>
          <w:tcPr>
            <w:tcW w:w="7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Borders>
              <w:bottom w:val="single" w:sz="8" w:color="CCEEFF"/>
            </w:tcBorders>
            <w:gridSpan w:val="2"/>
          </w:tcPr>
          <w:p>
            <w:pPr>
              <w:ind w:left="160"/>
              <w:spacing w:after="0" w:line="196" w:lineRule="exact"/>
              <w:rPr>
                <w:sz w:val="20"/>
                <w:szCs w:val="20"/>
                <w:color w:val="auto"/>
              </w:rPr>
            </w:pPr>
            <w:r>
              <w:rPr>
                <w:rFonts w:ascii="Arial" w:cs="Arial" w:eastAsia="Arial" w:hAnsi="Arial"/>
                <w:sz w:val="18"/>
                <w:szCs w:val="18"/>
                <w:color w:val="auto"/>
              </w:rPr>
              <w:t>LPG processing (average throughput in thousands of barrels per day)</w:t>
            </w:r>
          </w:p>
        </w:tc>
        <w:tc>
          <w:tcPr>
            <w:tcW w:w="7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vMerge w:val="continue"/>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80" w:type="dxa"/>
            <w:vAlign w:val="bottom"/>
            <w:gridSpan w:val="2"/>
            <w:shd w:val="clear" w:color="auto" w:fill="CCEEFF"/>
          </w:tcPr>
          <w:p>
            <w:pPr>
              <w:ind w:left="160"/>
              <w:spacing w:after="0" w:line="116" w:lineRule="exact"/>
              <w:rPr>
                <w:sz w:val="20"/>
                <w:szCs w:val="20"/>
                <w:color w:val="auto"/>
              </w:rPr>
            </w:pPr>
            <w:r>
              <w:rPr>
                <w:rFonts w:ascii="Arial" w:cs="Arial" w:eastAsia="Arial" w:hAnsi="Arial"/>
                <w:sz w:val="13"/>
                <w:szCs w:val="13"/>
                <w:color w:val="auto"/>
              </w:rPr>
              <w:t>Facilities activities total (average monthly capacity in millions of barrels)</w:t>
            </w:r>
          </w:p>
        </w:tc>
        <w:tc>
          <w:tcPr>
            <w:tcW w:w="7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7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(3)</w:t>
            </w:r>
          </w:p>
        </w:tc>
        <w:tc>
          <w:tcPr>
            <w:tcW w:w="30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Supply &amp; Logistics activities (Average Daily Volumes in thousands of</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barrels):</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Crude oil lease gathering purchases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776</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636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742</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LPG sales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Waterborne cargos</w:t>
            </w:r>
          </w:p>
        </w:tc>
        <w:tc>
          <w:tcPr>
            <w:tcW w:w="142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Supply &amp; Logistics activities total</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sectPr>
      </w:pPr>
    </w:p>
    <w:bookmarkStart w:id="12" w:name="page13"/>
    <w:bookmarkEnd w:id="12"/>
    <w:p>
      <w:pPr>
        <w:ind w:right="60" w:firstLine="8"/>
        <w:spacing w:after="0" w:line="282" w:lineRule="auto"/>
        <w:tabs>
          <w:tab w:leader="none" w:pos="178"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Volumes associated with acquisitions represent total volumes for the number of days or months (dependent on the calculation) we actually owned the assets divided by the number of days or months in the period.</w:t>
      </w:r>
    </w:p>
    <w:p>
      <w:pPr>
        <w:spacing w:after="0" w:line="150"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The aggregate of multiple systems in the respective areas.</w:t>
      </w:r>
    </w:p>
    <w:p>
      <w:pPr>
        <w:spacing w:after="0" w:line="19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Facilities total is calculated as the sum of: (i) crude oil, refined products and LPG storage capacity; (ii) natural gas capacity divided by 6 to account for the</w:t>
      </w:r>
    </w:p>
    <w:p>
      <w:pPr>
        <w:spacing w:after="0" w:line="1" w:lineRule="exact"/>
        <w:rPr>
          <w:rFonts w:ascii="Arial" w:cs="Arial" w:eastAsia="Arial" w:hAnsi="Arial"/>
          <w:sz w:val="21"/>
          <w:szCs w:val="21"/>
          <w:color w:val="auto"/>
          <w:vertAlign w:val="superscript"/>
        </w:rPr>
      </w:pPr>
    </w:p>
    <w:p>
      <w:pPr>
        <w:ind w:right="620"/>
        <w:spacing w:after="0" w:line="259" w:lineRule="auto"/>
        <w:rPr>
          <w:rFonts w:ascii="Arial" w:cs="Arial" w:eastAsia="Arial" w:hAnsi="Arial"/>
          <w:sz w:val="21"/>
          <w:szCs w:val="21"/>
          <w:color w:val="auto"/>
          <w:vertAlign w:val="superscript"/>
        </w:rPr>
      </w:pPr>
      <w:r>
        <w:rPr>
          <w:rFonts w:ascii="Arial" w:cs="Arial" w:eastAsia="Arial" w:hAnsi="Arial"/>
          <w:sz w:val="18"/>
          <w:szCs w:val="18"/>
          <w:color w:val="auto"/>
        </w:rPr>
        <w:t>6:1 mcf of gas to crude Btu equivalent ratio and further divided by 1,000 to convert to monthly volumes in millions; and (iii) LPG processing volumes multiplied by the number of days in the period and divided by the number of months in the period.</w:t>
      </w:r>
    </w:p>
    <w:p>
      <w:pPr>
        <w:spacing w:after="0" w:line="185" w:lineRule="exact"/>
        <w:rPr>
          <w:rFonts w:ascii="Arial" w:cs="Arial" w:eastAsia="Arial" w:hAnsi="Arial"/>
          <w:sz w:val="21"/>
          <w:szCs w:val="21"/>
          <w:color w:val="auto"/>
          <w:vertAlign w:val="superscript"/>
        </w:rPr>
      </w:pPr>
    </w:p>
    <w:p>
      <w:pPr>
        <w:ind w:left="5520" w:hanging="96"/>
        <w:spacing w:after="0"/>
        <w:tabs>
          <w:tab w:leader="none" w:pos="55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assets</w:t>
            </w:r>
          </w:p>
        </w:tc>
        <w:tc>
          <w:tcPr>
            <w:tcW w:w="212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4,351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w:t>
            </w:r>
          </w:p>
        </w:tc>
        <w:tc>
          <w:tcPr>
            <w:tcW w:w="2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inventory</w:t>
            </w:r>
          </w:p>
        </w:tc>
        <w:tc>
          <w:tcPr>
            <w:tcW w:w="2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net</w:t>
            </w:r>
          </w:p>
        </w:tc>
        <w:tc>
          <w:tcPr>
            <w:tcW w:w="2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liabilities</w:t>
            </w:r>
          </w:p>
        </w:tc>
        <w:tc>
          <w:tcPr>
            <w:tcW w:w="212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4,511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2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liabilities</w:t>
            </w:r>
          </w:p>
        </w:tc>
        <w:tc>
          <w:tcPr>
            <w:tcW w:w="2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9,407</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1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partners’ capital</w:t>
            </w:r>
          </w:p>
        </w:tc>
        <w:tc>
          <w:tcPr>
            <w:tcW w:w="212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21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20" w:type="dxa"/>
            <w:vAlign w:val="bottom"/>
            <w:vMerge w:val="restart"/>
          </w:tcPr>
          <w:p>
            <w:pPr>
              <w:ind w:left="820"/>
              <w:spacing w:after="0"/>
              <w:rPr>
                <w:sz w:val="20"/>
                <w:szCs w:val="20"/>
                <w:color w:val="auto"/>
              </w:rPr>
            </w:pPr>
            <w:r>
              <w:rPr>
                <w:rFonts w:ascii="Arial" w:cs="Arial" w:eastAsia="Arial" w:hAnsi="Arial"/>
                <w:sz w:val="18"/>
                <w:szCs w:val="18"/>
                <w:color w:val="auto"/>
              </w:rPr>
              <w:t>- more -</w:t>
            </w: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3180" w:type="dxa"/>
            <w:vAlign w:val="bottom"/>
            <w:gridSpan w:val="3"/>
          </w:tcPr>
          <w:p>
            <w:pPr>
              <w:jc w:val="right"/>
              <w:ind w:right="692"/>
              <w:spacing w:after="0"/>
              <w:rPr>
                <w:sz w:val="20"/>
                <w:szCs w:val="20"/>
                <w:color w:val="auto"/>
              </w:rPr>
            </w:pPr>
            <w:r>
              <w:rPr>
                <w:rFonts w:ascii="Arial" w:cs="Arial" w:eastAsia="Arial" w:hAnsi="Arial"/>
                <w:sz w:val="18"/>
                <w:szCs w:val="18"/>
                <w:b w:val="1"/>
                <w:bCs w:val="1"/>
                <w:color w:val="auto"/>
                <w:w w:val="99"/>
              </w:rPr>
              <w:t>713-646-4100 / 800-564-3036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20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xml:space="preserve">2011 </w:t>
            </w:r>
            <w:r>
              <w:rPr>
                <w:rFonts w:ascii="Arial" w:cs="Arial" w:eastAsia="Arial" w:hAnsi="Arial"/>
                <w:sz w:val="8"/>
                <w:szCs w:val="8"/>
                <w:b w:val="1"/>
                <w:bCs w:val="1"/>
                <w:color w:val="auto"/>
              </w:rPr>
              <w:t>(1)</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Partners’ capital</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10,494</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11,173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13" w:name="page14"/>
    <w:bookmarkEnd w:id="13"/>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8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5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xml:space="preserve">Adjustment </w:t>
            </w:r>
            <w:r>
              <w:rPr>
                <w:rFonts w:ascii="Arial" w:cs="Arial" w:eastAsia="Arial" w:hAnsi="Arial"/>
                <w:sz w:val="8"/>
                <w:szCs w:val="8"/>
                <w:b w:val="1"/>
                <w:bCs w:val="1"/>
                <w:color w:val="auto"/>
              </w:rPr>
              <w:t>(1)</w:t>
            </w: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840" w:type="dxa"/>
            <w:vAlign w:val="bottom"/>
            <w:tcBorders>
              <w:top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debt</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Partners’ capital</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10,530</w:t>
            </w:r>
          </w:p>
        </w:tc>
        <w:tc>
          <w:tcPr>
            <w:tcW w:w="2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10,530</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8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20" w:firstLine="8"/>
        <w:spacing w:after="0" w:line="273" w:lineRule="auto"/>
        <w:tabs>
          <w:tab w:leader="none" w:pos="181"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Our $500 million, 4.25% senior notes will mature in September 2012 and thus are classified as short-term debt at December 31, 2011. These notes were issued in July 2009 and the proceeds are being used to supplement capital available from our hedged inventory facility. The December 31, 2010 adjustment represents the portion of these senior notes that had been used to fund hedged inventory and would have been classified as short-term debt if funded on our credit facilities.</w:t>
      </w:r>
    </w:p>
    <w:p>
      <w:pPr>
        <w:spacing w:after="0" w:line="177" w:lineRule="exact"/>
        <w:rPr>
          <w:rFonts w:ascii="Arial" w:cs="Arial" w:eastAsia="Arial" w:hAnsi="Arial"/>
          <w:sz w:val="21"/>
          <w:szCs w:val="21"/>
          <w:color w:val="auto"/>
          <w:vertAlign w:val="superscript"/>
        </w:rPr>
      </w:pPr>
    </w:p>
    <w:p>
      <w:pPr>
        <w:ind w:left="5520" w:hanging="96"/>
        <w:spacing w:after="0"/>
        <w:tabs>
          <w:tab w:leader="none" w:pos="5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7" w:lineRule="exact"/>
        <w:rPr>
          <w:sz w:val="20"/>
          <w:szCs w:val="20"/>
          <w:color w:val="auto"/>
        </w:rPr>
      </w:pPr>
    </w:p>
    <w:p>
      <w:pPr>
        <w:ind w:right="4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 for basic and diluted earnings per limited partner unit:</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Attributable to Plains</w:t>
            </w:r>
          </w:p>
        </w:tc>
        <w:tc>
          <w:tcPr>
            <w:tcW w:w="9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9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966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Less: General partner 2% ownership</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Net income available to limited partners in accordance with application of</w:t>
            </w: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vMerge w:val="continue"/>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vMerge w:val="restart"/>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730</w:t>
            </w:r>
          </w:p>
        </w:tc>
        <w:tc>
          <w:tcPr>
            <w:tcW w:w="340" w:type="dxa"/>
            <w:vAlign w:val="bottom"/>
            <w:vMerge w:val="restart"/>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two-class method for MLPs</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Basic weighted average number of limited partner units outstanding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Weighted average LTIP units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number of limited partner units outstanding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9"/>
              </w:rPr>
              <w:t>150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9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9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0.67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40" w:firstLine="8"/>
        <w:spacing w:after="0" w:line="277" w:lineRule="auto"/>
        <w:tabs>
          <w:tab w:leader="none" w:pos="178"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and limited partners in accordance with the contractual terms of the partnership agreement.</w:t>
      </w:r>
    </w:p>
    <w:p>
      <w:pPr>
        <w:spacing w:after="0" w:line="174" w:lineRule="exact"/>
        <w:rPr>
          <w:rFonts w:ascii="Arial" w:cs="Arial" w:eastAsia="Arial" w:hAnsi="Arial"/>
          <w:sz w:val="20"/>
          <w:szCs w:val="20"/>
          <w:color w:val="auto"/>
          <w:vertAlign w:val="superscript"/>
        </w:rPr>
      </w:pPr>
    </w:p>
    <w:p>
      <w:pPr>
        <w:ind w:left="5520" w:hanging="96"/>
        <w:spacing w:after="0"/>
        <w:tabs>
          <w:tab w:leader="none" w:pos="5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ectPr>
          <w:pgSz w:w="11900" w:h="16902" w:orient="portrait"/>
          <w:cols w:equalWidth="0" w:num="1">
            <w:col w:w="11420"/>
          </w:cols>
          <w:pgMar w:left="240" w:top="125"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5"/>
          </w:tcPr>
          <w:p>
            <w:pPr>
              <w:jc w:val="center"/>
              <w:ind w:left="282"/>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Twelve Months Ended</w:t>
            </w:r>
          </w:p>
        </w:tc>
      </w:tr>
      <w:tr>
        <w:trPr>
          <w:trHeight w:val="17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385"/>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0"/>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78"/>
        </w:trPr>
        <w:tc>
          <w:tcPr>
            <w:tcW w:w="55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3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amortization (“EBITDA”) and excluding selected items impacting</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comparability (“Adjusted EBITDA”) reconciliations</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Add: Income tax (benefit)/expense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EBITDA</w:t>
            </w: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of EBITDA</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5"/>
          </w:tcPr>
          <w:p>
            <w:pPr>
              <w:jc w:val="center"/>
              <w:ind w:left="282"/>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Twelve Months Ended</w:t>
            </w:r>
          </w:p>
        </w:tc>
      </w:tr>
      <w:tr>
        <w:trPr>
          <w:trHeight w:val="17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385"/>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0"/>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Adjusted EBITDA</w:t>
            </w:r>
          </w:p>
        </w:tc>
        <w:tc>
          <w:tcPr>
            <w:tcW w:w="112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471</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1,598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1,106</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benefit/(expense)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5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quarter’s net income and are to be paid in the subsequent quarter.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gridSpan w:val="5"/>
          </w:tcPr>
          <w:p>
            <w:pPr>
              <w:jc w:val="right"/>
              <w:ind w:right="18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r>
      <w:tr>
        <w:trPr>
          <w:trHeight w:val="17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 reconciliation</w:t>
            </w:r>
          </w:p>
        </w:tc>
        <w:tc>
          <w:tcPr>
            <w:tcW w:w="1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EBITDA</w:t>
            </w:r>
          </w:p>
        </w:tc>
        <w:tc>
          <w:tcPr>
            <w:tcW w:w="19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88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1,541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benefit/(expense)</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(253)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4"/>
              </w:rPr>
              <w:t>Other items to reconcile to cash flows from operating activities:</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 expense</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Net cash provided by/(used in) operating activities</w:t>
            </w:r>
          </w:p>
        </w:tc>
        <w:tc>
          <w:tcPr>
            <w:tcW w:w="1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720" w:type="dxa"/>
            <w:vAlign w:val="bottom"/>
          </w:tcPr>
          <w:p>
            <w:pPr>
              <w:spacing w:after="0"/>
              <w:rPr>
                <w:sz w:val="24"/>
                <w:szCs w:val="24"/>
                <w:color w:val="auto"/>
              </w:rPr>
            </w:pPr>
          </w:p>
        </w:tc>
        <w:tc>
          <w:tcPr>
            <w:tcW w:w="1980" w:type="dxa"/>
            <w:vAlign w:val="bottom"/>
            <w:gridSpan w:val="2"/>
          </w:tcPr>
          <w:p>
            <w:pPr>
              <w:jc w:val="right"/>
              <w:ind w:right="622"/>
              <w:spacing w:after="0"/>
              <w:rPr>
                <w:sz w:val="20"/>
                <w:szCs w:val="20"/>
                <w:color w:val="auto"/>
              </w:rPr>
            </w:pPr>
            <w:r>
              <w:rPr>
                <w:rFonts w:ascii="Arial" w:cs="Arial" w:eastAsia="Arial" w:hAnsi="Arial"/>
                <w:sz w:val="18"/>
                <w:szCs w:val="18"/>
                <w:color w:val="auto"/>
              </w:rPr>
              <w:t>- more -</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spacing w:after="0"/>
              <w:rPr>
                <w:sz w:val="18"/>
                <w:szCs w:val="18"/>
                <w:color w:val="auto"/>
              </w:rPr>
            </w:pPr>
          </w:p>
        </w:tc>
        <w:tc>
          <w:tcPr>
            <w:tcW w:w="2460" w:type="dxa"/>
            <w:vAlign w:val="bottom"/>
            <w:tcBorders>
              <w:bottom w:val="single" w:sz="8" w:color="auto"/>
            </w:tcBorders>
            <w:gridSpan w:val="8"/>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31"/>
        </w:trPr>
        <w:tc>
          <w:tcPr>
            <w:tcW w:w="47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w w:val="92"/>
              </w:rPr>
              <w:t>Houston, Texas 77002</w:t>
            </w:r>
          </w:p>
        </w:tc>
        <w:tc>
          <w:tcPr>
            <w:tcW w:w="2460" w:type="dxa"/>
            <w:vAlign w:val="bottom"/>
            <w:gridSpan w:val="8"/>
          </w:tcPr>
          <w:p>
            <w:pPr>
              <w:jc w:val="right"/>
              <w:spacing w:after="0"/>
              <w:rPr>
                <w:sz w:val="20"/>
                <w:szCs w:val="20"/>
                <w:color w:val="auto"/>
              </w:rPr>
            </w:pPr>
            <w:r>
              <w:rPr>
                <w:rFonts w:ascii="Arial" w:cs="Arial" w:eastAsia="Arial" w:hAnsi="Arial"/>
                <w:sz w:val="18"/>
                <w:szCs w:val="18"/>
                <w:b w:val="1"/>
                <w:bCs w:val="1"/>
                <w:color w:val="auto"/>
              </w:rPr>
              <w:t>713-646-4100 / 800-564-3036</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472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 (continued)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45"/>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8"/>
              </w:rPr>
              <w:t>Net income and earnings per limited partner unit excluding selected</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items impacting comparability</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Plains</w:t>
            </w:r>
          </w:p>
        </w:tc>
        <w:tc>
          <w:tcPr>
            <w:tcW w:w="92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94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3"/>
              </w:rPr>
              <w:t>Selected items impacting comparability of net income attributable to Plains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Plains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income available to limited partners in accordance with application of the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two-class method for MLPs</w:t>
            </w:r>
          </w:p>
        </w:tc>
        <w:tc>
          <w:tcPr>
            <w:tcW w:w="92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94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Limited partners’ 98% of selected items impacting comparability</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net income per limited partner unit</w:t>
            </w:r>
          </w:p>
        </w:tc>
        <w:tc>
          <w:tcPr>
            <w:tcW w:w="92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940" w:type="dxa"/>
            <w:vAlign w:val="bottom"/>
            <w:gridSpan w:val="2"/>
            <w:shd w:val="clear" w:color="auto" w:fill="CCEEFF"/>
          </w:tcPr>
          <w:p>
            <w:pPr>
              <w:jc w:val="right"/>
              <w:ind w:right="62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0.99</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37" w:right="19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net income per limited partner unit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0.99</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units outstanding</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units outstanding</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spacing w:after="0"/>
              <w:rPr>
                <w:sz w:val="20"/>
                <w:szCs w:val="20"/>
                <w:color w:val="auto"/>
              </w:rPr>
            </w:pPr>
            <w:r>
              <w:rPr>
                <w:rFonts w:ascii="Arial" w:cs="Arial" w:eastAsia="Arial" w:hAnsi="Arial"/>
                <w:sz w:val="18"/>
                <w:szCs w:val="18"/>
                <w:color w:val="auto"/>
              </w:rPr>
              <w:t>Contacts :</w:t>
            </w:r>
          </w:p>
        </w:tc>
        <w:tc>
          <w:tcPr>
            <w:tcW w:w="3400" w:type="dxa"/>
            <w:vAlign w:val="bottom"/>
          </w:tcPr>
          <w:p>
            <w:pPr>
              <w:ind w:left="460"/>
              <w:spacing w:after="0"/>
              <w:rPr>
                <w:sz w:val="20"/>
                <w:szCs w:val="20"/>
                <w:color w:val="auto"/>
              </w:rPr>
            </w:pPr>
            <w:r>
              <w:rPr>
                <w:rFonts w:ascii="Arial" w:cs="Arial" w:eastAsia="Arial" w:hAnsi="Arial"/>
                <w:sz w:val="18"/>
                <w:szCs w:val="18"/>
                <w:color w:val="auto"/>
              </w:rPr>
              <w:t>Roy I. Lamoreaux</w:t>
            </w:r>
          </w:p>
        </w:tc>
        <w:tc>
          <w:tcPr>
            <w:tcW w:w="2120" w:type="dxa"/>
            <w:vAlign w:val="bottom"/>
          </w:tcPr>
          <w:p>
            <w:pPr>
              <w:spacing w:after="0"/>
              <w:rPr>
                <w:sz w:val="17"/>
                <w:szCs w:val="17"/>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7"/>
                <w:szCs w:val="17"/>
                <w:color w:val="auto"/>
              </w:rPr>
            </w:pPr>
          </w:p>
        </w:tc>
      </w:tr>
      <w:tr>
        <w:trPr>
          <w:trHeight w:val="222"/>
        </w:trPr>
        <w:tc>
          <w:tcPr>
            <w:tcW w:w="6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ind w:left="460"/>
              <w:spacing w:after="0"/>
              <w:rPr>
                <w:sz w:val="20"/>
                <w:szCs w:val="20"/>
                <w:color w:val="auto"/>
              </w:rPr>
            </w:pPr>
            <w:r>
              <w:rPr>
                <w:rFonts w:ascii="Arial" w:cs="Arial" w:eastAsia="Arial" w:hAnsi="Arial"/>
                <w:sz w:val="18"/>
                <w:szCs w:val="18"/>
                <w:color w:val="auto"/>
              </w:rPr>
              <w:t>Director, Investor Relations</w:t>
            </w:r>
          </w:p>
        </w:tc>
        <w:tc>
          <w:tcPr>
            <w:tcW w:w="2120" w:type="dxa"/>
            <w:vAlign w:val="bottom"/>
          </w:tcPr>
          <w:p>
            <w:pPr>
              <w:spacing w:after="0"/>
              <w:rPr>
                <w:sz w:val="19"/>
                <w:szCs w:val="19"/>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9"/>
                <w:szCs w:val="19"/>
                <w:color w:val="auto"/>
              </w:rPr>
            </w:pPr>
          </w:p>
        </w:tc>
      </w:tr>
      <w:tr>
        <w:trPr>
          <w:trHeight w:val="230"/>
        </w:trPr>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ind w:left="460"/>
              <w:spacing w:after="0"/>
              <w:rPr>
                <w:sz w:val="20"/>
                <w:szCs w:val="20"/>
                <w:color w:val="auto"/>
              </w:rPr>
            </w:pPr>
            <w:r>
              <w:rPr>
                <w:rFonts w:ascii="Arial" w:cs="Arial" w:eastAsia="Arial" w:hAnsi="Arial"/>
                <w:sz w:val="18"/>
                <w:szCs w:val="18"/>
                <w:color w:val="auto"/>
              </w:rPr>
              <w:t>(713) 646-4222 — (800) 564-3036</w:t>
            </w:r>
          </w:p>
        </w:tc>
        <w:tc>
          <w:tcPr>
            <w:tcW w:w="2120" w:type="dxa"/>
            <w:vAlign w:val="bottom"/>
          </w:tcPr>
          <w:p>
            <w:pPr>
              <w:spacing w:after="0"/>
              <w:rPr>
                <w:sz w:val="20"/>
                <w:szCs w:val="20"/>
                <w:color w:val="auto"/>
              </w:rPr>
            </w:pPr>
          </w:p>
        </w:tc>
        <w:tc>
          <w:tcPr>
            <w:tcW w:w="4700" w:type="dxa"/>
            <w:vAlign w:val="bottom"/>
          </w:tcPr>
          <w:p>
            <w:pPr>
              <w:ind w:left="44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120" w:type="dxa"/>
            <w:vAlign w:val="bottom"/>
          </w:tcPr>
          <w:p>
            <w:pPr>
              <w:jc w:val="right"/>
              <w:ind w:right="790"/>
              <w:spacing w:after="0"/>
              <w:rPr>
                <w:sz w:val="20"/>
                <w:szCs w:val="20"/>
                <w:color w:val="auto"/>
              </w:rPr>
            </w:pPr>
            <w:r>
              <w:rPr>
                <w:rFonts w:ascii="Arial" w:cs="Arial" w:eastAsia="Arial" w:hAnsi="Arial"/>
                <w:sz w:val="18"/>
                <w:szCs w:val="18"/>
                <w:b w:val="1"/>
                <w:bCs w:val="1"/>
                <w:color w:val="auto"/>
              </w:rPr>
              <w:t>###</w:t>
            </w: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331"/>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ind w:left="110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Houston, Texas 77002</w:t>
            </w:r>
          </w:p>
        </w:tc>
        <w:tc>
          <w:tcPr>
            <w:tcW w:w="4700" w:type="dxa"/>
            <w:vAlign w:val="bottom"/>
          </w:tcPr>
          <w:p>
            <w:pPr>
              <w:jc w:val="right"/>
              <w:ind w:right="2210"/>
              <w:spacing w:after="0"/>
              <w:rPr>
                <w:sz w:val="20"/>
                <w:szCs w:val="20"/>
                <w:color w:val="auto"/>
              </w:rPr>
            </w:pPr>
            <w:r>
              <w:rPr>
                <w:rFonts w:ascii="Arial" w:cs="Arial" w:eastAsia="Arial" w:hAnsi="Arial"/>
                <w:sz w:val="18"/>
                <w:szCs w:val="18"/>
                <w:b w:val="1"/>
                <w:bCs w:val="1"/>
                <w:color w:val="auto"/>
                <w:w w:val="99"/>
              </w:rPr>
              <w:t>713-646-4100 / 800-564-3036</w:t>
            </w:r>
          </w:p>
        </w:tc>
        <w:tc>
          <w:tcPr>
            <w:tcW w:w="40" w:type="dxa"/>
            <w:vAlign w:val="bottom"/>
          </w:tcPr>
          <w:p>
            <w:pPr>
              <w:spacing w:after="0"/>
              <w:rPr>
                <w:sz w:val="24"/>
                <w:szCs w:val="24"/>
                <w:color w:val="auto"/>
              </w:rPr>
            </w:pPr>
          </w:p>
        </w:tc>
      </w:tr>
      <w:tr>
        <w:trPr>
          <w:trHeight w:val="348"/>
        </w:trPr>
        <w:tc>
          <w:tcPr>
            <w:tcW w:w="64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340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5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lowerRoman"/>
      <w:start w:val="2"/>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
    <w:nsid w:val="6B68079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lowerLetter"/>
      <w:start w:val="2"/>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lowerLetter"/>
      <w:start w:val="3"/>
    </w:lvl>
    <w:lvl w:ilvl="1">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decimal"/>
      <w:start w:val="4"/>
    </w:lvl>
  </w:abstractNum>
  <w:abstractNum w:abstractNumId="12">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436C6125"/>
    <w:multiLevelType w:val="hybridMultilevel"/>
    <w:lvl w:ilvl="0">
      <w:lvlJc w:val="left"/>
      <w:lvlText w:val="%1."/>
      <w:numFmt w:val="decimal"/>
      <w:start w:val="5"/>
    </w:lvl>
    <w:lvl w:ilvl="1">
      <w:lvlJc w:val="left"/>
      <w:lvlText w:val="%2."/>
      <w:numFmt w:val="decimal"/>
      <w:start w:val="7"/>
    </w:lvl>
    <w:lvl w:ilvl="2">
      <w:lvlJc w:val="left"/>
      <w:lvlText w:val="%3"/>
      <w:numFmt w:val="decimal"/>
      <w:start w:val="1"/>
    </w:lvl>
  </w:abstractNum>
  <w:abstractNum w:abstractNumId="14">
    <w:nsid w:val="628C895D"/>
    <w:multiLevelType w:val="hybridMultilevel"/>
    <w:lvl w:ilvl="0">
      <w:lvlJc w:val="left"/>
      <w:lvlText w:val="%1."/>
      <w:numFmt w:val="decimal"/>
      <w:start w:val="8"/>
    </w:lvl>
  </w:abstractNum>
  <w:abstractNum w:abstractNumId="15">
    <w:nsid w:val="333AB105"/>
    <w:multiLevelType w:val="hybridMultilevel"/>
    <w:lvl w:ilvl="0">
      <w:lvlJc w:val="left"/>
      <w:lvlText w:val="%1."/>
      <w:numFmt w:val="decimal"/>
      <w:start w:val="9"/>
    </w:lvl>
  </w:abstractNum>
  <w:abstractNum w:abstractNumId="16">
    <w:nsid w:val="721DA317"/>
    <w:multiLevelType w:val="hybridMultilevel"/>
    <w:lvl w:ilvl="0">
      <w:lvlJc w:val="left"/>
      <w:lvlText w:val="·"/>
      <w:numFmt w:val="bullet"/>
      <w:start w:val="1"/>
    </w:lvl>
    <w:lvl w:ilvl="1">
      <w:lvlJc w:val="left"/>
      <w:lvlText w:val="·"/>
      <w:numFmt w:val="bullet"/>
      <w:start w:val="1"/>
    </w:lvl>
  </w:abstractNum>
  <w:abstractNum w:abstractNumId="17">
    <w:nsid w:val="2443A858"/>
    <w:multiLevelType w:val="hybridMultilevel"/>
    <w:lvl w:ilvl="0">
      <w:lvlJc w:val="left"/>
      <w:lvlText w:val="·"/>
      <w:numFmt w:val="bullet"/>
      <w:start w:val="1"/>
    </w:lvl>
    <w:lvl w:ilvl="1">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2"/>
    </w:lvl>
    <w:lvl w:ilvl="1">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2020-01-28T23:58:05Z</dcterms:created>
  <dcterms:modified xsi:type="dcterms:W3CDTF">2020-01-28T23:58:05Z</dcterms:modified>
</cp:coreProperties>
</file>