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(Amendment No.3)*</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(Name of Issuer)</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(Title of Class of Securities)</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(CUSIP Number)</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Rule 13d-1(b)</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Rule 13d-1(c)</w:t>
      </w:r>
    </w:p>
    <w:p>
      <w:pPr>
        <w:spacing w:after="0"/>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Rule 13d-1(d)</w:t>
      </w:r>
    </w:p>
    <w:p>
      <w:pPr>
        <w:spacing w:after="0" w:line="213" w:lineRule="exact"/>
        <w:rPr>
          <w:sz w:val="24"/>
          <w:szCs w:val="24"/>
          <w:color w:val="auto"/>
        </w:rPr>
      </w:pPr>
    </w:p>
    <w:p>
      <w:pPr>
        <w:jc w:val="both"/>
        <w:ind w:left="340" w:right="160" w:hanging="332"/>
        <w:spacing w:after="0" w:line="386"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225" w:right="45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726503105</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62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20"/>
                <w:szCs w:val="20"/>
                <w:color w:val="auto"/>
                <w:w w:val="83"/>
              </w:rPr>
              <w:t>1.</w:t>
            </w:r>
          </w:p>
        </w:tc>
        <w:tc>
          <w:tcPr>
            <w:tcW w:w="8300" w:type="dxa"/>
            <w:vAlign w:val="bottom"/>
            <w:tcBorders>
              <w:top w:val="single" w:sz="8" w:color="auto"/>
            </w:tcBorders>
            <w:gridSpan w:val="4"/>
          </w:tcPr>
          <w:p>
            <w:pPr>
              <w:ind w:left="20"/>
              <w:spacing w:after="0"/>
              <w:rPr>
                <w:sz w:val="20"/>
                <w:szCs w:val="20"/>
                <w:color w:val="auto"/>
              </w:rPr>
            </w:pPr>
            <w:r>
              <w:rPr>
                <w:rFonts w:ascii="Arial" w:cs="Arial" w:eastAsia="Arial" w:hAnsi="Arial"/>
                <w:sz w:val="20"/>
                <w:szCs w:val="20"/>
                <w:color w:val="auto"/>
              </w:rPr>
              <w:t>Names of Reporting Persons.</w:t>
            </w:r>
          </w:p>
        </w:tc>
        <w:tc>
          <w:tcPr>
            <w:tcW w:w="2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I.R.S. Identification Nos. of above persons (entities only).</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ALPS Advisors, Inc. (Tax ID: 84-1583423)</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gridSpan w:val="3"/>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2.</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Check the Appropriate Box if a Member of a Group (See Instructions)</w:t>
            </w:r>
          </w:p>
        </w:tc>
        <w:tc>
          <w:tcPr>
            <w:tcW w:w="2500" w:type="dxa"/>
            <w:vAlign w:val="bottom"/>
            <w:tcBorders>
              <w:right w:val="single" w:sz="8" w:color="auto"/>
            </w:tcBorders>
          </w:tcPr>
          <w:p>
            <w:pPr>
              <w:ind w:left="1400"/>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500" w:type="dxa"/>
            <w:vAlign w:val="bottom"/>
            <w:tcBorders>
              <w:right w:val="single" w:sz="8" w:color="auto"/>
            </w:tcBorders>
          </w:tcPr>
          <w:p>
            <w:pPr>
              <w:ind w:left="1400"/>
              <w:spacing w:after="0"/>
              <w:rPr>
                <w:sz w:val="20"/>
                <w:szCs w:val="20"/>
                <w:color w:val="auto"/>
              </w:rPr>
            </w:pPr>
            <w:r>
              <w:rPr>
                <w:rFonts w:ascii="Arial" w:cs="Arial" w:eastAsia="Arial" w:hAnsi="Arial"/>
                <w:sz w:val="20"/>
                <w:szCs w:val="20"/>
                <w:color w:val="auto"/>
              </w:rPr>
              <w:t>(b) X</w:t>
            </w: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3.</w:t>
            </w:r>
          </w:p>
        </w:tc>
        <w:tc>
          <w:tcPr>
            <w:tcW w:w="1260" w:type="dxa"/>
            <w:vAlign w:val="bottom"/>
            <w:gridSpan w:val="2"/>
          </w:tcPr>
          <w:p>
            <w:pPr>
              <w:ind w:left="20"/>
              <w:spacing w:after="0"/>
              <w:rPr>
                <w:sz w:val="20"/>
                <w:szCs w:val="20"/>
                <w:color w:val="auto"/>
              </w:rPr>
            </w:pPr>
            <w:r>
              <w:rPr>
                <w:rFonts w:ascii="Arial" w:cs="Arial" w:eastAsia="Arial" w:hAnsi="Arial"/>
                <w:sz w:val="20"/>
                <w:szCs w:val="20"/>
                <w:color w:val="auto"/>
                <w:w w:val="94"/>
              </w:rPr>
              <w:t>SEC Use Only</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2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gridSpan w:val="3"/>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4.</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Citizenship or Place of Organization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auto"/>
              </w:rPr>
              <w:t>Colorado</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5.</w:t>
            </w:r>
          </w:p>
        </w:tc>
        <w:tc>
          <w:tcPr>
            <w:tcW w:w="6700" w:type="dxa"/>
            <w:vAlign w:val="bottom"/>
          </w:tcPr>
          <w:p>
            <w:pPr>
              <w:ind w:left="120"/>
              <w:spacing w:after="0"/>
              <w:rPr>
                <w:sz w:val="20"/>
                <w:szCs w:val="20"/>
                <w:color w:val="auto"/>
              </w:rPr>
            </w:pPr>
            <w:r>
              <w:rPr>
                <w:rFonts w:ascii="Arial" w:cs="Arial" w:eastAsia="Arial" w:hAnsi="Arial"/>
                <w:sz w:val="20"/>
                <w:szCs w:val="20"/>
                <w:color w:val="auto"/>
              </w:rPr>
              <w:t>Sole Voting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ind w:left="120"/>
              <w:spacing w:after="0"/>
              <w:rPr>
                <w:sz w:val="20"/>
                <w:szCs w:val="20"/>
                <w:color w:val="auto"/>
              </w:rPr>
            </w:pPr>
            <w:r>
              <w:rPr>
                <w:rFonts w:ascii="Arial" w:cs="Arial" w:eastAsia="Arial" w:hAnsi="Arial"/>
                <w:sz w:val="20"/>
                <w:szCs w:val="20"/>
                <w:color w:val="auto"/>
              </w:rPr>
              <w:t>0</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720" w:type="dxa"/>
            <w:vAlign w:val="bottom"/>
            <w:tcBorders>
              <w:left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80" w:type="dxa"/>
            <w:vAlign w:val="bottom"/>
            <w:tcBorders>
              <w:left w:val="single" w:sz="8" w:color="auto"/>
            </w:tcBorders>
            <w:gridSpan w:val="3"/>
          </w:tcPr>
          <w:p>
            <w:pPr>
              <w:ind w:left="80"/>
              <w:spacing w:after="0"/>
              <w:rPr>
                <w:sz w:val="20"/>
                <w:szCs w:val="20"/>
                <w:color w:val="auto"/>
              </w:rPr>
            </w:pPr>
            <w:r>
              <w:rPr>
                <w:rFonts w:ascii="Arial" w:cs="Arial" w:eastAsia="Arial" w:hAnsi="Arial"/>
                <w:sz w:val="20"/>
                <w:szCs w:val="20"/>
                <w:color w:val="auto"/>
              </w:rPr>
              <w:t>Number of</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6.</w:t>
            </w:r>
          </w:p>
        </w:tc>
        <w:tc>
          <w:tcPr>
            <w:tcW w:w="6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w w:val="81"/>
              </w:rPr>
              <w:t>Shares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00" w:type="dxa"/>
            <w:vAlign w:val="bottom"/>
            <w:vMerge w:val="restart"/>
          </w:tcPr>
          <w:p>
            <w:pPr>
              <w:ind w:left="120"/>
              <w:spacing w:after="0"/>
              <w:rPr>
                <w:sz w:val="20"/>
                <w:szCs w:val="20"/>
                <w:color w:val="auto"/>
              </w:rPr>
            </w:pPr>
            <w:r>
              <w:rPr>
                <w:rFonts w:ascii="Arial" w:cs="Arial" w:eastAsia="Arial" w:hAnsi="Arial"/>
                <w:sz w:val="20"/>
                <w:szCs w:val="20"/>
                <w:color w:val="auto"/>
              </w:rPr>
              <w:t>42,113,694**see Note 1**</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880" w:type="dxa"/>
            <w:vAlign w:val="bottom"/>
            <w:tcBorders>
              <w:left w:val="single" w:sz="8" w:color="auto"/>
            </w:tcBorders>
            <w:gridSpan w:val="3"/>
          </w:tcPr>
          <w:p>
            <w:pPr>
              <w:ind w:left="80"/>
              <w:spacing w:after="0"/>
              <w:rPr>
                <w:sz w:val="20"/>
                <w:szCs w:val="20"/>
                <w:color w:val="auto"/>
              </w:rPr>
            </w:pPr>
            <w:r>
              <w:rPr>
                <w:rFonts w:ascii="Arial" w:cs="Arial" w:eastAsia="Arial" w:hAnsi="Arial"/>
                <w:sz w:val="20"/>
                <w:szCs w:val="20"/>
                <w:color w:val="auto"/>
              </w:rPr>
              <w:t>Beneficially</w:t>
            </w:r>
          </w:p>
        </w:tc>
        <w:tc>
          <w:tcPr>
            <w:tcW w:w="34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tcBorders>
            <w:gridSpan w:val="2"/>
          </w:tcPr>
          <w:p>
            <w:pPr>
              <w:ind w:left="80"/>
              <w:spacing w:after="0" w:line="199" w:lineRule="exact"/>
              <w:rPr>
                <w:sz w:val="20"/>
                <w:szCs w:val="20"/>
                <w:color w:val="auto"/>
              </w:rPr>
            </w:pPr>
            <w:r>
              <w:rPr>
                <w:rFonts w:ascii="Arial" w:cs="Arial" w:eastAsia="Arial" w:hAnsi="Arial"/>
                <w:sz w:val="20"/>
                <w:szCs w:val="20"/>
                <w:color w:val="auto"/>
              </w:rPr>
              <w:t>Owned by</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20"/>
                <w:szCs w:val="20"/>
                <w:color w:val="auto"/>
              </w:rPr>
              <w:t>7.</w:t>
            </w:r>
          </w:p>
        </w:tc>
        <w:tc>
          <w:tcPr>
            <w:tcW w:w="6700" w:type="dxa"/>
            <w:vAlign w:val="bottom"/>
            <w:tcBorders>
              <w:top w:val="single" w:sz="8" w:color="auto"/>
            </w:tcBorders>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25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8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20"/>
                <w:szCs w:val="20"/>
                <w:color w:val="auto"/>
              </w:rPr>
              <w:t>Each Reporting</w:t>
            </w:r>
          </w:p>
        </w:tc>
        <w:tc>
          <w:tcPr>
            <w:tcW w:w="34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tcBorders>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tcBorders>
            <w:gridSpan w:val="3"/>
          </w:tcPr>
          <w:p>
            <w:pPr>
              <w:ind w:left="80"/>
              <w:spacing w:after="0"/>
              <w:rPr>
                <w:sz w:val="20"/>
                <w:szCs w:val="20"/>
                <w:color w:val="auto"/>
              </w:rPr>
            </w:pPr>
            <w:r>
              <w:rPr>
                <w:rFonts w:ascii="Arial" w:cs="Arial" w:eastAsia="Arial" w:hAnsi="Arial"/>
                <w:sz w:val="20"/>
                <w:szCs w:val="20"/>
                <w:color w:val="auto"/>
              </w:rPr>
              <w:t>Person With</w:t>
            </w:r>
          </w:p>
        </w:tc>
        <w:tc>
          <w:tcPr>
            <w:tcW w:w="340" w:type="dxa"/>
            <w:vAlign w:val="bottom"/>
          </w:tcPr>
          <w:p>
            <w:pPr>
              <w:spacing w:after="0"/>
              <w:rPr>
                <w:sz w:val="21"/>
                <w:szCs w:val="21"/>
                <w:color w:val="auto"/>
              </w:rPr>
            </w:pPr>
          </w:p>
        </w:tc>
        <w:tc>
          <w:tcPr>
            <w:tcW w:w="6700" w:type="dxa"/>
            <w:vAlign w:val="bottom"/>
            <w:vMerge w:val="restart"/>
          </w:tcPr>
          <w:p>
            <w:pPr>
              <w:ind w:left="120"/>
              <w:spacing w:after="0"/>
              <w:rPr>
                <w:sz w:val="20"/>
                <w:szCs w:val="20"/>
                <w:color w:val="auto"/>
              </w:rPr>
            </w:pPr>
            <w:r>
              <w:rPr>
                <w:rFonts w:ascii="Arial" w:cs="Arial" w:eastAsia="Arial" w:hAnsi="Arial"/>
                <w:sz w:val="20"/>
                <w:szCs w:val="20"/>
                <w:color w:val="auto"/>
              </w:rPr>
              <w:t>0</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700" w:type="dxa"/>
            <w:vAlign w:val="bottom"/>
            <w:vMerge w:val="continue"/>
          </w:tcPr>
          <w:p>
            <w:pPr>
              <w:spacing w:after="0"/>
              <w:rPr>
                <w:sz w:val="5"/>
                <w:szCs w:val="5"/>
                <w:color w:val="auto"/>
              </w:rPr>
            </w:pPr>
          </w:p>
        </w:tc>
        <w:tc>
          <w:tcPr>
            <w:tcW w:w="2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8.</w:t>
            </w:r>
          </w:p>
        </w:tc>
        <w:tc>
          <w:tcPr>
            <w:tcW w:w="6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ind w:left="120"/>
              <w:spacing w:after="0"/>
              <w:rPr>
                <w:sz w:val="20"/>
                <w:szCs w:val="20"/>
                <w:color w:val="auto"/>
              </w:rPr>
            </w:pPr>
            <w:r>
              <w:rPr>
                <w:rFonts w:ascii="Arial" w:cs="Arial" w:eastAsia="Arial" w:hAnsi="Arial"/>
                <w:sz w:val="20"/>
                <w:szCs w:val="20"/>
                <w:color w:val="auto"/>
              </w:rPr>
              <w:t>42,113,694**see Note 1**</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9.</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Aggregate Amount Beneficially Owned by Each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42,113,694**see Note 1**</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6"/>
              </w:rPr>
              <w:t>10.</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Check if the Aggregate Amount in Row (9) Excludes Certain Shares (See Instructions)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auto"/>
              </w:rPr>
              <w:t>N/A</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6"/>
              </w:rPr>
              <w:t>11.</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Percent of Class Represented by Amount in Row (9)</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auto"/>
              </w:rPr>
              <w:t>5.79%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6"/>
              </w:rPr>
              <w:t>12.</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Type of Reporting Person (See Instructions)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auto"/>
              </w:rPr>
              <w:t>IA</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4"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726503105</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62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20"/>
                <w:szCs w:val="20"/>
                <w:color w:val="auto"/>
                <w:w w:val="83"/>
              </w:rPr>
              <w:t>1.</w:t>
            </w:r>
          </w:p>
        </w:tc>
        <w:tc>
          <w:tcPr>
            <w:tcW w:w="8300" w:type="dxa"/>
            <w:vAlign w:val="bottom"/>
            <w:tcBorders>
              <w:top w:val="single" w:sz="8" w:color="auto"/>
            </w:tcBorders>
            <w:gridSpan w:val="4"/>
          </w:tcPr>
          <w:p>
            <w:pPr>
              <w:ind w:left="20"/>
              <w:spacing w:after="0"/>
              <w:rPr>
                <w:sz w:val="20"/>
                <w:szCs w:val="20"/>
                <w:color w:val="auto"/>
              </w:rPr>
            </w:pPr>
            <w:r>
              <w:rPr>
                <w:rFonts w:ascii="Arial" w:cs="Arial" w:eastAsia="Arial" w:hAnsi="Arial"/>
                <w:sz w:val="20"/>
                <w:szCs w:val="20"/>
                <w:color w:val="auto"/>
              </w:rPr>
              <w:t>Names of Reporting Persons.</w:t>
            </w:r>
          </w:p>
        </w:tc>
        <w:tc>
          <w:tcPr>
            <w:tcW w:w="2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I.R.S. Identification Nos. of above persons (entities only).</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Alerian MLP ETF (Tax ID: 27-3041076)</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gridSpan w:val="3"/>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2.</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Check the Appropriate Box if a Member of a Group (See Instructions)</w:t>
            </w:r>
          </w:p>
        </w:tc>
        <w:tc>
          <w:tcPr>
            <w:tcW w:w="2500" w:type="dxa"/>
            <w:vAlign w:val="bottom"/>
            <w:tcBorders>
              <w:right w:val="single" w:sz="8" w:color="auto"/>
            </w:tcBorders>
          </w:tcPr>
          <w:p>
            <w:pPr>
              <w:ind w:left="1400"/>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500" w:type="dxa"/>
            <w:vAlign w:val="bottom"/>
            <w:tcBorders>
              <w:right w:val="single" w:sz="8" w:color="auto"/>
            </w:tcBorders>
          </w:tcPr>
          <w:p>
            <w:pPr>
              <w:ind w:left="1400"/>
              <w:spacing w:after="0"/>
              <w:rPr>
                <w:sz w:val="20"/>
                <w:szCs w:val="20"/>
                <w:color w:val="auto"/>
              </w:rPr>
            </w:pPr>
            <w:r>
              <w:rPr>
                <w:rFonts w:ascii="Arial" w:cs="Arial" w:eastAsia="Arial" w:hAnsi="Arial"/>
                <w:sz w:val="20"/>
                <w:szCs w:val="20"/>
                <w:color w:val="auto"/>
              </w:rPr>
              <w:t>(b) X</w:t>
            </w: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3.</w:t>
            </w:r>
          </w:p>
        </w:tc>
        <w:tc>
          <w:tcPr>
            <w:tcW w:w="1260" w:type="dxa"/>
            <w:vAlign w:val="bottom"/>
            <w:gridSpan w:val="2"/>
          </w:tcPr>
          <w:p>
            <w:pPr>
              <w:ind w:left="20"/>
              <w:spacing w:after="0"/>
              <w:rPr>
                <w:sz w:val="20"/>
                <w:szCs w:val="20"/>
                <w:color w:val="auto"/>
              </w:rPr>
            </w:pPr>
            <w:r>
              <w:rPr>
                <w:rFonts w:ascii="Arial" w:cs="Arial" w:eastAsia="Arial" w:hAnsi="Arial"/>
                <w:sz w:val="20"/>
                <w:szCs w:val="20"/>
                <w:color w:val="auto"/>
                <w:w w:val="94"/>
              </w:rPr>
              <w:t>SEC Use Only</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2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gridSpan w:val="3"/>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4.</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Citizenship or Place of Organization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auto"/>
              </w:rPr>
              <w:t>Delaware</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5.</w:t>
            </w:r>
          </w:p>
        </w:tc>
        <w:tc>
          <w:tcPr>
            <w:tcW w:w="6700" w:type="dxa"/>
            <w:vAlign w:val="bottom"/>
          </w:tcPr>
          <w:p>
            <w:pPr>
              <w:ind w:left="120"/>
              <w:spacing w:after="0"/>
              <w:rPr>
                <w:sz w:val="20"/>
                <w:szCs w:val="20"/>
                <w:color w:val="auto"/>
              </w:rPr>
            </w:pPr>
            <w:r>
              <w:rPr>
                <w:rFonts w:ascii="Arial" w:cs="Arial" w:eastAsia="Arial" w:hAnsi="Arial"/>
                <w:sz w:val="20"/>
                <w:szCs w:val="20"/>
                <w:color w:val="auto"/>
              </w:rPr>
              <w:t>Sole Voting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ind w:left="120"/>
              <w:spacing w:after="0"/>
              <w:rPr>
                <w:sz w:val="20"/>
                <w:szCs w:val="20"/>
                <w:color w:val="auto"/>
              </w:rPr>
            </w:pPr>
            <w:r>
              <w:rPr>
                <w:rFonts w:ascii="Arial" w:cs="Arial" w:eastAsia="Arial" w:hAnsi="Arial"/>
                <w:sz w:val="20"/>
                <w:szCs w:val="20"/>
                <w:color w:val="auto"/>
              </w:rPr>
              <w:t>0</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720" w:type="dxa"/>
            <w:vAlign w:val="bottom"/>
            <w:tcBorders>
              <w:left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80" w:type="dxa"/>
            <w:vAlign w:val="bottom"/>
            <w:tcBorders>
              <w:left w:val="single" w:sz="8" w:color="auto"/>
            </w:tcBorders>
            <w:gridSpan w:val="3"/>
          </w:tcPr>
          <w:p>
            <w:pPr>
              <w:ind w:left="80"/>
              <w:spacing w:after="0"/>
              <w:rPr>
                <w:sz w:val="20"/>
                <w:szCs w:val="20"/>
                <w:color w:val="auto"/>
              </w:rPr>
            </w:pPr>
            <w:r>
              <w:rPr>
                <w:rFonts w:ascii="Arial" w:cs="Arial" w:eastAsia="Arial" w:hAnsi="Arial"/>
                <w:sz w:val="20"/>
                <w:szCs w:val="20"/>
                <w:color w:val="auto"/>
              </w:rPr>
              <w:t>Number of</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6.</w:t>
            </w:r>
          </w:p>
        </w:tc>
        <w:tc>
          <w:tcPr>
            <w:tcW w:w="6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w w:val="81"/>
              </w:rPr>
              <w:t>Shares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00" w:type="dxa"/>
            <w:vAlign w:val="bottom"/>
            <w:vMerge w:val="restart"/>
          </w:tcPr>
          <w:p>
            <w:pPr>
              <w:ind w:left="120"/>
              <w:spacing w:after="0"/>
              <w:rPr>
                <w:sz w:val="20"/>
                <w:szCs w:val="20"/>
                <w:color w:val="auto"/>
              </w:rPr>
            </w:pPr>
            <w:r>
              <w:rPr>
                <w:rFonts w:ascii="Arial" w:cs="Arial" w:eastAsia="Arial" w:hAnsi="Arial"/>
                <w:sz w:val="20"/>
                <w:szCs w:val="20"/>
                <w:color w:val="auto"/>
              </w:rPr>
              <w:t>42,110,604**see Note 1**</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880" w:type="dxa"/>
            <w:vAlign w:val="bottom"/>
            <w:tcBorders>
              <w:left w:val="single" w:sz="8" w:color="auto"/>
            </w:tcBorders>
            <w:gridSpan w:val="3"/>
          </w:tcPr>
          <w:p>
            <w:pPr>
              <w:ind w:left="80"/>
              <w:spacing w:after="0"/>
              <w:rPr>
                <w:sz w:val="20"/>
                <w:szCs w:val="20"/>
                <w:color w:val="auto"/>
              </w:rPr>
            </w:pPr>
            <w:r>
              <w:rPr>
                <w:rFonts w:ascii="Arial" w:cs="Arial" w:eastAsia="Arial" w:hAnsi="Arial"/>
                <w:sz w:val="20"/>
                <w:szCs w:val="20"/>
                <w:color w:val="auto"/>
              </w:rPr>
              <w:t>Beneficially</w:t>
            </w:r>
          </w:p>
        </w:tc>
        <w:tc>
          <w:tcPr>
            <w:tcW w:w="34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tcBorders>
            <w:gridSpan w:val="2"/>
          </w:tcPr>
          <w:p>
            <w:pPr>
              <w:ind w:left="80"/>
              <w:spacing w:after="0" w:line="199" w:lineRule="exact"/>
              <w:rPr>
                <w:sz w:val="20"/>
                <w:szCs w:val="20"/>
                <w:color w:val="auto"/>
              </w:rPr>
            </w:pPr>
            <w:r>
              <w:rPr>
                <w:rFonts w:ascii="Arial" w:cs="Arial" w:eastAsia="Arial" w:hAnsi="Arial"/>
                <w:sz w:val="20"/>
                <w:szCs w:val="20"/>
                <w:color w:val="auto"/>
              </w:rPr>
              <w:t>Owned by</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20"/>
                <w:szCs w:val="20"/>
                <w:color w:val="auto"/>
              </w:rPr>
              <w:t>7.</w:t>
            </w:r>
          </w:p>
        </w:tc>
        <w:tc>
          <w:tcPr>
            <w:tcW w:w="6700" w:type="dxa"/>
            <w:vAlign w:val="bottom"/>
            <w:tcBorders>
              <w:top w:val="single" w:sz="8" w:color="auto"/>
            </w:tcBorders>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25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8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20"/>
                <w:szCs w:val="20"/>
                <w:color w:val="auto"/>
              </w:rPr>
              <w:t>Each Reporting</w:t>
            </w:r>
          </w:p>
        </w:tc>
        <w:tc>
          <w:tcPr>
            <w:tcW w:w="34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tcBorders>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tcBorders>
            <w:gridSpan w:val="3"/>
          </w:tcPr>
          <w:p>
            <w:pPr>
              <w:ind w:left="80"/>
              <w:spacing w:after="0"/>
              <w:rPr>
                <w:sz w:val="20"/>
                <w:szCs w:val="20"/>
                <w:color w:val="auto"/>
              </w:rPr>
            </w:pPr>
            <w:r>
              <w:rPr>
                <w:rFonts w:ascii="Arial" w:cs="Arial" w:eastAsia="Arial" w:hAnsi="Arial"/>
                <w:sz w:val="20"/>
                <w:szCs w:val="20"/>
                <w:color w:val="auto"/>
              </w:rPr>
              <w:t>Person With</w:t>
            </w:r>
          </w:p>
        </w:tc>
        <w:tc>
          <w:tcPr>
            <w:tcW w:w="340" w:type="dxa"/>
            <w:vAlign w:val="bottom"/>
          </w:tcPr>
          <w:p>
            <w:pPr>
              <w:spacing w:after="0"/>
              <w:rPr>
                <w:sz w:val="21"/>
                <w:szCs w:val="21"/>
                <w:color w:val="auto"/>
              </w:rPr>
            </w:pPr>
          </w:p>
        </w:tc>
        <w:tc>
          <w:tcPr>
            <w:tcW w:w="6700" w:type="dxa"/>
            <w:vAlign w:val="bottom"/>
            <w:vMerge w:val="restart"/>
          </w:tcPr>
          <w:p>
            <w:pPr>
              <w:ind w:left="120"/>
              <w:spacing w:after="0"/>
              <w:rPr>
                <w:sz w:val="20"/>
                <w:szCs w:val="20"/>
                <w:color w:val="auto"/>
              </w:rPr>
            </w:pPr>
            <w:r>
              <w:rPr>
                <w:rFonts w:ascii="Arial" w:cs="Arial" w:eastAsia="Arial" w:hAnsi="Arial"/>
                <w:sz w:val="20"/>
                <w:szCs w:val="20"/>
                <w:color w:val="auto"/>
              </w:rPr>
              <w:t>0</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700" w:type="dxa"/>
            <w:vAlign w:val="bottom"/>
            <w:vMerge w:val="continue"/>
          </w:tcPr>
          <w:p>
            <w:pPr>
              <w:spacing w:after="0"/>
              <w:rPr>
                <w:sz w:val="5"/>
                <w:szCs w:val="5"/>
                <w:color w:val="auto"/>
              </w:rPr>
            </w:pPr>
          </w:p>
        </w:tc>
        <w:tc>
          <w:tcPr>
            <w:tcW w:w="2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8.</w:t>
            </w:r>
          </w:p>
        </w:tc>
        <w:tc>
          <w:tcPr>
            <w:tcW w:w="6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ind w:left="120"/>
              <w:spacing w:after="0"/>
              <w:rPr>
                <w:sz w:val="20"/>
                <w:szCs w:val="20"/>
                <w:color w:val="auto"/>
              </w:rPr>
            </w:pPr>
            <w:r>
              <w:rPr>
                <w:rFonts w:ascii="Arial" w:cs="Arial" w:eastAsia="Arial" w:hAnsi="Arial"/>
                <w:sz w:val="20"/>
                <w:szCs w:val="20"/>
                <w:color w:val="auto"/>
              </w:rPr>
              <w:t>42,110,604**see Note 1**</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3"/>
              </w:rPr>
              <w:t>9.</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Aggregate Amount Beneficially Owned by Each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42,110,604**see Note 1**</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6"/>
              </w:rPr>
              <w:t>10.</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Check if the Aggregate Amount in Row (9) Excludes Certain Shares (See Instructions)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auto"/>
              </w:rPr>
              <w:t>N/A</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6"/>
              </w:rPr>
              <w:t>11.</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Percent of Class Represented by Amount in Row (9)</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auto"/>
              </w:rPr>
              <w:t>5.78%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62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6"/>
              </w:rPr>
              <w:t>12.</w:t>
            </w:r>
          </w:p>
        </w:tc>
        <w:tc>
          <w:tcPr>
            <w:tcW w:w="8300" w:type="dxa"/>
            <w:vAlign w:val="bottom"/>
            <w:gridSpan w:val="4"/>
          </w:tcPr>
          <w:p>
            <w:pPr>
              <w:ind w:left="20"/>
              <w:spacing w:after="0"/>
              <w:rPr>
                <w:sz w:val="20"/>
                <w:szCs w:val="20"/>
                <w:color w:val="auto"/>
              </w:rPr>
            </w:pPr>
            <w:r>
              <w:rPr>
                <w:rFonts w:ascii="Arial" w:cs="Arial" w:eastAsia="Arial" w:hAnsi="Arial"/>
                <w:sz w:val="20"/>
                <w:szCs w:val="20"/>
                <w:color w:val="auto"/>
              </w:rPr>
              <w:t>Type of Reporting Person (See Instructions)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Borders>
              <w:lef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auto"/>
              </w:rPr>
              <w:t>IV</w:t>
            </w: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4"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Item 1.</w:t>
      </w:r>
    </w:p>
    <w:p>
      <w:pPr>
        <w:spacing w:after="0" w:line="229" w:lineRule="exact"/>
        <w:rPr>
          <w:sz w:val="20"/>
          <w:szCs w:val="20"/>
          <w:color w:val="auto"/>
        </w:rPr>
      </w:pPr>
    </w:p>
    <w:p>
      <w:pPr>
        <w:ind w:left="1620" w:hanging="640"/>
        <w:spacing w:after="0"/>
        <w:tabs>
          <w:tab w:leader="none" w:pos="1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9"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Plains All American Pipeline, L.P.</w:t>
      </w:r>
    </w:p>
    <w:p>
      <w:pPr>
        <w:spacing w:after="0" w:line="229" w:lineRule="exact"/>
        <w:rPr>
          <w:rFonts w:ascii="Arial" w:cs="Arial" w:eastAsia="Arial" w:hAnsi="Arial"/>
          <w:sz w:val="20"/>
          <w:szCs w:val="20"/>
          <w:color w:val="auto"/>
        </w:rPr>
      </w:pPr>
    </w:p>
    <w:p>
      <w:pPr>
        <w:ind w:left="1620" w:hanging="640"/>
        <w:spacing w:after="0"/>
        <w:tabs>
          <w:tab w:leader="none" w:pos="1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9" w:lineRule="exact"/>
        <w:rPr>
          <w:rFonts w:ascii="Arial" w:cs="Arial" w:eastAsia="Arial" w:hAnsi="Arial"/>
          <w:sz w:val="20"/>
          <w:szCs w:val="20"/>
          <w:color w:val="auto"/>
        </w:rPr>
      </w:pPr>
    </w:p>
    <w:p>
      <w:pPr>
        <w:ind w:left="1620" w:right="6980"/>
        <w:spacing w:after="0" w:line="287" w:lineRule="auto"/>
        <w:rPr>
          <w:rFonts w:ascii="Arial" w:cs="Arial" w:eastAsia="Arial" w:hAnsi="Arial"/>
          <w:sz w:val="20"/>
          <w:szCs w:val="20"/>
          <w:color w:val="auto"/>
        </w:rPr>
      </w:pPr>
      <w:r>
        <w:rPr>
          <w:rFonts w:ascii="Arial" w:cs="Arial" w:eastAsia="Arial" w:hAnsi="Arial"/>
          <w:sz w:val="19"/>
          <w:szCs w:val="19"/>
          <w:color w:val="auto"/>
        </w:rPr>
        <w:t>333 Clay Street, Suite 1600 Houston, TX 77002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Item 2.</w:t>
      </w:r>
    </w:p>
    <w:p>
      <w:pPr>
        <w:spacing w:after="0" w:line="229" w:lineRule="exact"/>
        <w:rPr>
          <w:sz w:val="20"/>
          <w:szCs w:val="20"/>
          <w:color w:val="auto"/>
        </w:rPr>
      </w:pPr>
    </w:p>
    <w:p>
      <w:pPr>
        <w:ind w:left="1620" w:hanging="640"/>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 of Person Filing</w:t>
      </w:r>
    </w:p>
    <w:p>
      <w:pPr>
        <w:spacing w:after="0" w:line="229" w:lineRule="exact"/>
        <w:rPr>
          <w:rFonts w:ascii="Arial" w:cs="Arial" w:eastAsia="Arial" w:hAnsi="Arial"/>
          <w:sz w:val="20"/>
          <w:szCs w:val="20"/>
          <w:color w:val="auto"/>
        </w:rPr>
      </w:pPr>
    </w:p>
    <w:p>
      <w:pPr>
        <w:ind w:left="2600" w:hanging="323"/>
        <w:spacing w:after="0"/>
        <w:tabs>
          <w:tab w:leader="none" w:pos="26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ALPS Advisors, Inc.</w:t>
      </w:r>
    </w:p>
    <w:p>
      <w:pPr>
        <w:spacing w:after="0" w:line="15" w:lineRule="exact"/>
        <w:rPr>
          <w:rFonts w:ascii="Arial" w:cs="Arial" w:eastAsia="Arial" w:hAnsi="Arial"/>
          <w:sz w:val="20"/>
          <w:szCs w:val="20"/>
          <w:color w:val="auto"/>
        </w:rPr>
      </w:pPr>
    </w:p>
    <w:p>
      <w:pPr>
        <w:ind w:left="2600" w:hanging="323"/>
        <w:spacing w:after="0"/>
        <w:tabs>
          <w:tab w:leader="none" w:pos="26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Alerian MLP ETF</w:t>
      </w:r>
    </w:p>
    <w:p>
      <w:pPr>
        <w:spacing w:after="0" w:line="213" w:lineRule="exact"/>
        <w:rPr>
          <w:rFonts w:ascii="Arial" w:cs="Arial" w:eastAsia="Arial" w:hAnsi="Arial"/>
          <w:sz w:val="20"/>
          <w:szCs w:val="20"/>
          <w:color w:val="auto"/>
        </w:rPr>
      </w:pPr>
    </w:p>
    <w:p>
      <w:pPr>
        <w:ind w:left="1620" w:hanging="640"/>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Address of Principal Business Office or, if none, Residence</w:t>
      </w:r>
    </w:p>
    <w:p>
      <w:pPr>
        <w:spacing w:after="0" w:line="229" w:lineRule="exact"/>
        <w:rPr>
          <w:rFonts w:ascii="Arial" w:cs="Arial" w:eastAsia="Arial" w:hAnsi="Arial"/>
          <w:sz w:val="20"/>
          <w:szCs w:val="20"/>
          <w:color w:val="auto"/>
        </w:rPr>
      </w:pPr>
    </w:p>
    <w:p>
      <w:pPr>
        <w:ind w:left="2600" w:hanging="323"/>
        <w:spacing w:after="0"/>
        <w:tabs>
          <w:tab w:leader="none" w:pos="2600" w:val="left"/>
        </w:tabs>
        <w:numPr>
          <w:ilvl w:val="1"/>
          <w:numId w:val="4"/>
        </w:numPr>
        <w:rPr>
          <w:rFonts w:ascii="Arial" w:cs="Arial" w:eastAsia="Arial" w:hAnsi="Arial"/>
          <w:sz w:val="20"/>
          <w:szCs w:val="20"/>
          <w:color w:val="auto"/>
        </w:rPr>
      </w:pPr>
      <w:r>
        <w:rPr>
          <w:rFonts w:ascii="Arial" w:cs="Arial" w:eastAsia="Arial" w:hAnsi="Arial"/>
          <w:sz w:val="20"/>
          <w:szCs w:val="20"/>
          <w:color w:val="auto"/>
        </w:rPr>
        <w:t>1290 Broadway, Suite 1000, Denver, CO 80203</w:t>
      </w:r>
    </w:p>
    <w:p>
      <w:pPr>
        <w:spacing w:after="0" w:line="15" w:lineRule="exact"/>
        <w:rPr>
          <w:rFonts w:ascii="Arial" w:cs="Arial" w:eastAsia="Arial" w:hAnsi="Arial"/>
          <w:sz w:val="20"/>
          <w:szCs w:val="20"/>
          <w:color w:val="auto"/>
        </w:rPr>
      </w:pPr>
    </w:p>
    <w:p>
      <w:pPr>
        <w:ind w:left="2600" w:hanging="323"/>
        <w:spacing w:after="0"/>
        <w:tabs>
          <w:tab w:leader="none" w:pos="2600" w:val="left"/>
        </w:tabs>
        <w:numPr>
          <w:ilvl w:val="1"/>
          <w:numId w:val="4"/>
        </w:numPr>
        <w:rPr>
          <w:rFonts w:ascii="Arial" w:cs="Arial" w:eastAsia="Arial" w:hAnsi="Arial"/>
          <w:sz w:val="20"/>
          <w:szCs w:val="20"/>
          <w:color w:val="auto"/>
        </w:rPr>
      </w:pPr>
      <w:r>
        <w:rPr>
          <w:rFonts w:ascii="Arial" w:cs="Arial" w:eastAsia="Arial" w:hAnsi="Arial"/>
          <w:sz w:val="20"/>
          <w:szCs w:val="20"/>
          <w:color w:val="auto"/>
        </w:rPr>
        <w:t>1290 Broadway, Suite 1000, Denver, CO 80203</w:t>
      </w:r>
    </w:p>
    <w:p>
      <w:pPr>
        <w:spacing w:after="0" w:line="213" w:lineRule="exact"/>
        <w:rPr>
          <w:rFonts w:ascii="Arial" w:cs="Arial" w:eastAsia="Arial" w:hAnsi="Arial"/>
          <w:sz w:val="20"/>
          <w:szCs w:val="20"/>
          <w:color w:val="auto"/>
        </w:rPr>
      </w:pPr>
    </w:p>
    <w:p>
      <w:pPr>
        <w:ind w:left="1620" w:hanging="640"/>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229" w:lineRule="exact"/>
        <w:rPr>
          <w:rFonts w:ascii="Arial" w:cs="Arial" w:eastAsia="Arial" w:hAnsi="Arial"/>
          <w:sz w:val="20"/>
          <w:szCs w:val="20"/>
          <w:color w:val="auto"/>
        </w:rPr>
      </w:pPr>
    </w:p>
    <w:p>
      <w:pPr>
        <w:ind w:left="2600" w:hanging="323"/>
        <w:spacing w:after="0"/>
        <w:tabs>
          <w:tab w:leader="none" w:pos="2600" w:val="left"/>
        </w:tabs>
        <w:numPr>
          <w:ilvl w:val="1"/>
          <w:numId w:val="4"/>
        </w:numPr>
        <w:rPr>
          <w:rFonts w:ascii="Arial" w:cs="Arial" w:eastAsia="Arial" w:hAnsi="Arial"/>
          <w:sz w:val="20"/>
          <w:szCs w:val="20"/>
          <w:color w:val="auto"/>
        </w:rPr>
      </w:pPr>
      <w:r>
        <w:rPr>
          <w:rFonts w:ascii="Arial" w:cs="Arial" w:eastAsia="Arial" w:hAnsi="Arial"/>
          <w:sz w:val="20"/>
          <w:szCs w:val="20"/>
          <w:color w:val="auto"/>
        </w:rPr>
        <w:t>Colorado</w:t>
      </w:r>
    </w:p>
    <w:p>
      <w:pPr>
        <w:spacing w:after="0" w:line="15" w:lineRule="exact"/>
        <w:rPr>
          <w:rFonts w:ascii="Arial" w:cs="Arial" w:eastAsia="Arial" w:hAnsi="Arial"/>
          <w:sz w:val="20"/>
          <w:szCs w:val="20"/>
          <w:color w:val="auto"/>
        </w:rPr>
      </w:pPr>
    </w:p>
    <w:p>
      <w:pPr>
        <w:ind w:left="2600" w:hanging="323"/>
        <w:spacing w:after="0"/>
        <w:tabs>
          <w:tab w:leader="none" w:pos="2600" w:val="left"/>
        </w:tabs>
        <w:numPr>
          <w:ilvl w:val="1"/>
          <w:numId w:val="4"/>
        </w:numPr>
        <w:rPr>
          <w:rFonts w:ascii="Arial" w:cs="Arial" w:eastAsia="Arial" w:hAnsi="Arial"/>
          <w:sz w:val="20"/>
          <w:szCs w:val="20"/>
          <w:color w:val="auto"/>
        </w:rPr>
      </w:pPr>
      <w:r>
        <w:rPr>
          <w:rFonts w:ascii="Arial" w:cs="Arial" w:eastAsia="Arial" w:hAnsi="Arial"/>
          <w:sz w:val="20"/>
          <w:szCs w:val="20"/>
          <w:color w:val="auto"/>
        </w:rPr>
        <w:t>Delaware</w:t>
      </w:r>
    </w:p>
    <w:p>
      <w:pPr>
        <w:spacing w:after="0" w:line="213" w:lineRule="exact"/>
        <w:rPr>
          <w:rFonts w:ascii="Arial" w:cs="Arial" w:eastAsia="Arial" w:hAnsi="Arial"/>
          <w:sz w:val="20"/>
          <w:szCs w:val="20"/>
          <w:color w:val="auto"/>
        </w:rPr>
      </w:pPr>
    </w:p>
    <w:p>
      <w:pPr>
        <w:ind w:left="1620" w:hanging="640"/>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CUSIP Number</w:t>
      </w:r>
    </w:p>
    <w:p>
      <w:pPr>
        <w:spacing w:after="0" w:line="229"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726503105</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color w:val="auto"/>
        </w:rPr>
        <w:t>If this statement is filed pursuant to §§240.13d-1(b) or 240.13d-2(b) or (c), check whether the person filing is a:</w:t>
      </w:r>
    </w:p>
    <w:p>
      <w:pPr>
        <w:spacing w:after="0" w:line="229" w:lineRule="exact"/>
        <w:rPr>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Broker or dealer registered under section 15 of the Act (15 U.S.C. 78o);</w:t>
      </w:r>
    </w:p>
    <w:p>
      <w:pPr>
        <w:spacing w:after="0" w:line="229"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Bank as defined in section 3(a)(6) of the Act (15 U.S.C. 78c);</w:t>
      </w:r>
    </w:p>
    <w:p>
      <w:pPr>
        <w:spacing w:after="0" w:line="229"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Insurance company as defined in section 3(a)(19) of the Act (15 U.S.C. 78c);</w:t>
      </w:r>
    </w:p>
    <w:p>
      <w:pPr>
        <w:spacing w:after="0" w:line="229" w:lineRule="exact"/>
        <w:rPr>
          <w:rFonts w:ascii="Arial" w:cs="Arial" w:eastAsia="Arial" w:hAnsi="Arial"/>
          <w:sz w:val="20"/>
          <w:szCs w:val="20"/>
          <w:color w:val="auto"/>
        </w:rPr>
      </w:pPr>
    </w:p>
    <w:p>
      <w:pPr>
        <w:ind w:left="2280" w:hanging="1300"/>
        <w:spacing w:after="0" w:line="260" w:lineRule="auto"/>
        <w:tabs>
          <w:tab w:leader="none" w:pos="163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[X]Investment company registered under section 8 of the Investment Company Act of 1940 (15 U.S.C 80a-8) - </w:t>
      </w:r>
      <w:r>
        <w:rPr>
          <w:rFonts w:ascii="Arial" w:cs="Arial" w:eastAsia="Arial" w:hAnsi="Arial"/>
          <w:sz w:val="20"/>
          <w:szCs w:val="20"/>
          <w:b w:val="1"/>
          <w:bCs w:val="1"/>
          <w:color w:val="auto"/>
        </w:rPr>
        <w:t>Alerian MLP ETF</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[X]</w:t>
      </w:r>
      <w:r>
        <w:rPr>
          <w:rFonts w:ascii="Arial" w:cs="Arial" w:eastAsia="Arial" w:hAnsi="Arial"/>
          <w:sz w:val="18"/>
          <w:szCs w:val="18"/>
          <w:color w:val="auto"/>
        </w:rPr>
        <w:t xml:space="preserve">An investment adviser in accordance with §240.13d-1(b)(1)(ii)(E) – </w:t>
      </w:r>
      <w:r>
        <w:rPr>
          <w:rFonts w:ascii="Arial" w:cs="Arial" w:eastAsia="Arial" w:hAnsi="Arial"/>
          <w:sz w:val="18"/>
          <w:szCs w:val="18"/>
          <w:b w:val="1"/>
          <w:bCs w:val="1"/>
          <w:color w:val="auto"/>
        </w:rPr>
        <w:t>ALPS Advisors, Inc.;</w:t>
      </w:r>
    </w:p>
    <w:p>
      <w:pPr>
        <w:spacing w:after="0" w:line="235"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An employee benefit plan or endowment fund in accordance with §240.13d-1(b)(1)(ii)(F);</w:t>
      </w:r>
    </w:p>
    <w:p>
      <w:pPr>
        <w:spacing w:after="0" w:line="229"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A parent holding company or control person in accordance with § 240.13d-1(b)(1)(ii)(G);</w:t>
      </w:r>
    </w:p>
    <w:p>
      <w:pPr>
        <w:spacing w:after="0" w:line="229"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A savings associations as defined in Section 3(b) of the Federal Deposit Insurance Act (12 U.S.C. 1813);</w:t>
      </w:r>
    </w:p>
    <w:p>
      <w:pPr>
        <w:spacing w:after="0" w:line="229" w:lineRule="exact"/>
        <w:rPr>
          <w:rFonts w:ascii="Arial" w:cs="Arial" w:eastAsia="Arial" w:hAnsi="Arial"/>
          <w:sz w:val="20"/>
          <w:szCs w:val="20"/>
          <w:color w:val="auto"/>
        </w:rPr>
      </w:pPr>
    </w:p>
    <w:p>
      <w:pPr>
        <w:ind w:left="2280" w:right="100" w:hanging="1300"/>
        <w:spacing w:after="0" w:line="260" w:lineRule="auto"/>
        <w:tabs>
          <w:tab w:leader="none" w:pos="1632" w:val="left"/>
        </w:tabs>
        <w:numPr>
          <w:ilvl w:val="0"/>
          <w:numId w:val="6"/>
        </w:numPr>
        <w:rPr>
          <w:rFonts w:ascii="Arial" w:cs="Arial" w:eastAsia="Arial" w:hAnsi="Arial"/>
          <w:sz w:val="20"/>
          <w:szCs w:val="20"/>
          <w:color w:val="auto"/>
        </w:rPr>
      </w:pPr>
      <w:r>
        <w:rPr>
          <w:rFonts w:ascii="Arial" w:cs="Arial" w:eastAsia="Arial" w:hAnsi="Arial"/>
          <w:sz w:val="20"/>
          <w:szCs w:val="20"/>
          <w:color w:val="auto"/>
        </w:rPr>
        <w:t>[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A non-U.S. institution in accordance with § 240.13d-1(b)(1)(ii)(J);</w:t>
      </w:r>
    </w:p>
    <w:p>
      <w:pPr>
        <w:spacing w:after="0" w:line="229" w:lineRule="exact"/>
        <w:rPr>
          <w:rFonts w:ascii="Arial" w:cs="Arial" w:eastAsia="Arial" w:hAnsi="Arial"/>
          <w:sz w:val="20"/>
          <w:szCs w:val="20"/>
          <w:color w:val="auto"/>
        </w:rPr>
      </w:pPr>
    </w:p>
    <w:p>
      <w:pPr>
        <w:ind w:left="1620" w:hanging="640"/>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Group, in accordance with §240.13d-1(b)(1)(ii)(J).</w:t>
      </w:r>
    </w:p>
    <w:p>
      <w:pPr>
        <w:sectPr>
          <w:pgSz w:w="11900" w:h="16838" w:orient="portrait"/>
          <w:cols w:equalWidth="0" w:num="1">
            <w:col w:w="10800"/>
          </w:cols>
          <w:pgMar w:left="240" w:top="474" w:right="8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ALPS Advisors, Inc.</w:t>
      </w:r>
    </w:p>
    <w:p>
      <w:pPr>
        <w:spacing w:after="0" w:line="229" w:lineRule="exact"/>
        <w:rPr>
          <w:sz w:val="20"/>
          <w:szCs w:val="20"/>
          <w:color w:val="auto"/>
        </w:rPr>
      </w:pPr>
    </w:p>
    <w:p>
      <w:pPr>
        <w:ind w:left="2280" w:right="6940" w:hanging="1300"/>
        <w:spacing w:after="0" w:line="532" w:lineRule="auto"/>
        <w:tabs>
          <w:tab w:leader="none" w:pos="1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42,113,694**see Note 1**</w:t>
      </w:r>
    </w:p>
    <w:p>
      <w:pPr>
        <w:ind w:left="1620" w:hanging="640"/>
        <w:spacing w:after="0"/>
        <w:tabs>
          <w:tab w:leader="none" w:pos="1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29"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5.79%</w:t>
      </w:r>
    </w:p>
    <w:p>
      <w:pPr>
        <w:spacing w:after="0" w:line="229" w:lineRule="exact"/>
        <w:rPr>
          <w:sz w:val="20"/>
          <w:szCs w:val="20"/>
          <w:color w:val="auto"/>
        </w:rPr>
      </w:pPr>
    </w:p>
    <w:p>
      <w:pPr>
        <w:ind w:left="1620" w:hanging="640"/>
        <w:spacing w:after="0"/>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29" w:lineRule="exact"/>
        <w:rPr>
          <w:rFonts w:ascii="Arial" w:cs="Arial" w:eastAsia="Arial" w:hAnsi="Arial"/>
          <w:sz w:val="20"/>
          <w:szCs w:val="20"/>
          <w:color w:val="auto"/>
        </w:rPr>
      </w:pPr>
    </w:p>
    <w:p>
      <w:pPr>
        <w:ind w:left="2920" w:right="5920" w:hanging="1291"/>
        <w:spacing w:after="0" w:line="479" w:lineRule="auto"/>
        <w:tabs>
          <w:tab w:leader="none" w:pos="2272" w:val="left"/>
        </w:tabs>
        <w:numPr>
          <w:ilvl w:val="1"/>
          <w:numId w:val="8"/>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ind w:left="2920" w:right="5720" w:hanging="1291"/>
        <w:spacing w:after="0" w:line="504" w:lineRule="auto"/>
        <w:tabs>
          <w:tab w:leader="none" w:pos="2272" w:val="left"/>
        </w:tabs>
        <w:numPr>
          <w:ilvl w:val="1"/>
          <w:numId w:val="8"/>
        </w:numPr>
        <w:rPr>
          <w:rFonts w:ascii="Arial" w:cs="Arial" w:eastAsia="Arial" w:hAnsi="Arial"/>
          <w:sz w:val="19"/>
          <w:szCs w:val="19"/>
          <w:color w:val="auto"/>
        </w:rPr>
      </w:pPr>
      <w:r>
        <w:rPr>
          <w:rFonts w:ascii="Arial" w:cs="Arial" w:eastAsia="Arial" w:hAnsi="Arial"/>
          <w:sz w:val="19"/>
          <w:szCs w:val="19"/>
          <w:color w:val="auto"/>
        </w:rPr>
        <w:t>Shared power to vote or to direct the vote: 42,113,694**see Note 1**</w:t>
      </w:r>
    </w:p>
    <w:p>
      <w:pPr>
        <w:ind w:left="2920" w:right="4920" w:hanging="1291"/>
        <w:spacing w:after="0" w:line="479" w:lineRule="auto"/>
        <w:tabs>
          <w:tab w:leader="none" w:pos="2272" w:val="left"/>
        </w:tabs>
        <w:numPr>
          <w:ilvl w:val="1"/>
          <w:numId w:val="8"/>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ind w:left="2920" w:right="4720" w:hanging="1291"/>
        <w:spacing w:after="0" w:line="479" w:lineRule="auto"/>
        <w:tabs>
          <w:tab w:leader="none" w:pos="2272" w:val="left"/>
        </w:tabs>
        <w:numPr>
          <w:ilvl w:val="1"/>
          <w:numId w:val="8"/>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42,113,694**see Note 1**</w:t>
      </w:r>
    </w:p>
    <w:p>
      <w:pPr>
        <w:spacing w:after="0"/>
        <w:rPr>
          <w:sz w:val="20"/>
          <w:szCs w:val="20"/>
          <w:color w:val="auto"/>
        </w:rPr>
      </w:pPr>
      <w:r>
        <w:rPr>
          <w:rFonts w:ascii="Arial" w:cs="Arial" w:eastAsia="Arial" w:hAnsi="Arial"/>
          <w:sz w:val="20"/>
          <w:szCs w:val="20"/>
          <w:u w:val="single" w:color="auto"/>
          <w:color w:val="auto"/>
        </w:rPr>
        <w:t>Alerian MLP ETF</w:t>
      </w:r>
    </w:p>
    <w:p>
      <w:pPr>
        <w:spacing w:after="0" w:line="229" w:lineRule="exact"/>
        <w:rPr>
          <w:sz w:val="20"/>
          <w:szCs w:val="20"/>
          <w:color w:val="auto"/>
        </w:rPr>
      </w:pPr>
    </w:p>
    <w:p>
      <w:pPr>
        <w:ind w:left="2280" w:right="6940" w:hanging="1300"/>
        <w:spacing w:after="0" w:line="532" w:lineRule="auto"/>
        <w:tabs>
          <w:tab w:leader="none" w:pos="1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42,110,604**see Note 1**</w:t>
      </w:r>
    </w:p>
    <w:p>
      <w:pPr>
        <w:spacing w:after="0" w:line="1" w:lineRule="exact"/>
        <w:rPr>
          <w:sz w:val="20"/>
          <w:szCs w:val="20"/>
          <w:color w:val="auto"/>
        </w:rPr>
      </w:pPr>
    </w:p>
    <w:p>
      <w:pPr>
        <w:ind w:left="2280" w:right="7840" w:hanging="651"/>
        <w:spacing w:after="0" w:line="479" w:lineRule="auto"/>
        <w:tabs>
          <w:tab w:leader="none" w:pos="2209"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5.78%</w:t>
      </w:r>
    </w:p>
    <w:p>
      <w:pPr>
        <w:ind w:left="2200" w:hanging="571"/>
        <w:spacing w:after="0"/>
        <w:tabs>
          <w:tab w:leader="none" w:pos="2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29" w:lineRule="exact"/>
        <w:rPr>
          <w:sz w:val="20"/>
          <w:szCs w:val="20"/>
          <w:color w:val="auto"/>
        </w:rPr>
      </w:pPr>
    </w:p>
    <w:p>
      <w:pPr>
        <w:ind w:left="2280" w:hanging="651"/>
        <w:spacing w:after="0"/>
        <w:tabs>
          <w:tab w:leader="none" w:pos="22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0</w:t>
      </w:r>
    </w:p>
    <w:p>
      <w:pPr>
        <w:spacing w:after="0" w:line="16" w:lineRule="exact"/>
        <w:rPr>
          <w:sz w:val="20"/>
          <w:szCs w:val="20"/>
          <w:color w:val="auto"/>
        </w:rPr>
      </w:pPr>
    </w:p>
    <w:p>
      <w:pPr>
        <w:ind w:left="2920" w:right="5720" w:hanging="1291"/>
        <w:spacing w:after="0" w:line="495" w:lineRule="auto"/>
        <w:tabs>
          <w:tab w:leader="none" w:pos="2272" w:val="left"/>
        </w:tabs>
        <w:numPr>
          <w:ilvl w:val="2"/>
          <w:numId w:val="12"/>
        </w:numPr>
        <w:rPr>
          <w:rFonts w:ascii="Arial" w:cs="Arial" w:eastAsia="Arial" w:hAnsi="Arial"/>
          <w:sz w:val="19"/>
          <w:szCs w:val="19"/>
          <w:color w:val="auto"/>
        </w:rPr>
      </w:pPr>
      <w:r>
        <w:rPr>
          <w:rFonts w:ascii="Arial" w:cs="Arial" w:eastAsia="Arial" w:hAnsi="Arial"/>
          <w:sz w:val="19"/>
          <w:szCs w:val="19"/>
          <w:color w:val="auto"/>
        </w:rPr>
        <w:t>Shared power to vote or to direct the vote: 42,110,604**see Note 1**</w:t>
      </w:r>
    </w:p>
    <w:p>
      <w:pPr>
        <w:spacing w:after="0" w:line="1" w:lineRule="exact"/>
        <w:rPr>
          <w:rFonts w:ascii="Arial" w:cs="Arial" w:eastAsia="Arial" w:hAnsi="Arial"/>
          <w:sz w:val="19"/>
          <w:szCs w:val="19"/>
          <w:color w:val="auto"/>
        </w:rPr>
      </w:pPr>
    </w:p>
    <w:p>
      <w:pPr>
        <w:ind w:left="2920" w:right="4920" w:hanging="1291"/>
        <w:spacing w:after="0" w:line="479" w:lineRule="auto"/>
        <w:tabs>
          <w:tab w:leader="none" w:pos="2272" w:val="left"/>
        </w:tabs>
        <w:numPr>
          <w:ilvl w:val="2"/>
          <w:numId w:val="12"/>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ind w:left="2920" w:right="5720" w:hanging="2264"/>
        <w:spacing w:after="0" w:line="504" w:lineRule="auto"/>
        <w:tabs>
          <w:tab w:leader="none" w:pos="1283" w:val="left"/>
        </w:tabs>
        <w:numPr>
          <w:ilvl w:val="1"/>
          <w:numId w:val="13"/>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42,110,604**see Note 1**</w:t>
      </w:r>
    </w:p>
    <w:p>
      <w:pPr>
        <w:ind w:left="340" w:hanging="332"/>
        <w:spacing w:after="0" w:line="27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2" w:lineRule="exact"/>
        <w:rPr>
          <w:rFonts w:ascii="Arial" w:cs="Arial" w:eastAsia="Arial" w:hAnsi="Arial"/>
          <w:sz w:val="18"/>
          <w:szCs w:val="18"/>
          <w:color w:val="auto"/>
        </w:rPr>
      </w:pPr>
    </w:p>
    <w:p>
      <w:pPr>
        <w:ind w:left="340" w:right="60"/>
        <w:spacing w:after="0" w:line="260" w:lineRule="auto"/>
        <w:rPr>
          <w:rFonts w:ascii="Arial" w:cs="Arial" w:eastAsia="Arial" w:hAnsi="Arial"/>
          <w:sz w:val="18"/>
          <w:szCs w:val="18"/>
          <w:color w:val="auto"/>
        </w:rPr>
      </w:pPr>
      <w:r>
        <w:rPr>
          <w:rFonts w:ascii="Arial" w:cs="Arial" w:eastAsia="Arial" w:hAnsi="Arial"/>
          <w:sz w:val="20"/>
          <w:szCs w:val="20"/>
          <w:color w:val="auto"/>
        </w:rPr>
        <w:t>Alerian MLP ETF is an investment company registered under the Investment Company Act of 1940 and is one of the Funds to which AAI provides investment advice.</w:t>
      </w:r>
    </w:p>
    <w:p>
      <w:pPr>
        <w:sectPr>
          <w:pgSz w:w="11900" w:h="16838" w:orient="portrait"/>
          <w:cols w:equalWidth="0" w:num="1">
            <w:col w:w="11340"/>
          </w:cols>
          <w:pgMar w:left="240" w:top="474" w:right="319" w:bottom="0" w:gutter="0" w:footer="0" w:header="0"/>
        </w:sectPr>
      </w:pPr>
    </w:p>
    <w:bookmarkStart w:id="5" w:name="page6"/>
    <w:bookmarkEnd w:id="5"/>
    <w:p>
      <w:pPr>
        <w:spacing w:after="0" w:line="260" w:lineRule="auto"/>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ind w:left="660" w:right="120"/>
        <w:spacing w:after="0" w:line="260" w:lineRule="auto"/>
        <w:rPr>
          <w:sz w:val="20"/>
          <w:szCs w:val="20"/>
          <w:color w:val="auto"/>
        </w:rPr>
      </w:pPr>
      <w:r>
        <w:rPr>
          <w:rFonts w:ascii="Arial" w:cs="Arial" w:eastAsia="Arial" w:hAnsi="Arial"/>
          <w:sz w:val="20"/>
          <w:szCs w:val="20"/>
          <w:color w:val="auto"/>
        </w:rPr>
        <w:t>This statement is being filed to report the fact that as of the date hereof the reporting persons have ceased to be the beneficial owner of more than five percent of the class of securities.</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29"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42,110,604 shares or 5.78% of the total outstanding Common Units.</w:t>
      </w:r>
    </w:p>
    <w:p>
      <w:pPr>
        <w:spacing w:after="0" w:line="175" w:lineRule="exact"/>
        <w:rPr>
          <w:sz w:val="20"/>
          <w:szCs w:val="20"/>
          <w:color w:val="auto"/>
        </w:rPr>
      </w:pPr>
    </w:p>
    <w:p>
      <w:pPr>
        <w:ind w:left="980" w:right="760" w:hanging="971"/>
        <w:spacing w:after="0" w:line="260" w:lineRule="auto"/>
        <w:tabs>
          <w:tab w:leader="none" w:pos="9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 or Control Person.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29" w:lineRule="exact"/>
        <w:rPr>
          <w:sz w:val="20"/>
          <w:szCs w:val="20"/>
          <w:color w:val="auto"/>
        </w:rPr>
      </w:pPr>
    </w:p>
    <w:p>
      <w:pPr>
        <w:ind w:left="1300" w:right="4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474" w:right="239" w:bottom="1440" w:gutter="0" w:footer="0" w:header="0"/>
        </w:sectPr>
      </w:pPr>
    </w:p>
    <w:bookmarkStart w:id="7" w:name="page8"/>
    <w:bookmarkEnd w:id="7"/>
    <w:p>
      <w:pPr>
        <w:jc w:val="center"/>
        <w:ind w:right="-25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ALPS ADVISORS,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538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Date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538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Signature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ALERIAN MLP ETF</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Date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538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Signature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Title</w:t>
      </w:r>
    </w:p>
    <w:sectPr>
      <w:pgSz w:w="11900" w:h="16838" w:orient="portrait"/>
      <w:cols w:equalWidth="0" w:num="1">
        <w:col w:w="11180"/>
      </w:cols>
      <w:pgMar w:left="240" w:top="4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abstractNum>
  <w:abstractNum w:abstractNumId="4">
    <w:nsid w:val="5BD062C2"/>
    <w:multiLevelType w:val="hybridMultilevel"/>
    <w:lvl w:ilvl="0">
      <w:lvlJc w:val="left"/>
      <w:lvlText w:val="(%1)"/>
      <w:numFmt w:val="lowerLetter"/>
      <w:start w:val="5"/>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lvl w:ilvl="1">
      <w:lvlJc w:val="left"/>
      <w:lvlText w:val="(%2)"/>
      <w:numFmt w:val="lowerRoman"/>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
      <w:numFmt w:val="bullet"/>
      <w:start w:val="1"/>
    </w:lvl>
    <w:lvl w:ilvl="1">
      <w:lvlJc w:val="left"/>
      <w:lvlText w:val="%2"/>
      <w:numFmt w:val="lowerRoman"/>
      <w:start w:val="1"/>
    </w:lvl>
    <w:lvl w:ilvl="2">
      <w:lvlJc w:val="left"/>
      <w:lvlText w:val="(%3)"/>
      <w:numFmt w:val="lowerRoman"/>
      <w:start w:val="2"/>
    </w:lvl>
  </w:abstractNum>
  <w:abstractNum w:abstractNumId="12">
    <w:nsid w:val="3352255A"/>
    <w:multiLevelType w:val="hybridMultilevel"/>
    <w:lvl w:ilvl="0">
      <w:lvlJc w:val="left"/>
      <w:lvlText w:val="**"/>
      <w:numFmt w:val="bullet"/>
      <w:start w:val="1"/>
    </w:lvl>
    <w:lvl w:ilvl="1">
      <w:lvlJc w:val="left"/>
      <w:lvlText w:val="(%2)"/>
      <w:numFmt w:val="lowerRoman"/>
      <w:start w:val="4"/>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2020-02-07T17:00:17Z</dcterms:created>
  <dcterms:modified xsi:type="dcterms:W3CDTF">2020-02-07T17:00:17Z</dcterms:modified>
</cp:coreProperties>
</file>