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18415</wp:posOffset>
            </wp:positionV>
            <wp:extent cx="7275195" cy="9366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195" cy="936625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40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L.P.</w:t>
        </w:r>
      </w:hyperlink>
    </w:p>
    <w:p>
      <w:pPr>
        <w:spacing w:after="0" w:line="31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960"/>
        <w:spacing w:after="0" w:line="336" w:lineRule="auto"/>
        <w:rPr>
          <w:sz w:val="20"/>
          <w:szCs w:val="20"/>
          <w:color w:val="auto"/>
        </w:rPr>
      </w:pPr>
      <w:r>
        <w:rPr>
          <w:rFonts w:ascii="Arial" w:cs="Arial" w:eastAsia="Arial" w:hAnsi="Arial"/>
          <w:sz w:val="17"/>
          <w:szCs w:val="17"/>
          <w:color w:val="0000FF"/>
        </w:rPr>
        <w:t>1800 AVENUE OF THE STARS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03/31/2017</w:t>
      </w:r>
    </w:p>
    <w:p>
      <w:pPr>
        <w:spacing w:after="0" w:line="20" w:lineRule="exact"/>
        <w:rPr>
          <w:sz w:val="24"/>
          <w:szCs w:val="24"/>
          <w:color w:val="auto"/>
        </w:rPr>
      </w:pPr>
      <w:r>
        <w:rPr>
          <w:sz w:val="24"/>
          <w:szCs w:val="24"/>
          <w:color w:val="auto"/>
        </w:rPr>
        <w:br w:type="column"/>
      </w:r>
    </w:p>
    <w:p>
      <w:pPr>
        <w:ind w:left="2" w:right="700" w:hanging="2"/>
        <w:spacing w:after="0" w:line="244"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562" w:type="dxa"/>
        <w:tblCellMar>
          <w:top w:w="0" w:type="dxa"/>
          <w:left w:w="0" w:type="dxa"/>
          <w:bottom w:w="0" w:type="dxa"/>
          <w:right w:w="0" w:type="dxa"/>
        </w:tblCellMar>
      </w:tblPr>
      <w:tr>
        <w:trPr>
          <w:trHeight w:val="157"/>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02"/>
        <w:spacing w:after="0"/>
        <w:rPr>
          <w:sz w:val="20"/>
          <w:szCs w:val="20"/>
          <w:color w:val="auto"/>
        </w:rPr>
      </w:pPr>
      <w:r>
        <w:rPr>
          <w:rFonts w:ascii="Arial" w:cs="Arial" w:eastAsia="Arial" w:hAnsi="Arial"/>
          <w:sz w:val="17"/>
          <w:szCs w:val="17"/>
          <w:color w:val="0000FF"/>
        </w:rPr>
        <w:t>See Remarks</w:t>
      </w:r>
    </w:p>
    <w:p>
      <w:pPr>
        <w:spacing w:after="0" w:line="484" w:lineRule="exact"/>
        <w:rPr>
          <w:sz w:val="24"/>
          <w:szCs w:val="24"/>
          <w:color w:val="auto"/>
        </w:rPr>
      </w:pPr>
    </w:p>
    <w:p>
      <w:pPr>
        <w:sectPr>
          <w:pgSz w:w="11900" w:h="16838" w:orient="portrait"/>
          <w:cols w:equalWidth="0" w:num="3">
            <w:col w:w="3340" w:space="720"/>
            <w:col w:w="3258" w:space="720"/>
            <w:col w:w="3482"/>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0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40" w:type="dxa"/>
            <w:vAlign w:val="bottom"/>
            <w:gridSpan w:val="11"/>
            <w:vMerge w:val="restart"/>
          </w:tcPr>
          <w:p>
            <w:pPr>
              <w:jc w:val="center"/>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3980" w:type="dxa"/>
            <w:vAlign w:val="bottom"/>
            <w:gridSpan w:val="12"/>
            <w:vMerge w:val="restart"/>
          </w:tcPr>
          <w:p>
            <w:pPr>
              <w:ind w:left="5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3640" w:type="dxa"/>
            <w:vAlign w:val="bottom"/>
            <w:gridSpan w:val="11"/>
            <w:vMerge w:val="continue"/>
          </w:tcPr>
          <w:p>
            <w:pPr>
              <w:spacing w:after="0"/>
              <w:rPr>
                <w:sz w:val="2"/>
                <w:szCs w:val="2"/>
                <w:color w:val="auto"/>
              </w:rPr>
            </w:pPr>
          </w:p>
        </w:tc>
        <w:tc>
          <w:tcPr>
            <w:tcW w:w="3980" w:type="dxa"/>
            <w:vAlign w:val="bottom"/>
            <w:gridSpan w:val="1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4"/>
          </w:tcPr>
          <w:p>
            <w:pPr>
              <w:ind w:left="5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300" w:type="dxa"/>
            <w:vAlign w:val="bottom"/>
            <w:gridSpan w:val="5"/>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LOS ANGELES  CA</w:t>
            </w:r>
          </w:p>
        </w:tc>
        <w:tc>
          <w:tcPr>
            <w:tcW w:w="1180" w:type="dxa"/>
            <w:vAlign w:val="bottom"/>
            <w:vMerge w:val="restart"/>
          </w:tcPr>
          <w:p>
            <w:pPr>
              <w:spacing w:after="0"/>
              <w:rPr>
                <w:sz w:val="20"/>
                <w:szCs w:val="20"/>
                <w:color w:val="auto"/>
              </w:rPr>
            </w:pPr>
            <w:r>
              <w:rPr>
                <w:rFonts w:ascii="Arial" w:cs="Arial" w:eastAsia="Arial" w:hAnsi="Arial"/>
                <w:sz w:val="17"/>
                <w:szCs w:val="17"/>
                <w:color w:val="0000FF"/>
              </w:rPr>
              <w:t>77002</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X</w:t>
            </w:r>
          </w:p>
        </w:tc>
        <w:tc>
          <w:tcPr>
            <w:tcW w:w="31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31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tcBorders>
              <w:top w:val="single" w:sz="8" w:color="EEEEEE"/>
            </w:tcBorders>
            <w:gridSpan w:val="4"/>
            <w:vMerge w:val="restart"/>
          </w:tcPr>
          <w:p>
            <w:pPr>
              <w:ind w:left="560"/>
              <w:spacing w:after="0"/>
              <w:rPr>
                <w:sz w:val="20"/>
                <w:szCs w:val="20"/>
                <w:color w:val="auto"/>
              </w:rPr>
            </w:pPr>
            <w:r>
              <w:rPr>
                <w:rFonts w:ascii="Arial" w:cs="Arial" w:eastAsia="Arial" w:hAnsi="Arial"/>
                <w:sz w:val="13"/>
                <w:szCs w:val="13"/>
                <w:color w:val="auto"/>
              </w:rPr>
              <w:t>(State)</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840" w:type="dxa"/>
            <w:vAlign w:val="bottom"/>
            <w:gridSpan w:val="4"/>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2760" w:type="dxa"/>
            <w:vAlign w:val="bottom"/>
            <w:tcBorders>
              <w:bottom w:val="single" w:sz="8" w:color="2C2C2C"/>
            </w:tcBorders>
            <w:gridSpan w:val="6"/>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600" w:type="dxa"/>
            <w:vAlign w:val="bottom"/>
            <w:tcBorders>
              <w:top w:val="single" w:sz="8" w:color="2C2C2C"/>
            </w:tcBorders>
            <w:gridSpan w:val="19"/>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6"/>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30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3"/>
          </w:tcPr>
          <w:p>
            <w:pPr>
              <w:ind w:left="380"/>
              <w:spacing w:after="0" w:line="129"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3"/>
          </w:tcPr>
          <w:p>
            <w:pPr>
              <w:ind w:left="58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3"/>
          </w:tcPr>
          <w:p>
            <w:pPr>
              <w:jc w:val="center"/>
              <w:ind w:left="180"/>
              <w:spacing w:after="0" w:line="132" w:lineRule="exact"/>
              <w:rPr>
                <w:sz w:val="20"/>
                <w:szCs w:val="20"/>
                <w:color w:val="auto"/>
              </w:rPr>
            </w:pPr>
            <w:r>
              <w:rPr>
                <w:rFonts w:ascii="Arial" w:cs="Arial" w:eastAsia="Arial" w:hAnsi="Arial"/>
                <w:sz w:val="12"/>
                <w:szCs w:val="12"/>
                <w:b w:val="1"/>
                <w:bCs w:val="1"/>
                <w:color w:val="auto"/>
                <w:w w:val="99"/>
              </w:rPr>
              <w:t>(D) or Indirect</w:t>
            </w:r>
          </w:p>
        </w:tc>
        <w:tc>
          <w:tcPr>
            <w:tcW w:w="12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12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jc w:val="center"/>
              <w:ind w:right="23"/>
              <w:spacing w:after="0"/>
              <w:rPr>
                <w:sz w:val="20"/>
                <w:szCs w:val="20"/>
                <w:color w:val="auto"/>
              </w:rPr>
            </w:pPr>
            <w:r>
              <w:rPr>
                <w:rFonts w:ascii="Arial" w:cs="Arial" w:eastAsia="Arial" w:hAnsi="Arial"/>
                <w:sz w:val="12"/>
                <w:szCs w:val="12"/>
                <w:b w:val="1"/>
                <w:bCs w:val="1"/>
                <w:color w:val="auto"/>
                <w:w w:val="99"/>
              </w:rPr>
              <w:t>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5"/>
              </w:rPr>
              <w:t>(Instr. 3 and 4)</w:t>
            </w: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gridSpan w:val="3"/>
            <w:vMerge w:val="restart"/>
          </w:tcPr>
          <w:p>
            <w:pPr>
              <w:ind w:left="680"/>
              <w:spacing w:after="0"/>
              <w:rPr>
                <w:sz w:val="20"/>
                <w:szCs w:val="20"/>
                <w:color w:val="auto"/>
              </w:rPr>
            </w:pPr>
            <w:r>
              <w:rPr>
                <w:rFonts w:ascii="Arial" w:cs="Arial" w:eastAsia="Arial" w:hAnsi="Arial"/>
                <w:sz w:val="17"/>
                <w:szCs w:val="17"/>
                <w:color w:val="0000FF"/>
              </w:rPr>
              <w:t>03/31/2017</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vMerge w:val="restart"/>
          </w:tcPr>
          <w:p>
            <w:pPr>
              <w:ind w:left="100"/>
              <w:spacing w:after="0"/>
              <w:rPr>
                <w:sz w:val="20"/>
                <w:szCs w:val="20"/>
                <w:color w:val="auto"/>
              </w:rPr>
            </w:pPr>
            <w:r>
              <w:rPr>
                <w:rFonts w:ascii="Arial" w:cs="Arial" w:eastAsia="Arial" w:hAnsi="Arial"/>
                <w:sz w:val="13"/>
                <w:szCs w:val="13"/>
                <w:color w:val="0000FF"/>
              </w:rPr>
              <w:t>A</w:t>
            </w:r>
          </w:p>
        </w:tc>
        <w:tc>
          <w:tcPr>
            <w:tcW w:w="400" w:type="dxa"/>
            <w:vAlign w:val="bottom"/>
          </w:tcPr>
          <w:p>
            <w:pPr>
              <w:spacing w:after="0"/>
              <w:rPr>
                <w:sz w:val="22"/>
                <w:szCs w:val="22"/>
                <w:color w:val="auto"/>
              </w:rPr>
            </w:pPr>
          </w:p>
        </w:tc>
        <w:tc>
          <w:tcPr>
            <w:tcW w:w="860" w:type="dxa"/>
            <w:vAlign w:val="bottom"/>
            <w:vMerge w:val="restart"/>
          </w:tcPr>
          <w:p>
            <w:pPr>
              <w:ind w:left="160"/>
              <w:spacing w:after="0"/>
              <w:rPr>
                <w:sz w:val="20"/>
                <w:szCs w:val="20"/>
                <w:color w:val="auto"/>
              </w:rPr>
            </w:pPr>
            <w:r>
              <w:rPr>
                <w:rFonts w:ascii="Arial" w:cs="Arial" w:eastAsia="Arial" w:hAnsi="Arial"/>
                <w:sz w:val="17"/>
                <w:szCs w:val="17"/>
                <w:color w:val="0000FF"/>
              </w:rPr>
              <w:t>185,207</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91"/>
              </w:rPr>
              <w:t>185,207</w:t>
            </w:r>
          </w:p>
        </w:tc>
        <w:tc>
          <w:tcPr>
            <w:tcW w:w="640" w:type="dxa"/>
            <w:vAlign w:val="bottom"/>
          </w:tcPr>
          <w:p>
            <w:pPr>
              <w:spacing w:after="0"/>
              <w:rPr>
                <w:sz w:val="22"/>
                <w:szCs w:val="22"/>
                <w:color w:val="auto"/>
              </w:rPr>
            </w:pPr>
          </w:p>
        </w:tc>
        <w:tc>
          <w:tcPr>
            <w:tcW w:w="3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36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0000FF"/>
              </w:rPr>
              <w:t>See</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gridSpan w:val="4"/>
            <w:vMerge w:val="restart"/>
          </w:tcPr>
          <w:p>
            <w:pPr>
              <w:ind w:left="20"/>
              <w:spacing w:after="0" w:line="272" w:lineRule="exact"/>
              <w:rPr>
                <w:sz w:val="20"/>
                <w:szCs w:val="20"/>
                <w:color w:val="auto"/>
              </w:rPr>
            </w:pPr>
            <w:r>
              <w:rPr>
                <w:rFonts w:ascii="Arial" w:cs="Arial" w:eastAsia="Arial" w:hAnsi="Arial"/>
                <w:sz w:val="31"/>
                <w:szCs w:val="31"/>
                <w:color w:val="0000FF"/>
                <w:w w:val="95"/>
                <w:vertAlign w:val="subscript"/>
              </w:rPr>
              <w:t>Footnote</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7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620" w:type="dxa"/>
            <w:vAlign w:val="bottom"/>
            <w:tcBorders>
              <w:top w:val="single" w:sz="8" w:color="2C2C2C"/>
            </w:tcBorders>
            <w:gridSpan w:val="3"/>
            <w:vMerge w:val="restart"/>
          </w:tcPr>
          <w:p>
            <w:pPr>
              <w:ind w:left="680"/>
              <w:spacing w:after="0"/>
              <w:rPr>
                <w:sz w:val="20"/>
                <w:szCs w:val="20"/>
                <w:color w:val="auto"/>
              </w:rPr>
            </w:pPr>
            <w:r>
              <w:rPr>
                <w:rFonts w:ascii="Arial" w:cs="Arial" w:eastAsia="Arial" w:hAnsi="Arial"/>
                <w:sz w:val="17"/>
                <w:szCs w:val="17"/>
                <w:color w:val="0000FF"/>
              </w:rPr>
              <w:t>03/31/2017</w:t>
            </w: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3"/>
                <w:szCs w:val="13"/>
                <w:color w:val="0000FF"/>
              </w:rPr>
              <w:t>J</w:t>
            </w:r>
          </w:p>
        </w:tc>
        <w:tc>
          <w:tcPr>
            <w:tcW w:w="40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185,207</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4"/>
              </w:rPr>
              <w:t>0</w:t>
            </w:r>
          </w:p>
        </w:tc>
        <w:tc>
          <w:tcPr>
            <w:tcW w:w="6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I</w:t>
            </w:r>
          </w:p>
        </w:tc>
        <w:tc>
          <w:tcPr>
            <w:tcW w:w="3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See</w:t>
            </w:r>
          </w:p>
        </w:tc>
        <w:tc>
          <w:tcPr>
            <w:tcW w:w="6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gridSpan w:val="4"/>
            <w:vMerge w:val="restart"/>
          </w:tcPr>
          <w:p>
            <w:pPr>
              <w:ind w:left="20"/>
              <w:spacing w:after="0" w:line="272" w:lineRule="exact"/>
              <w:rPr>
                <w:sz w:val="20"/>
                <w:szCs w:val="20"/>
                <w:color w:val="auto"/>
              </w:rPr>
            </w:pPr>
            <w:r>
              <w:rPr>
                <w:rFonts w:ascii="Arial" w:cs="Arial" w:eastAsia="Arial" w:hAnsi="Arial"/>
                <w:sz w:val="31"/>
                <w:szCs w:val="31"/>
                <w:color w:val="0000FF"/>
                <w:w w:val="95"/>
                <w:vertAlign w:val="subscript"/>
              </w:rPr>
              <w:t>Footnote</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5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7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1"/>
              </w:rPr>
              <w:t>257,624</w:t>
            </w:r>
          </w:p>
        </w:tc>
        <w:tc>
          <w:tcPr>
            <w:tcW w:w="6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jc w:val="center"/>
              <w:spacing w:after="0" w:line="317"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(4)</w:t>
            </w:r>
          </w:p>
        </w:tc>
        <w:tc>
          <w:tcPr>
            <w:tcW w:w="3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3"/>
          </w:tcPr>
          <w:p>
            <w:pPr>
              <w:ind w:left="14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5. Number of</w:t>
            </w:r>
          </w:p>
        </w:tc>
        <w:tc>
          <w:tcPr>
            <w:tcW w:w="158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Conversion</w:t>
            </w:r>
          </w:p>
        </w:tc>
        <w:tc>
          <w:tcPr>
            <w:tcW w:w="110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Exercise</w:t>
            </w:r>
          </w:p>
        </w:tc>
        <w:tc>
          <w:tcPr>
            <w:tcW w:w="110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w w:val="95"/>
              </w:rPr>
              <w:t>(Month/Day/Year)</w:t>
            </w:r>
          </w:p>
        </w:tc>
        <w:tc>
          <w:tcPr>
            <w:tcW w:w="11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3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3"/>
              </w:rPr>
              <w:t>Form:</w:t>
            </w:r>
          </w:p>
        </w:tc>
        <w:tc>
          <w:tcPr>
            <w:tcW w:w="400" w:type="dxa"/>
            <w:vAlign w:val="bottom"/>
          </w:tcPr>
          <w:p>
            <w:pPr>
              <w:spacing w:after="0"/>
              <w:rPr>
                <w:sz w:val="11"/>
                <w:szCs w:val="11"/>
                <w:color w:val="auto"/>
              </w:rPr>
            </w:pPr>
          </w:p>
        </w:tc>
        <w:tc>
          <w:tcPr>
            <w:tcW w:w="8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7"/>
              </w:rPr>
              <w:t>Acquired (A)</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or Disposed</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of (D) (Instr.</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3, 4 and 5)</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2"/>
              </w:rPr>
              <w:t>Class</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restart"/>
          </w:tcPr>
          <w:p>
            <w:pPr>
              <w:ind w:left="60"/>
              <w:spacing w:after="0" w:line="128" w:lineRule="exact"/>
              <w:rPr>
                <w:sz w:val="20"/>
                <w:szCs w:val="20"/>
                <w:color w:val="auto"/>
              </w:rPr>
            </w:pPr>
            <w:r>
              <w:rPr>
                <w:rFonts w:ascii="Arial" w:cs="Arial" w:eastAsia="Arial" w:hAnsi="Arial"/>
                <w:sz w:val="13"/>
                <w:szCs w:val="13"/>
                <w:color w:val="0000FF"/>
                <w:w w:val="93"/>
              </w:rPr>
              <w:t>Shares/Class</w:t>
            </w: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vMerge w:val="restart"/>
          </w:tcPr>
          <w:p>
            <w:pPr>
              <w:jc w:val="right"/>
              <w:ind w:right="63"/>
              <w:spacing w:after="0"/>
              <w:rPr>
                <w:sz w:val="20"/>
                <w:szCs w:val="20"/>
                <w:color w:val="auto"/>
              </w:rPr>
            </w:pPr>
            <w:r>
              <w:rPr>
                <w:rFonts w:ascii="Arial" w:cs="Arial" w:eastAsia="Arial" w:hAnsi="Arial"/>
                <w:sz w:val="11"/>
                <w:szCs w:val="11"/>
                <w:color w:val="008000"/>
                <w:w w:val="96"/>
              </w:rPr>
              <w:t>(1)(2)</w:t>
            </w:r>
          </w:p>
        </w:tc>
        <w:tc>
          <w:tcPr>
            <w:tcW w:w="860" w:type="dxa"/>
            <w:vAlign w:val="bottom"/>
            <w:vMerge w:val="restart"/>
          </w:tcPr>
          <w:p>
            <w:pPr>
              <w:ind w:left="400"/>
              <w:spacing w:after="0"/>
              <w:rPr>
                <w:sz w:val="20"/>
                <w:szCs w:val="20"/>
                <w:color w:val="auto"/>
              </w:rPr>
            </w:pPr>
            <w:r>
              <w:rPr>
                <w:rFonts w:ascii="Arial" w:cs="Arial" w:eastAsia="Arial" w:hAnsi="Arial"/>
                <w:sz w:val="11"/>
                <w:szCs w:val="11"/>
                <w:color w:val="008000"/>
              </w:rPr>
              <w:t>(1)(2)</w:t>
            </w:r>
          </w:p>
        </w:tc>
        <w:tc>
          <w:tcPr>
            <w:tcW w:w="500" w:type="dxa"/>
            <w:vAlign w:val="bottom"/>
            <w:vMerge w:val="continue"/>
          </w:tcPr>
          <w:p>
            <w:pPr>
              <w:spacing w:after="0"/>
              <w:rPr>
                <w:sz w:val="5"/>
                <w:szCs w:val="5"/>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185,207</w:t>
            </w: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1"/>
                <w:szCs w:val="11"/>
                <w:color w:val="008000"/>
                <w:w w:val="88"/>
              </w:rPr>
              <w:t>(5)</w:t>
            </w: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restart"/>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gridSpan w:val="3"/>
            <w:vMerge w:val="restart"/>
          </w:tcPr>
          <w:p>
            <w:pPr>
              <w:ind w:left="320"/>
              <w:spacing w:after="0" w:line="145" w:lineRule="exact"/>
              <w:rPr>
                <w:sz w:val="20"/>
                <w:szCs w:val="20"/>
                <w:color w:val="auto"/>
              </w:rPr>
            </w:pPr>
            <w:r>
              <w:rPr>
                <w:rFonts w:ascii="Arial" w:cs="Arial" w:eastAsia="Arial" w:hAnsi="Arial"/>
                <w:sz w:val="13"/>
                <w:szCs w:val="13"/>
                <w:color w:val="0000FF"/>
              </w:rPr>
              <w:t>03/31/2017</w:t>
            </w: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vMerge w:val="restart"/>
          </w:tcPr>
          <w:p>
            <w:pPr>
              <w:ind w:left="100"/>
              <w:spacing w:after="0" w:line="14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3"/>
            <w:vMerge w:val="restart"/>
          </w:tcPr>
          <w:p>
            <w:pPr>
              <w:ind w:left="340"/>
              <w:spacing w:after="0" w:line="145" w:lineRule="exact"/>
              <w:rPr>
                <w:sz w:val="20"/>
                <w:szCs w:val="20"/>
                <w:color w:val="auto"/>
              </w:rPr>
            </w:pPr>
            <w:r>
              <w:rPr>
                <w:rFonts w:ascii="Arial" w:cs="Arial" w:eastAsia="Arial" w:hAnsi="Arial"/>
                <w:sz w:val="13"/>
                <w:szCs w:val="13"/>
                <w:color w:val="0000FF"/>
              </w:rPr>
              <w:t>185,207</w:t>
            </w:r>
          </w:p>
        </w:tc>
        <w:tc>
          <w:tcPr>
            <w:tcW w:w="4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5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rPr>
              <w:t>A</w:t>
            </w:r>
          </w:p>
        </w:tc>
        <w:tc>
          <w:tcPr>
            <w:tcW w:w="6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right"/>
              <w:ind w:right="267"/>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w w:val="86"/>
              </w:rPr>
              <w:t>22,637,206</w:t>
            </w:r>
          </w:p>
        </w:tc>
        <w:tc>
          <w:tcPr>
            <w:tcW w:w="300" w:type="dxa"/>
            <w:vAlign w:val="bottom"/>
            <w:vMerge w:val="continue"/>
          </w:tcPr>
          <w:p>
            <w:pPr>
              <w:spacing w:after="0"/>
              <w:rPr>
                <w:sz w:val="5"/>
                <w:szCs w:val="5"/>
                <w:color w:val="auto"/>
              </w:rPr>
            </w:pPr>
          </w:p>
        </w:tc>
        <w:tc>
          <w:tcPr>
            <w:tcW w:w="360" w:type="dxa"/>
            <w:vAlign w:val="bottom"/>
            <w:vMerge w:val="restart"/>
          </w:tcPr>
          <w:p>
            <w:pPr>
              <w:ind w:left="300"/>
              <w:spacing w:after="0" w:line="145" w:lineRule="exact"/>
              <w:rPr>
                <w:sz w:val="20"/>
                <w:szCs w:val="20"/>
                <w:color w:val="auto"/>
              </w:rPr>
            </w:pPr>
            <w:r>
              <w:rPr>
                <w:rFonts w:ascii="Arial" w:cs="Arial" w:eastAsia="Arial" w:hAnsi="Arial"/>
                <w:sz w:val="13"/>
                <w:szCs w:val="13"/>
                <w:color w:val="0000FF"/>
              </w:rPr>
              <w:t>I</w:t>
            </w:r>
          </w:p>
        </w:tc>
        <w:tc>
          <w:tcPr>
            <w:tcW w:w="4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gridSpan w:val="3"/>
            <w:vMerge w:val="restart"/>
          </w:tcPr>
          <w:p>
            <w:pPr>
              <w:spacing w:after="0" w:line="163" w:lineRule="exact"/>
              <w:rPr>
                <w:sz w:val="20"/>
                <w:szCs w:val="20"/>
                <w:color w:val="auto"/>
              </w:rPr>
            </w:pPr>
            <w:r>
              <w:rPr>
                <w:rFonts w:ascii="Arial" w:cs="Arial" w:eastAsia="Arial" w:hAnsi="Arial"/>
                <w:sz w:val="12"/>
                <w:szCs w:val="12"/>
                <w:color w:val="0000FF"/>
              </w:rPr>
              <w:t>Footnote</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6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KAFU HOLDINGS, L.P.</w:t>
              </w:r>
            </w:hyperlink>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ind w:left="3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5"/>
          </w:tcPr>
          <w:p>
            <w:pPr>
              <w:spacing w:after="0"/>
              <w:rPr>
                <w:sz w:val="20"/>
                <w:szCs w:val="20"/>
                <w:color w:val="auto"/>
              </w:rPr>
            </w:pPr>
            <w:r>
              <w:rPr>
                <w:rFonts w:ascii="Arial" w:cs="Arial" w:eastAsia="Arial" w:hAnsi="Arial"/>
                <w:sz w:val="17"/>
                <w:szCs w:val="17"/>
                <w:color w:val="0000FF"/>
              </w:rPr>
              <w:t>1800 AVENUE OF THE STARS</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0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80" w:type="dxa"/>
            <w:vAlign w:val="bottom"/>
          </w:tcPr>
          <w:p>
            <w:pPr>
              <w:ind w:left="380"/>
              <w:spacing w:after="0"/>
              <w:rPr>
                <w:sz w:val="20"/>
                <w:szCs w:val="20"/>
                <w:color w:val="auto"/>
              </w:rPr>
            </w:pPr>
            <w:r>
              <w:rPr>
                <w:rFonts w:ascii="Arial" w:cs="Arial" w:eastAsia="Arial" w:hAnsi="Arial"/>
                <w:sz w:val="17"/>
                <w:szCs w:val="17"/>
                <w:color w:val="0000FF"/>
              </w:rPr>
              <w:t>77002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80" w:type="dxa"/>
            <w:vAlign w:val="bottom"/>
          </w:tcPr>
          <w:p>
            <w:pPr>
              <w:ind w:left="3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19" w:lineRule="exact"/>
              <w:rPr>
                <w:rFonts w:ascii="Arial" w:cs="Arial" w:eastAsia="Arial" w:hAnsi="Arial"/>
                <w:sz w:val="21"/>
                <w:szCs w:val="21"/>
                <w:color w:val="0000EE"/>
              </w:rPr>
            </w:pPr>
            <w:hyperlink r:id="rId14">
              <w:r>
                <w:rPr>
                  <w:rFonts w:ascii="Arial" w:cs="Arial" w:eastAsia="Arial" w:hAnsi="Arial"/>
                  <w:sz w:val="21"/>
                  <w:szCs w:val="21"/>
                  <w:color w:val="0000EE"/>
                </w:rPr>
                <w:t>KAFU Holdings (QP), L.P.</w:t>
              </w:r>
            </w:hyperlink>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ind w:left="38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6"/>
          </w:tcPr>
          <w:p>
            <w:pPr>
              <w:spacing w:after="0"/>
              <w:rPr>
                <w:sz w:val="20"/>
                <w:szCs w:val="20"/>
                <w:color w:val="auto"/>
              </w:rPr>
            </w:pPr>
            <w:r>
              <w:rPr>
                <w:rFonts w:ascii="Arial" w:cs="Arial" w:eastAsia="Arial" w:hAnsi="Arial"/>
                <w:sz w:val="17"/>
                <w:szCs w:val="17"/>
                <w:color w:val="0000FF"/>
              </w:rPr>
              <w:t>1800 AVENUE OF THE STARS, 3RD FLOOR</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0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80" w:type="dxa"/>
            <w:vAlign w:val="bottom"/>
          </w:tcPr>
          <w:p>
            <w:pPr>
              <w:ind w:left="380"/>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80" w:type="dxa"/>
            <w:vAlign w:val="bottom"/>
          </w:tcPr>
          <w:p>
            <w:pPr>
              <w:ind w:left="3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-5245735</wp:posOffset>
            </wp:positionV>
            <wp:extent cx="24130" cy="1915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915160"/>
                    </a:xfrm>
                    <a:prstGeom prst="rect">
                      <a:avLst/>
                    </a:prstGeom>
                    <a:noFill/>
                  </pic:spPr>
                </pic:pic>
              </a:graphicData>
            </a:graphic>
          </wp:anchor>
        </w:drawing>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3" w:right="13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KAFU Holdings II, L.P.</w:t>
        </w:r>
      </w:hyperlink>
    </w:p>
    <w:p>
      <w:pPr>
        <w:sectPr>
          <w:pgSz w:w="11900" w:h="16838" w:orient="portrait"/>
          <w:cols w:equalWidth="0" w:num="1">
            <w:col w:w="11520"/>
          </w:cols>
          <w:pgMar w:left="240" w:top="223" w:right="1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0000FF"/>
              </w:rPr>
              <w:t>1800 AVENUE OF THE STARS</w:t>
            </w:r>
          </w:p>
        </w:tc>
        <w:tc>
          <w:tcPr>
            <w:tcW w:w="174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3RD FLOOR</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2"/>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6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90067</w:t>
            </w:r>
          </w:p>
        </w:tc>
      </w:tr>
      <w:tr>
        <w:trPr>
          <w:trHeight w:val="154"/>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2918460" cy="3039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18460" cy="30397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KAYNE ANDERSON CAPITAL ADVISORS LP</w:t>
        </w:r>
      </w:hyperlink>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6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0000FF"/>
              </w:rPr>
              <w:t>1800 AVENUE OF THE STARS</w:t>
            </w:r>
          </w:p>
        </w:tc>
        <w:tc>
          <w:tcPr>
            <w:tcW w:w="174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3RD FLOOR</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2"/>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6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90067</w:t>
            </w:r>
          </w:p>
        </w:tc>
      </w:tr>
      <w:tr>
        <w:trPr>
          <w:trHeight w:val="154"/>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6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right="160" w:firstLine="5"/>
        <w:spacing w:after="0" w:line="267" w:lineRule="auto"/>
        <w:tabs>
          <w:tab w:leader="none" w:pos="13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KAFU Holdings (QP), L.P., KAFU Holdings, L.P., and KAFU Holdings II, L.P. (collectively "KAFU")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and KACALP, has the right at any time (without expiration) to immediately exchange (the "Exchange Right") its Class A units in AAP together with a like number of Class B shares and the GP Units, for a like number of Class A shares of the Issuer.</w:t>
      </w:r>
    </w:p>
    <w:p>
      <w:pPr>
        <w:spacing w:after="0" w:line="18" w:lineRule="exact"/>
        <w:rPr>
          <w:rFonts w:ascii="Arial" w:cs="Arial" w:eastAsia="Arial" w:hAnsi="Arial"/>
          <w:sz w:val="12"/>
          <w:szCs w:val="12"/>
          <w:color w:val="008000"/>
        </w:rPr>
      </w:pPr>
    </w:p>
    <w:p>
      <w:pPr>
        <w:ind w:firstLine="5"/>
        <w:spacing w:after="0" w:line="297" w:lineRule="auto"/>
        <w:tabs>
          <w:tab w:leader="none" w:pos="13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Kayne Anderson Capital Advisors, L.P. ("KACALP")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involves an in-kind distribution to redeeming limited partners of KAFU Holdings (QP), L.P. and KAFU Holdings, L.P.</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Kayne Anderson Capital Advisors, L.P.</w:t>
      </w:r>
    </w:p>
    <w:p>
      <w:pPr>
        <w:spacing w:after="0" w:line="48" w:lineRule="exact"/>
        <w:rPr>
          <w:rFonts w:ascii="Arial" w:cs="Arial" w:eastAsia="Arial" w:hAnsi="Arial"/>
          <w:sz w:val="13"/>
          <w:szCs w:val="13"/>
          <w:color w:val="008000"/>
        </w:rPr>
      </w:pPr>
    </w:p>
    <w:p>
      <w:pPr>
        <w:ind w:right="40" w:firstLine="5"/>
        <w:spacing w:after="0" w:line="245"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1,835,421 Class A units. As a result, such Class A units were cancelled and 1,835,421 Common Units of Plains All American Pipeline, L.P. were distributed by AAP to KAFU. The number of derivative securities owned reflects both the exchange transaction reported herein and the simultaneous redemption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40"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04/04/2017</w:t>
            </w:r>
          </w:p>
        </w:tc>
      </w:tr>
      <w:tr>
        <w:trPr>
          <w:trHeight w:val="20"/>
        </w:trPr>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600"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00"/>
      </w:cols>
      <w:pgMar w:left="280" w:top="17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638385" TargetMode="External"/><Relationship Id="rId16" Type="http://schemas.openxmlformats.org/officeDocument/2006/relationships/hyperlink" Target="http://www.sec.gov/cgi-bin/browse-edgar?action=getcompany&amp;CIK=0001590087" TargetMode="External"/><Relationship Id="rId18"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2019-12-24T06:45:40Z</dcterms:created>
  <dcterms:modified xsi:type="dcterms:W3CDTF">2019-12-24T06:45:40Z</dcterms:modified>
</cp:coreProperties>
</file>