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December 8, 2016</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GP HOLDINGS, L.P.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6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Delaware</w:t>
            </w:r>
          </w:p>
        </w:tc>
        <w:tc>
          <w:tcPr>
            <w:tcW w:w="160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90-1005472</w:t>
            </w:r>
          </w:p>
        </w:tc>
      </w:tr>
      <w:tr>
        <w:trPr>
          <w:trHeight w:val="149"/>
        </w:trPr>
        <w:tc>
          <w:tcPr>
            <w:tcW w:w="1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0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960" w:type="dxa"/>
            <w:vAlign w:val="bottom"/>
          </w:tcPr>
          <w:p>
            <w:pPr>
              <w:jc w:val="center"/>
              <w:ind w:right="252"/>
              <w:spacing w:after="0"/>
              <w:rPr>
                <w:sz w:val="20"/>
                <w:szCs w:val="20"/>
                <w:color w:val="auto"/>
              </w:rPr>
            </w:pPr>
            <w:r>
              <w:rPr>
                <w:rFonts w:ascii="Arial" w:cs="Arial" w:eastAsia="Arial" w:hAnsi="Arial"/>
                <w:sz w:val="14"/>
                <w:szCs w:val="14"/>
                <w:color w:val="auto"/>
                <w:w w:val="90"/>
              </w:rPr>
              <w:t>incorporation or organization)</w:t>
            </w:r>
          </w:p>
        </w:tc>
        <w:tc>
          <w:tcPr>
            <w:tcW w:w="1600" w:type="dxa"/>
            <w:vAlign w:val="bottom"/>
          </w:tcPr>
          <w:p>
            <w:pPr>
              <w:jc w:val="center"/>
              <w:ind w:left="27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19"/>
        <w:spacing w:after="0" w:line="222"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David P. Oelman</w:t>
      </w:r>
    </w:p>
    <w:p>
      <w:pPr>
        <w:jc w:val="center"/>
        <w:ind w:right="-19"/>
        <w:spacing w:after="0" w:line="223"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2"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1"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52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tbl>
      <w:tblPr>
        <w:tblLayout w:type="fixed"/>
        <w:tblInd w:w="340" w:type="dxa"/>
        <w:tblCellMar>
          <w:top w:w="0" w:type="dxa"/>
          <w:left w:w="0" w:type="dxa"/>
          <w:bottom w:w="0" w:type="dxa"/>
          <w:right w:w="0" w:type="dxa"/>
        </w:tblCellMar>
      </w:tblPr>
      <w:tr>
        <w:trPr>
          <w:trHeight w:val="174"/>
        </w:trPr>
        <w:tc>
          <w:tcPr>
            <w:tcW w:w="21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800" w:type="dxa"/>
            <w:vAlign w:val="bottom"/>
          </w:tcPr>
          <w:p>
            <w:pPr>
              <w:ind w:left="800"/>
              <w:spacing w:after="0"/>
              <w:rPr>
                <w:sz w:val="20"/>
                <w:szCs w:val="20"/>
                <w:color w:val="auto"/>
              </w:rPr>
            </w:pPr>
            <w:r>
              <w:rPr>
                <w:rFonts w:ascii="Arial" w:cs="Arial" w:eastAsia="Arial" w:hAnsi="Arial"/>
                <w:sz w:val="14"/>
                <w:szCs w:val="14"/>
                <w:color w:val="auto"/>
              </w:rPr>
              <w:t>Accelerated filer o</w:t>
            </w:r>
          </w:p>
        </w:tc>
        <w:tc>
          <w:tcPr>
            <w:tcW w:w="3060" w:type="dxa"/>
            <w:vAlign w:val="bottom"/>
          </w:tcPr>
          <w:p>
            <w:pPr>
              <w:jc w:val="center"/>
              <w:spacing w:after="0"/>
              <w:rPr>
                <w:sz w:val="20"/>
                <w:szCs w:val="20"/>
                <w:color w:val="auto"/>
              </w:rPr>
            </w:pPr>
            <w:r>
              <w:rPr>
                <w:rFonts w:ascii="Arial" w:cs="Arial" w:eastAsia="Arial" w:hAnsi="Arial"/>
                <w:sz w:val="14"/>
                <w:szCs w:val="14"/>
                <w:color w:val="auto"/>
                <w:w w:val="88"/>
              </w:rPr>
              <w:t>Non-accelerated filer o</w:t>
            </w:r>
          </w:p>
        </w:tc>
        <w:tc>
          <w:tcPr>
            <w:tcW w:w="2640" w:type="dxa"/>
            <w:vAlign w:val="bottom"/>
            <w:gridSpan w:val="2"/>
          </w:tcPr>
          <w:p>
            <w:pPr>
              <w:ind w:left="1060"/>
              <w:spacing w:after="0"/>
              <w:rPr>
                <w:sz w:val="20"/>
                <w:szCs w:val="20"/>
                <w:color w:val="auto"/>
              </w:rPr>
            </w:pPr>
            <w:r>
              <w:rPr>
                <w:rFonts w:ascii="Arial" w:cs="Arial" w:eastAsia="Arial" w:hAnsi="Arial"/>
                <w:sz w:val="14"/>
                <w:szCs w:val="14"/>
                <w:color w:val="auto"/>
                <w:w w:val="87"/>
              </w:rPr>
              <w:t>Smaller reporting company o</w:t>
            </w:r>
          </w:p>
        </w:tc>
      </w:tr>
      <w:tr>
        <w:trPr>
          <w:trHeight w:val="149"/>
        </w:trPr>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88"/>
              </w:rPr>
              <w:t>(Do not check if a</w:t>
            </w:r>
          </w:p>
        </w:tc>
        <w:tc>
          <w:tcPr>
            <w:tcW w:w="14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2"/>
        </w:trPr>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color w:val="auto"/>
                <w:w w:val="88"/>
              </w:rPr>
              <w:t>smaller reporting company)</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65"/>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gridSpan w:val="2"/>
          </w:tcPr>
          <w:p>
            <w:pPr>
              <w:ind w:left="1900"/>
              <w:spacing w:after="0"/>
              <w:rPr>
                <w:sz w:val="20"/>
                <w:szCs w:val="20"/>
                <w:color w:val="auto"/>
              </w:rPr>
            </w:pPr>
            <w:r>
              <w:rPr>
                <w:rFonts w:ascii="Arial" w:cs="Arial" w:eastAsia="Arial" w:hAnsi="Arial"/>
                <w:sz w:val="14"/>
                <w:szCs w:val="14"/>
                <w:b w:val="1"/>
                <w:bCs w:val="1"/>
                <w:color w:val="auto"/>
              </w:rPr>
              <w:t>CALCULATION OF REGISTRATION FEE</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16"/>
        </w:trPr>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60" w:type="dxa"/>
            <w:vAlign w:val="bottom"/>
          </w:tcPr>
          <w:p>
            <w:pPr>
              <w:jc w:val="center"/>
              <w:ind w:left="1153"/>
              <w:spacing w:after="0" w:line="117" w:lineRule="exact"/>
              <w:rPr>
                <w:sz w:val="20"/>
                <w:szCs w:val="20"/>
                <w:color w:val="auto"/>
              </w:rPr>
            </w:pPr>
            <w:r>
              <w:rPr>
                <w:rFonts w:ascii="Arial" w:cs="Arial" w:eastAsia="Arial" w:hAnsi="Arial"/>
                <w:sz w:val="12"/>
                <w:szCs w:val="12"/>
                <w:b w:val="1"/>
                <w:bCs w:val="1"/>
                <w:color w:val="auto"/>
              </w:rPr>
              <w:t>Proposed Maximum</w:t>
            </w:r>
          </w:p>
        </w:tc>
        <w:tc>
          <w:tcPr>
            <w:tcW w:w="14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9"/>
        </w:trPr>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Title of Securities</w:t>
            </w:r>
          </w:p>
        </w:tc>
        <w:tc>
          <w:tcPr>
            <w:tcW w:w="3060" w:type="dxa"/>
            <w:vAlign w:val="bottom"/>
          </w:tcPr>
          <w:p>
            <w:pPr>
              <w:jc w:val="center"/>
              <w:ind w:left="1153"/>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6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Pr>
          <w:p>
            <w:pPr>
              <w:jc w:val="center"/>
              <w:ind w:left="192"/>
              <w:spacing w:after="0"/>
              <w:rPr>
                <w:sz w:val="20"/>
                <w:szCs w:val="20"/>
                <w:color w:val="auto"/>
              </w:rPr>
            </w:pPr>
            <w:r>
              <w:rPr>
                <w:rFonts w:ascii="Arial" w:cs="Arial" w:eastAsia="Arial" w:hAnsi="Arial"/>
                <w:sz w:val="14"/>
                <w:szCs w:val="14"/>
                <w:b w:val="1"/>
                <w:bCs w:val="1"/>
                <w:color w:val="auto"/>
                <w:w w:val="85"/>
              </w:rPr>
              <w:t>to be Registered</w:t>
            </w:r>
          </w:p>
        </w:tc>
        <w:tc>
          <w:tcPr>
            <w:tcW w:w="3060" w:type="dxa"/>
            <w:vAlign w:val="bottom"/>
          </w:tcPr>
          <w:p>
            <w:pPr>
              <w:jc w:val="center"/>
              <w:ind w:left="1133"/>
              <w:spacing w:after="0"/>
              <w:rPr>
                <w:sz w:val="20"/>
                <w:szCs w:val="20"/>
                <w:color w:val="auto"/>
              </w:rPr>
            </w:pPr>
            <w:r>
              <w:rPr>
                <w:rFonts w:ascii="Arial" w:cs="Arial" w:eastAsia="Arial" w:hAnsi="Arial"/>
                <w:sz w:val="14"/>
                <w:szCs w:val="14"/>
                <w:b w:val="1"/>
                <w:bCs w:val="1"/>
                <w:color w:val="auto"/>
                <w:w w:val="87"/>
              </w:rPr>
              <w:t>Price</w:t>
            </w:r>
          </w:p>
        </w:tc>
        <w:tc>
          <w:tcPr>
            <w:tcW w:w="26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1220" w:type="dxa"/>
            <w:vAlign w:val="bottom"/>
          </w:tcPr>
          <w:p>
            <w:pPr>
              <w:spacing w:after="0"/>
              <w:rPr>
                <w:sz w:val="15"/>
                <w:szCs w:val="15"/>
                <w:color w:val="auto"/>
              </w:rPr>
            </w:pPr>
          </w:p>
        </w:tc>
        <w:tc>
          <w:tcPr>
            <w:tcW w:w="3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Class A shares representing limited partner interests</w:t>
            </w:r>
          </w:p>
        </w:tc>
        <w:tc>
          <w:tcPr>
            <w:tcW w:w="3060" w:type="dxa"/>
            <w:vAlign w:val="bottom"/>
            <w:tcBorders>
              <w:top w:val="single" w:sz="8" w:color="auto"/>
              <w:bottom w:val="single" w:sz="8" w:color="auto"/>
            </w:tcBorders>
          </w:tcPr>
          <w:p>
            <w:pPr>
              <w:jc w:val="center"/>
              <w:ind w:left="1153"/>
              <w:spacing w:after="0"/>
              <w:rPr>
                <w:sz w:val="20"/>
                <w:szCs w:val="20"/>
                <w:color w:val="auto"/>
              </w:rPr>
            </w:pPr>
            <w:r>
              <w:rPr>
                <w:rFonts w:ascii="Arial" w:cs="Arial" w:eastAsia="Arial" w:hAnsi="Arial"/>
                <w:sz w:val="14"/>
                <w:szCs w:val="14"/>
                <w:color w:val="auto"/>
                <w:w w:val="88"/>
              </w:rPr>
              <w:t>$1,000,000,000(1)(2)(3)</w:t>
            </w: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7"/>
              </w:rPr>
              <w:t>$115,900(3)</w:t>
            </w:r>
          </w:p>
        </w:tc>
        <w:tc>
          <w:tcPr>
            <w:tcW w:w="116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4"/>
          <w:szCs w:val="24"/>
          <w:color w:val="auto"/>
        </w:rPr>
      </w:pPr>
    </w:p>
    <w:p>
      <w:pPr>
        <w:sectPr>
          <w:pgSz w:w="11900" w:h="16849" w:orient="portrait"/>
          <w:cols w:equalWidth="0" w:num="1">
            <w:col w:w="11420"/>
          </w:cols>
          <w:pgMar w:left="240" w:top="685" w:right="239" w:bottom="0" w:gutter="0" w:footer="0" w:header="0"/>
        </w:sectPr>
      </w:pP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(1)</w:t>
      </w:r>
    </w:p>
    <w:p>
      <w:pPr>
        <w:sectPr>
          <w:pgSz w:w="11900" w:h="16849" w:orient="portrait"/>
          <w:cols w:equalWidth="0" w:num="1">
            <w:col w:w="11420"/>
          </w:cols>
          <w:pgMar w:left="240" w:top="685" w:right="239" w:bottom="0" w:gutter="0" w:footer="0" w:header="0"/>
          <w:type w:val="continuous"/>
        </w:sectPr>
      </w:pPr>
    </w:p>
    <w:bookmarkStart w:id="1" w:name="page2"/>
    <w:bookmarkEnd w:id="1"/>
    <w:p>
      <w:pPr>
        <w:ind w:left="540"/>
        <w:spacing w:after="0" w:line="233" w:lineRule="auto"/>
        <w:rPr>
          <w:sz w:val="20"/>
          <w:szCs w:val="20"/>
          <w:color w:val="auto"/>
        </w:rPr>
      </w:pPr>
      <w:r>
        <w:rPr>
          <w:rFonts w:ascii="Arial" w:cs="Arial" w:eastAsia="Arial" w:hAnsi="Arial"/>
          <w:sz w:val="14"/>
          <w:szCs w:val="14"/>
          <w:color w:val="auto"/>
        </w:rPr>
        <w:t>Estimated solely for the purpose of calculating the registration fee pursuant to Rule 457(o). In no event will the aggregate initial offering price of all Class A shares offered from time to time pursuant to the prospectus included as a part of this Registration Statement exceed $1,000,000,000. To the extent applicable, the aggregate amount of Class A shares registered is further limited to that which is permissible under Rule 415(a)(4) of the Securities Act.</w:t>
      </w:r>
    </w:p>
    <w:p>
      <w:pPr>
        <w:spacing w:after="0" w:line="11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are being registered hereunder a presently indeterminate number of Class A shares.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457(o).</w:t>
      </w:r>
    </w:p>
    <w:p>
      <w:pPr>
        <w:spacing w:after="0" w:line="202" w:lineRule="exact"/>
        <w:rPr>
          <w:sz w:val="20"/>
          <w:szCs w:val="20"/>
          <w:color w:val="auto"/>
        </w:rPr>
      </w:pPr>
    </w:p>
    <w:p>
      <w:pPr>
        <w:ind w:right="10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December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 The aggregate offering price of the Class A shares sold by us under this prospectus will not exceed $1,000,000,000.</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852"/>
              <w:spacing w:after="0"/>
              <w:rPr>
                <w:sz w:val="20"/>
                <w:szCs w:val="20"/>
                <w:color w:val="auto"/>
              </w:rPr>
            </w:pPr>
            <w:r>
              <w:rPr>
                <w:rFonts w:ascii="Arial" w:cs="Arial" w:eastAsia="Arial" w:hAnsi="Arial"/>
                <w:sz w:val="18"/>
                <w:szCs w:val="18"/>
                <w:color w:val="auto"/>
              </w:rPr>
              <w:t>, 2016</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6"/>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rFonts w:ascii="Arial" w:cs="Arial" w:eastAsia="Arial" w:hAnsi="Arial"/>
                <w:sz w:val="15"/>
                <w:szCs w:val="15"/>
                <w:color w:val="0000EE"/>
                <w:w w:val="73"/>
              </w:rPr>
            </w:pPr>
            <w:hyperlink w:anchor="page6">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5160" w:type="dxa"/>
            <w:vAlign w:val="bottom"/>
            <w:gridSpan w:val="14"/>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4900" w:type="dxa"/>
            <w:vAlign w:val="bottom"/>
            <w:gridSpan w:val="12"/>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Our Cash Distribution Policy</w:t>
              </w:r>
            </w:hyperlink>
          </w:p>
        </w:tc>
        <w:tc>
          <w:tcPr>
            <w:tcW w:w="2920" w:type="dxa"/>
            <w:vAlign w:val="bottom"/>
            <w:gridSpan w:val="4"/>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4"/>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Investment in Plains GP Holdings, L.P. by Employee Benefit Plans</w:t>
              </w:r>
            </w:hyperlink>
          </w:p>
        </w:tc>
        <w:tc>
          <w:tcPr>
            <w:tcW w:w="2920" w:type="dxa"/>
            <w:vAlign w:val="bottom"/>
            <w:gridSpan w:val="4"/>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466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508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we may, over time, offer and sell up to $1,000,000,000 in total aggregate offering price of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should help you understand some of the conventions used in this prospectus. All references in this prospectus to:</w:t>
      </w:r>
    </w:p>
    <w:p>
      <w:pPr>
        <w:spacing w:after="0" w:line="262" w:lineRule="exact"/>
        <w:rPr>
          <w:sz w:val="20"/>
          <w:szCs w:val="20"/>
          <w:color w:val="auto"/>
        </w:rPr>
      </w:pPr>
    </w:p>
    <w:p>
      <w:pPr>
        <w:ind w:left="1080" w:right="14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including, but not limited to: PAA Management, L.P.; and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3" w:lineRule="exact"/>
        <w:rPr>
          <w:rFonts w:ascii="Arial" w:cs="Arial" w:eastAsia="Arial" w:hAnsi="Arial"/>
          <w:sz w:val="16"/>
          <w:szCs w:val="16"/>
          <w:color w:val="auto"/>
        </w:rPr>
      </w:pPr>
    </w:p>
    <w:p>
      <w:pPr>
        <w:jc w:val="both"/>
        <w:ind w:left="1080" w:right="30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207" w:lineRule="exact"/>
        <w:rPr>
          <w:rFonts w:ascii="Arial" w:cs="Arial" w:eastAsia="Arial" w:hAnsi="Arial"/>
          <w:sz w:val="18"/>
          <w:szCs w:val="18"/>
          <w:color w:val="auto"/>
        </w:rPr>
      </w:pPr>
    </w:p>
    <w:p>
      <w:pPr>
        <w:jc w:val="both"/>
        <w:ind w:left="1080" w:right="58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"Omnibus Agreement" refers to the Omnibus Agreement entered into on November 15, 2016 with our general partner, GP LLC, AAP, PAA GP and PAA in connection with the transactions contemplated by the Simplification Agreement, pursuant to which the parties agreed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color w:val="auto"/>
        </w:rPr>
        <w:t>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1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rather than filed), including all such documents we may file with the SEC after the date of the initial registration statement and prior to the effectiveness of the registration statement, until all offerings under this registration statement are completed:</w:t>
      </w:r>
    </w:p>
    <w:p>
      <w:pPr>
        <w:spacing w:after="0" w:line="224"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2016, June 30, 2016 and September 30, 2016;</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on February 2, 2016, May 18, 2016, July 14, 2016, August 17, 2016, August 31, 2016, November 21, 2016 and November 29, 2016; and</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ir.pagp.com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2015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 November 30, 2016, our only cash-generating assets consisted of our direct and indirect ownership of 100,771,924 Class A Units of AAP, which we refer to as AAP Class A units, which represent a 41.8% limited partner interest in AAP (41.0% economic interest including the dilutive effect of the Class B units of AAP (the "AAP management units")). AAP owns a non-economic general partner interest in PAA and, as of November 30, 2016, 244,707,926 common units of PAA.</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PAA is a Delaware limited partnership formed in 1998. PAA's operations are conducted directly and indirectly through its primary operating subsidiaries. PAA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PAA's business activities are conducted through three operating segments: Transportation, Facilities and Supply and Logistics.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a result of the completion of the transactions contemplated by the Simplification Agreement on November 15, 2016, our general partner, PAA GP Holdings LLC, has responsibility for managing the business and affairs of PAA, in addition to AAP and PAGP.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2015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repayment of indebtedness, acquisitions, capital expenditures and additions to working capital.</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Pursuant to the Omnibus Agreement, we have agreed to use the net proceeds from any public or private offering and sale of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PAA an equivalent number of common units of PAA.</w:t>
      </w:r>
    </w:p>
    <w:p>
      <w:pPr>
        <w:spacing w:after="0" w:line="167"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November 30, 2016, our only cash-generating assets consisted of our direct and indirect ownership of 100,771,924 AAP Class A units, which represent a 41.8% limited partnership interest in AAP (41.0% economic interest including the dilutive effect of the AAP management units). AAP owns a non-economic general partner interest in PAA and, as of November 30, 2016, 244,707,926 common units of PAA. Therefore, our cash flow and resulting ability to make distributions will be completely dependent upon the ability of PAA to make distributions to AAP in respect of those common units.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Issuance of additional</w:t>
      </w:r>
      <w:r>
        <w:rPr>
          <w:sz w:val="20"/>
          <w:szCs w:val="20"/>
          <w:color w:val="auto"/>
        </w:rPr>
        <w:tab/>
      </w:r>
      <w:r>
        <w:rPr>
          <w:rFonts w:ascii="Arial" w:cs="Arial" w:eastAsia="Arial" w:hAnsi="Arial"/>
          <w:sz w:val="16"/>
          <w:szCs w:val="16"/>
          <w:color w:val="auto"/>
        </w:rPr>
        <w:t>No approval right.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 (or 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w:t>
      </w:r>
    </w:p>
    <w:p>
      <w:pPr>
        <w:spacing w:after="0" w:line="21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Amendment of our</w:t>
      </w:r>
      <w:r>
        <w:rPr>
          <w:sz w:val="20"/>
          <w:szCs w:val="20"/>
          <w:color w:val="auto"/>
        </w:rPr>
        <w:tab/>
      </w:r>
      <w:r>
        <w:rPr>
          <w:rFonts w:ascii="Arial" w:cs="Arial" w:eastAsia="Arial" w:hAnsi="Arial"/>
          <w:sz w:val="15"/>
          <w:szCs w:val="15"/>
          <w:color w:val="auto"/>
        </w:rPr>
        <w:t>Amendments to our partnership agreement may be proposed only by or with the consent of our general partner. Certain amendments</w:t>
      </w:r>
    </w:p>
    <w:p>
      <w:pPr>
        <w:spacing w:after="0" w:line="15"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6"/>
          <w:szCs w:val="16"/>
          <w:color w:val="auto"/>
        </w:rPr>
        <w:t>partnership</w:t>
      </w:r>
      <w:r>
        <w:rPr>
          <w:sz w:val="20"/>
          <w:szCs w:val="20"/>
          <w:color w:val="auto"/>
        </w:rPr>
        <w:tab/>
      </w:r>
      <w:r>
        <w:rPr>
          <w:rFonts w:ascii="Arial" w:cs="Arial" w:eastAsia="Arial" w:hAnsi="Arial"/>
          <w:sz w:val="16"/>
          <w:szCs w:val="16"/>
          <w:color w:val="auto"/>
        </w:rPr>
        <w:t>may be made by our general partner without the approval of our shareholders. Other amendments generally require the approval of a</w:t>
      </w:r>
    </w:p>
    <w:p>
      <w:pPr>
        <w:spacing w:after="0" w:line="32"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6"/>
          <w:szCs w:val="16"/>
          <w:color w:val="auto"/>
        </w:rPr>
        <w:t>agreement</w:t>
      </w:r>
      <w:r>
        <w:rPr>
          <w:sz w:val="20"/>
          <w:szCs w:val="20"/>
          <w:color w:val="auto"/>
        </w:rPr>
        <w:tab/>
      </w:r>
      <w:r>
        <w:rPr>
          <w:rFonts w:ascii="Arial" w:cs="Arial" w:eastAsia="Arial" w:hAnsi="Arial"/>
          <w:sz w:val="16"/>
          <w:szCs w:val="16"/>
          <w:color w:val="auto"/>
        </w:rPr>
        <w:t>majority of our outstanding shares (including under certain circumstances, our Class C shares). Please read "—Amendments to Our</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Partnership Agreement."</w:t>
      </w:r>
    </w:p>
    <w:p>
      <w:pPr>
        <w:spacing w:after="0" w:line="21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Merger of our</w:t>
      </w:r>
      <w:r>
        <w:rPr>
          <w:sz w:val="20"/>
          <w:szCs w:val="20"/>
          <w:color w:val="auto"/>
        </w:rPr>
        <w:tab/>
      </w:r>
      <w:r>
        <w:rPr>
          <w:rFonts w:ascii="Arial" w:cs="Arial" w:eastAsia="Arial" w:hAnsi="Arial"/>
          <w:sz w:val="15"/>
          <w:szCs w:val="15"/>
          <w:color w:val="auto"/>
        </w:rPr>
        <w:t>A majority of our outstanding shares in certain circumstances. Please read "—Merger, Sale or Other Disposition of Assets."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 or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 of all 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substantially all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assets</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Dissolution</w:t>
      </w:r>
    </w:p>
    <w:p>
      <w:pPr>
        <w:spacing w:after="0" w:line="225" w:lineRule="exact"/>
        <w:rPr>
          <w:sz w:val="20"/>
          <w:szCs w:val="20"/>
          <w:color w:val="auto"/>
        </w:rPr>
      </w:pPr>
    </w:p>
    <w:p>
      <w:pPr>
        <w:ind w:left="180" w:right="260" w:hanging="179"/>
        <w:spacing w:after="0" w:line="332" w:lineRule="auto"/>
        <w:rPr>
          <w:sz w:val="20"/>
          <w:szCs w:val="20"/>
          <w:color w:val="auto"/>
        </w:rPr>
      </w:pPr>
      <w:r>
        <w:rPr>
          <w:rFonts w:ascii="Arial" w:cs="Arial" w:eastAsia="Arial" w:hAnsi="Arial"/>
          <w:sz w:val="16"/>
          <w:szCs w:val="16"/>
          <w:color w:val="auto"/>
        </w:rPr>
        <w:t>Reconstitution upon dissolution</w:t>
      </w:r>
    </w:p>
    <w:p>
      <w:pPr>
        <w:spacing w:after="0" w:line="139" w:lineRule="exact"/>
        <w:rPr>
          <w:sz w:val="20"/>
          <w:szCs w:val="20"/>
          <w:color w:val="auto"/>
        </w:rPr>
      </w:pPr>
    </w:p>
    <w:p>
      <w:pPr>
        <w:jc w:val="right"/>
        <w:ind w:right="380"/>
        <w:spacing w:after="0" w:line="332" w:lineRule="auto"/>
        <w:rPr>
          <w:sz w:val="20"/>
          <w:szCs w:val="20"/>
          <w:color w:val="auto"/>
        </w:rPr>
      </w:pPr>
      <w:r>
        <w:rPr>
          <w:rFonts w:ascii="Arial" w:cs="Arial" w:eastAsia="Arial" w:hAnsi="Arial"/>
          <w:sz w:val="16"/>
          <w:szCs w:val="16"/>
          <w:color w:val="auto"/>
        </w:rPr>
        <w:t>Withdrawal of our general partner</w:t>
      </w:r>
    </w:p>
    <w:p>
      <w:pPr>
        <w:spacing w:after="0" w:line="139" w:lineRule="exact"/>
        <w:rPr>
          <w:sz w:val="20"/>
          <w:szCs w:val="20"/>
          <w:color w:val="auto"/>
        </w:rPr>
      </w:pPr>
    </w:p>
    <w:p>
      <w:pPr>
        <w:ind w:left="180" w:hanging="179"/>
        <w:spacing w:after="0" w:line="268" w:lineRule="auto"/>
        <w:rPr>
          <w:sz w:val="20"/>
          <w:szCs w:val="20"/>
          <w:color w:val="auto"/>
        </w:rPr>
      </w:pPr>
      <w:r>
        <w:rPr>
          <w:rFonts w:ascii="Arial" w:cs="Arial" w:eastAsia="Arial" w:hAnsi="Arial"/>
          <w:sz w:val="18"/>
          <w:szCs w:val="18"/>
          <w:color w:val="auto"/>
        </w:rPr>
        <w:t>Removal of our general partner</w:t>
      </w:r>
    </w:p>
    <w:p>
      <w:pPr>
        <w:spacing w:after="0" w:line="227" w:lineRule="exact"/>
        <w:rPr>
          <w:sz w:val="20"/>
          <w:szCs w:val="20"/>
          <w:color w:val="auto"/>
        </w:rPr>
      </w:pPr>
    </w:p>
    <w:p>
      <w:pPr>
        <w:ind w:left="180" w:right="80" w:hanging="179"/>
        <w:spacing w:after="0" w:line="370" w:lineRule="auto"/>
        <w:rPr>
          <w:sz w:val="20"/>
          <w:szCs w:val="20"/>
          <w:color w:val="auto"/>
        </w:rPr>
      </w:pPr>
      <w:r>
        <w:rPr>
          <w:rFonts w:ascii="Arial" w:cs="Arial" w:eastAsia="Arial" w:hAnsi="Arial"/>
          <w:sz w:val="15"/>
          <w:szCs w:val="15"/>
          <w:color w:val="auto"/>
        </w:rPr>
        <w:t>Transfer of the general partner interest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"—Withdrawal or Removal of the General Partner."</w:t>
      </w:r>
    </w:p>
    <w:p>
      <w:pPr>
        <w:spacing w:after="0" w:line="200" w:lineRule="exact"/>
        <w:rPr>
          <w:sz w:val="20"/>
          <w:szCs w:val="20"/>
          <w:color w:val="auto"/>
        </w:rPr>
      </w:pPr>
    </w:p>
    <w:p>
      <w:pPr>
        <w:spacing w:after="0" w:line="242" w:lineRule="exact"/>
        <w:rPr>
          <w:sz w:val="20"/>
          <w:szCs w:val="20"/>
          <w:color w:val="auto"/>
        </w:rPr>
      </w:pPr>
    </w:p>
    <w:p>
      <w:pPr>
        <w:ind w:right="200"/>
        <w:spacing w:after="0" w:line="212" w:lineRule="auto"/>
        <w:rPr>
          <w:sz w:val="20"/>
          <w:szCs w:val="20"/>
          <w:color w:val="auto"/>
        </w:rPr>
      </w:pPr>
      <w:r>
        <w:rPr>
          <w:rFonts w:ascii="Arial" w:cs="Arial" w:eastAsia="Arial" w:hAnsi="Arial"/>
          <w:sz w:val="18"/>
          <w:szCs w:val="18"/>
          <w:color w:val="auto"/>
        </w:rPr>
        <w:t>Not less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including shares held by our general partner, the Legacy Owners and their respective affiliates. Please read "—Withdrawal or Removal of the General Partner."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"—Transfer of General Partner Interest."</w:t>
      </w:r>
    </w:p>
    <w:p>
      <w:pPr>
        <w:spacing w:after="0" w:line="434" w:lineRule="exact"/>
        <w:rPr>
          <w:sz w:val="20"/>
          <w:szCs w:val="20"/>
          <w:color w:val="auto"/>
        </w:rPr>
      </w:pPr>
    </w:p>
    <w:p>
      <w:pPr>
        <w:sectPr>
          <w:pgSz w:w="11900" w:h="16838" w:orient="portrait"/>
          <w:cols w:equalWidth="0" w:num="2">
            <w:col w:w="1680" w:space="180"/>
            <w:col w:w="954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2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 Public Election of Directors") unless any action by the shareholders requires approval by holders of a greater percentage of the shares, in which case the quorum will be the greater percentage.</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CEO of our general partner is an automatic member (and Chairman) of our general partner's board of directors and therefore will not be included in a class. In addition, any director subject to appointment by the holders of PAA's Series A preferred units (as described below) will not be included in a class. Each class of directors will serve a three-year term.</w:t>
      </w:r>
    </w:p>
    <w:p>
      <w:pPr>
        <w:spacing w:after="0" w:line="16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 xml:space="preserve">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19.9% of the outstanding Class A shares, Class B shares and Class C shares beneficially owned by a greater than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 owner will be counted for purposes of determining a quorum for the election of our general partner's board of directors.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we would have the power to indemnify the person against liabilities under our partnership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560" w:firstLine="351"/>
        <w:spacing w:after="0" w:line="335" w:lineRule="auto"/>
        <w:rPr>
          <w:sz w:val="20"/>
          <w:szCs w:val="20"/>
          <w:color w:val="auto"/>
        </w:rPr>
      </w:pPr>
      <w:r>
        <w:rPr>
          <w:rFonts w:ascii="Arial" w:cs="Arial" w:eastAsia="Arial" w:hAnsi="Arial"/>
          <w:sz w:val="15"/>
          <w:szCs w:val="15"/>
          <w:color w:val="auto"/>
        </w:rPr>
        <w:t>Our Class A shares are listed on the NYSE under the symbol "PAGP"; we do not intend to list the Class B shares or the Class C shares on any stock exchange. All of our Class B shares are owned by the Legacy Owners, including holders of the AAP management units who have exchanged such AAP management units for AAP Class A units and a like number of Class B shares, or their permitted transferees. All of the Class C shares are owned by PAA.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and 2018,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5620" w:right="300" w:hanging="5072"/>
        <w:spacing w:after="0" w:line="519" w:lineRule="auto"/>
        <w:tabs>
          <w:tab w:leader="none" w:pos="10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Class A shares constitute a United States real property interest by reason of our status as a USRPHC for U.S. federal income tax purposes.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 exemption, information reporting will apply to a payment of the proceeds of the disposition of our Class A shares effected outside the United States by such a broker if it has certain relationships within the United States.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In addition, the fiduciaries of any ERISA Plan with investment discretion with respect to the assets of an employee benefit plan should determine whether an investment in our Class A shares is authorized by the appropriate governing instrument and is a proper investment for the plan.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any applicable Similar Law;</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any other applicable Similar Law.</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under some circumstances. Under these rules, an entity's assets would not be considered to be "plan assets" if, among other things:</w:t>
      </w:r>
    </w:p>
    <w:p>
      <w:pPr>
        <w:spacing w:after="0" w:line="239" w:lineRule="exact"/>
        <w:rPr>
          <w:sz w:val="20"/>
          <w:szCs w:val="20"/>
          <w:color w:val="auto"/>
        </w:rPr>
      </w:pPr>
    </w:p>
    <w:p>
      <w:pPr>
        <w:ind w:left="1080" w:right="300" w:hanging="532"/>
        <w:spacing w:after="0" w:line="370"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w:t>
      </w:r>
    </w:p>
    <w:p>
      <w:pPr>
        <w:spacing w:after="0" w:line="14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offer and sell the Class A shares offered by this prospectus by one or more of, or a combination of, the following methods: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will determine the offering price per Class A share from time to time in connection with, and at the time of, sale. We will price the Class A shares at:</w:t>
      </w:r>
    </w:p>
    <w:p>
      <w:pPr>
        <w:spacing w:after="0" w:line="275"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Class A shares for whom they may act as agents. If any broker-dealer purchases Class A shares as principal, it may effect resales of such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To the extent required, the names of the specific managing underwriter or underwriters, brokers, dealers and agents, if any, as well as other important information, 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or may be calculated from, the applicable 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 specific liabilities, including liabilities under the Securities Act of 1933, as amended (the "Securities Act").</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may offer our Class A shares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Class A shares under this prospectus and the registration statement of which it forms a part will not exceed 8% of the gross proceeds from the sale.</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115,900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325,000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260,000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110,000</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860,900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Section 17-108 of the Delaware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S-3, which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2160" w:hanging="531"/>
        <w:spacing w:after="0"/>
        <w:tabs>
          <w:tab w:leader="none" w:pos="21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8" w:lineRule="exact"/>
        <w:rPr>
          <w:rFonts w:ascii="Arial" w:cs="Arial" w:eastAsia="Arial" w:hAnsi="Arial"/>
          <w:sz w:val="18"/>
          <w:szCs w:val="18"/>
          <w:color w:val="auto"/>
        </w:rPr>
      </w:pPr>
    </w:p>
    <w:p>
      <w:pPr>
        <w:ind w:left="2160" w:right="60" w:hanging="531"/>
        <w:spacing w:after="0" w:line="290" w:lineRule="auto"/>
        <w:tabs>
          <w:tab w:leader="none" w:pos="2160" w:val="left"/>
        </w:tabs>
        <w:numPr>
          <w:ilvl w:val="2"/>
          <w:numId w:val="3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2160" w:right="60" w:hanging="531"/>
        <w:spacing w:after="0" w:line="268" w:lineRule="auto"/>
        <w:tabs>
          <w:tab w:leader="none" w:pos="21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080" w:right="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11" w:lineRule="exact"/>
        <w:rPr>
          <w:sz w:val="20"/>
          <w:szCs w:val="20"/>
          <w:color w:val="auto"/>
        </w:rPr>
      </w:pPr>
    </w:p>
    <w:p>
      <w:pPr>
        <w:ind w:left="1620" w:hanging="532"/>
        <w:spacing w:after="0" w:line="259"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620" w:right="340" w:hanging="532"/>
        <w:spacing w:after="0" w:line="268"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right="100" w:hanging="531"/>
        <w:spacing w:after="0" w:line="268"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9" w:lineRule="exact"/>
        <w:rPr>
          <w:rFonts w:ascii="Arial" w:cs="Arial" w:eastAsia="Arial" w:hAnsi="Arial"/>
          <w:sz w:val="18"/>
          <w:szCs w:val="18"/>
          <w:color w:val="auto"/>
        </w:rPr>
      </w:pPr>
    </w:p>
    <w:p>
      <w:pPr>
        <w:ind w:left="2160" w:right="100" w:hanging="531"/>
        <w:spacing w:after="0" w:line="291" w:lineRule="auto"/>
        <w:tabs>
          <w:tab w:leader="none" w:pos="2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160"/>
        <w:spacing w:after="0" w:line="291" w:lineRule="auto"/>
        <w:rPr>
          <w:sz w:val="20"/>
          <w:szCs w:val="20"/>
          <w:color w:val="auto"/>
        </w:rPr>
      </w:pPr>
      <w:r>
        <w:rPr>
          <w:rFonts w:ascii="Arial" w:cs="Arial" w:eastAsia="Arial" w:hAnsi="Arial"/>
          <w:sz w:val="16"/>
          <w:szCs w:val="16"/>
          <w:color w:val="auto"/>
        </w:rPr>
        <w:t>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8" w:lineRule="exact"/>
        <w:rPr>
          <w:sz w:val="20"/>
          <w:szCs w:val="20"/>
          <w:color w:val="auto"/>
        </w:rPr>
      </w:pPr>
    </w:p>
    <w:p>
      <w:pPr>
        <w:ind w:left="1620" w:hanging="532"/>
        <w:spacing w:after="0" w:line="294"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2160" w:right="400" w:hanging="531"/>
        <w:spacing w:after="0" w:line="268"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99" w:lineRule="exact"/>
        <w:rPr>
          <w:rFonts w:ascii="Arial" w:cs="Arial" w:eastAsia="Arial" w:hAnsi="Arial"/>
          <w:sz w:val="18"/>
          <w:szCs w:val="18"/>
          <w:color w:val="auto"/>
        </w:rPr>
      </w:pPr>
    </w:p>
    <w:p>
      <w:pPr>
        <w:ind w:left="2160" w:right="80" w:hanging="531"/>
        <w:spacing w:after="0" w:line="268"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2160" w:right="380" w:hanging="531"/>
        <w:spacing w:after="0" w:line="268"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2160" w:hanging="531"/>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December 7, 2016.</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PAA GP HOLDINGS LLC,</w:t>
            </w:r>
          </w:p>
        </w:tc>
      </w:tr>
      <w:tr>
        <w:trPr>
          <w:trHeight w:val="222"/>
        </w:trPr>
        <w:tc>
          <w:tcPr>
            <w:tcW w:w="44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its general partner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r>
      <w:tr>
        <w:trPr>
          <w:trHeight w:val="218"/>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309"/>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Greg L. Armstrong</w:t>
            </w: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of the Board and</w:t>
            </w:r>
          </w:p>
        </w:tc>
      </w:tr>
      <w:tr>
        <w:trPr>
          <w:trHeight w:val="222"/>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r>
    </w:tbl>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1360"/>
          </w:cols>
          <w:pgMar w:left="240" w:top="131" w:right="299" w:bottom="1440" w:gutter="0" w:footer="0" w:header="0"/>
        </w:sectPr>
      </w:pP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182" w:lineRule="exact"/>
        <w:rPr>
          <w:sz w:val="20"/>
          <w:szCs w:val="20"/>
          <w:color w:val="auto"/>
        </w:rPr>
      </w:pPr>
    </w:p>
    <w:p>
      <w:pPr>
        <w:ind w:left="26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265" w:lineRule="exact"/>
        <w:rPr>
          <w:sz w:val="20"/>
          <w:szCs w:val="20"/>
          <w:color w:val="auto"/>
        </w:rPr>
      </w:pPr>
    </w:p>
    <w:p>
      <w:pPr>
        <w:jc w:val="center"/>
        <w:ind w:left="1620"/>
        <w:spacing w:after="0"/>
        <w:rPr>
          <w:sz w:val="20"/>
          <w:szCs w:val="20"/>
          <w:color w:val="auto"/>
        </w:rPr>
      </w:pP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Greg L. Armstrong</w:t>
      </w:r>
    </w:p>
    <w:p>
      <w:pPr>
        <w:spacing w:after="0" w:line="25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Al Swanson</w:t>
      </w:r>
    </w:p>
    <w:p>
      <w:pPr>
        <w:spacing w:after="0" w:line="266"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Chris Herbold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60"/>
        <w:spacing w:after="0"/>
        <w:tabs>
          <w:tab w:leader="none" w:pos="4380" w:val="left"/>
        </w:tabs>
        <w:rPr>
          <w:sz w:val="20"/>
          <w:szCs w:val="20"/>
          <w:color w:val="auto"/>
        </w:rPr>
      </w:pP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jc w:val="center"/>
              <w:ind w:right="12"/>
              <w:spacing w:after="0"/>
              <w:rPr>
                <w:sz w:val="20"/>
                <w:szCs w:val="20"/>
                <w:color w:val="auto"/>
              </w:rPr>
            </w:pPr>
            <w:r>
              <w:rPr>
                <w:rFonts w:ascii="Arial" w:cs="Arial" w:eastAsia="Arial" w:hAnsi="Arial"/>
                <w:sz w:val="18"/>
                <w:szCs w:val="18"/>
                <w:color w:val="auto"/>
                <w:w w:val="90"/>
              </w:rPr>
              <w:t>Chairman of the Board, Chief Executive Officer</w:t>
            </w:r>
          </w:p>
        </w:tc>
        <w:tc>
          <w:tcPr>
            <w:tcW w:w="1420" w:type="dxa"/>
            <w:vAlign w:val="bottom"/>
            <w:vMerge w:val="restart"/>
          </w:tcPr>
          <w:p>
            <w:pPr>
              <w:ind w:left="120"/>
              <w:spacing w:after="0"/>
              <w:rPr>
                <w:sz w:val="20"/>
                <w:szCs w:val="20"/>
                <w:color w:val="auto"/>
              </w:rPr>
            </w:pPr>
            <w:r>
              <w:rPr>
                <w:rFonts w:ascii="Arial" w:cs="Arial" w:eastAsia="Arial" w:hAnsi="Arial"/>
                <w:sz w:val="18"/>
                <w:szCs w:val="18"/>
                <w:color w:val="auto"/>
                <w:w w:val="86"/>
              </w:rPr>
              <w:t>December 7, 2016</w:t>
            </w:r>
          </w:p>
        </w:tc>
        <w:tc>
          <w:tcPr>
            <w:tcW w:w="0" w:type="dxa"/>
            <w:vAlign w:val="bottom"/>
          </w:tcPr>
          <w:p>
            <w:pPr>
              <w:spacing w:after="0"/>
              <w:rPr>
                <w:sz w:val="1"/>
                <w:szCs w:val="1"/>
                <w:color w:val="auto"/>
              </w:rPr>
            </w:pPr>
          </w:p>
        </w:tc>
      </w:tr>
      <w:tr>
        <w:trPr>
          <w:trHeight w:val="114"/>
        </w:trPr>
        <w:tc>
          <w:tcPr>
            <w:tcW w:w="3500" w:type="dxa"/>
            <w:vAlign w:val="bottom"/>
            <w:vMerge w:val="restart"/>
          </w:tcPr>
          <w:p>
            <w:pPr>
              <w:jc w:val="center"/>
              <w:ind w:right="12"/>
              <w:spacing w:after="0"/>
              <w:rPr>
                <w:sz w:val="20"/>
                <w:szCs w:val="20"/>
                <w:color w:val="auto"/>
              </w:rPr>
            </w:pPr>
            <w:r>
              <w:rPr>
                <w:rFonts w:ascii="Arial" w:cs="Arial" w:eastAsia="Arial" w:hAnsi="Arial"/>
                <w:sz w:val="18"/>
                <w:szCs w:val="18"/>
                <w:color w:val="auto"/>
                <w:w w:val="91"/>
              </w:rPr>
              <w:t>and Director (Principal Executive Officer)</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3500" w:type="dxa"/>
            <w:vAlign w:val="bottom"/>
          </w:tcPr>
          <w:p>
            <w:pPr>
              <w:jc w:val="center"/>
              <w:ind w:right="12"/>
              <w:spacing w:after="0"/>
              <w:rPr>
                <w:sz w:val="20"/>
                <w:szCs w:val="20"/>
                <w:color w:val="auto"/>
              </w:rPr>
            </w:pPr>
            <w:r>
              <w:rPr>
                <w:rFonts w:ascii="Arial" w:cs="Arial" w:eastAsia="Arial" w:hAnsi="Arial"/>
                <w:sz w:val="18"/>
                <w:szCs w:val="18"/>
                <w:color w:val="auto"/>
                <w:w w:val="89"/>
              </w:rPr>
              <w:t>Executive Vice President and Chief Financial</w:t>
            </w:r>
          </w:p>
        </w:tc>
        <w:tc>
          <w:tcPr>
            <w:tcW w:w="1420" w:type="dxa"/>
            <w:vAlign w:val="bottom"/>
            <w:vMerge w:val="restart"/>
          </w:tcPr>
          <w:p>
            <w:pPr>
              <w:ind w:left="120"/>
              <w:spacing w:after="0"/>
              <w:rPr>
                <w:sz w:val="20"/>
                <w:szCs w:val="20"/>
                <w:color w:val="auto"/>
              </w:rPr>
            </w:pPr>
            <w:r>
              <w:rPr>
                <w:rFonts w:ascii="Arial" w:cs="Arial" w:eastAsia="Arial" w:hAnsi="Arial"/>
                <w:sz w:val="18"/>
                <w:szCs w:val="18"/>
                <w:color w:val="auto"/>
                <w:w w:val="86"/>
              </w:rPr>
              <w:t>December 7, 2016</w:t>
            </w:r>
          </w:p>
        </w:tc>
        <w:tc>
          <w:tcPr>
            <w:tcW w:w="0" w:type="dxa"/>
            <w:vAlign w:val="bottom"/>
          </w:tcPr>
          <w:p>
            <w:pPr>
              <w:spacing w:after="0"/>
              <w:rPr>
                <w:sz w:val="1"/>
                <w:szCs w:val="1"/>
                <w:color w:val="auto"/>
              </w:rPr>
            </w:pPr>
          </w:p>
        </w:tc>
      </w:tr>
      <w:tr>
        <w:trPr>
          <w:trHeight w:val="114"/>
        </w:trPr>
        <w:tc>
          <w:tcPr>
            <w:tcW w:w="3500" w:type="dxa"/>
            <w:vAlign w:val="bottom"/>
            <w:vMerge w:val="restart"/>
          </w:tcPr>
          <w:p>
            <w:pPr>
              <w:jc w:val="center"/>
              <w:ind w:right="32"/>
              <w:spacing w:after="0"/>
              <w:rPr>
                <w:sz w:val="20"/>
                <w:szCs w:val="20"/>
                <w:color w:val="auto"/>
              </w:rPr>
            </w:pPr>
            <w:r>
              <w:rPr>
                <w:rFonts w:ascii="Arial" w:cs="Arial" w:eastAsia="Arial" w:hAnsi="Arial"/>
                <w:sz w:val="18"/>
                <w:szCs w:val="18"/>
                <w:color w:val="auto"/>
                <w:w w:val="92"/>
              </w:rPr>
              <w:t>Officer (Principal Financial Officer)</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7"/>
        </w:trPr>
        <w:tc>
          <w:tcPr>
            <w:tcW w:w="3500" w:type="dxa"/>
            <w:vAlign w:val="bottom"/>
          </w:tcPr>
          <w:p>
            <w:pPr>
              <w:jc w:val="center"/>
              <w:ind w:right="12"/>
              <w:spacing w:after="0"/>
              <w:rPr>
                <w:sz w:val="20"/>
                <w:szCs w:val="20"/>
                <w:color w:val="auto"/>
              </w:rPr>
            </w:pPr>
            <w:r>
              <w:rPr>
                <w:rFonts w:ascii="Arial" w:cs="Arial" w:eastAsia="Arial" w:hAnsi="Arial"/>
                <w:sz w:val="18"/>
                <w:szCs w:val="18"/>
                <w:color w:val="auto"/>
                <w:w w:val="90"/>
              </w:rPr>
              <w:t>Vice President—Accounting and Chief</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jc w:val="center"/>
              <w:ind w:right="12"/>
              <w:spacing w:after="0"/>
              <w:rPr>
                <w:sz w:val="20"/>
                <w:szCs w:val="20"/>
                <w:color w:val="auto"/>
              </w:rPr>
            </w:pPr>
            <w:r>
              <w:rPr>
                <w:rFonts w:ascii="Arial" w:cs="Arial" w:eastAsia="Arial" w:hAnsi="Arial"/>
                <w:sz w:val="18"/>
                <w:szCs w:val="18"/>
                <w:color w:val="auto"/>
                <w:w w:val="92"/>
              </w:rPr>
              <w:t>Accounting Officer (Principal Accounting</w:t>
            </w:r>
          </w:p>
        </w:tc>
        <w:tc>
          <w:tcPr>
            <w:tcW w:w="1420" w:type="dxa"/>
            <w:vAlign w:val="bottom"/>
          </w:tcPr>
          <w:p>
            <w:pPr>
              <w:ind w:left="120"/>
              <w:spacing w:after="0"/>
              <w:rPr>
                <w:sz w:val="20"/>
                <w:szCs w:val="20"/>
                <w:color w:val="auto"/>
              </w:rPr>
            </w:pPr>
            <w:r>
              <w:rPr>
                <w:rFonts w:ascii="Arial" w:cs="Arial" w:eastAsia="Arial" w:hAnsi="Arial"/>
                <w:sz w:val="18"/>
                <w:szCs w:val="18"/>
                <w:color w:val="auto"/>
                <w:w w:val="86"/>
              </w:rPr>
              <w:t>December 7, 2016</w:t>
            </w:r>
          </w:p>
        </w:tc>
        <w:tc>
          <w:tcPr>
            <w:tcW w:w="0" w:type="dxa"/>
            <w:vAlign w:val="bottom"/>
          </w:tcPr>
          <w:p>
            <w:pPr>
              <w:spacing w:after="0"/>
              <w:rPr>
                <w:sz w:val="1"/>
                <w:szCs w:val="1"/>
                <w:color w:val="auto"/>
              </w:rPr>
            </w:pPr>
          </w:p>
        </w:tc>
      </w:tr>
      <w:tr>
        <w:trPr>
          <w:trHeight w:val="222"/>
        </w:trPr>
        <w:tc>
          <w:tcPr>
            <w:tcW w:w="3500" w:type="dxa"/>
            <w:vAlign w:val="bottom"/>
          </w:tcPr>
          <w:p>
            <w:pPr>
              <w:jc w:val="center"/>
              <w:ind w:right="12"/>
              <w:spacing w:after="0"/>
              <w:rPr>
                <w:sz w:val="20"/>
                <w:szCs w:val="20"/>
                <w:color w:val="auto"/>
              </w:rPr>
            </w:pPr>
            <w:r>
              <w:rPr>
                <w:rFonts w:ascii="Arial" w:cs="Arial" w:eastAsia="Arial" w:hAnsi="Arial"/>
                <w:sz w:val="18"/>
                <w:szCs w:val="18"/>
                <w:color w:val="auto"/>
                <w:w w:val="94"/>
              </w:rPr>
              <w:t>Officer)</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67945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20" w:space="720"/>
            <w:col w:w="6520"/>
          </w:cols>
          <w:pgMar w:left="240" w:top="131" w:right="2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0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5"/>
              </w:rPr>
              <w:t>/s/ VICTOR BURK</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5"/>
              </w:rPr>
              <w:t>Victor Burk</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3"/>
              </w:rPr>
              <w:t>/s/ BERNARD FIGLOCK</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1"/>
              </w:rPr>
              <w:t>Bernard (Ben) Figlock</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000" w:type="dxa"/>
            <w:vAlign w:val="bottom"/>
            <w:vMerge w:val="restart"/>
          </w:tcPr>
          <w:p>
            <w:pPr>
              <w:ind w:left="1600"/>
              <w:spacing w:after="0"/>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72"/>
              <w:spacing w:after="0"/>
              <w:rPr>
                <w:sz w:val="20"/>
                <w:szCs w:val="20"/>
                <w:color w:val="auto"/>
              </w:rPr>
            </w:pPr>
            <w:r>
              <w:rPr>
                <w:rFonts w:ascii="Arial" w:cs="Arial" w:eastAsia="Arial" w:hAnsi="Arial"/>
                <w:sz w:val="18"/>
                <w:szCs w:val="18"/>
                <w:color w:val="auto"/>
                <w:w w:val="86"/>
              </w:rPr>
              <w:t>Everardo Goyanes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89"/>
              </w:rPr>
              <w:t>/s/ GARY R. PETERSEN</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86"/>
              </w:rPr>
              <w:t>Gary R. Petersen</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2"/>
              </w:rPr>
              <w:t>/s/ JOHN T. RAYMOND</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87"/>
              </w:rPr>
              <w:t>John T. Raymond</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72"/>
              <w:spacing w:after="0"/>
              <w:rPr>
                <w:sz w:val="20"/>
                <w:szCs w:val="20"/>
                <w:color w:val="auto"/>
              </w:rPr>
            </w:pPr>
            <w:r>
              <w:rPr>
                <w:rFonts w:ascii="Arial" w:cs="Arial" w:eastAsia="Arial" w:hAnsi="Arial"/>
                <w:sz w:val="18"/>
                <w:szCs w:val="18"/>
                <w:color w:val="auto"/>
                <w:w w:val="93"/>
              </w:rPr>
              <w:t>/s/ BOBBY S. SHACKOULS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72"/>
              <w:spacing w:after="0"/>
              <w:rPr>
                <w:sz w:val="20"/>
                <w:szCs w:val="20"/>
                <w:color w:val="auto"/>
              </w:rPr>
            </w:pPr>
            <w:r>
              <w:rPr>
                <w:rFonts w:ascii="Arial" w:cs="Arial" w:eastAsia="Arial" w:hAnsi="Arial"/>
                <w:sz w:val="18"/>
                <w:szCs w:val="18"/>
                <w:color w:val="auto"/>
                <w:w w:val="88"/>
              </w:rPr>
              <w:t>Bobby S. Shackouls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1"/>
              </w:rPr>
              <w:t>/s/ ROBERT V. SINNOTT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72"/>
              <w:spacing w:after="0"/>
              <w:rPr>
                <w:sz w:val="20"/>
                <w:szCs w:val="20"/>
                <w:color w:val="auto"/>
              </w:rPr>
            </w:pPr>
            <w:r>
              <w:rPr>
                <w:rFonts w:ascii="Arial" w:cs="Arial" w:eastAsia="Arial" w:hAnsi="Arial"/>
                <w:sz w:val="18"/>
                <w:szCs w:val="18"/>
                <w:color w:val="auto"/>
                <w:w w:val="88"/>
              </w:rPr>
              <w:t>Robert V. Sinnott</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91"/>
              </w:rPr>
              <w:t>/s/ J. TAFT SYMONDS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86"/>
              </w:rPr>
              <w:t>J. Taft Symonds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2972"/>
              <w:spacing w:after="0"/>
              <w:rPr>
                <w:sz w:val="20"/>
                <w:szCs w:val="20"/>
                <w:color w:val="auto"/>
              </w:rPr>
            </w:pPr>
            <w:r>
              <w:rPr>
                <w:rFonts w:ascii="Arial" w:cs="Arial" w:eastAsia="Arial" w:hAnsi="Arial"/>
                <w:sz w:val="18"/>
                <w:szCs w:val="18"/>
                <w:color w:val="auto"/>
                <w:w w:val="92"/>
              </w:rPr>
              <w:t>/s/ CHRISTOPHER M. TEMPLE</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vMerge w:val="restart"/>
          </w:tcPr>
          <w:p>
            <w:pPr>
              <w:ind w:left="160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820"/>
              <w:spacing w:after="0" w:line="202" w:lineRule="exact"/>
              <w:rPr>
                <w:sz w:val="20"/>
                <w:szCs w:val="20"/>
                <w:color w:val="auto"/>
              </w:rPr>
            </w:pPr>
            <w:r>
              <w:rPr>
                <w:rFonts w:ascii="Arial" w:cs="Arial" w:eastAsia="Arial" w:hAnsi="Arial"/>
                <w:sz w:val="18"/>
                <w:szCs w:val="18"/>
                <w:color w:val="auto"/>
              </w:rPr>
              <w:t>December 7, 2016</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2952"/>
              <w:spacing w:after="0"/>
              <w:rPr>
                <w:sz w:val="20"/>
                <w:szCs w:val="20"/>
                <w:color w:val="auto"/>
              </w:rPr>
            </w:pPr>
            <w:r>
              <w:rPr>
                <w:rFonts w:ascii="Arial" w:cs="Arial" w:eastAsia="Arial" w:hAnsi="Arial"/>
                <w:sz w:val="18"/>
                <w:szCs w:val="18"/>
                <w:color w:val="auto"/>
                <w:w w:val="89"/>
              </w:rPr>
              <w:t>Christopher M. Temple</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4"/>
        </w:trPr>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420" w:type="dxa"/>
            <w:vAlign w:val="bottom"/>
            <w:vMerge w:val="continue"/>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417"/>
        </w:trPr>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7"/>
              </w:rPr>
              <w:t>—  Simplification Agreement, dated as of July 11, 2016, by and among PAA GP Holdings LLC, Plains GP</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7"/>
              </w:rPr>
              <w:t>Holdings, L.P., Plains All American GP LLC, Plains AAP, L.P., PAA GP LLC and Plains All American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1"/>
              </w:rPr>
              <w:t>Pipeline, L.P. (incorporated by reference to Exhibit 2.1 to Plains All American Pipeline, L.P.'s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on July 14, 2016).</w:t>
            </w:r>
          </w:p>
        </w:tc>
        <w:tc>
          <w:tcPr>
            <w:tcW w:w="0" w:type="dxa"/>
            <w:vAlign w:val="bottom"/>
          </w:tcPr>
          <w:p>
            <w:pPr>
              <w:spacing w:after="0"/>
              <w:rPr>
                <w:sz w:val="1"/>
                <w:szCs w:val="1"/>
                <w:color w:val="auto"/>
              </w:rPr>
            </w:pP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5"/>
              </w:rPr>
              <w:t>—  Second Amended and Restated Limited Partnership Agreement of Plains GP Holdings, L.P., dated as of</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7"/>
              </w:rPr>
              <w:t>November 15, 2016 (incorporated by reference to Exhibit 3.1 to the Current Report on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November 15, 2016).</w:t>
            </w:r>
          </w:p>
        </w:tc>
        <w:tc>
          <w:tcPr>
            <w:tcW w:w="0" w:type="dxa"/>
            <w:vAlign w:val="bottom"/>
          </w:tcPr>
          <w:p>
            <w:pPr>
              <w:spacing w:after="0"/>
              <w:rPr>
                <w:sz w:val="1"/>
                <w:szCs w:val="1"/>
                <w:color w:val="auto"/>
              </w:rPr>
            </w:pP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1"/>
              </w:rPr>
              <w:t>—  Second Amended and Restated Limited Liability Company Agreement of PAA GP Holdings LLC, dated as of</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7"/>
              </w:rPr>
              <w:t>November 15, 2016 (incorporated by reference to Exhibit 3.2 to the Current Report on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November 15, 2016).</w:t>
            </w:r>
          </w:p>
        </w:tc>
        <w:tc>
          <w:tcPr>
            <w:tcW w:w="0" w:type="dxa"/>
            <w:vAlign w:val="bottom"/>
          </w:tcPr>
          <w:p>
            <w:pPr>
              <w:spacing w:after="0"/>
              <w:rPr>
                <w:sz w:val="1"/>
                <w:szCs w:val="1"/>
                <w:color w:val="auto"/>
              </w:rPr>
            </w:pPr>
          </w:p>
        </w:tc>
      </w:tr>
      <w:tr>
        <w:trPr>
          <w:trHeight w:val="432"/>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Specimen certificate representing Class A shares.</w:t>
            </w:r>
          </w:p>
        </w:tc>
        <w:tc>
          <w:tcPr>
            <w:tcW w:w="0" w:type="dxa"/>
            <w:vAlign w:val="bottom"/>
          </w:tcPr>
          <w:p>
            <w:pPr>
              <w:spacing w:after="0"/>
              <w:rPr>
                <w:sz w:val="1"/>
                <w:szCs w:val="1"/>
                <w:color w:val="auto"/>
              </w:rPr>
            </w:pPr>
          </w:p>
        </w:tc>
      </w:tr>
      <w:tr>
        <w:trPr>
          <w:trHeight w:val="432"/>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c>
          <w:tcPr>
            <w:tcW w:w="0" w:type="dxa"/>
            <w:vAlign w:val="bottom"/>
          </w:tcPr>
          <w:p>
            <w:pPr>
              <w:spacing w:after="0"/>
              <w:rPr>
                <w:sz w:val="1"/>
                <w:szCs w:val="1"/>
                <w:color w:val="auto"/>
              </w:rPr>
            </w:pPr>
          </w:p>
        </w:tc>
      </w:tr>
      <w:tr>
        <w:trPr>
          <w:trHeight w:val="432"/>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Opinion of Vinson &amp; Elkins L.L.P. relating to tax matters.</w:t>
            </w:r>
          </w:p>
        </w:tc>
        <w:tc>
          <w:tcPr>
            <w:tcW w:w="0" w:type="dxa"/>
            <w:vAlign w:val="bottom"/>
          </w:tcPr>
          <w:p>
            <w:pPr>
              <w:spacing w:after="0"/>
              <w:rPr>
                <w:sz w:val="1"/>
                <w:szCs w:val="1"/>
                <w:color w:val="auto"/>
              </w:rPr>
            </w:pPr>
          </w:p>
        </w:tc>
      </w:tr>
      <w:tr>
        <w:trPr>
          <w:trHeight w:val="432"/>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Consent of PricewaterhouseCoopers LLP.</w:t>
            </w:r>
          </w:p>
        </w:tc>
        <w:tc>
          <w:tcPr>
            <w:tcW w:w="0" w:type="dxa"/>
            <w:vAlign w:val="bottom"/>
          </w:tcPr>
          <w:p>
            <w:pPr>
              <w:spacing w:after="0"/>
              <w:rPr>
                <w:sz w:val="1"/>
                <w:szCs w:val="1"/>
                <w:color w:val="auto"/>
              </w:rPr>
            </w:pPr>
          </w:p>
        </w:tc>
      </w:tr>
      <w:tr>
        <w:trPr>
          <w:trHeight w:val="432"/>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Consent of Vinson &amp; Elkins L.L.P. (contained in Exhibits 5.1 and 8.1).</w:t>
            </w:r>
          </w:p>
        </w:tc>
        <w:tc>
          <w:tcPr>
            <w:tcW w:w="0" w:type="dxa"/>
            <w:vAlign w:val="bottom"/>
          </w:tcPr>
          <w:p>
            <w:pPr>
              <w:spacing w:after="0"/>
              <w:rPr>
                <w:sz w:val="1"/>
                <w:szCs w:val="1"/>
                <w:color w:val="auto"/>
              </w:rPr>
            </w:pPr>
          </w:p>
        </w:tc>
      </w:tr>
      <w:tr>
        <w:trPr>
          <w:trHeight w:val="432"/>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Power of Attorney (included on signature pages of this registration statement).</w:t>
            </w: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be filed as an Exhibit to a Current Report on Form 8-K or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Evidencing Class A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w:t>
      </w:r>
    </w:p>
    <w:p>
      <w:pPr>
        <w:spacing w:after="0" w:line="219" w:lineRule="exact"/>
        <w:rPr>
          <w:sz w:val="20"/>
          <w:szCs w:val="20"/>
          <w:color w:val="auto"/>
        </w:rPr>
      </w:pPr>
    </w:p>
    <w:p>
      <w:pPr>
        <w:spacing w:after="0"/>
        <w:tabs>
          <w:tab w:leader="none" w:pos="10340" w:val="left"/>
        </w:tabs>
        <w:rPr>
          <w:sz w:val="20"/>
          <w:szCs w:val="20"/>
          <w:color w:val="auto"/>
        </w:rPr>
      </w:pP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Class A Shares</w:t>
      </w:r>
    </w:p>
    <w:p>
      <w:pPr>
        <w:spacing w:after="0" w:line="260"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In accordance with Section 4.1 of the Second Amended and Restated Agreement of Limited Partnership of Plains GP Holdings, L.P., as amended, supplemented or restated from time to time (the "</w:t>
      </w:r>
      <w:r>
        <w:rPr>
          <w:rFonts w:ascii="Arial" w:cs="Arial" w:eastAsia="Arial" w:hAnsi="Arial"/>
          <w:sz w:val="15"/>
          <w:szCs w:val="15"/>
          <w:b w:val="1"/>
          <w:bCs w:val="1"/>
          <w:i w:val="1"/>
          <w:iCs w:val="1"/>
          <w:color w:val="auto"/>
        </w:rPr>
        <w:t>Partnership Agreement</w:t>
      </w:r>
      <w:r>
        <w:rPr>
          <w:rFonts w:ascii="Arial" w:cs="Arial" w:eastAsia="Arial" w:hAnsi="Arial"/>
          <w:sz w:val="15"/>
          <w:szCs w:val="15"/>
          <w:color w:val="auto"/>
        </w:rPr>
        <w:t>"), Plains GP Holdings, L.P., a Delaware limited partnership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hereby</w:t>
      </w:r>
    </w:p>
    <w:p>
      <w:pPr>
        <w:ind w:right="20"/>
        <w:spacing w:after="0" w:line="290" w:lineRule="auto"/>
        <w:rPr>
          <w:sz w:val="20"/>
          <w:szCs w:val="20"/>
          <w:color w:val="auto"/>
        </w:rPr>
      </w:pPr>
      <w:r>
        <w:rPr>
          <w:rFonts w:ascii="Arial" w:cs="Arial" w:eastAsia="Arial" w:hAnsi="Arial"/>
          <w:sz w:val="16"/>
          <w:szCs w:val="16"/>
          <w:color w:val="auto"/>
        </w:rPr>
        <w:t>certifies that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is the registered owner of Class A shares representing limited partner interests in the Partnership (the "</w:t>
      </w:r>
      <w:r>
        <w:rPr>
          <w:rFonts w:ascii="Arial" w:cs="Arial" w:eastAsia="Arial" w:hAnsi="Arial"/>
          <w:sz w:val="16"/>
          <w:szCs w:val="16"/>
          <w:b w:val="1"/>
          <w:bCs w:val="1"/>
          <w:i w:val="1"/>
          <w:iCs w:val="1"/>
          <w:color w:val="auto"/>
        </w:rPr>
        <w:t>Class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transferable on the books of the Partnership, in person or by duly authorized attorney, upon surrender of this Certificate properly endorsed. The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preferences and limitations of the Class A Shares are set forth in, and this Certificate and the Class A Shares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7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and (iii) made the waivers and given the consents and approvals contained in the Partnership Agreement.</w:t>
      </w:r>
    </w:p>
    <w:p>
      <w:pPr>
        <w:spacing w:after="0" w:line="19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 This Certificate shall be governed by and construed in accordance with the laws of the State of Delaware.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80" w:type="dxa"/>
            <w:vAlign w:val="bottom"/>
            <w:gridSpan w:val="2"/>
          </w:tcPr>
          <w:p>
            <w:pPr>
              <w:ind w:left="1140"/>
              <w:spacing w:after="0"/>
              <w:rPr>
                <w:sz w:val="20"/>
                <w:szCs w:val="20"/>
                <w:color w:val="auto"/>
              </w:rPr>
            </w:pPr>
            <w:r>
              <w:rPr>
                <w:rFonts w:ascii="Arial" w:cs="Arial" w:eastAsia="Arial" w:hAnsi="Arial"/>
                <w:sz w:val="18"/>
                <w:szCs w:val="18"/>
                <w:color w:val="auto"/>
              </w:rPr>
              <w:t>Dated:</w:t>
            </w:r>
          </w:p>
        </w:tc>
        <w:tc>
          <w:tcPr>
            <w:tcW w:w="5740" w:type="dxa"/>
            <w:vAlign w:val="bottom"/>
            <w:gridSpan w:val="4"/>
          </w:tcPr>
          <w:p>
            <w:pPr>
              <w:ind w:left="120"/>
              <w:spacing w:after="0"/>
              <w:rPr>
                <w:sz w:val="20"/>
                <w:szCs w:val="20"/>
                <w:color w:val="auto"/>
              </w:rPr>
            </w:pPr>
            <w:r>
              <w:rPr>
                <w:rFonts w:ascii="Arial" w:cs="Arial" w:eastAsia="Arial" w:hAnsi="Arial"/>
                <w:sz w:val="18"/>
                <w:szCs w:val="18"/>
                <w:color w:val="auto"/>
              </w:rPr>
              <w:t>Plains GP Holdings, L.P.</w:t>
            </w:r>
          </w:p>
        </w:tc>
        <w:tc>
          <w:tcPr>
            <w:tcW w:w="0" w:type="dxa"/>
            <w:vAlign w:val="bottom"/>
          </w:tcPr>
          <w:p>
            <w:pPr>
              <w:spacing w:after="0"/>
              <w:rPr>
                <w:sz w:val="1"/>
                <w:szCs w:val="1"/>
                <w:color w:val="auto"/>
              </w:rPr>
            </w:pPr>
          </w:p>
        </w:tc>
      </w:tr>
      <w:tr>
        <w:trPr>
          <w:trHeight w:val="97"/>
        </w:trPr>
        <w:tc>
          <w:tcPr>
            <w:tcW w:w="19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5680" w:type="dxa"/>
            <w:vAlign w:val="bottom"/>
            <w:gridSpan w:val="2"/>
          </w:tcPr>
          <w:p>
            <w:pPr>
              <w:ind w:left="1140"/>
              <w:spacing w:after="0"/>
              <w:rPr>
                <w:sz w:val="20"/>
                <w:szCs w:val="20"/>
                <w:color w:val="auto"/>
              </w:rPr>
            </w:pPr>
            <w:r>
              <w:rPr>
                <w:rFonts w:ascii="Arial" w:cs="Arial" w:eastAsia="Arial" w:hAnsi="Arial"/>
                <w:sz w:val="18"/>
                <w:szCs w:val="18"/>
                <w:color w:val="auto"/>
              </w:rPr>
              <w:t>Counter signed and Registered by:</w:t>
            </w:r>
          </w:p>
        </w:tc>
        <w:tc>
          <w:tcPr>
            <w:tcW w:w="720" w:type="dxa"/>
            <w:vAlign w:val="bottom"/>
          </w:tcPr>
          <w:p>
            <w:pPr>
              <w:ind w:left="120"/>
              <w:spacing w:after="0"/>
              <w:rPr>
                <w:sz w:val="20"/>
                <w:szCs w:val="20"/>
                <w:color w:val="auto"/>
              </w:rPr>
            </w:pPr>
            <w:r>
              <w:rPr>
                <w:rFonts w:ascii="Arial" w:cs="Arial" w:eastAsia="Arial" w:hAnsi="Arial"/>
                <w:sz w:val="18"/>
                <w:szCs w:val="18"/>
                <w:color w:val="auto"/>
              </w:rPr>
              <w:t>By:</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PAA GP Holdings LLC</w:t>
            </w:r>
          </w:p>
        </w:tc>
        <w:tc>
          <w:tcPr>
            <w:tcW w:w="0" w:type="dxa"/>
            <w:vAlign w:val="bottom"/>
          </w:tcPr>
          <w:p>
            <w:pPr>
              <w:spacing w:after="0"/>
              <w:rPr>
                <w:sz w:val="1"/>
                <w:szCs w:val="1"/>
                <w:color w:val="auto"/>
              </w:rPr>
            </w:pPr>
          </w:p>
        </w:tc>
      </w:tr>
      <w:tr>
        <w:trPr>
          <w:trHeight w:val="459"/>
        </w:trPr>
        <w:tc>
          <w:tcPr>
            <w:tcW w:w="5680" w:type="dxa"/>
            <w:vAlign w:val="bottom"/>
            <w:gridSpan w:val="2"/>
          </w:tcPr>
          <w:p>
            <w:pPr>
              <w:ind w:left="1140"/>
              <w:spacing w:after="0"/>
              <w:rPr>
                <w:sz w:val="20"/>
                <w:szCs w:val="20"/>
                <w:color w:val="auto"/>
              </w:rPr>
            </w:pPr>
            <w:r>
              <w:rPr>
                <w:rFonts w:ascii="Arial" w:cs="Arial" w:eastAsia="Arial" w:hAnsi="Arial"/>
                <w:sz w:val="18"/>
                <w:szCs w:val="18"/>
                <w:color w:val="auto"/>
              </w:rPr>
              <w:t>American Stock Transfer &amp; Trust Company,</w:t>
            </w:r>
          </w:p>
        </w:tc>
        <w:tc>
          <w:tcPr>
            <w:tcW w:w="720" w:type="dxa"/>
            <w:vAlign w:val="bottom"/>
          </w:tcPr>
          <w:p>
            <w:pPr>
              <w:ind w:left="1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As Transfer Agent and Registrar</w:t>
            </w:r>
          </w:p>
        </w:tc>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Name:</w:t>
            </w:r>
          </w:p>
        </w:tc>
        <w:tc>
          <w:tcPr>
            <w:tcW w:w="140" w:type="dxa"/>
            <w:vAlign w:val="bottom"/>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68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By:</w:t>
            </w:r>
          </w:p>
        </w:tc>
        <w:tc>
          <w:tcPr>
            <w:tcW w:w="502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Secretary</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9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7" w:name="page48"/>
    <w:bookmarkEnd w:id="47"/>
    <w:p>
      <w:pPr>
        <w:ind w:left="4880"/>
        <w:spacing w:after="0"/>
        <w:rPr>
          <w:sz w:val="20"/>
          <w:szCs w:val="20"/>
          <w:color w:val="auto"/>
        </w:rPr>
      </w:pPr>
      <w:r>
        <w:rPr>
          <w:rFonts w:ascii="Arial" w:cs="Arial" w:eastAsia="Arial" w:hAnsi="Arial"/>
          <w:sz w:val="18"/>
          <w:szCs w:val="18"/>
          <w:color w:val="auto"/>
        </w:rPr>
        <w:t>[Reverse of Certificate]</w:t>
      </w:r>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ABBREVIATIONS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ectPr>
          <w:pgSz w:w="11900" w:h="16838" w:orient="portrait"/>
          <w:cols w:equalWidth="0" w:num="1">
            <w:col w:w="10860"/>
          </w:cols>
          <w:pgMar w:left="240" w:top="131" w:right="799" w:bottom="1440" w:gutter="0" w:footer="0" w:header="0"/>
        </w:sectPr>
      </w:pP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TEN COM—as tenants in common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TEN ENT—as tenants by the entireties</w:t>
      </w:r>
    </w:p>
    <w:p>
      <w:pPr>
        <w:spacing w:after="0" w:line="219" w:lineRule="exact"/>
        <w:rPr>
          <w:sz w:val="20"/>
          <w:szCs w:val="20"/>
          <w:color w:val="auto"/>
        </w:rPr>
      </w:pPr>
    </w:p>
    <w:p>
      <w:pPr>
        <w:ind w:left="1140"/>
        <w:spacing w:after="0" w:line="268" w:lineRule="auto"/>
        <w:rPr>
          <w:sz w:val="20"/>
          <w:szCs w:val="20"/>
          <w:color w:val="auto"/>
        </w:rPr>
      </w:pPr>
      <w:r>
        <w:rPr>
          <w:rFonts w:ascii="Arial" w:cs="Arial" w:eastAsia="Arial" w:hAnsi="Arial"/>
          <w:sz w:val="18"/>
          <w:szCs w:val="18"/>
          <w:color w:val="auto"/>
        </w:rPr>
        <w:t>JT TEN—as joint tenants with right of survivorship and not as tenants in common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UNIF GIFT/TRANSFERS MIN ACT</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Custodian</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Under Uniform Gifts/Transfers to CD Minors Act (State)</w:t>
      </w:r>
    </w:p>
    <w:p>
      <w:pPr>
        <w:spacing w:after="0" w:line="457" w:lineRule="exact"/>
        <w:rPr>
          <w:sz w:val="20"/>
          <w:szCs w:val="20"/>
          <w:color w:val="auto"/>
        </w:rPr>
      </w:pPr>
    </w:p>
    <w:p>
      <w:pPr>
        <w:sectPr>
          <w:pgSz w:w="11900" w:h="16838" w:orient="portrait"/>
          <w:cols w:equalWidth="0" w:num="2">
            <w:col w:w="5340" w:space="560"/>
            <w:col w:w="4960"/>
          </w:cols>
          <w:pgMar w:left="240" w:top="131" w:right="799" w:bottom="1440" w:gutter="0" w:footer="0" w:header="0"/>
          <w:type w:val="continuous"/>
        </w:sectPr>
      </w:pPr>
    </w:p>
    <w:p>
      <w:pPr>
        <w:ind w:left="3340"/>
        <w:spacing w:after="0"/>
        <w:rPr>
          <w:sz w:val="20"/>
          <w:szCs w:val="20"/>
          <w:color w:val="auto"/>
        </w:rPr>
      </w:pPr>
      <w:r>
        <w:rPr>
          <w:rFonts w:ascii="Arial" w:cs="Arial" w:eastAsia="Arial" w:hAnsi="Arial"/>
          <w:sz w:val="15"/>
          <w:szCs w:val="15"/>
          <w:color w:val="auto"/>
        </w:rPr>
        <w:t>Additional abbreviations, though not in the above list, may also be used.</w:t>
      </w:r>
    </w:p>
    <w:p>
      <w:pPr>
        <w:spacing w:after="0" w:line="26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ASSIGNMENT OF CLASS A SHARES OF</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PLAINS GP HOLDINGS, L.P.</w:t>
      </w:r>
    </w:p>
    <w:p>
      <w:pPr>
        <w:spacing w:after="0" w:line="219"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7700" w:type="dxa"/>
            <w:vAlign w:val="bottom"/>
            <w:gridSpan w:val="3"/>
          </w:tcPr>
          <w:p>
            <w:pPr>
              <w:ind w:left="360"/>
              <w:spacing w:after="0"/>
              <w:rPr>
                <w:sz w:val="20"/>
                <w:szCs w:val="20"/>
                <w:color w:val="auto"/>
              </w:rPr>
            </w:pPr>
            <w:r>
              <w:rPr>
                <w:rFonts w:ascii="Arial" w:cs="Arial" w:eastAsia="Arial" w:hAnsi="Arial"/>
                <w:sz w:val="18"/>
                <w:szCs w:val="18"/>
                <w:color w:val="auto"/>
              </w:rPr>
              <w:t>hereby assigns, conveys, sells and transfers unto</w:t>
            </w:r>
          </w:p>
        </w:tc>
      </w:tr>
      <w:tr>
        <w:trPr>
          <w:trHeight w:val="313"/>
        </w:trPr>
        <w:tc>
          <w:tcPr>
            <w:tcW w:w="780" w:type="dxa"/>
            <w:vAlign w:val="bottom"/>
          </w:tcPr>
          <w:p>
            <w:pPr>
              <w:spacing w:after="0"/>
              <w:rPr>
                <w:sz w:val="24"/>
                <w:szCs w:val="24"/>
                <w:color w:val="auto"/>
              </w:rPr>
            </w:pPr>
          </w:p>
        </w:tc>
        <w:tc>
          <w:tcPr>
            <w:tcW w:w="4420" w:type="dxa"/>
            <w:vAlign w:val="bottom"/>
            <w:tcBorders>
              <w:bottom w:val="single" w:sz="8" w:color="auto"/>
            </w:tcBorders>
            <w:gridSpan w:val="2"/>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r>
        <w:trPr>
          <w:trHeight w:val="498"/>
        </w:trPr>
        <w:tc>
          <w:tcPr>
            <w:tcW w:w="7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6"/>
              </w:rPr>
              <w:t>(Please print or typewrite name and address of assignee)</w:t>
            </w: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w w:val="92"/>
              </w:rPr>
              <w:t>(Please insert Social Security or other identifying number of</w:t>
            </w:r>
          </w:p>
        </w:tc>
      </w:tr>
      <w:tr>
        <w:trPr>
          <w:trHeight w:val="222"/>
        </w:trPr>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assignee)</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Class A Shares representing limited partner interests evidenced by this Certificate, subject to the Partnership Agreement, and does hereby irrevocably</w:t>
      </w:r>
    </w:p>
    <w:p>
      <w:pPr>
        <w:spacing w:after="0" w:line="5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constitute and appoint</w:t>
      </w:r>
      <w:r>
        <w:rPr>
          <w:sz w:val="20"/>
          <w:szCs w:val="20"/>
          <w:color w:val="auto"/>
        </w:rPr>
        <w:tab/>
      </w:r>
      <w:r>
        <w:rPr>
          <w:rFonts w:ascii="Arial" w:cs="Arial" w:eastAsia="Arial" w:hAnsi="Arial"/>
          <w:sz w:val="16"/>
          <w:szCs w:val="16"/>
          <w:color w:val="auto"/>
        </w:rPr>
        <w:t>as its attorney-in-fact with full power of substitution to transfer the same on the books of Plains GP Holdings, L.P.</w:t>
      </w:r>
    </w:p>
    <w:p>
      <w:pPr>
        <w:sectPr>
          <w:pgSz w:w="11900" w:h="16838" w:orient="portrait"/>
          <w:cols w:equalWidth="0" w:num="1">
            <w:col w:w="11400"/>
          </w:cols>
          <w:pgMar w:left="240" w:top="341" w:right="259" w:bottom="1440" w:gutter="0" w:footer="0" w:header="0"/>
        </w:sectPr>
      </w:pP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71120</wp:posOffset>
            </wp:positionV>
            <wp:extent cx="22809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40"/>
        <w:spacing w:after="0" w:line="293" w:lineRule="auto"/>
        <w:rPr>
          <w:sz w:val="20"/>
          <w:szCs w:val="20"/>
          <w:color w:val="auto"/>
        </w:rPr>
      </w:pPr>
      <w:r>
        <w:rPr>
          <w:rFonts w:ascii="Arial" w:cs="Arial" w:eastAsia="Arial" w:hAnsi="Arial"/>
          <w:sz w:val="16"/>
          <w:szCs w:val="16"/>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140"/>
        <w:spacing w:after="0" w:line="256" w:lineRule="auto"/>
        <w:rPr>
          <w:sz w:val="20"/>
          <w:szCs w:val="20"/>
          <w:color w:val="auto"/>
        </w:rPr>
      </w:pPr>
      <w:r>
        <w:rPr>
          <w:rFonts w:ascii="Arial" w:cs="Arial" w:eastAsia="Arial" w:hAnsi="Arial"/>
          <w:sz w:val="18"/>
          <w:szCs w:val="18"/>
          <w:color w:val="auto"/>
        </w:rPr>
        <w:t>NOTE: The signature to any endorsement hereon must correspond with the name as written upon the face of this Certificate in every particular. without alteration, enlargement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344805</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345440</wp:posOffset>
            </wp:positionV>
            <wp:extent cx="2590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ectPr>
          <w:pgSz w:w="11900" w:h="16838" w:orient="portrait"/>
          <w:cols w:equalWidth="0" w:num="2">
            <w:col w:w="5800" w:space="420"/>
            <w:col w:w="5180"/>
          </w:cols>
          <w:pgMar w:left="240" w:top="341" w:right="259" w:bottom="1440" w:gutter="0" w:footer="0" w:header="0"/>
          <w:type w:val="continuous"/>
        </w:sectPr>
      </w:pPr>
    </w:p>
    <w:p>
      <w:pPr>
        <w:spacing w:after="0" w:line="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transfer of the Class A Shares evidenced hereby will be registered on the books of the Partnership, unless the Certificate evidencing the Class A Shares to be transferred is surrendered for registration or transfer.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4.1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Certificate Evidencing Class A Shares Representing Limited Partner Interests in Plains GP Holdings, L.P.</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ABBREVIATIONS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ASSIGNMENT OF CLASS A SHARES OF PLAINS GP HOLDINGS, L.P.</w:t>
        </w:r>
      </w:hyperlink>
    </w:p>
    <w:p>
      <w:pPr>
        <w:sectPr>
          <w:pgSz w:w="11900" w:h="16838" w:orient="portrait"/>
          <w:cols w:equalWidth="0" w:num="1">
            <w:col w:w="10219"/>
          </w:cols>
          <w:pgMar w:left="240" w:top="820" w:right="1440" w:bottom="1440" w:gutter="0" w:footer="0" w:header="0"/>
        </w:sectPr>
      </w:pPr>
    </w:p>
    <w:bookmarkStart w:id="50" w:name="page51"/>
    <w:bookmarkEnd w:id="50"/>
    <w:p>
      <w:pPr>
        <w:spacing w:after="0"/>
        <w:rPr>
          <w:rFonts w:ascii="Arial" w:cs="Arial" w:eastAsia="Arial" w:hAnsi="Arial"/>
          <w:sz w:val="22"/>
          <w:szCs w:val="22"/>
          <w:color w:val="0000EE"/>
        </w:rPr>
      </w:pPr>
      <w:hyperlink w:anchor="page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46621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621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December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to Plains GP Holdings,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 connection with the preparation and filing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in connection with the registration by the Partnership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the offer and sale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from time to time, pursuant to Rule 415 under the Securities Act, of Class A shares representing limited partner interests in the Partnership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9"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aggregate initial offering price of the Shares that may be offered and sold by the Partnership pursuant to the Registration Statement will not exceed $1,000,000,000 or, if applicable, the equivalent thereof in any other security or currency unit.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the basis for the opinion hereinafter expressed, we examined the Delaware Revised Uniform Limited Partnership Act (the "</w:t>
      </w:r>
      <w:r>
        <w:rPr>
          <w:rFonts w:ascii="Arial" w:cs="Arial" w:eastAsia="Arial" w:hAnsi="Arial"/>
          <w:sz w:val="16"/>
          <w:szCs w:val="16"/>
          <w:b w:val="1"/>
          <w:bCs w:val="1"/>
          <w:i w:val="1"/>
          <w:iCs w:val="1"/>
          <w:color w:val="auto"/>
        </w:rPr>
        <w:t>Delaware LP Act</w:t>
      </w:r>
      <w:r>
        <w:rPr>
          <w:rFonts w:ascii="Arial" w:cs="Arial" w:eastAsia="Arial" w:hAnsi="Arial"/>
          <w:sz w:val="16"/>
          <w:szCs w:val="16"/>
          <w:color w:val="auto"/>
        </w:rPr>
        <w:t>"), the Second Amended and Restated Agreement of Limited Partnership of the Partnership, the Certificate of Limited Partnership filed with the Secretary of State of the State of Delaware pursuant to the Delaware LP Act in connection with the formation of the Partnership,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(iv) each certificate from governmental officials reviewed by us is accurate, complete and authentic, and all official public records are accurate and complete (v) the Registration Statement, and any amendments thereto (including post-effective amendments), will have become effective; (vi) a prospectus supplement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spacing w:after="0" w:line="178"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Based upon and subject to the foregoing,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validly issued, fully paid (to the extent required under the Second Amended and Restated Agreement of Limited Partnership of the Partnership) and non-assessable (except as such nonassessability may be affected by Sections 17-303, 17-607 or 17-804 of the Delaware LP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283210</wp:posOffset>
            </wp:positionV>
            <wp:extent cx="5866130" cy="368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1" w:name="page52"/>
    <w:bookmarkEnd w:id="51"/>
    <w:p>
      <w:pPr>
        <w:ind w:left="6680"/>
        <w:spacing w:after="0"/>
        <w:rPr>
          <w:sz w:val="20"/>
          <w:szCs w:val="20"/>
          <w:color w:val="auto"/>
        </w:rPr>
      </w:pPr>
      <w:r>
        <w:rPr>
          <w:rFonts w:ascii="Arial" w:cs="Arial" w:eastAsia="Arial" w:hAnsi="Arial"/>
          <w:sz w:val="18"/>
          <w:szCs w:val="18"/>
          <w:color w:val="auto"/>
        </w:rPr>
        <w:t>Plains GP Holdings, L.P. December 7, 2016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48895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8950" cy="188595"/>
                    </a:xfrm>
                    <a:prstGeom prst="rect">
                      <a:avLst/>
                    </a:prstGeom>
                    <a:noFill/>
                  </pic:spPr>
                </pic:pic>
              </a:graphicData>
            </a:graphic>
          </wp:anchor>
        </w:drawing>
      </w:r>
    </w:p>
    <w:p>
      <w:pPr>
        <w:spacing w:after="0" w:line="286"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39"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39"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53" w:name="page54"/>
    <w:bookmarkEnd w:id="53"/>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758315"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58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December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acted as counsel for Plains GP Holdings, L.P.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a Delaware limited partnership that has elected to be treated as a corporation for U.S. federal income tax purposes,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Class A shares representing limited partner interests in PAGP.</w:t>
      </w:r>
    </w:p>
    <w:p>
      <w:pPr>
        <w:spacing w:after="0" w:line="19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opinion is based on various facts and assumptions, including factual representations of PAGP concerning its business, properties and governing documents as set forth in the Registration Statement.</w:t>
      </w:r>
    </w:p>
    <w:p>
      <w:pPr>
        <w:spacing w:after="0" w:line="1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w:t>
      </w:r>
    </w:p>
    <w:p>
      <w:pPr>
        <w:spacing w:after="0" w:line="17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814705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310515</wp:posOffset>
            </wp:positionV>
            <wp:extent cx="5866130" cy="368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4" w:name="page55"/>
    <w:bookmarkEnd w:id="54"/>
    <w:p>
      <w:pPr>
        <w:ind w:firstLine="34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88900</wp:posOffset>
            </wp:positionV>
            <wp:extent cx="48895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under the caption "Material U.S. Federal Income Tax Consequences" in the Registration Statement. In giving such consent, we do not admit that we are within the category of persons whose consent is required under Section 7 of the Securities Act.</w:t>
      </w: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56" w:name="page57"/>
    <w:bookmarkEnd w:id="56"/>
    <w:p>
      <w:pPr>
        <w:spacing w:after="0"/>
        <w:rPr>
          <w:rFonts w:ascii="Arial" w:cs="Arial" w:eastAsia="Arial" w:hAnsi="Arial"/>
          <w:sz w:val="22"/>
          <w:szCs w:val="22"/>
          <w:color w:val="0000EE"/>
        </w:rPr>
      </w:pPr>
      <w:hyperlink w:anchor="page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25, 2016 relating to the financial statements and the effectiveness of internal control over financial reporting, which appears in Plains GP Holdings, L.P.'s Annual Report on Form 10-K for the year ended December 31, 2015.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2"/>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5"/>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4"/>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3"/>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lvl w:ilvl="1">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5E884ADC"/>
    <w:multiLevelType w:val="hybridMultilevel"/>
    <w:lvl w:ilvl="0">
      <w:lvlJc w:val="left"/>
      <w:lvlText w:val="(%1)"/>
      <w:numFmt w:val="lowerLetter"/>
      <w:start w:val="2"/>
    </w:lvl>
    <w:lvl w:ilvl="1">
      <w:lvlJc w:val="left"/>
      <w:lvlText w:val="(%2)"/>
      <w:numFmt w:val="lowerRoman"/>
      <w:start w:val="1"/>
    </w:lvl>
  </w:abstractNum>
  <w:abstractNum w:abstractNumId="37">
    <w:nsid w:val="51EAD36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8">
    <w:nsid w:val="2D51779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2020-01-21T23:30:48Z</dcterms:created>
  <dcterms:modified xsi:type="dcterms:W3CDTF">2020-01-21T23:30:48Z</dcterms:modified>
</cp:coreProperties>
</file>